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sz w:val="24"/>
          <w:szCs w:val="24"/>
          <w:lang w:val="en-GB" w:eastAsia="en-GB"/>
        </w:rPr>
        <w:id w:val="-2098092798"/>
        <w:docPartObj>
          <w:docPartGallery w:val="Cover Pages"/>
          <w:docPartUnique/>
        </w:docPartObj>
      </w:sdtPr>
      <w:sdtEndPr>
        <w:rPr>
          <w:b/>
          <w:bCs/>
          <w:sz w:val="2"/>
        </w:rPr>
      </w:sdtEndPr>
      <w:sdtContent>
        <w:p w14:paraId="55496FA6" w14:textId="01F8D10F" w:rsidR="00561E2D" w:rsidRPr="005A3967" w:rsidRDefault="00561E2D">
          <w:pPr>
            <w:pStyle w:val="NoSpacing"/>
            <w:rPr>
              <w:rFonts w:ascii="Times New Roman" w:hAnsi="Times New Roman" w:cs="Times New Roman"/>
              <w:lang w:val="en-GB"/>
            </w:rPr>
          </w:pPr>
          <w:r w:rsidRPr="005A3967">
            <w:rPr>
              <w:rFonts w:ascii="Times New Roman" w:hAnsi="Times New Roman" w:cs="Times New Roman"/>
              <w:noProof/>
              <w:lang w:val="en-GB"/>
            </w:rPr>
            <mc:AlternateContent>
              <mc:Choice Requires="wpg">
                <w:drawing>
                  <wp:anchor distT="0" distB="0" distL="114300" distR="114300" simplePos="0" relativeHeight="251659264" behindDoc="1" locked="0" layoutInCell="1" allowOverlap="1" wp14:anchorId="7D4D0652" wp14:editId="0EF881E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04F606" w14:textId="30E9B348" w:rsidR="00561E2D" w:rsidRDefault="00561E2D">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D4D0652" id="Group 6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p w14:paraId="1B04F606" w14:textId="30E9B348" w:rsidR="00561E2D" w:rsidRDefault="00561E2D">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5A3967">
            <w:rPr>
              <w:rFonts w:ascii="Times New Roman" w:hAnsi="Times New Roman" w:cs="Times New Roman"/>
              <w:noProof/>
              <w:lang w:val="en-GB"/>
            </w:rPr>
            <mc:AlternateContent>
              <mc:Choice Requires="wps">
                <w:drawing>
                  <wp:anchor distT="0" distB="0" distL="114300" distR="114300" simplePos="0" relativeHeight="251661312" behindDoc="0" locked="0" layoutInCell="1" allowOverlap="1" wp14:anchorId="6E9B8BF2" wp14:editId="6054C2B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5EFEC6" w14:textId="24B90ADD" w:rsidR="00561E2D" w:rsidRPr="003F6B28" w:rsidRDefault="00000000">
                                <w:pPr>
                                  <w:pStyle w:val="NoSpacing"/>
                                  <w:rPr>
                                    <w:b/>
                                    <w:bCs/>
                                    <w:color w:val="156082" w:themeColor="accent1"/>
                                    <w:sz w:val="44"/>
                                    <w:szCs w:val="44"/>
                                  </w:rPr>
                                </w:pPr>
                                <w:sdt>
                                  <w:sdtPr>
                                    <w:rPr>
                                      <w:b/>
                                      <w:bCs/>
                                      <w:color w:val="156082" w:themeColor="accent1"/>
                                      <w:sz w:val="44"/>
                                      <w:szCs w:val="4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61E2D" w:rsidRPr="003F6B28">
                                      <w:rPr>
                                        <w:b/>
                                        <w:bCs/>
                                        <w:color w:val="156082" w:themeColor="accent1"/>
                                        <w:sz w:val="44"/>
                                        <w:szCs w:val="44"/>
                                      </w:rPr>
                                      <w:t>Joshua Depiver (2307234)</w:t>
                                    </w:r>
                                  </w:sdtContent>
                                </w:sdt>
                              </w:p>
                              <w:p w14:paraId="5F60CD6A" w14:textId="50BEB0AC" w:rsidR="00561E2D" w:rsidRPr="003F6B28" w:rsidRDefault="00000000">
                                <w:pPr>
                                  <w:pStyle w:val="NoSpacing"/>
                                  <w:rPr>
                                    <w:b/>
                                    <w:bCs/>
                                    <w:color w:val="595959" w:themeColor="text1" w:themeTint="A6"/>
                                    <w:sz w:val="24"/>
                                    <w:szCs w:val="24"/>
                                  </w:rPr>
                                </w:pPr>
                                <w:sdt>
                                  <w:sdtPr>
                                    <w:rPr>
                                      <w:b/>
                                      <w:bCs/>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561E2D" w:rsidRPr="003F6B28">
                                      <w:rPr>
                                        <w:b/>
                                        <w:bCs/>
                                        <w:caps/>
                                        <w:color w:val="595959" w:themeColor="text1" w:themeTint="A6"/>
                                        <w:sz w:val="24"/>
                                        <w:szCs w:val="24"/>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E9B8BF2" id="_x0000_t202" coordsize="21600,21600" o:spt="202" path="m,l,21600r21600,l21600,xe">
                    <v:stroke joinstyle="miter"/>
                    <v:path gradientshapeok="t" o:connecttype="rect"/>
                  </v:shapetype>
                  <v:shape id="Text Box 6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285EFEC6" w14:textId="24B90ADD" w:rsidR="00561E2D" w:rsidRPr="003F6B28" w:rsidRDefault="00000000">
                          <w:pPr>
                            <w:pStyle w:val="NoSpacing"/>
                            <w:rPr>
                              <w:b/>
                              <w:bCs/>
                              <w:color w:val="156082" w:themeColor="accent1"/>
                              <w:sz w:val="44"/>
                              <w:szCs w:val="44"/>
                            </w:rPr>
                          </w:pPr>
                          <w:sdt>
                            <w:sdtPr>
                              <w:rPr>
                                <w:b/>
                                <w:bCs/>
                                <w:color w:val="156082" w:themeColor="accent1"/>
                                <w:sz w:val="44"/>
                                <w:szCs w:val="4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61E2D" w:rsidRPr="003F6B28">
                                <w:rPr>
                                  <w:b/>
                                  <w:bCs/>
                                  <w:color w:val="156082" w:themeColor="accent1"/>
                                  <w:sz w:val="44"/>
                                  <w:szCs w:val="44"/>
                                </w:rPr>
                                <w:t>Joshua Depiver (2307234)</w:t>
                              </w:r>
                            </w:sdtContent>
                          </w:sdt>
                        </w:p>
                        <w:p w14:paraId="5F60CD6A" w14:textId="50BEB0AC" w:rsidR="00561E2D" w:rsidRPr="003F6B28" w:rsidRDefault="00000000">
                          <w:pPr>
                            <w:pStyle w:val="NoSpacing"/>
                            <w:rPr>
                              <w:b/>
                              <w:bCs/>
                              <w:color w:val="595959" w:themeColor="text1" w:themeTint="A6"/>
                              <w:sz w:val="24"/>
                              <w:szCs w:val="24"/>
                            </w:rPr>
                          </w:pPr>
                          <w:sdt>
                            <w:sdtPr>
                              <w:rPr>
                                <w:b/>
                                <w:bCs/>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561E2D" w:rsidRPr="003F6B28">
                                <w:rPr>
                                  <w:b/>
                                  <w:bCs/>
                                  <w:caps/>
                                  <w:color w:val="595959" w:themeColor="text1" w:themeTint="A6"/>
                                  <w:sz w:val="24"/>
                                  <w:szCs w:val="24"/>
                                </w:rPr>
                                <w:t>University of Wales, Trinity Saint David</w:t>
                              </w:r>
                            </w:sdtContent>
                          </w:sdt>
                        </w:p>
                      </w:txbxContent>
                    </v:textbox>
                    <w10:wrap anchorx="page" anchory="page"/>
                  </v:shape>
                </w:pict>
              </mc:Fallback>
            </mc:AlternateContent>
          </w:r>
          <w:r w:rsidRPr="005A3967">
            <w:rPr>
              <w:rFonts w:ascii="Times New Roman" w:hAnsi="Times New Roman" w:cs="Times New Roman"/>
              <w:noProof/>
              <w:lang w:val="en-GB"/>
            </w:rPr>
            <mc:AlternateContent>
              <mc:Choice Requires="wps">
                <w:drawing>
                  <wp:anchor distT="0" distB="0" distL="114300" distR="114300" simplePos="0" relativeHeight="251660288" behindDoc="0" locked="0" layoutInCell="1" allowOverlap="1" wp14:anchorId="2EBFC838" wp14:editId="0E70D3F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6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B55365" w14:textId="6CEA20A4" w:rsidR="00561E2D"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61E2D">
                                      <w:rPr>
                                        <w:rFonts w:asciiTheme="majorHAnsi" w:eastAsiaTheme="majorEastAsia" w:hAnsiTheme="majorHAnsi" w:cstheme="majorBidi"/>
                                        <w:color w:val="262626" w:themeColor="text1" w:themeTint="D9"/>
                                        <w:sz w:val="72"/>
                                        <w:szCs w:val="72"/>
                                      </w:rPr>
                                      <w:t>Integration of Predictive Analytics into Strategic Decision-Making</w:t>
                                    </w:r>
                                    <w:r w:rsidR="00DB3A6B">
                                      <w:rPr>
                                        <w:rFonts w:asciiTheme="majorHAnsi" w:eastAsiaTheme="majorEastAsia" w:hAnsiTheme="majorHAnsi" w:cstheme="majorBidi"/>
                                        <w:color w:val="262626" w:themeColor="text1" w:themeTint="D9"/>
                                        <w:sz w:val="72"/>
                                        <w:szCs w:val="72"/>
                                      </w:rPr>
                                      <w:t xml:space="preserve"> (A Case Study of</w:t>
                                    </w:r>
                                    <w:r w:rsidR="00561E2D">
                                      <w:rPr>
                                        <w:rFonts w:asciiTheme="majorHAnsi" w:eastAsiaTheme="majorEastAsia" w:hAnsiTheme="majorHAnsi" w:cstheme="majorBidi"/>
                                        <w:color w:val="262626" w:themeColor="text1" w:themeTint="D9"/>
                                        <w:sz w:val="72"/>
                                        <w:szCs w:val="72"/>
                                      </w:rPr>
                                      <w:t xml:space="preserve"> SSE PLC</w:t>
                                    </w:r>
                                    <w:r w:rsidR="00DB3A6B">
                                      <w:rPr>
                                        <w:rFonts w:asciiTheme="majorHAnsi" w:eastAsiaTheme="majorEastAsia" w:hAnsiTheme="majorHAnsi" w:cstheme="majorBidi"/>
                                        <w:color w:val="262626" w:themeColor="text1" w:themeTint="D9"/>
                                        <w:sz w:val="72"/>
                                        <w:szCs w:val="72"/>
                                      </w:rPr>
                                      <w:t>)</w:t>
                                    </w:r>
                                  </w:sdtContent>
                                </w:sdt>
                              </w:p>
                              <w:p w14:paraId="0A4D1526" w14:textId="6240DF70" w:rsidR="00561E2D"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61E2D">
                                      <w:rPr>
                                        <w:color w:val="404040" w:themeColor="text1" w:themeTint="BF"/>
                                        <w:sz w:val="36"/>
                                        <w:szCs w:val="36"/>
                                      </w:rPr>
                                      <w:t>Evaluating Analytics Maturity, Data Governance Structures, and Future Pathways for Digital Innovation in the UK Energy Sector</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EBFC838" id="Text Box 64"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FB55365" w14:textId="6CEA20A4" w:rsidR="00561E2D"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61E2D">
                                <w:rPr>
                                  <w:rFonts w:asciiTheme="majorHAnsi" w:eastAsiaTheme="majorEastAsia" w:hAnsiTheme="majorHAnsi" w:cstheme="majorBidi"/>
                                  <w:color w:val="262626" w:themeColor="text1" w:themeTint="D9"/>
                                  <w:sz w:val="72"/>
                                  <w:szCs w:val="72"/>
                                </w:rPr>
                                <w:t>Integration of Predictive Analytics into Strategic Decision-Making</w:t>
                              </w:r>
                              <w:r w:rsidR="00DB3A6B">
                                <w:rPr>
                                  <w:rFonts w:asciiTheme="majorHAnsi" w:eastAsiaTheme="majorEastAsia" w:hAnsiTheme="majorHAnsi" w:cstheme="majorBidi"/>
                                  <w:color w:val="262626" w:themeColor="text1" w:themeTint="D9"/>
                                  <w:sz w:val="72"/>
                                  <w:szCs w:val="72"/>
                                </w:rPr>
                                <w:t xml:space="preserve"> (A Case Study of</w:t>
                              </w:r>
                              <w:r w:rsidR="00561E2D">
                                <w:rPr>
                                  <w:rFonts w:asciiTheme="majorHAnsi" w:eastAsiaTheme="majorEastAsia" w:hAnsiTheme="majorHAnsi" w:cstheme="majorBidi"/>
                                  <w:color w:val="262626" w:themeColor="text1" w:themeTint="D9"/>
                                  <w:sz w:val="72"/>
                                  <w:szCs w:val="72"/>
                                </w:rPr>
                                <w:t xml:space="preserve"> SSE PLC</w:t>
                              </w:r>
                              <w:r w:rsidR="00DB3A6B">
                                <w:rPr>
                                  <w:rFonts w:asciiTheme="majorHAnsi" w:eastAsiaTheme="majorEastAsia" w:hAnsiTheme="majorHAnsi" w:cstheme="majorBidi"/>
                                  <w:color w:val="262626" w:themeColor="text1" w:themeTint="D9"/>
                                  <w:sz w:val="72"/>
                                  <w:szCs w:val="72"/>
                                </w:rPr>
                                <w:t>)</w:t>
                              </w:r>
                            </w:sdtContent>
                          </w:sdt>
                        </w:p>
                        <w:p w14:paraId="0A4D1526" w14:textId="6240DF70" w:rsidR="00561E2D"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61E2D">
                                <w:rPr>
                                  <w:color w:val="404040" w:themeColor="text1" w:themeTint="BF"/>
                                  <w:sz w:val="36"/>
                                  <w:szCs w:val="36"/>
                                </w:rPr>
                                <w:t>Evaluating Analytics Maturity, Data Governance Structures, and Future Pathways for Digital Innovation in the UK Energy Sector</w:t>
                              </w:r>
                            </w:sdtContent>
                          </w:sdt>
                        </w:p>
                      </w:txbxContent>
                    </v:textbox>
                    <w10:wrap anchorx="page" anchory="page"/>
                  </v:shape>
                </w:pict>
              </mc:Fallback>
            </mc:AlternateContent>
          </w:r>
        </w:p>
        <w:p w14:paraId="5CA0AC75" w14:textId="521EC859" w:rsidR="00561E2D" w:rsidRPr="005A3967" w:rsidRDefault="00561E2D">
          <w:pPr>
            <w:rPr>
              <w:rFonts w:eastAsiaTheme="minorEastAsia"/>
              <w:sz w:val="2"/>
              <w:szCs w:val="22"/>
              <w:lang w:eastAsia="zh-CN"/>
            </w:rPr>
          </w:pPr>
          <w:r w:rsidRPr="005A3967">
            <w:rPr>
              <w:rFonts w:eastAsiaTheme="minorEastAsia"/>
              <w:b/>
              <w:bCs/>
              <w:sz w:val="2"/>
              <w:szCs w:val="22"/>
              <w:lang w:eastAsia="zh-CN"/>
            </w:rPr>
            <w:br w:type="page"/>
          </w:r>
        </w:p>
      </w:sdtContent>
    </w:sdt>
    <w:sdt>
      <w:sdtPr>
        <w:rPr>
          <w:rFonts w:ascii="Times New Roman" w:eastAsia="Times New Roman" w:hAnsi="Times New Roman" w:cs="Times New Roman"/>
          <w:b w:val="0"/>
          <w:bCs w:val="0"/>
          <w:color w:val="auto"/>
          <w:sz w:val="24"/>
          <w:szCs w:val="24"/>
          <w:lang w:val="en-GB"/>
        </w:rPr>
        <w:id w:val="-436902581"/>
        <w:docPartObj>
          <w:docPartGallery w:val="Table of Contents"/>
          <w:docPartUnique/>
        </w:docPartObj>
      </w:sdtPr>
      <w:sdtEndPr>
        <w:rPr>
          <w:noProof/>
        </w:rPr>
      </w:sdtEndPr>
      <w:sdtContent>
        <w:p w14:paraId="77F17180" w14:textId="16C9F3F5" w:rsidR="000F4248" w:rsidRPr="005A3967" w:rsidRDefault="000F4248" w:rsidP="00462E03">
          <w:pPr>
            <w:pStyle w:val="TOCHeading"/>
            <w:spacing w:line="360" w:lineRule="auto"/>
            <w:rPr>
              <w:rFonts w:ascii="Times New Roman" w:hAnsi="Times New Roman" w:cs="Times New Roman"/>
              <w:lang w:val="en-GB"/>
            </w:rPr>
          </w:pPr>
          <w:r w:rsidRPr="005A3967">
            <w:rPr>
              <w:rFonts w:ascii="Times New Roman" w:hAnsi="Times New Roman" w:cs="Times New Roman"/>
              <w:lang w:val="en-GB"/>
            </w:rPr>
            <w:t>Table of Contents</w:t>
          </w:r>
        </w:p>
        <w:p w14:paraId="48AD65C5" w14:textId="43B72A5F" w:rsidR="00D7296C" w:rsidRDefault="000F4248">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sidRPr="005A3967">
            <w:rPr>
              <w:b w:val="0"/>
              <w:bCs w:val="0"/>
            </w:rPr>
            <w:fldChar w:fldCharType="begin"/>
          </w:r>
          <w:r w:rsidRPr="005A3967">
            <w:instrText xml:space="preserve"> TOC \o "1-3" \h \z \u </w:instrText>
          </w:r>
          <w:r w:rsidRPr="005A3967">
            <w:rPr>
              <w:b w:val="0"/>
              <w:bCs w:val="0"/>
            </w:rPr>
            <w:fldChar w:fldCharType="separate"/>
          </w:r>
          <w:hyperlink w:anchor="_Toc202544478" w:history="1">
            <w:r w:rsidR="00D7296C" w:rsidRPr="00914AE1">
              <w:rPr>
                <w:rStyle w:val="Hyperlink"/>
                <w:noProof/>
              </w:rPr>
              <w:t>List of Tables</w:t>
            </w:r>
            <w:r w:rsidR="00D7296C">
              <w:rPr>
                <w:noProof/>
                <w:webHidden/>
              </w:rPr>
              <w:tab/>
            </w:r>
            <w:r w:rsidR="00D7296C">
              <w:rPr>
                <w:noProof/>
                <w:webHidden/>
              </w:rPr>
              <w:fldChar w:fldCharType="begin"/>
            </w:r>
            <w:r w:rsidR="00D7296C">
              <w:rPr>
                <w:noProof/>
                <w:webHidden/>
              </w:rPr>
              <w:instrText xml:space="preserve"> PAGEREF _Toc202544478 \h </w:instrText>
            </w:r>
            <w:r w:rsidR="00D7296C">
              <w:rPr>
                <w:noProof/>
                <w:webHidden/>
              </w:rPr>
            </w:r>
            <w:r w:rsidR="00D7296C">
              <w:rPr>
                <w:noProof/>
                <w:webHidden/>
              </w:rPr>
              <w:fldChar w:fldCharType="separate"/>
            </w:r>
            <w:r w:rsidR="00D7296C">
              <w:rPr>
                <w:noProof/>
                <w:webHidden/>
              </w:rPr>
              <w:t>2</w:t>
            </w:r>
            <w:r w:rsidR="00D7296C">
              <w:rPr>
                <w:noProof/>
                <w:webHidden/>
              </w:rPr>
              <w:fldChar w:fldCharType="end"/>
            </w:r>
          </w:hyperlink>
        </w:p>
        <w:p w14:paraId="3F261B45" w14:textId="31BCE0C0" w:rsidR="00D7296C" w:rsidRDefault="00D7296C">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02544479" w:history="1">
            <w:r w:rsidRPr="00914AE1">
              <w:rPr>
                <w:rStyle w:val="Hyperlink"/>
                <w:noProof/>
              </w:rPr>
              <w:t>List of Figures</w:t>
            </w:r>
            <w:r>
              <w:rPr>
                <w:noProof/>
                <w:webHidden/>
              </w:rPr>
              <w:tab/>
            </w:r>
            <w:r>
              <w:rPr>
                <w:noProof/>
                <w:webHidden/>
              </w:rPr>
              <w:fldChar w:fldCharType="begin"/>
            </w:r>
            <w:r>
              <w:rPr>
                <w:noProof/>
                <w:webHidden/>
              </w:rPr>
              <w:instrText xml:space="preserve"> PAGEREF _Toc202544479 \h </w:instrText>
            </w:r>
            <w:r>
              <w:rPr>
                <w:noProof/>
                <w:webHidden/>
              </w:rPr>
            </w:r>
            <w:r>
              <w:rPr>
                <w:noProof/>
                <w:webHidden/>
              </w:rPr>
              <w:fldChar w:fldCharType="separate"/>
            </w:r>
            <w:r>
              <w:rPr>
                <w:noProof/>
                <w:webHidden/>
              </w:rPr>
              <w:t>3</w:t>
            </w:r>
            <w:r>
              <w:rPr>
                <w:noProof/>
                <w:webHidden/>
              </w:rPr>
              <w:fldChar w:fldCharType="end"/>
            </w:r>
          </w:hyperlink>
        </w:p>
        <w:p w14:paraId="33F104B4" w14:textId="44F85BFE" w:rsidR="00D7296C" w:rsidRDefault="00D7296C">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02544480" w:history="1">
            <w:r w:rsidRPr="00914AE1">
              <w:rPr>
                <w:rStyle w:val="Hyperlink"/>
                <w:noProof/>
              </w:rPr>
              <w:t>Abstract</w:t>
            </w:r>
            <w:r>
              <w:rPr>
                <w:noProof/>
                <w:webHidden/>
              </w:rPr>
              <w:tab/>
            </w:r>
            <w:r>
              <w:rPr>
                <w:noProof/>
                <w:webHidden/>
              </w:rPr>
              <w:fldChar w:fldCharType="begin"/>
            </w:r>
            <w:r>
              <w:rPr>
                <w:noProof/>
                <w:webHidden/>
              </w:rPr>
              <w:instrText xml:space="preserve"> PAGEREF _Toc202544480 \h </w:instrText>
            </w:r>
            <w:r>
              <w:rPr>
                <w:noProof/>
                <w:webHidden/>
              </w:rPr>
            </w:r>
            <w:r>
              <w:rPr>
                <w:noProof/>
                <w:webHidden/>
              </w:rPr>
              <w:fldChar w:fldCharType="separate"/>
            </w:r>
            <w:r>
              <w:rPr>
                <w:noProof/>
                <w:webHidden/>
              </w:rPr>
              <w:t>5</w:t>
            </w:r>
            <w:r>
              <w:rPr>
                <w:noProof/>
                <w:webHidden/>
              </w:rPr>
              <w:fldChar w:fldCharType="end"/>
            </w:r>
          </w:hyperlink>
        </w:p>
        <w:p w14:paraId="404E30AD" w14:textId="748B8768" w:rsidR="00D7296C" w:rsidRDefault="00D7296C">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02544481" w:history="1">
            <w:r w:rsidRPr="00914AE1">
              <w:rPr>
                <w:rStyle w:val="Hyperlink"/>
                <w:noProof/>
              </w:rPr>
              <w:t>1.</w:t>
            </w:r>
            <w:r>
              <w:rPr>
                <w:rFonts w:asciiTheme="minorHAnsi" w:eastAsiaTheme="minorEastAsia" w:hAnsiTheme="minorHAnsi" w:cstheme="minorBidi"/>
                <w:b w:val="0"/>
                <w:bCs w:val="0"/>
                <w:i w:val="0"/>
                <w:iCs w:val="0"/>
                <w:noProof/>
                <w:kern w:val="2"/>
                <w14:ligatures w14:val="standardContextual"/>
              </w:rPr>
              <w:tab/>
            </w:r>
            <w:r w:rsidRPr="00914AE1">
              <w:rPr>
                <w:rStyle w:val="Hyperlink"/>
                <w:noProof/>
              </w:rPr>
              <w:t>Introduction</w:t>
            </w:r>
            <w:r>
              <w:rPr>
                <w:noProof/>
                <w:webHidden/>
              </w:rPr>
              <w:tab/>
            </w:r>
            <w:r>
              <w:rPr>
                <w:noProof/>
                <w:webHidden/>
              </w:rPr>
              <w:fldChar w:fldCharType="begin"/>
            </w:r>
            <w:r>
              <w:rPr>
                <w:noProof/>
                <w:webHidden/>
              </w:rPr>
              <w:instrText xml:space="preserve"> PAGEREF _Toc202544481 \h </w:instrText>
            </w:r>
            <w:r>
              <w:rPr>
                <w:noProof/>
                <w:webHidden/>
              </w:rPr>
            </w:r>
            <w:r>
              <w:rPr>
                <w:noProof/>
                <w:webHidden/>
              </w:rPr>
              <w:fldChar w:fldCharType="separate"/>
            </w:r>
            <w:r>
              <w:rPr>
                <w:noProof/>
                <w:webHidden/>
              </w:rPr>
              <w:t>6</w:t>
            </w:r>
            <w:r>
              <w:rPr>
                <w:noProof/>
                <w:webHidden/>
              </w:rPr>
              <w:fldChar w:fldCharType="end"/>
            </w:r>
          </w:hyperlink>
        </w:p>
        <w:p w14:paraId="12AE3B09" w14:textId="7132668C" w:rsidR="00D7296C" w:rsidRDefault="00D7296C">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02544482" w:history="1">
            <w:r w:rsidRPr="00914AE1">
              <w:rPr>
                <w:rStyle w:val="Hyperlink"/>
                <w:noProof/>
              </w:rPr>
              <w:t>2.</w:t>
            </w:r>
            <w:r>
              <w:rPr>
                <w:rFonts w:asciiTheme="minorHAnsi" w:eastAsiaTheme="minorEastAsia" w:hAnsiTheme="minorHAnsi" w:cstheme="minorBidi"/>
                <w:b w:val="0"/>
                <w:bCs w:val="0"/>
                <w:i w:val="0"/>
                <w:iCs w:val="0"/>
                <w:noProof/>
                <w:kern w:val="2"/>
                <w14:ligatures w14:val="standardContextual"/>
              </w:rPr>
              <w:tab/>
            </w:r>
            <w:r w:rsidRPr="00914AE1">
              <w:rPr>
                <w:rStyle w:val="Hyperlink"/>
                <w:noProof/>
              </w:rPr>
              <w:t>Research Aim and Objectives</w:t>
            </w:r>
            <w:r>
              <w:rPr>
                <w:noProof/>
                <w:webHidden/>
              </w:rPr>
              <w:tab/>
            </w:r>
            <w:r>
              <w:rPr>
                <w:noProof/>
                <w:webHidden/>
              </w:rPr>
              <w:fldChar w:fldCharType="begin"/>
            </w:r>
            <w:r>
              <w:rPr>
                <w:noProof/>
                <w:webHidden/>
              </w:rPr>
              <w:instrText xml:space="preserve"> PAGEREF _Toc202544482 \h </w:instrText>
            </w:r>
            <w:r>
              <w:rPr>
                <w:noProof/>
                <w:webHidden/>
              </w:rPr>
            </w:r>
            <w:r>
              <w:rPr>
                <w:noProof/>
                <w:webHidden/>
              </w:rPr>
              <w:fldChar w:fldCharType="separate"/>
            </w:r>
            <w:r>
              <w:rPr>
                <w:noProof/>
                <w:webHidden/>
              </w:rPr>
              <w:t>6</w:t>
            </w:r>
            <w:r>
              <w:rPr>
                <w:noProof/>
                <w:webHidden/>
              </w:rPr>
              <w:fldChar w:fldCharType="end"/>
            </w:r>
          </w:hyperlink>
        </w:p>
        <w:p w14:paraId="411B881C" w14:textId="31196187"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483" w:history="1">
            <w:r w:rsidRPr="00914AE1">
              <w:rPr>
                <w:rStyle w:val="Hyperlink"/>
                <w:noProof/>
              </w:rPr>
              <w:t>2.1 Research Aim</w:t>
            </w:r>
            <w:r>
              <w:rPr>
                <w:noProof/>
                <w:webHidden/>
              </w:rPr>
              <w:tab/>
            </w:r>
            <w:r>
              <w:rPr>
                <w:noProof/>
                <w:webHidden/>
              </w:rPr>
              <w:fldChar w:fldCharType="begin"/>
            </w:r>
            <w:r>
              <w:rPr>
                <w:noProof/>
                <w:webHidden/>
              </w:rPr>
              <w:instrText xml:space="preserve"> PAGEREF _Toc202544483 \h </w:instrText>
            </w:r>
            <w:r>
              <w:rPr>
                <w:noProof/>
                <w:webHidden/>
              </w:rPr>
            </w:r>
            <w:r>
              <w:rPr>
                <w:noProof/>
                <w:webHidden/>
              </w:rPr>
              <w:fldChar w:fldCharType="separate"/>
            </w:r>
            <w:r>
              <w:rPr>
                <w:noProof/>
                <w:webHidden/>
              </w:rPr>
              <w:t>6</w:t>
            </w:r>
            <w:r>
              <w:rPr>
                <w:noProof/>
                <w:webHidden/>
              </w:rPr>
              <w:fldChar w:fldCharType="end"/>
            </w:r>
          </w:hyperlink>
        </w:p>
        <w:p w14:paraId="58416AB8" w14:textId="08BAB102"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484" w:history="1">
            <w:r w:rsidRPr="00914AE1">
              <w:rPr>
                <w:rStyle w:val="Hyperlink"/>
                <w:noProof/>
              </w:rPr>
              <w:t>2.2 Research Objectives</w:t>
            </w:r>
            <w:r>
              <w:rPr>
                <w:noProof/>
                <w:webHidden/>
              </w:rPr>
              <w:tab/>
            </w:r>
            <w:r>
              <w:rPr>
                <w:noProof/>
                <w:webHidden/>
              </w:rPr>
              <w:fldChar w:fldCharType="begin"/>
            </w:r>
            <w:r>
              <w:rPr>
                <w:noProof/>
                <w:webHidden/>
              </w:rPr>
              <w:instrText xml:space="preserve"> PAGEREF _Toc202544484 \h </w:instrText>
            </w:r>
            <w:r>
              <w:rPr>
                <w:noProof/>
                <w:webHidden/>
              </w:rPr>
            </w:r>
            <w:r>
              <w:rPr>
                <w:noProof/>
                <w:webHidden/>
              </w:rPr>
              <w:fldChar w:fldCharType="separate"/>
            </w:r>
            <w:r>
              <w:rPr>
                <w:noProof/>
                <w:webHidden/>
              </w:rPr>
              <w:t>7</w:t>
            </w:r>
            <w:r>
              <w:rPr>
                <w:noProof/>
                <w:webHidden/>
              </w:rPr>
              <w:fldChar w:fldCharType="end"/>
            </w:r>
          </w:hyperlink>
        </w:p>
        <w:p w14:paraId="60A7F8CC" w14:textId="1C48E778"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485" w:history="1">
            <w:r w:rsidRPr="00914AE1">
              <w:rPr>
                <w:rStyle w:val="Hyperlink"/>
                <w:noProof/>
              </w:rPr>
              <w:t>2.3 Research Questions (RQs)</w:t>
            </w:r>
            <w:r>
              <w:rPr>
                <w:noProof/>
                <w:webHidden/>
              </w:rPr>
              <w:tab/>
            </w:r>
            <w:r>
              <w:rPr>
                <w:noProof/>
                <w:webHidden/>
              </w:rPr>
              <w:fldChar w:fldCharType="begin"/>
            </w:r>
            <w:r>
              <w:rPr>
                <w:noProof/>
                <w:webHidden/>
              </w:rPr>
              <w:instrText xml:space="preserve"> PAGEREF _Toc202544485 \h </w:instrText>
            </w:r>
            <w:r>
              <w:rPr>
                <w:noProof/>
                <w:webHidden/>
              </w:rPr>
            </w:r>
            <w:r>
              <w:rPr>
                <w:noProof/>
                <w:webHidden/>
              </w:rPr>
              <w:fldChar w:fldCharType="separate"/>
            </w:r>
            <w:r>
              <w:rPr>
                <w:noProof/>
                <w:webHidden/>
              </w:rPr>
              <w:t>7</w:t>
            </w:r>
            <w:r>
              <w:rPr>
                <w:noProof/>
                <w:webHidden/>
              </w:rPr>
              <w:fldChar w:fldCharType="end"/>
            </w:r>
          </w:hyperlink>
        </w:p>
        <w:p w14:paraId="27008FCA" w14:textId="65956396" w:rsidR="00D7296C" w:rsidRDefault="00D7296C">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02544486" w:history="1">
            <w:r w:rsidRPr="00914AE1">
              <w:rPr>
                <w:rStyle w:val="Hyperlink"/>
                <w:noProof/>
              </w:rPr>
              <w:t>3. Background and Context</w:t>
            </w:r>
            <w:r>
              <w:rPr>
                <w:noProof/>
                <w:webHidden/>
              </w:rPr>
              <w:tab/>
            </w:r>
            <w:r>
              <w:rPr>
                <w:noProof/>
                <w:webHidden/>
              </w:rPr>
              <w:fldChar w:fldCharType="begin"/>
            </w:r>
            <w:r>
              <w:rPr>
                <w:noProof/>
                <w:webHidden/>
              </w:rPr>
              <w:instrText xml:space="preserve"> PAGEREF _Toc202544486 \h </w:instrText>
            </w:r>
            <w:r>
              <w:rPr>
                <w:noProof/>
                <w:webHidden/>
              </w:rPr>
            </w:r>
            <w:r>
              <w:rPr>
                <w:noProof/>
                <w:webHidden/>
              </w:rPr>
              <w:fldChar w:fldCharType="separate"/>
            </w:r>
            <w:r>
              <w:rPr>
                <w:noProof/>
                <w:webHidden/>
              </w:rPr>
              <w:t>8</w:t>
            </w:r>
            <w:r>
              <w:rPr>
                <w:noProof/>
                <w:webHidden/>
              </w:rPr>
              <w:fldChar w:fldCharType="end"/>
            </w:r>
          </w:hyperlink>
        </w:p>
        <w:p w14:paraId="5B98FE84" w14:textId="21C56B27"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487" w:history="1">
            <w:r w:rsidRPr="00914AE1">
              <w:rPr>
                <w:rStyle w:val="Hyperlink"/>
                <w:noProof/>
              </w:rPr>
              <w:t>3.1 Industry Context and Rationale</w:t>
            </w:r>
            <w:r>
              <w:rPr>
                <w:noProof/>
                <w:webHidden/>
              </w:rPr>
              <w:tab/>
            </w:r>
            <w:r>
              <w:rPr>
                <w:noProof/>
                <w:webHidden/>
              </w:rPr>
              <w:fldChar w:fldCharType="begin"/>
            </w:r>
            <w:r>
              <w:rPr>
                <w:noProof/>
                <w:webHidden/>
              </w:rPr>
              <w:instrText xml:space="preserve"> PAGEREF _Toc202544487 \h </w:instrText>
            </w:r>
            <w:r>
              <w:rPr>
                <w:noProof/>
                <w:webHidden/>
              </w:rPr>
            </w:r>
            <w:r>
              <w:rPr>
                <w:noProof/>
                <w:webHidden/>
              </w:rPr>
              <w:fldChar w:fldCharType="separate"/>
            </w:r>
            <w:r>
              <w:rPr>
                <w:noProof/>
                <w:webHidden/>
              </w:rPr>
              <w:t>8</w:t>
            </w:r>
            <w:r>
              <w:rPr>
                <w:noProof/>
                <w:webHidden/>
              </w:rPr>
              <w:fldChar w:fldCharType="end"/>
            </w:r>
          </w:hyperlink>
        </w:p>
        <w:p w14:paraId="1768E865" w14:textId="4CE57232"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488" w:history="1">
            <w:r w:rsidRPr="00914AE1">
              <w:rPr>
                <w:rStyle w:val="Hyperlink"/>
                <w:noProof/>
              </w:rPr>
              <w:t>3.2 Company Profile: SSE PLC</w:t>
            </w:r>
            <w:r>
              <w:rPr>
                <w:noProof/>
                <w:webHidden/>
              </w:rPr>
              <w:tab/>
            </w:r>
            <w:r>
              <w:rPr>
                <w:noProof/>
                <w:webHidden/>
              </w:rPr>
              <w:fldChar w:fldCharType="begin"/>
            </w:r>
            <w:r>
              <w:rPr>
                <w:noProof/>
                <w:webHidden/>
              </w:rPr>
              <w:instrText xml:space="preserve"> PAGEREF _Toc202544488 \h </w:instrText>
            </w:r>
            <w:r>
              <w:rPr>
                <w:noProof/>
                <w:webHidden/>
              </w:rPr>
            </w:r>
            <w:r>
              <w:rPr>
                <w:noProof/>
                <w:webHidden/>
              </w:rPr>
              <w:fldChar w:fldCharType="separate"/>
            </w:r>
            <w:r>
              <w:rPr>
                <w:noProof/>
                <w:webHidden/>
              </w:rPr>
              <w:t>8</w:t>
            </w:r>
            <w:r>
              <w:rPr>
                <w:noProof/>
                <w:webHidden/>
              </w:rPr>
              <w:fldChar w:fldCharType="end"/>
            </w:r>
          </w:hyperlink>
        </w:p>
        <w:p w14:paraId="2EA82762" w14:textId="4B0DA3CF"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489" w:history="1">
            <w:r w:rsidRPr="00914AE1">
              <w:rPr>
                <w:rStyle w:val="Hyperlink"/>
                <w:noProof/>
              </w:rPr>
              <w:t>3.3 Contextual Relevance and Contributions</w:t>
            </w:r>
            <w:r>
              <w:rPr>
                <w:noProof/>
                <w:webHidden/>
              </w:rPr>
              <w:tab/>
            </w:r>
            <w:r>
              <w:rPr>
                <w:noProof/>
                <w:webHidden/>
              </w:rPr>
              <w:fldChar w:fldCharType="begin"/>
            </w:r>
            <w:r>
              <w:rPr>
                <w:noProof/>
                <w:webHidden/>
              </w:rPr>
              <w:instrText xml:space="preserve"> PAGEREF _Toc202544489 \h </w:instrText>
            </w:r>
            <w:r>
              <w:rPr>
                <w:noProof/>
                <w:webHidden/>
              </w:rPr>
            </w:r>
            <w:r>
              <w:rPr>
                <w:noProof/>
                <w:webHidden/>
              </w:rPr>
              <w:fldChar w:fldCharType="separate"/>
            </w:r>
            <w:r>
              <w:rPr>
                <w:noProof/>
                <w:webHidden/>
              </w:rPr>
              <w:t>9</w:t>
            </w:r>
            <w:r>
              <w:rPr>
                <w:noProof/>
                <w:webHidden/>
              </w:rPr>
              <w:fldChar w:fldCharType="end"/>
            </w:r>
          </w:hyperlink>
        </w:p>
        <w:p w14:paraId="03FBB964" w14:textId="1A2143ED" w:rsidR="00D7296C" w:rsidRDefault="00D7296C">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02544490" w:history="1">
            <w:r w:rsidRPr="00914AE1">
              <w:rPr>
                <w:rStyle w:val="Hyperlink"/>
                <w:noProof/>
              </w:rPr>
              <w:t>4. Literature Review: Predictive Analytics and Strategic Decision-Making</w:t>
            </w:r>
            <w:r>
              <w:rPr>
                <w:noProof/>
                <w:webHidden/>
              </w:rPr>
              <w:tab/>
            </w:r>
            <w:r>
              <w:rPr>
                <w:noProof/>
                <w:webHidden/>
              </w:rPr>
              <w:fldChar w:fldCharType="begin"/>
            </w:r>
            <w:r>
              <w:rPr>
                <w:noProof/>
                <w:webHidden/>
              </w:rPr>
              <w:instrText xml:space="preserve"> PAGEREF _Toc202544490 \h </w:instrText>
            </w:r>
            <w:r>
              <w:rPr>
                <w:noProof/>
                <w:webHidden/>
              </w:rPr>
            </w:r>
            <w:r>
              <w:rPr>
                <w:noProof/>
                <w:webHidden/>
              </w:rPr>
              <w:fldChar w:fldCharType="separate"/>
            </w:r>
            <w:r>
              <w:rPr>
                <w:noProof/>
                <w:webHidden/>
              </w:rPr>
              <w:t>9</w:t>
            </w:r>
            <w:r>
              <w:rPr>
                <w:noProof/>
                <w:webHidden/>
              </w:rPr>
              <w:fldChar w:fldCharType="end"/>
            </w:r>
          </w:hyperlink>
        </w:p>
        <w:p w14:paraId="6B03DC2F" w14:textId="36790BA4"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491" w:history="1">
            <w:r w:rsidRPr="00914AE1">
              <w:rPr>
                <w:rStyle w:val="Hyperlink"/>
                <w:noProof/>
              </w:rPr>
              <w:t>4.1 The Concept and Strategic Importance of Predictive Analytics</w:t>
            </w:r>
            <w:r>
              <w:rPr>
                <w:noProof/>
                <w:webHidden/>
              </w:rPr>
              <w:tab/>
            </w:r>
            <w:r>
              <w:rPr>
                <w:noProof/>
                <w:webHidden/>
              </w:rPr>
              <w:fldChar w:fldCharType="begin"/>
            </w:r>
            <w:r>
              <w:rPr>
                <w:noProof/>
                <w:webHidden/>
              </w:rPr>
              <w:instrText xml:space="preserve"> PAGEREF _Toc202544491 \h </w:instrText>
            </w:r>
            <w:r>
              <w:rPr>
                <w:noProof/>
                <w:webHidden/>
              </w:rPr>
            </w:r>
            <w:r>
              <w:rPr>
                <w:noProof/>
                <w:webHidden/>
              </w:rPr>
              <w:fldChar w:fldCharType="separate"/>
            </w:r>
            <w:r>
              <w:rPr>
                <w:noProof/>
                <w:webHidden/>
              </w:rPr>
              <w:t>10</w:t>
            </w:r>
            <w:r>
              <w:rPr>
                <w:noProof/>
                <w:webHidden/>
              </w:rPr>
              <w:fldChar w:fldCharType="end"/>
            </w:r>
          </w:hyperlink>
        </w:p>
        <w:p w14:paraId="0E22F362" w14:textId="5A7CB407"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492" w:history="1">
            <w:r w:rsidRPr="00914AE1">
              <w:rPr>
                <w:rStyle w:val="Hyperlink"/>
                <w:noProof/>
              </w:rPr>
              <w:t>4.2 Organisational Data Governance and Analytics Integration</w:t>
            </w:r>
            <w:r>
              <w:rPr>
                <w:noProof/>
                <w:webHidden/>
              </w:rPr>
              <w:tab/>
            </w:r>
            <w:r>
              <w:rPr>
                <w:noProof/>
                <w:webHidden/>
              </w:rPr>
              <w:fldChar w:fldCharType="begin"/>
            </w:r>
            <w:r>
              <w:rPr>
                <w:noProof/>
                <w:webHidden/>
              </w:rPr>
              <w:instrText xml:space="preserve"> PAGEREF _Toc202544492 \h </w:instrText>
            </w:r>
            <w:r>
              <w:rPr>
                <w:noProof/>
                <w:webHidden/>
              </w:rPr>
            </w:r>
            <w:r>
              <w:rPr>
                <w:noProof/>
                <w:webHidden/>
              </w:rPr>
              <w:fldChar w:fldCharType="separate"/>
            </w:r>
            <w:r>
              <w:rPr>
                <w:noProof/>
                <w:webHidden/>
              </w:rPr>
              <w:t>10</w:t>
            </w:r>
            <w:r>
              <w:rPr>
                <w:noProof/>
                <w:webHidden/>
              </w:rPr>
              <w:fldChar w:fldCharType="end"/>
            </w:r>
          </w:hyperlink>
        </w:p>
        <w:p w14:paraId="6DDFB743" w14:textId="6ADC8375" w:rsidR="00D7296C" w:rsidRDefault="00D7296C">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2544493" w:history="1">
            <w:r w:rsidRPr="00914AE1">
              <w:rPr>
                <w:rStyle w:val="Hyperlink"/>
                <w:noProof/>
              </w:rPr>
              <w:t>4.2.1 Definition and Evolution of Data Governance</w:t>
            </w:r>
            <w:r>
              <w:rPr>
                <w:noProof/>
                <w:webHidden/>
              </w:rPr>
              <w:tab/>
            </w:r>
            <w:r>
              <w:rPr>
                <w:noProof/>
                <w:webHidden/>
              </w:rPr>
              <w:fldChar w:fldCharType="begin"/>
            </w:r>
            <w:r>
              <w:rPr>
                <w:noProof/>
                <w:webHidden/>
              </w:rPr>
              <w:instrText xml:space="preserve"> PAGEREF _Toc202544493 \h </w:instrText>
            </w:r>
            <w:r>
              <w:rPr>
                <w:noProof/>
                <w:webHidden/>
              </w:rPr>
            </w:r>
            <w:r>
              <w:rPr>
                <w:noProof/>
                <w:webHidden/>
              </w:rPr>
              <w:fldChar w:fldCharType="separate"/>
            </w:r>
            <w:r>
              <w:rPr>
                <w:noProof/>
                <w:webHidden/>
              </w:rPr>
              <w:t>10</w:t>
            </w:r>
            <w:r>
              <w:rPr>
                <w:noProof/>
                <w:webHidden/>
              </w:rPr>
              <w:fldChar w:fldCharType="end"/>
            </w:r>
          </w:hyperlink>
        </w:p>
        <w:p w14:paraId="3A867C2D" w14:textId="6BC55178" w:rsidR="00D7296C" w:rsidRDefault="00D7296C">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2544494" w:history="1">
            <w:r w:rsidRPr="00914AE1">
              <w:rPr>
                <w:rStyle w:val="Hyperlink"/>
                <w:noProof/>
              </w:rPr>
              <w:t>4.2.2 Key Elements of Effective Data Governance for Predictive Analytics</w:t>
            </w:r>
            <w:r>
              <w:rPr>
                <w:noProof/>
                <w:webHidden/>
              </w:rPr>
              <w:tab/>
            </w:r>
            <w:r>
              <w:rPr>
                <w:noProof/>
                <w:webHidden/>
              </w:rPr>
              <w:fldChar w:fldCharType="begin"/>
            </w:r>
            <w:r>
              <w:rPr>
                <w:noProof/>
                <w:webHidden/>
              </w:rPr>
              <w:instrText xml:space="preserve"> PAGEREF _Toc202544494 \h </w:instrText>
            </w:r>
            <w:r>
              <w:rPr>
                <w:noProof/>
                <w:webHidden/>
              </w:rPr>
            </w:r>
            <w:r>
              <w:rPr>
                <w:noProof/>
                <w:webHidden/>
              </w:rPr>
              <w:fldChar w:fldCharType="separate"/>
            </w:r>
            <w:r>
              <w:rPr>
                <w:noProof/>
                <w:webHidden/>
              </w:rPr>
              <w:t>11</w:t>
            </w:r>
            <w:r>
              <w:rPr>
                <w:noProof/>
                <w:webHidden/>
              </w:rPr>
              <w:fldChar w:fldCharType="end"/>
            </w:r>
          </w:hyperlink>
        </w:p>
        <w:p w14:paraId="5456A755" w14:textId="43FE7E9B" w:rsidR="00D7296C" w:rsidRDefault="00D7296C">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2544495" w:history="1">
            <w:r w:rsidRPr="00914AE1">
              <w:rPr>
                <w:rStyle w:val="Hyperlink"/>
                <w:noProof/>
              </w:rPr>
              <w:t>4.2.3 Challenges of Embedding Data Governance for Analytics Integration</w:t>
            </w:r>
            <w:r>
              <w:rPr>
                <w:noProof/>
                <w:webHidden/>
              </w:rPr>
              <w:tab/>
            </w:r>
            <w:r>
              <w:rPr>
                <w:noProof/>
                <w:webHidden/>
              </w:rPr>
              <w:fldChar w:fldCharType="begin"/>
            </w:r>
            <w:r>
              <w:rPr>
                <w:noProof/>
                <w:webHidden/>
              </w:rPr>
              <w:instrText xml:space="preserve"> PAGEREF _Toc202544495 \h </w:instrText>
            </w:r>
            <w:r>
              <w:rPr>
                <w:noProof/>
                <w:webHidden/>
              </w:rPr>
            </w:r>
            <w:r>
              <w:rPr>
                <w:noProof/>
                <w:webHidden/>
              </w:rPr>
              <w:fldChar w:fldCharType="separate"/>
            </w:r>
            <w:r>
              <w:rPr>
                <w:noProof/>
                <w:webHidden/>
              </w:rPr>
              <w:t>11</w:t>
            </w:r>
            <w:r>
              <w:rPr>
                <w:noProof/>
                <w:webHidden/>
              </w:rPr>
              <w:fldChar w:fldCharType="end"/>
            </w:r>
          </w:hyperlink>
        </w:p>
        <w:p w14:paraId="1B5E51AE" w14:textId="1B2A87E6" w:rsidR="00D7296C" w:rsidRDefault="00D7296C">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2544496" w:history="1">
            <w:r w:rsidRPr="00914AE1">
              <w:rPr>
                <w:rStyle w:val="Hyperlink"/>
                <w:noProof/>
              </w:rPr>
              <w:t>4.2.4 Data Governance and Regulatory Compliance</w:t>
            </w:r>
            <w:r>
              <w:rPr>
                <w:noProof/>
                <w:webHidden/>
              </w:rPr>
              <w:tab/>
            </w:r>
            <w:r>
              <w:rPr>
                <w:noProof/>
                <w:webHidden/>
              </w:rPr>
              <w:fldChar w:fldCharType="begin"/>
            </w:r>
            <w:r>
              <w:rPr>
                <w:noProof/>
                <w:webHidden/>
              </w:rPr>
              <w:instrText xml:space="preserve"> PAGEREF _Toc202544496 \h </w:instrText>
            </w:r>
            <w:r>
              <w:rPr>
                <w:noProof/>
                <w:webHidden/>
              </w:rPr>
            </w:r>
            <w:r>
              <w:rPr>
                <w:noProof/>
                <w:webHidden/>
              </w:rPr>
              <w:fldChar w:fldCharType="separate"/>
            </w:r>
            <w:r>
              <w:rPr>
                <w:noProof/>
                <w:webHidden/>
              </w:rPr>
              <w:t>11</w:t>
            </w:r>
            <w:r>
              <w:rPr>
                <w:noProof/>
                <w:webHidden/>
              </w:rPr>
              <w:fldChar w:fldCharType="end"/>
            </w:r>
          </w:hyperlink>
        </w:p>
        <w:p w14:paraId="0C7045F9" w14:textId="72B513A1"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497" w:history="1">
            <w:r w:rsidRPr="00914AE1">
              <w:rPr>
                <w:rStyle w:val="Hyperlink"/>
                <w:noProof/>
              </w:rPr>
              <w:t>4.3 Frameworks for Analytics Integration and Maturity</w:t>
            </w:r>
            <w:r>
              <w:rPr>
                <w:noProof/>
                <w:webHidden/>
              </w:rPr>
              <w:tab/>
            </w:r>
            <w:r>
              <w:rPr>
                <w:noProof/>
                <w:webHidden/>
              </w:rPr>
              <w:fldChar w:fldCharType="begin"/>
            </w:r>
            <w:r>
              <w:rPr>
                <w:noProof/>
                <w:webHidden/>
              </w:rPr>
              <w:instrText xml:space="preserve"> PAGEREF _Toc202544497 \h </w:instrText>
            </w:r>
            <w:r>
              <w:rPr>
                <w:noProof/>
                <w:webHidden/>
              </w:rPr>
            </w:r>
            <w:r>
              <w:rPr>
                <w:noProof/>
                <w:webHidden/>
              </w:rPr>
              <w:fldChar w:fldCharType="separate"/>
            </w:r>
            <w:r>
              <w:rPr>
                <w:noProof/>
                <w:webHidden/>
              </w:rPr>
              <w:t>12</w:t>
            </w:r>
            <w:r>
              <w:rPr>
                <w:noProof/>
                <w:webHidden/>
              </w:rPr>
              <w:fldChar w:fldCharType="end"/>
            </w:r>
          </w:hyperlink>
        </w:p>
        <w:p w14:paraId="4A39190E" w14:textId="668E435C" w:rsidR="00D7296C" w:rsidRDefault="00D7296C">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2544498" w:history="1">
            <w:r w:rsidRPr="00914AE1">
              <w:rPr>
                <w:rStyle w:val="Hyperlink"/>
                <w:noProof/>
              </w:rPr>
              <w:t>4.3.1 DELTA Model</w:t>
            </w:r>
            <w:r>
              <w:rPr>
                <w:noProof/>
                <w:webHidden/>
              </w:rPr>
              <w:tab/>
            </w:r>
            <w:r>
              <w:rPr>
                <w:noProof/>
                <w:webHidden/>
              </w:rPr>
              <w:fldChar w:fldCharType="begin"/>
            </w:r>
            <w:r>
              <w:rPr>
                <w:noProof/>
                <w:webHidden/>
              </w:rPr>
              <w:instrText xml:space="preserve"> PAGEREF _Toc202544498 \h </w:instrText>
            </w:r>
            <w:r>
              <w:rPr>
                <w:noProof/>
                <w:webHidden/>
              </w:rPr>
            </w:r>
            <w:r>
              <w:rPr>
                <w:noProof/>
                <w:webHidden/>
              </w:rPr>
              <w:fldChar w:fldCharType="separate"/>
            </w:r>
            <w:r>
              <w:rPr>
                <w:noProof/>
                <w:webHidden/>
              </w:rPr>
              <w:t>12</w:t>
            </w:r>
            <w:r>
              <w:rPr>
                <w:noProof/>
                <w:webHidden/>
              </w:rPr>
              <w:fldChar w:fldCharType="end"/>
            </w:r>
          </w:hyperlink>
        </w:p>
        <w:p w14:paraId="0B82FF63" w14:textId="73E8B972" w:rsidR="00D7296C" w:rsidRDefault="00D7296C">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2544499" w:history="1">
            <w:r w:rsidRPr="00914AE1">
              <w:rPr>
                <w:rStyle w:val="Hyperlink"/>
                <w:noProof/>
              </w:rPr>
              <w:t>4.3.2 Data Management Capability Assessment Model (DCAM)</w:t>
            </w:r>
            <w:r>
              <w:rPr>
                <w:noProof/>
                <w:webHidden/>
              </w:rPr>
              <w:tab/>
            </w:r>
            <w:r>
              <w:rPr>
                <w:noProof/>
                <w:webHidden/>
              </w:rPr>
              <w:fldChar w:fldCharType="begin"/>
            </w:r>
            <w:r>
              <w:rPr>
                <w:noProof/>
                <w:webHidden/>
              </w:rPr>
              <w:instrText xml:space="preserve"> PAGEREF _Toc202544499 \h </w:instrText>
            </w:r>
            <w:r>
              <w:rPr>
                <w:noProof/>
                <w:webHidden/>
              </w:rPr>
            </w:r>
            <w:r>
              <w:rPr>
                <w:noProof/>
                <w:webHidden/>
              </w:rPr>
              <w:fldChar w:fldCharType="separate"/>
            </w:r>
            <w:r>
              <w:rPr>
                <w:noProof/>
                <w:webHidden/>
              </w:rPr>
              <w:t>13</w:t>
            </w:r>
            <w:r>
              <w:rPr>
                <w:noProof/>
                <w:webHidden/>
              </w:rPr>
              <w:fldChar w:fldCharType="end"/>
            </w:r>
          </w:hyperlink>
        </w:p>
        <w:p w14:paraId="3B8C2F83" w14:textId="44FA2718" w:rsidR="00D7296C" w:rsidRDefault="00D7296C">
          <w:pPr>
            <w:pStyle w:val="TOC3"/>
            <w:tabs>
              <w:tab w:val="left" w:pos="1200"/>
              <w:tab w:val="right" w:leader="dot" w:pos="9016"/>
            </w:tabs>
            <w:rPr>
              <w:rFonts w:asciiTheme="minorHAnsi" w:eastAsiaTheme="minorEastAsia" w:hAnsiTheme="minorHAnsi" w:cstheme="minorBidi"/>
              <w:noProof/>
              <w:kern w:val="2"/>
              <w:sz w:val="24"/>
              <w:szCs w:val="24"/>
              <w14:ligatures w14:val="standardContextual"/>
            </w:rPr>
          </w:pPr>
          <w:hyperlink w:anchor="_Toc202544500" w:history="1">
            <w:r w:rsidRPr="00914AE1">
              <w:rPr>
                <w:rStyle w:val="Hyperlink"/>
                <w:noProof/>
              </w:rPr>
              <w:t>4.3.3</w:t>
            </w:r>
            <w:r>
              <w:rPr>
                <w:rFonts w:asciiTheme="minorHAnsi" w:eastAsiaTheme="minorEastAsia" w:hAnsiTheme="minorHAnsi" w:cstheme="minorBidi"/>
                <w:noProof/>
                <w:kern w:val="2"/>
                <w:sz w:val="24"/>
                <w:szCs w:val="24"/>
                <w14:ligatures w14:val="standardContextual"/>
              </w:rPr>
              <w:tab/>
            </w:r>
            <w:r w:rsidRPr="00914AE1">
              <w:rPr>
                <w:rStyle w:val="Hyperlink"/>
                <w:noProof/>
              </w:rPr>
              <w:t>Other Relevant Frameworks and Debates</w:t>
            </w:r>
            <w:r>
              <w:rPr>
                <w:noProof/>
                <w:webHidden/>
              </w:rPr>
              <w:tab/>
            </w:r>
            <w:r>
              <w:rPr>
                <w:noProof/>
                <w:webHidden/>
              </w:rPr>
              <w:fldChar w:fldCharType="begin"/>
            </w:r>
            <w:r>
              <w:rPr>
                <w:noProof/>
                <w:webHidden/>
              </w:rPr>
              <w:instrText xml:space="preserve"> PAGEREF _Toc202544500 \h </w:instrText>
            </w:r>
            <w:r>
              <w:rPr>
                <w:noProof/>
                <w:webHidden/>
              </w:rPr>
            </w:r>
            <w:r>
              <w:rPr>
                <w:noProof/>
                <w:webHidden/>
              </w:rPr>
              <w:fldChar w:fldCharType="separate"/>
            </w:r>
            <w:r>
              <w:rPr>
                <w:noProof/>
                <w:webHidden/>
              </w:rPr>
              <w:t>13</w:t>
            </w:r>
            <w:r>
              <w:rPr>
                <w:noProof/>
                <w:webHidden/>
              </w:rPr>
              <w:fldChar w:fldCharType="end"/>
            </w:r>
          </w:hyperlink>
        </w:p>
        <w:p w14:paraId="0C07976C" w14:textId="51DF2140" w:rsidR="00D7296C" w:rsidRDefault="00D7296C">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2544501" w:history="1">
            <w:r w:rsidRPr="00914AE1">
              <w:rPr>
                <w:rStyle w:val="Hyperlink"/>
                <w:noProof/>
              </w:rPr>
              <w:t>4.3.4 Framework Limitations and Alternative Perspectives</w:t>
            </w:r>
            <w:r>
              <w:rPr>
                <w:noProof/>
                <w:webHidden/>
              </w:rPr>
              <w:tab/>
            </w:r>
            <w:r>
              <w:rPr>
                <w:noProof/>
                <w:webHidden/>
              </w:rPr>
              <w:fldChar w:fldCharType="begin"/>
            </w:r>
            <w:r>
              <w:rPr>
                <w:noProof/>
                <w:webHidden/>
              </w:rPr>
              <w:instrText xml:space="preserve"> PAGEREF _Toc202544501 \h </w:instrText>
            </w:r>
            <w:r>
              <w:rPr>
                <w:noProof/>
                <w:webHidden/>
              </w:rPr>
            </w:r>
            <w:r>
              <w:rPr>
                <w:noProof/>
                <w:webHidden/>
              </w:rPr>
              <w:fldChar w:fldCharType="separate"/>
            </w:r>
            <w:r>
              <w:rPr>
                <w:noProof/>
                <w:webHidden/>
              </w:rPr>
              <w:t>15</w:t>
            </w:r>
            <w:r>
              <w:rPr>
                <w:noProof/>
                <w:webHidden/>
              </w:rPr>
              <w:fldChar w:fldCharType="end"/>
            </w:r>
          </w:hyperlink>
        </w:p>
        <w:p w14:paraId="1A48D41E" w14:textId="68C4E2F3"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02" w:history="1">
            <w:r w:rsidRPr="00914AE1">
              <w:rPr>
                <w:rStyle w:val="Hyperlink"/>
                <w:noProof/>
              </w:rPr>
              <w:t>4.4 Conclusion of Literature Review</w:t>
            </w:r>
            <w:r>
              <w:rPr>
                <w:noProof/>
                <w:webHidden/>
              </w:rPr>
              <w:tab/>
            </w:r>
            <w:r>
              <w:rPr>
                <w:noProof/>
                <w:webHidden/>
              </w:rPr>
              <w:fldChar w:fldCharType="begin"/>
            </w:r>
            <w:r>
              <w:rPr>
                <w:noProof/>
                <w:webHidden/>
              </w:rPr>
              <w:instrText xml:space="preserve"> PAGEREF _Toc202544502 \h </w:instrText>
            </w:r>
            <w:r>
              <w:rPr>
                <w:noProof/>
                <w:webHidden/>
              </w:rPr>
            </w:r>
            <w:r>
              <w:rPr>
                <w:noProof/>
                <w:webHidden/>
              </w:rPr>
              <w:fldChar w:fldCharType="separate"/>
            </w:r>
            <w:r>
              <w:rPr>
                <w:noProof/>
                <w:webHidden/>
              </w:rPr>
              <w:t>15</w:t>
            </w:r>
            <w:r>
              <w:rPr>
                <w:noProof/>
                <w:webHidden/>
              </w:rPr>
              <w:fldChar w:fldCharType="end"/>
            </w:r>
          </w:hyperlink>
        </w:p>
        <w:p w14:paraId="76FE3A1E" w14:textId="09CE9BEF"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03" w:history="1">
            <w:r w:rsidRPr="00914AE1">
              <w:rPr>
                <w:rStyle w:val="Hyperlink"/>
                <w:noProof/>
              </w:rPr>
              <w:t>4.5 Conceptual Contribution</w:t>
            </w:r>
            <w:r>
              <w:rPr>
                <w:noProof/>
                <w:webHidden/>
              </w:rPr>
              <w:tab/>
            </w:r>
            <w:r>
              <w:rPr>
                <w:noProof/>
                <w:webHidden/>
              </w:rPr>
              <w:fldChar w:fldCharType="begin"/>
            </w:r>
            <w:r>
              <w:rPr>
                <w:noProof/>
                <w:webHidden/>
              </w:rPr>
              <w:instrText xml:space="preserve"> PAGEREF _Toc202544503 \h </w:instrText>
            </w:r>
            <w:r>
              <w:rPr>
                <w:noProof/>
                <w:webHidden/>
              </w:rPr>
            </w:r>
            <w:r>
              <w:rPr>
                <w:noProof/>
                <w:webHidden/>
              </w:rPr>
              <w:fldChar w:fldCharType="separate"/>
            </w:r>
            <w:r>
              <w:rPr>
                <w:noProof/>
                <w:webHidden/>
              </w:rPr>
              <w:t>19</w:t>
            </w:r>
            <w:r>
              <w:rPr>
                <w:noProof/>
                <w:webHidden/>
              </w:rPr>
              <w:fldChar w:fldCharType="end"/>
            </w:r>
          </w:hyperlink>
        </w:p>
        <w:p w14:paraId="12088C15" w14:textId="0F280BF6" w:rsidR="00D7296C" w:rsidRDefault="00D7296C">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2544504" w:history="1">
            <w:r w:rsidRPr="00914AE1">
              <w:rPr>
                <w:rStyle w:val="Hyperlink"/>
                <w:noProof/>
              </w:rPr>
              <w:t>4.5.1 Sample Predictive Analytics Use Cases at SSE PLC</w:t>
            </w:r>
            <w:r>
              <w:rPr>
                <w:noProof/>
                <w:webHidden/>
              </w:rPr>
              <w:tab/>
            </w:r>
            <w:r>
              <w:rPr>
                <w:noProof/>
                <w:webHidden/>
              </w:rPr>
              <w:fldChar w:fldCharType="begin"/>
            </w:r>
            <w:r>
              <w:rPr>
                <w:noProof/>
                <w:webHidden/>
              </w:rPr>
              <w:instrText xml:space="preserve"> PAGEREF _Toc202544504 \h </w:instrText>
            </w:r>
            <w:r>
              <w:rPr>
                <w:noProof/>
                <w:webHidden/>
              </w:rPr>
            </w:r>
            <w:r>
              <w:rPr>
                <w:noProof/>
                <w:webHidden/>
              </w:rPr>
              <w:fldChar w:fldCharType="separate"/>
            </w:r>
            <w:r>
              <w:rPr>
                <w:noProof/>
                <w:webHidden/>
              </w:rPr>
              <w:t>21</w:t>
            </w:r>
            <w:r>
              <w:rPr>
                <w:noProof/>
                <w:webHidden/>
              </w:rPr>
              <w:fldChar w:fldCharType="end"/>
            </w:r>
          </w:hyperlink>
        </w:p>
        <w:p w14:paraId="6CF2CCC8" w14:textId="0185F582" w:rsidR="00D7296C" w:rsidRDefault="00D7296C">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02544505" w:history="1">
            <w:r w:rsidRPr="00914AE1">
              <w:rPr>
                <w:rStyle w:val="Hyperlink"/>
                <w:noProof/>
              </w:rPr>
              <w:t>5.</w:t>
            </w:r>
            <w:r>
              <w:rPr>
                <w:rFonts w:asciiTheme="minorHAnsi" w:eastAsiaTheme="minorEastAsia" w:hAnsiTheme="minorHAnsi" w:cstheme="minorBidi"/>
                <w:b w:val="0"/>
                <w:bCs w:val="0"/>
                <w:i w:val="0"/>
                <w:iCs w:val="0"/>
                <w:noProof/>
                <w:kern w:val="2"/>
                <w14:ligatures w14:val="standardContextual"/>
              </w:rPr>
              <w:tab/>
            </w:r>
            <w:r w:rsidRPr="00914AE1">
              <w:rPr>
                <w:rStyle w:val="Hyperlink"/>
                <w:noProof/>
              </w:rPr>
              <w:t>Research Paradigm &amp; Methodology</w:t>
            </w:r>
            <w:r>
              <w:rPr>
                <w:noProof/>
                <w:webHidden/>
              </w:rPr>
              <w:tab/>
            </w:r>
            <w:r>
              <w:rPr>
                <w:noProof/>
                <w:webHidden/>
              </w:rPr>
              <w:fldChar w:fldCharType="begin"/>
            </w:r>
            <w:r>
              <w:rPr>
                <w:noProof/>
                <w:webHidden/>
              </w:rPr>
              <w:instrText xml:space="preserve"> PAGEREF _Toc202544505 \h </w:instrText>
            </w:r>
            <w:r>
              <w:rPr>
                <w:noProof/>
                <w:webHidden/>
              </w:rPr>
            </w:r>
            <w:r>
              <w:rPr>
                <w:noProof/>
                <w:webHidden/>
              </w:rPr>
              <w:fldChar w:fldCharType="separate"/>
            </w:r>
            <w:r>
              <w:rPr>
                <w:noProof/>
                <w:webHidden/>
              </w:rPr>
              <w:t>22</w:t>
            </w:r>
            <w:r>
              <w:rPr>
                <w:noProof/>
                <w:webHidden/>
              </w:rPr>
              <w:fldChar w:fldCharType="end"/>
            </w:r>
          </w:hyperlink>
        </w:p>
        <w:p w14:paraId="39A6F59D" w14:textId="211F4E08"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06" w:history="1">
            <w:r w:rsidRPr="00914AE1">
              <w:rPr>
                <w:rStyle w:val="Hyperlink"/>
                <w:noProof/>
              </w:rPr>
              <w:t>5.1 Research Philosophy</w:t>
            </w:r>
            <w:r>
              <w:rPr>
                <w:noProof/>
                <w:webHidden/>
              </w:rPr>
              <w:tab/>
            </w:r>
            <w:r>
              <w:rPr>
                <w:noProof/>
                <w:webHidden/>
              </w:rPr>
              <w:fldChar w:fldCharType="begin"/>
            </w:r>
            <w:r>
              <w:rPr>
                <w:noProof/>
                <w:webHidden/>
              </w:rPr>
              <w:instrText xml:space="preserve"> PAGEREF _Toc202544506 \h </w:instrText>
            </w:r>
            <w:r>
              <w:rPr>
                <w:noProof/>
                <w:webHidden/>
              </w:rPr>
            </w:r>
            <w:r>
              <w:rPr>
                <w:noProof/>
                <w:webHidden/>
              </w:rPr>
              <w:fldChar w:fldCharType="separate"/>
            </w:r>
            <w:r>
              <w:rPr>
                <w:noProof/>
                <w:webHidden/>
              </w:rPr>
              <w:t>22</w:t>
            </w:r>
            <w:r>
              <w:rPr>
                <w:noProof/>
                <w:webHidden/>
              </w:rPr>
              <w:fldChar w:fldCharType="end"/>
            </w:r>
          </w:hyperlink>
        </w:p>
        <w:p w14:paraId="55296386" w14:textId="4F46DF68"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07" w:history="1">
            <w:r w:rsidRPr="00914AE1">
              <w:rPr>
                <w:rStyle w:val="Hyperlink"/>
                <w:noProof/>
              </w:rPr>
              <w:t>5.2 Research Approach</w:t>
            </w:r>
            <w:r>
              <w:rPr>
                <w:noProof/>
                <w:webHidden/>
              </w:rPr>
              <w:tab/>
            </w:r>
            <w:r>
              <w:rPr>
                <w:noProof/>
                <w:webHidden/>
              </w:rPr>
              <w:fldChar w:fldCharType="begin"/>
            </w:r>
            <w:r>
              <w:rPr>
                <w:noProof/>
                <w:webHidden/>
              </w:rPr>
              <w:instrText xml:space="preserve"> PAGEREF _Toc202544507 \h </w:instrText>
            </w:r>
            <w:r>
              <w:rPr>
                <w:noProof/>
                <w:webHidden/>
              </w:rPr>
            </w:r>
            <w:r>
              <w:rPr>
                <w:noProof/>
                <w:webHidden/>
              </w:rPr>
              <w:fldChar w:fldCharType="separate"/>
            </w:r>
            <w:r>
              <w:rPr>
                <w:noProof/>
                <w:webHidden/>
              </w:rPr>
              <w:t>22</w:t>
            </w:r>
            <w:r>
              <w:rPr>
                <w:noProof/>
                <w:webHidden/>
              </w:rPr>
              <w:fldChar w:fldCharType="end"/>
            </w:r>
          </w:hyperlink>
        </w:p>
        <w:p w14:paraId="2FDBDD34" w14:textId="20BC3E1B"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08" w:history="1">
            <w:r w:rsidRPr="00914AE1">
              <w:rPr>
                <w:rStyle w:val="Hyperlink"/>
                <w:noProof/>
              </w:rPr>
              <w:t>5.3 Research Strategy</w:t>
            </w:r>
            <w:r>
              <w:rPr>
                <w:noProof/>
                <w:webHidden/>
              </w:rPr>
              <w:tab/>
            </w:r>
            <w:r>
              <w:rPr>
                <w:noProof/>
                <w:webHidden/>
              </w:rPr>
              <w:fldChar w:fldCharType="begin"/>
            </w:r>
            <w:r>
              <w:rPr>
                <w:noProof/>
                <w:webHidden/>
              </w:rPr>
              <w:instrText xml:space="preserve"> PAGEREF _Toc202544508 \h </w:instrText>
            </w:r>
            <w:r>
              <w:rPr>
                <w:noProof/>
                <w:webHidden/>
              </w:rPr>
            </w:r>
            <w:r>
              <w:rPr>
                <w:noProof/>
                <w:webHidden/>
              </w:rPr>
              <w:fldChar w:fldCharType="separate"/>
            </w:r>
            <w:r>
              <w:rPr>
                <w:noProof/>
                <w:webHidden/>
              </w:rPr>
              <w:t>23</w:t>
            </w:r>
            <w:r>
              <w:rPr>
                <w:noProof/>
                <w:webHidden/>
              </w:rPr>
              <w:fldChar w:fldCharType="end"/>
            </w:r>
          </w:hyperlink>
        </w:p>
        <w:p w14:paraId="20C1DF58" w14:textId="5F83ABE0"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09" w:history="1">
            <w:r w:rsidRPr="00914AE1">
              <w:rPr>
                <w:rStyle w:val="Hyperlink"/>
                <w:noProof/>
              </w:rPr>
              <w:t>5.4 Research Methods (Mixed-Methods)</w:t>
            </w:r>
            <w:r>
              <w:rPr>
                <w:noProof/>
                <w:webHidden/>
              </w:rPr>
              <w:tab/>
            </w:r>
            <w:r>
              <w:rPr>
                <w:noProof/>
                <w:webHidden/>
              </w:rPr>
              <w:fldChar w:fldCharType="begin"/>
            </w:r>
            <w:r>
              <w:rPr>
                <w:noProof/>
                <w:webHidden/>
              </w:rPr>
              <w:instrText xml:space="preserve"> PAGEREF _Toc202544509 \h </w:instrText>
            </w:r>
            <w:r>
              <w:rPr>
                <w:noProof/>
                <w:webHidden/>
              </w:rPr>
            </w:r>
            <w:r>
              <w:rPr>
                <w:noProof/>
                <w:webHidden/>
              </w:rPr>
              <w:fldChar w:fldCharType="separate"/>
            </w:r>
            <w:r>
              <w:rPr>
                <w:noProof/>
                <w:webHidden/>
              </w:rPr>
              <w:t>23</w:t>
            </w:r>
            <w:r>
              <w:rPr>
                <w:noProof/>
                <w:webHidden/>
              </w:rPr>
              <w:fldChar w:fldCharType="end"/>
            </w:r>
          </w:hyperlink>
        </w:p>
        <w:p w14:paraId="48A20970" w14:textId="295CDBAB"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10" w:history="1">
            <w:r w:rsidRPr="00914AE1">
              <w:rPr>
                <w:rStyle w:val="Hyperlink"/>
                <w:noProof/>
              </w:rPr>
              <w:t>5.5 Data Collection Methods</w:t>
            </w:r>
            <w:r>
              <w:rPr>
                <w:noProof/>
                <w:webHidden/>
              </w:rPr>
              <w:tab/>
            </w:r>
            <w:r>
              <w:rPr>
                <w:noProof/>
                <w:webHidden/>
              </w:rPr>
              <w:fldChar w:fldCharType="begin"/>
            </w:r>
            <w:r>
              <w:rPr>
                <w:noProof/>
                <w:webHidden/>
              </w:rPr>
              <w:instrText xml:space="preserve"> PAGEREF _Toc202544510 \h </w:instrText>
            </w:r>
            <w:r>
              <w:rPr>
                <w:noProof/>
                <w:webHidden/>
              </w:rPr>
            </w:r>
            <w:r>
              <w:rPr>
                <w:noProof/>
                <w:webHidden/>
              </w:rPr>
              <w:fldChar w:fldCharType="separate"/>
            </w:r>
            <w:r>
              <w:rPr>
                <w:noProof/>
                <w:webHidden/>
              </w:rPr>
              <w:t>24</w:t>
            </w:r>
            <w:r>
              <w:rPr>
                <w:noProof/>
                <w:webHidden/>
              </w:rPr>
              <w:fldChar w:fldCharType="end"/>
            </w:r>
          </w:hyperlink>
        </w:p>
        <w:p w14:paraId="0B50D8B2" w14:textId="19262926" w:rsidR="00D7296C" w:rsidRDefault="00D7296C">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2544511" w:history="1">
            <w:r w:rsidRPr="00914AE1">
              <w:rPr>
                <w:rStyle w:val="Hyperlink"/>
                <w:noProof/>
              </w:rPr>
              <w:t>5.5.1 Secondary Data Analysis Approach</w:t>
            </w:r>
            <w:r>
              <w:rPr>
                <w:noProof/>
                <w:webHidden/>
              </w:rPr>
              <w:tab/>
            </w:r>
            <w:r>
              <w:rPr>
                <w:noProof/>
                <w:webHidden/>
              </w:rPr>
              <w:fldChar w:fldCharType="begin"/>
            </w:r>
            <w:r>
              <w:rPr>
                <w:noProof/>
                <w:webHidden/>
              </w:rPr>
              <w:instrText xml:space="preserve"> PAGEREF _Toc202544511 \h </w:instrText>
            </w:r>
            <w:r>
              <w:rPr>
                <w:noProof/>
                <w:webHidden/>
              </w:rPr>
            </w:r>
            <w:r>
              <w:rPr>
                <w:noProof/>
                <w:webHidden/>
              </w:rPr>
              <w:fldChar w:fldCharType="separate"/>
            </w:r>
            <w:r>
              <w:rPr>
                <w:noProof/>
                <w:webHidden/>
              </w:rPr>
              <w:t>25</w:t>
            </w:r>
            <w:r>
              <w:rPr>
                <w:noProof/>
                <w:webHidden/>
              </w:rPr>
              <w:fldChar w:fldCharType="end"/>
            </w:r>
          </w:hyperlink>
        </w:p>
        <w:p w14:paraId="3795D152" w14:textId="2E27BC05"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12" w:history="1">
            <w:r w:rsidRPr="00914AE1">
              <w:rPr>
                <w:rStyle w:val="Hyperlink"/>
                <w:noProof/>
              </w:rPr>
              <w:t>5.6 Sampling Strategy</w:t>
            </w:r>
            <w:r>
              <w:rPr>
                <w:noProof/>
                <w:webHidden/>
              </w:rPr>
              <w:tab/>
            </w:r>
            <w:r>
              <w:rPr>
                <w:noProof/>
                <w:webHidden/>
              </w:rPr>
              <w:fldChar w:fldCharType="begin"/>
            </w:r>
            <w:r>
              <w:rPr>
                <w:noProof/>
                <w:webHidden/>
              </w:rPr>
              <w:instrText xml:space="preserve"> PAGEREF _Toc202544512 \h </w:instrText>
            </w:r>
            <w:r>
              <w:rPr>
                <w:noProof/>
                <w:webHidden/>
              </w:rPr>
            </w:r>
            <w:r>
              <w:rPr>
                <w:noProof/>
                <w:webHidden/>
              </w:rPr>
              <w:fldChar w:fldCharType="separate"/>
            </w:r>
            <w:r>
              <w:rPr>
                <w:noProof/>
                <w:webHidden/>
              </w:rPr>
              <w:t>26</w:t>
            </w:r>
            <w:r>
              <w:rPr>
                <w:noProof/>
                <w:webHidden/>
              </w:rPr>
              <w:fldChar w:fldCharType="end"/>
            </w:r>
          </w:hyperlink>
        </w:p>
        <w:p w14:paraId="098C1A86" w14:textId="47D451D8"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13" w:history="1">
            <w:r w:rsidRPr="00914AE1">
              <w:rPr>
                <w:rStyle w:val="Hyperlink"/>
                <w:noProof/>
              </w:rPr>
              <w:t>5.7 Data Analysis Methods</w:t>
            </w:r>
            <w:r>
              <w:rPr>
                <w:noProof/>
                <w:webHidden/>
              </w:rPr>
              <w:tab/>
            </w:r>
            <w:r>
              <w:rPr>
                <w:noProof/>
                <w:webHidden/>
              </w:rPr>
              <w:fldChar w:fldCharType="begin"/>
            </w:r>
            <w:r>
              <w:rPr>
                <w:noProof/>
                <w:webHidden/>
              </w:rPr>
              <w:instrText xml:space="preserve"> PAGEREF _Toc202544513 \h </w:instrText>
            </w:r>
            <w:r>
              <w:rPr>
                <w:noProof/>
                <w:webHidden/>
              </w:rPr>
            </w:r>
            <w:r>
              <w:rPr>
                <w:noProof/>
                <w:webHidden/>
              </w:rPr>
              <w:fldChar w:fldCharType="separate"/>
            </w:r>
            <w:r>
              <w:rPr>
                <w:noProof/>
                <w:webHidden/>
              </w:rPr>
              <w:t>26</w:t>
            </w:r>
            <w:r>
              <w:rPr>
                <w:noProof/>
                <w:webHidden/>
              </w:rPr>
              <w:fldChar w:fldCharType="end"/>
            </w:r>
          </w:hyperlink>
        </w:p>
        <w:p w14:paraId="5EE23116" w14:textId="4756425A"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14" w:history="1">
            <w:r w:rsidRPr="00914AE1">
              <w:rPr>
                <w:rStyle w:val="Hyperlink"/>
                <w:noProof/>
              </w:rPr>
              <w:t>5.8 Research Ethics</w:t>
            </w:r>
            <w:r>
              <w:rPr>
                <w:noProof/>
                <w:webHidden/>
              </w:rPr>
              <w:tab/>
            </w:r>
            <w:r>
              <w:rPr>
                <w:noProof/>
                <w:webHidden/>
              </w:rPr>
              <w:fldChar w:fldCharType="begin"/>
            </w:r>
            <w:r>
              <w:rPr>
                <w:noProof/>
                <w:webHidden/>
              </w:rPr>
              <w:instrText xml:space="preserve"> PAGEREF _Toc202544514 \h </w:instrText>
            </w:r>
            <w:r>
              <w:rPr>
                <w:noProof/>
                <w:webHidden/>
              </w:rPr>
            </w:r>
            <w:r>
              <w:rPr>
                <w:noProof/>
                <w:webHidden/>
              </w:rPr>
              <w:fldChar w:fldCharType="separate"/>
            </w:r>
            <w:r>
              <w:rPr>
                <w:noProof/>
                <w:webHidden/>
              </w:rPr>
              <w:t>28</w:t>
            </w:r>
            <w:r>
              <w:rPr>
                <w:noProof/>
                <w:webHidden/>
              </w:rPr>
              <w:fldChar w:fldCharType="end"/>
            </w:r>
          </w:hyperlink>
        </w:p>
        <w:p w14:paraId="268211DA" w14:textId="4B26F23C"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15" w:history="1">
            <w:r w:rsidRPr="00914AE1">
              <w:rPr>
                <w:rStyle w:val="Hyperlink"/>
                <w:noProof/>
              </w:rPr>
              <w:t>5.9 Limitations of the Research Design</w:t>
            </w:r>
            <w:r>
              <w:rPr>
                <w:noProof/>
                <w:webHidden/>
              </w:rPr>
              <w:tab/>
            </w:r>
            <w:r>
              <w:rPr>
                <w:noProof/>
                <w:webHidden/>
              </w:rPr>
              <w:fldChar w:fldCharType="begin"/>
            </w:r>
            <w:r>
              <w:rPr>
                <w:noProof/>
                <w:webHidden/>
              </w:rPr>
              <w:instrText xml:space="preserve"> PAGEREF _Toc202544515 \h </w:instrText>
            </w:r>
            <w:r>
              <w:rPr>
                <w:noProof/>
                <w:webHidden/>
              </w:rPr>
            </w:r>
            <w:r>
              <w:rPr>
                <w:noProof/>
                <w:webHidden/>
              </w:rPr>
              <w:fldChar w:fldCharType="separate"/>
            </w:r>
            <w:r>
              <w:rPr>
                <w:noProof/>
                <w:webHidden/>
              </w:rPr>
              <w:t>29</w:t>
            </w:r>
            <w:r>
              <w:rPr>
                <w:noProof/>
                <w:webHidden/>
              </w:rPr>
              <w:fldChar w:fldCharType="end"/>
            </w:r>
          </w:hyperlink>
        </w:p>
        <w:p w14:paraId="66F3B182" w14:textId="01EB887E" w:rsidR="00D7296C" w:rsidRDefault="00D7296C">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2544516" w:history="1">
            <w:r w:rsidRPr="00914AE1">
              <w:rPr>
                <w:rStyle w:val="Hyperlink"/>
                <w:noProof/>
              </w:rPr>
              <w:t>5.9.1 Potential Challenges and Limitations in Predictive Analytics Adoption</w:t>
            </w:r>
            <w:r>
              <w:rPr>
                <w:noProof/>
                <w:webHidden/>
              </w:rPr>
              <w:tab/>
            </w:r>
            <w:r>
              <w:rPr>
                <w:noProof/>
                <w:webHidden/>
              </w:rPr>
              <w:fldChar w:fldCharType="begin"/>
            </w:r>
            <w:r>
              <w:rPr>
                <w:noProof/>
                <w:webHidden/>
              </w:rPr>
              <w:instrText xml:space="preserve"> PAGEREF _Toc202544516 \h </w:instrText>
            </w:r>
            <w:r>
              <w:rPr>
                <w:noProof/>
                <w:webHidden/>
              </w:rPr>
            </w:r>
            <w:r>
              <w:rPr>
                <w:noProof/>
                <w:webHidden/>
              </w:rPr>
              <w:fldChar w:fldCharType="separate"/>
            </w:r>
            <w:r>
              <w:rPr>
                <w:noProof/>
                <w:webHidden/>
              </w:rPr>
              <w:t>29</w:t>
            </w:r>
            <w:r>
              <w:rPr>
                <w:noProof/>
                <w:webHidden/>
              </w:rPr>
              <w:fldChar w:fldCharType="end"/>
            </w:r>
          </w:hyperlink>
        </w:p>
        <w:p w14:paraId="2DEDB5D9" w14:textId="024B5A35"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17" w:history="1">
            <w:r w:rsidRPr="00914AE1">
              <w:rPr>
                <w:rStyle w:val="Hyperlink"/>
                <w:noProof/>
              </w:rPr>
              <w:t>5.10 Methodological Reflection and Resource Considerations</w:t>
            </w:r>
            <w:r>
              <w:rPr>
                <w:noProof/>
                <w:webHidden/>
              </w:rPr>
              <w:tab/>
            </w:r>
            <w:r>
              <w:rPr>
                <w:noProof/>
                <w:webHidden/>
              </w:rPr>
              <w:fldChar w:fldCharType="begin"/>
            </w:r>
            <w:r>
              <w:rPr>
                <w:noProof/>
                <w:webHidden/>
              </w:rPr>
              <w:instrText xml:space="preserve"> PAGEREF _Toc202544517 \h </w:instrText>
            </w:r>
            <w:r>
              <w:rPr>
                <w:noProof/>
                <w:webHidden/>
              </w:rPr>
            </w:r>
            <w:r>
              <w:rPr>
                <w:noProof/>
                <w:webHidden/>
              </w:rPr>
              <w:fldChar w:fldCharType="separate"/>
            </w:r>
            <w:r>
              <w:rPr>
                <w:noProof/>
                <w:webHidden/>
              </w:rPr>
              <w:t>30</w:t>
            </w:r>
            <w:r>
              <w:rPr>
                <w:noProof/>
                <w:webHidden/>
              </w:rPr>
              <w:fldChar w:fldCharType="end"/>
            </w:r>
          </w:hyperlink>
        </w:p>
        <w:p w14:paraId="136615B5" w14:textId="1385992D" w:rsidR="00D7296C" w:rsidRDefault="00D7296C">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2544518" w:history="1">
            <w:r w:rsidRPr="00914AE1">
              <w:rPr>
                <w:rStyle w:val="Hyperlink"/>
                <w:noProof/>
              </w:rPr>
              <w:t>5.10.1 Resource and Budget Considerations</w:t>
            </w:r>
            <w:r>
              <w:rPr>
                <w:noProof/>
                <w:webHidden/>
              </w:rPr>
              <w:tab/>
            </w:r>
            <w:r>
              <w:rPr>
                <w:noProof/>
                <w:webHidden/>
              </w:rPr>
              <w:fldChar w:fldCharType="begin"/>
            </w:r>
            <w:r>
              <w:rPr>
                <w:noProof/>
                <w:webHidden/>
              </w:rPr>
              <w:instrText xml:space="preserve"> PAGEREF _Toc202544518 \h </w:instrText>
            </w:r>
            <w:r>
              <w:rPr>
                <w:noProof/>
                <w:webHidden/>
              </w:rPr>
            </w:r>
            <w:r>
              <w:rPr>
                <w:noProof/>
                <w:webHidden/>
              </w:rPr>
              <w:fldChar w:fldCharType="separate"/>
            </w:r>
            <w:r>
              <w:rPr>
                <w:noProof/>
                <w:webHidden/>
              </w:rPr>
              <w:t>30</w:t>
            </w:r>
            <w:r>
              <w:rPr>
                <w:noProof/>
                <w:webHidden/>
              </w:rPr>
              <w:fldChar w:fldCharType="end"/>
            </w:r>
          </w:hyperlink>
        </w:p>
        <w:p w14:paraId="4E5B8C5B" w14:textId="719A55C9" w:rsidR="00D7296C" w:rsidRDefault="00D7296C">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02544519" w:history="1">
            <w:r w:rsidRPr="00914AE1">
              <w:rPr>
                <w:rStyle w:val="Hyperlink"/>
                <w:noProof/>
              </w:rPr>
              <w:t>6.</w:t>
            </w:r>
            <w:r>
              <w:rPr>
                <w:rFonts w:asciiTheme="minorHAnsi" w:eastAsiaTheme="minorEastAsia" w:hAnsiTheme="minorHAnsi" w:cstheme="minorBidi"/>
                <w:b w:val="0"/>
                <w:bCs w:val="0"/>
                <w:i w:val="0"/>
                <w:iCs w:val="0"/>
                <w:noProof/>
                <w:kern w:val="2"/>
                <w14:ligatures w14:val="standardContextual"/>
              </w:rPr>
              <w:tab/>
            </w:r>
            <w:r w:rsidRPr="00914AE1">
              <w:rPr>
                <w:rStyle w:val="Hyperlink"/>
                <w:noProof/>
              </w:rPr>
              <w:t>Proposed Approach for Data Analysis and Presentation</w:t>
            </w:r>
            <w:r>
              <w:rPr>
                <w:noProof/>
                <w:webHidden/>
              </w:rPr>
              <w:tab/>
            </w:r>
            <w:r>
              <w:rPr>
                <w:noProof/>
                <w:webHidden/>
              </w:rPr>
              <w:fldChar w:fldCharType="begin"/>
            </w:r>
            <w:r>
              <w:rPr>
                <w:noProof/>
                <w:webHidden/>
              </w:rPr>
              <w:instrText xml:space="preserve"> PAGEREF _Toc202544519 \h </w:instrText>
            </w:r>
            <w:r>
              <w:rPr>
                <w:noProof/>
                <w:webHidden/>
              </w:rPr>
            </w:r>
            <w:r>
              <w:rPr>
                <w:noProof/>
                <w:webHidden/>
              </w:rPr>
              <w:fldChar w:fldCharType="separate"/>
            </w:r>
            <w:r>
              <w:rPr>
                <w:noProof/>
                <w:webHidden/>
              </w:rPr>
              <w:t>31</w:t>
            </w:r>
            <w:r>
              <w:rPr>
                <w:noProof/>
                <w:webHidden/>
              </w:rPr>
              <w:fldChar w:fldCharType="end"/>
            </w:r>
          </w:hyperlink>
        </w:p>
        <w:p w14:paraId="29246377" w14:textId="6DB1E32D"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20" w:history="1">
            <w:r w:rsidRPr="00914AE1">
              <w:rPr>
                <w:rStyle w:val="Hyperlink"/>
                <w:noProof/>
              </w:rPr>
              <w:t>6.1 Overview of Data Collection</w:t>
            </w:r>
            <w:r>
              <w:rPr>
                <w:noProof/>
                <w:webHidden/>
              </w:rPr>
              <w:tab/>
            </w:r>
            <w:r>
              <w:rPr>
                <w:noProof/>
                <w:webHidden/>
              </w:rPr>
              <w:fldChar w:fldCharType="begin"/>
            </w:r>
            <w:r>
              <w:rPr>
                <w:noProof/>
                <w:webHidden/>
              </w:rPr>
              <w:instrText xml:space="preserve"> PAGEREF _Toc202544520 \h </w:instrText>
            </w:r>
            <w:r>
              <w:rPr>
                <w:noProof/>
                <w:webHidden/>
              </w:rPr>
            </w:r>
            <w:r>
              <w:rPr>
                <w:noProof/>
                <w:webHidden/>
              </w:rPr>
              <w:fldChar w:fldCharType="separate"/>
            </w:r>
            <w:r>
              <w:rPr>
                <w:noProof/>
                <w:webHidden/>
              </w:rPr>
              <w:t>31</w:t>
            </w:r>
            <w:r>
              <w:rPr>
                <w:noProof/>
                <w:webHidden/>
              </w:rPr>
              <w:fldChar w:fldCharType="end"/>
            </w:r>
          </w:hyperlink>
        </w:p>
        <w:p w14:paraId="74088EFD" w14:textId="305CE410"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21" w:history="1">
            <w:r w:rsidRPr="00914AE1">
              <w:rPr>
                <w:rStyle w:val="Hyperlink"/>
                <w:noProof/>
              </w:rPr>
              <w:t>6.2 Quantitative Data Analysis: Survey Results</w:t>
            </w:r>
            <w:r>
              <w:rPr>
                <w:noProof/>
                <w:webHidden/>
              </w:rPr>
              <w:tab/>
            </w:r>
            <w:r>
              <w:rPr>
                <w:noProof/>
                <w:webHidden/>
              </w:rPr>
              <w:fldChar w:fldCharType="begin"/>
            </w:r>
            <w:r>
              <w:rPr>
                <w:noProof/>
                <w:webHidden/>
              </w:rPr>
              <w:instrText xml:space="preserve"> PAGEREF _Toc202544521 \h </w:instrText>
            </w:r>
            <w:r>
              <w:rPr>
                <w:noProof/>
                <w:webHidden/>
              </w:rPr>
            </w:r>
            <w:r>
              <w:rPr>
                <w:noProof/>
                <w:webHidden/>
              </w:rPr>
              <w:fldChar w:fldCharType="separate"/>
            </w:r>
            <w:r>
              <w:rPr>
                <w:noProof/>
                <w:webHidden/>
              </w:rPr>
              <w:t>32</w:t>
            </w:r>
            <w:r>
              <w:rPr>
                <w:noProof/>
                <w:webHidden/>
              </w:rPr>
              <w:fldChar w:fldCharType="end"/>
            </w:r>
          </w:hyperlink>
        </w:p>
        <w:p w14:paraId="07627A0C" w14:textId="58F14602"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22" w:history="1">
            <w:r w:rsidRPr="00914AE1">
              <w:rPr>
                <w:rStyle w:val="Hyperlink"/>
                <w:noProof/>
              </w:rPr>
              <w:t>6.3 Qualitative Data Analysis: Interview Findings</w:t>
            </w:r>
            <w:r>
              <w:rPr>
                <w:noProof/>
                <w:webHidden/>
              </w:rPr>
              <w:tab/>
            </w:r>
            <w:r>
              <w:rPr>
                <w:noProof/>
                <w:webHidden/>
              </w:rPr>
              <w:fldChar w:fldCharType="begin"/>
            </w:r>
            <w:r>
              <w:rPr>
                <w:noProof/>
                <w:webHidden/>
              </w:rPr>
              <w:instrText xml:space="preserve"> PAGEREF _Toc202544522 \h </w:instrText>
            </w:r>
            <w:r>
              <w:rPr>
                <w:noProof/>
                <w:webHidden/>
              </w:rPr>
            </w:r>
            <w:r>
              <w:rPr>
                <w:noProof/>
                <w:webHidden/>
              </w:rPr>
              <w:fldChar w:fldCharType="separate"/>
            </w:r>
            <w:r>
              <w:rPr>
                <w:noProof/>
                <w:webHidden/>
              </w:rPr>
              <w:t>32</w:t>
            </w:r>
            <w:r>
              <w:rPr>
                <w:noProof/>
                <w:webHidden/>
              </w:rPr>
              <w:fldChar w:fldCharType="end"/>
            </w:r>
          </w:hyperlink>
        </w:p>
        <w:p w14:paraId="67F0D4AE" w14:textId="134C491C"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23" w:history="1">
            <w:r w:rsidRPr="00914AE1">
              <w:rPr>
                <w:rStyle w:val="Hyperlink"/>
                <w:noProof/>
              </w:rPr>
              <w:t>6.4 Triangulation Strategy</w:t>
            </w:r>
            <w:r>
              <w:rPr>
                <w:noProof/>
                <w:webHidden/>
              </w:rPr>
              <w:tab/>
            </w:r>
            <w:r>
              <w:rPr>
                <w:noProof/>
                <w:webHidden/>
              </w:rPr>
              <w:fldChar w:fldCharType="begin"/>
            </w:r>
            <w:r>
              <w:rPr>
                <w:noProof/>
                <w:webHidden/>
              </w:rPr>
              <w:instrText xml:space="preserve"> PAGEREF _Toc202544523 \h </w:instrText>
            </w:r>
            <w:r>
              <w:rPr>
                <w:noProof/>
                <w:webHidden/>
              </w:rPr>
            </w:r>
            <w:r>
              <w:rPr>
                <w:noProof/>
                <w:webHidden/>
              </w:rPr>
              <w:fldChar w:fldCharType="separate"/>
            </w:r>
            <w:r>
              <w:rPr>
                <w:noProof/>
                <w:webHidden/>
              </w:rPr>
              <w:t>33</w:t>
            </w:r>
            <w:r>
              <w:rPr>
                <w:noProof/>
                <w:webHidden/>
              </w:rPr>
              <w:fldChar w:fldCharType="end"/>
            </w:r>
          </w:hyperlink>
        </w:p>
        <w:p w14:paraId="1D1C0B81" w14:textId="61E8F5C9"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24" w:history="1">
            <w:r w:rsidRPr="00914AE1">
              <w:rPr>
                <w:rStyle w:val="Hyperlink"/>
                <w:noProof/>
              </w:rPr>
              <w:t>6.5 Summary of Planned Data Analysis</w:t>
            </w:r>
            <w:r>
              <w:rPr>
                <w:noProof/>
                <w:webHidden/>
              </w:rPr>
              <w:tab/>
            </w:r>
            <w:r>
              <w:rPr>
                <w:noProof/>
                <w:webHidden/>
              </w:rPr>
              <w:fldChar w:fldCharType="begin"/>
            </w:r>
            <w:r>
              <w:rPr>
                <w:noProof/>
                <w:webHidden/>
              </w:rPr>
              <w:instrText xml:space="preserve"> PAGEREF _Toc202544524 \h </w:instrText>
            </w:r>
            <w:r>
              <w:rPr>
                <w:noProof/>
                <w:webHidden/>
              </w:rPr>
            </w:r>
            <w:r>
              <w:rPr>
                <w:noProof/>
                <w:webHidden/>
              </w:rPr>
              <w:fldChar w:fldCharType="separate"/>
            </w:r>
            <w:r>
              <w:rPr>
                <w:noProof/>
                <w:webHidden/>
              </w:rPr>
              <w:t>33</w:t>
            </w:r>
            <w:r>
              <w:rPr>
                <w:noProof/>
                <w:webHidden/>
              </w:rPr>
              <w:fldChar w:fldCharType="end"/>
            </w:r>
          </w:hyperlink>
        </w:p>
        <w:p w14:paraId="57F203BE" w14:textId="05379E02" w:rsidR="00D7296C" w:rsidRDefault="00D7296C">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02544525" w:history="1">
            <w:r w:rsidRPr="00914AE1">
              <w:rPr>
                <w:rStyle w:val="Hyperlink"/>
                <w:noProof/>
              </w:rPr>
              <w:t>6.5.1 Integration Across Data Sources</w:t>
            </w:r>
            <w:r>
              <w:rPr>
                <w:noProof/>
                <w:webHidden/>
              </w:rPr>
              <w:tab/>
            </w:r>
            <w:r>
              <w:rPr>
                <w:noProof/>
                <w:webHidden/>
              </w:rPr>
              <w:fldChar w:fldCharType="begin"/>
            </w:r>
            <w:r>
              <w:rPr>
                <w:noProof/>
                <w:webHidden/>
              </w:rPr>
              <w:instrText xml:space="preserve"> PAGEREF _Toc202544525 \h </w:instrText>
            </w:r>
            <w:r>
              <w:rPr>
                <w:noProof/>
                <w:webHidden/>
              </w:rPr>
            </w:r>
            <w:r>
              <w:rPr>
                <w:noProof/>
                <w:webHidden/>
              </w:rPr>
              <w:fldChar w:fldCharType="separate"/>
            </w:r>
            <w:r>
              <w:rPr>
                <w:noProof/>
                <w:webHidden/>
              </w:rPr>
              <w:t>33</w:t>
            </w:r>
            <w:r>
              <w:rPr>
                <w:noProof/>
                <w:webHidden/>
              </w:rPr>
              <w:fldChar w:fldCharType="end"/>
            </w:r>
          </w:hyperlink>
        </w:p>
        <w:p w14:paraId="7A866C7B" w14:textId="66A5EFFE" w:rsidR="00D7296C" w:rsidRDefault="00D7296C">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02544526" w:history="1">
            <w:r w:rsidRPr="00914AE1">
              <w:rPr>
                <w:rStyle w:val="Hyperlink"/>
                <w:noProof/>
              </w:rPr>
              <w:t>7. Project Plan and Timeline</w:t>
            </w:r>
            <w:r>
              <w:rPr>
                <w:noProof/>
                <w:webHidden/>
              </w:rPr>
              <w:tab/>
            </w:r>
            <w:r>
              <w:rPr>
                <w:noProof/>
                <w:webHidden/>
              </w:rPr>
              <w:fldChar w:fldCharType="begin"/>
            </w:r>
            <w:r>
              <w:rPr>
                <w:noProof/>
                <w:webHidden/>
              </w:rPr>
              <w:instrText xml:space="preserve"> PAGEREF _Toc202544526 \h </w:instrText>
            </w:r>
            <w:r>
              <w:rPr>
                <w:noProof/>
                <w:webHidden/>
              </w:rPr>
            </w:r>
            <w:r>
              <w:rPr>
                <w:noProof/>
                <w:webHidden/>
              </w:rPr>
              <w:fldChar w:fldCharType="separate"/>
            </w:r>
            <w:r>
              <w:rPr>
                <w:noProof/>
                <w:webHidden/>
              </w:rPr>
              <w:t>34</w:t>
            </w:r>
            <w:r>
              <w:rPr>
                <w:noProof/>
                <w:webHidden/>
              </w:rPr>
              <w:fldChar w:fldCharType="end"/>
            </w:r>
          </w:hyperlink>
        </w:p>
        <w:p w14:paraId="11FCB06F" w14:textId="78E7B219"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27" w:history="1">
            <w:r w:rsidRPr="00914AE1">
              <w:rPr>
                <w:rStyle w:val="Hyperlink"/>
                <w:noProof/>
              </w:rPr>
              <w:t>7.1 Gantt Chart</w:t>
            </w:r>
            <w:r>
              <w:rPr>
                <w:noProof/>
                <w:webHidden/>
              </w:rPr>
              <w:tab/>
            </w:r>
            <w:r>
              <w:rPr>
                <w:noProof/>
                <w:webHidden/>
              </w:rPr>
              <w:fldChar w:fldCharType="begin"/>
            </w:r>
            <w:r>
              <w:rPr>
                <w:noProof/>
                <w:webHidden/>
              </w:rPr>
              <w:instrText xml:space="preserve"> PAGEREF _Toc202544527 \h </w:instrText>
            </w:r>
            <w:r>
              <w:rPr>
                <w:noProof/>
                <w:webHidden/>
              </w:rPr>
            </w:r>
            <w:r>
              <w:rPr>
                <w:noProof/>
                <w:webHidden/>
              </w:rPr>
              <w:fldChar w:fldCharType="separate"/>
            </w:r>
            <w:r>
              <w:rPr>
                <w:noProof/>
                <w:webHidden/>
              </w:rPr>
              <w:t>35</w:t>
            </w:r>
            <w:r>
              <w:rPr>
                <w:noProof/>
                <w:webHidden/>
              </w:rPr>
              <w:fldChar w:fldCharType="end"/>
            </w:r>
          </w:hyperlink>
        </w:p>
        <w:p w14:paraId="26094EA5" w14:textId="33EAC927" w:rsidR="00D7296C" w:rsidRDefault="00D7296C">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02544528" w:history="1">
            <w:r w:rsidRPr="00914AE1">
              <w:rPr>
                <w:rStyle w:val="Hyperlink"/>
                <w:noProof/>
              </w:rPr>
              <w:t>8. Conclusion and Next Steps</w:t>
            </w:r>
            <w:r>
              <w:rPr>
                <w:noProof/>
                <w:webHidden/>
              </w:rPr>
              <w:tab/>
            </w:r>
            <w:r>
              <w:rPr>
                <w:noProof/>
                <w:webHidden/>
              </w:rPr>
              <w:fldChar w:fldCharType="begin"/>
            </w:r>
            <w:r>
              <w:rPr>
                <w:noProof/>
                <w:webHidden/>
              </w:rPr>
              <w:instrText xml:space="preserve"> PAGEREF _Toc202544528 \h </w:instrText>
            </w:r>
            <w:r>
              <w:rPr>
                <w:noProof/>
                <w:webHidden/>
              </w:rPr>
            </w:r>
            <w:r>
              <w:rPr>
                <w:noProof/>
                <w:webHidden/>
              </w:rPr>
              <w:fldChar w:fldCharType="separate"/>
            </w:r>
            <w:r>
              <w:rPr>
                <w:noProof/>
                <w:webHidden/>
              </w:rPr>
              <w:t>36</w:t>
            </w:r>
            <w:r>
              <w:rPr>
                <w:noProof/>
                <w:webHidden/>
              </w:rPr>
              <w:fldChar w:fldCharType="end"/>
            </w:r>
          </w:hyperlink>
        </w:p>
        <w:p w14:paraId="4E1ACBE2" w14:textId="441286AA" w:rsidR="00D7296C" w:rsidRDefault="00D7296C">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02544529" w:history="1">
            <w:r w:rsidRPr="00914AE1">
              <w:rPr>
                <w:rStyle w:val="Hyperlink"/>
                <w:noProof/>
              </w:rPr>
              <w:t>References</w:t>
            </w:r>
            <w:r>
              <w:rPr>
                <w:noProof/>
                <w:webHidden/>
              </w:rPr>
              <w:tab/>
            </w:r>
            <w:r>
              <w:rPr>
                <w:noProof/>
                <w:webHidden/>
              </w:rPr>
              <w:fldChar w:fldCharType="begin"/>
            </w:r>
            <w:r>
              <w:rPr>
                <w:noProof/>
                <w:webHidden/>
              </w:rPr>
              <w:instrText xml:space="preserve"> PAGEREF _Toc202544529 \h </w:instrText>
            </w:r>
            <w:r>
              <w:rPr>
                <w:noProof/>
                <w:webHidden/>
              </w:rPr>
            </w:r>
            <w:r>
              <w:rPr>
                <w:noProof/>
                <w:webHidden/>
              </w:rPr>
              <w:fldChar w:fldCharType="separate"/>
            </w:r>
            <w:r>
              <w:rPr>
                <w:noProof/>
                <w:webHidden/>
              </w:rPr>
              <w:t>39</w:t>
            </w:r>
            <w:r>
              <w:rPr>
                <w:noProof/>
                <w:webHidden/>
              </w:rPr>
              <w:fldChar w:fldCharType="end"/>
            </w:r>
          </w:hyperlink>
        </w:p>
        <w:p w14:paraId="750C82ED" w14:textId="3F79B7AC" w:rsidR="00D7296C" w:rsidRDefault="00D7296C">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02544530" w:history="1">
            <w:r w:rsidRPr="00914AE1">
              <w:rPr>
                <w:rStyle w:val="Hyperlink"/>
                <w:noProof/>
              </w:rPr>
              <w:t>Appendices</w:t>
            </w:r>
            <w:r>
              <w:rPr>
                <w:noProof/>
                <w:webHidden/>
              </w:rPr>
              <w:tab/>
            </w:r>
            <w:r>
              <w:rPr>
                <w:noProof/>
                <w:webHidden/>
              </w:rPr>
              <w:fldChar w:fldCharType="begin"/>
            </w:r>
            <w:r>
              <w:rPr>
                <w:noProof/>
                <w:webHidden/>
              </w:rPr>
              <w:instrText xml:space="preserve"> PAGEREF _Toc202544530 \h </w:instrText>
            </w:r>
            <w:r>
              <w:rPr>
                <w:noProof/>
                <w:webHidden/>
              </w:rPr>
            </w:r>
            <w:r>
              <w:rPr>
                <w:noProof/>
                <w:webHidden/>
              </w:rPr>
              <w:fldChar w:fldCharType="separate"/>
            </w:r>
            <w:r>
              <w:rPr>
                <w:noProof/>
                <w:webHidden/>
              </w:rPr>
              <w:t>48</w:t>
            </w:r>
            <w:r>
              <w:rPr>
                <w:noProof/>
                <w:webHidden/>
              </w:rPr>
              <w:fldChar w:fldCharType="end"/>
            </w:r>
          </w:hyperlink>
        </w:p>
        <w:p w14:paraId="7C07B887" w14:textId="6E2E6099"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31" w:history="1">
            <w:r w:rsidRPr="00914AE1">
              <w:rPr>
                <w:rStyle w:val="Hyperlink"/>
                <w:noProof/>
              </w:rPr>
              <w:t>Appendix A: Survey Questionnaire</w:t>
            </w:r>
            <w:r>
              <w:rPr>
                <w:noProof/>
                <w:webHidden/>
              </w:rPr>
              <w:tab/>
            </w:r>
            <w:r>
              <w:rPr>
                <w:noProof/>
                <w:webHidden/>
              </w:rPr>
              <w:fldChar w:fldCharType="begin"/>
            </w:r>
            <w:r>
              <w:rPr>
                <w:noProof/>
                <w:webHidden/>
              </w:rPr>
              <w:instrText xml:space="preserve"> PAGEREF _Toc202544531 \h </w:instrText>
            </w:r>
            <w:r>
              <w:rPr>
                <w:noProof/>
                <w:webHidden/>
              </w:rPr>
            </w:r>
            <w:r>
              <w:rPr>
                <w:noProof/>
                <w:webHidden/>
              </w:rPr>
              <w:fldChar w:fldCharType="separate"/>
            </w:r>
            <w:r>
              <w:rPr>
                <w:noProof/>
                <w:webHidden/>
              </w:rPr>
              <w:t>48</w:t>
            </w:r>
            <w:r>
              <w:rPr>
                <w:noProof/>
                <w:webHidden/>
              </w:rPr>
              <w:fldChar w:fldCharType="end"/>
            </w:r>
          </w:hyperlink>
        </w:p>
        <w:p w14:paraId="4F3F0B9A" w14:textId="2C39638F"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32" w:history="1">
            <w:r w:rsidRPr="00914AE1">
              <w:rPr>
                <w:rStyle w:val="Hyperlink"/>
                <w:noProof/>
              </w:rPr>
              <w:t>Appendix B: Semi-Structured Interview Guide</w:t>
            </w:r>
            <w:r>
              <w:rPr>
                <w:noProof/>
                <w:webHidden/>
              </w:rPr>
              <w:tab/>
            </w:r>
            <w:r>
              <w:rPr>
                <w:noProof/>
                <w:webHidden/>
              </w:rPr>
              <w:fldChar w:fldCharType="begin"/>
            </w:r>
            <w:r>
              <w:rPr>
                <w:noProof/>
                <w:webHidden/>
              </w:rPr>
              <w:instrText xml:space="preserve"> PAGEREF _Toc202544532 \h </w:instrText>
            </w:r>
            <w:r>
              <w:rPr>
                <w:noProof/>
                <w:webHidden/>
              </w:rPr>
            </w:r>
            <w:r>
              <w:rPr>
                <w:noProof/>
                <w:webHidden/>
              </w:rPr>
              <w:fldChar w:fldCharType="separate"/>
            </w:r>
            <w:r>
              <w:rPr>
                <w:noProof/>
                <w:webHidden/>
              </w:rPr>
              <w:t>50</w:t>
            </w:r>
            <w:r>
              <w:rPr>
                <w:noProof/>
                <w:webHidden/>
              </w:rPr>
              <w:fldChar w:fldCharType="end"/>
            </w:r>
          </w:hyperlink>
        </w:p>
        <w:p w14:paraId="40ACF6D3" w14:textId="0162BC27"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33" w:history="1">
            <w:r w:rsidRPr="00914AE1">
              <w:rPr>
                <w:rStyle w:val="Hyperlink"/>
                <w:noProof/>
              </w:rPr>
              <w:t>Appendix C: One-Year Research Timeline</w:t>
            </w:r>
            <w:r>
              <w:rPr>
                <w:noProof/>
                <w:webHidden/>
              </w:rPr>
              <w:tab/>
            </w:r>
            <w:r>
              <w:rPr>
                <w:noProof/>
                <w:webHidden/>
              </w:rPr>
              <w:fldChar w:fldCharType="begin"/>
            </w:r>
            <w:r>
              <w:rPr>
                <w:noProof/>
                <w:webHidden/>
              </w:rPr>
              <w:instrText xml:space="preserve"> PAGEREF _Toc202544533 \h </w:instrText>
            </w:r>
            <w:r>
              <w:rPr>
                <w:noProof/>
                <w:webHidden/>
              </w:rPr>
            </w:r>
            <w:r>
              <w:rPr>
                <w:noProof/>
                <w:webHidden/>
              </w:rPr>
              <w:fldChar w:fldCharType="separate"/>
            </w:r>
            <w:r>
              <w:rPr>
                <w:noProof/>
                <w:webHidden/>
              </w:rPr>
              <w:t>54</w:t>
            </w:r>
            <w:r>
              <w:rPr>
                <w:noProof/>
                <w:webHidden/>
              </w:rPr>
              <w:fldChar w:fldCharType="end"/>
            </w:r>
          </w:hyperlink>
        </w:p>
        <w:p w14:paraId="4685DB5D" w14:textId="723176F7"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34" w:history="1">
            <w:r w:rsidRPr="00914AE1">
              <w:rPr>
                <w:rStyle w:val="Hyperlink"/>
                <w:noProof/>
              </w:rPr>
              <w:t>Appendix D: Ethics and Consent Form (Template)</w:t>
            </w:r>
            <w:r>
              <w:rPr>
                <w:noProof/>
                <w:webHidden/>
              </w:rPr>
              <w:tab/>
            </w:r>
            <w:r>
              <w:rPr>
                <w:noProof/>
                <w:webHidden/>
              </w:rPr>
              <w:fldChar w:fldCharType="begin"/>
            </w:r>
            <w:r>
              <w:rPr>
                <w:noProof/>
                <w:webHidden/>
              </w:rPr>
              <w:instrText xml:space="preserve"> PAGEREF _Toc202544534 \h </w:instrText>
            </w:r>
            <w:r>
              <w:rPr>
                <w:noProof/>
                <w:webHidden/>
              </w:rPr>
            </w:r>
            <w:r>
              <w:rPr>
                <w:noProof/>
                <w:webHidden/>
              </w:rPr>
              <w:fldChar w:fldCharType="separate"/>
            </w:r>
            <w:r>
              <w:rPr>
                <w:noProof/>
                <w:webHidden/>
              </w:rPr>
              <w:t>56</w:t>
            </w:r>
            <w:r>
              <w:rPr>
                <w:noProof/>
                <w:webHidden/>
              </w:rPr>
              <w:fldChar w:fldCharType="end"/>
            </w:r>
          </w:hyperlink>
        </w:p>
        <w:p w14:paraId="183D490B" w14:textId="1BAB0EA6"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35" w:history="1">
            <w:r w:rsidRPr="00914AE1">
              <w:rPr>
                <w:rStyle w:val="Hyperlink"/>
                <w:noProof/>
              </w:rPr>
              <w:t>Appendix E: Analytical Frameworks – SWOT, PESTEL, and SOAR Analyses</w:t>
            </w:r>
            <w:r>
              <w:rPr>
                <w:noProof/>
                <w:webHidden/>
              </w:rPr>
              <w:tab/>
            </w:r>
            <w:r>
              <w:rPr>
                <w:noProof/>
                <w:webHidden/>
              </w:rPr>
              <w:fldChar w:fldCharType="begin"/>
            </w:r>
            <w:r>
              <w:rPr>
                <w:noProof/>
                <w:webHidden/>
              </w:rPr>
              <w:instrText xml:space="preserve"> PAGEREF _Toc202544535 \h </w:instrText>
            </w:r>
            <w:r>
              <w:rPr>
                <w:noProof/>
                <w:webHidden/>
              </w:rPr>
            </w:r>
            <w:r>
              <w:rPr>
                <w:noProof/>
                <w:webHidden/>
              </w:rPr>
              <w:fldChar w:fldCharType="separate"/>
            </w:r>
            <w:r>
              <w:rPr>
                <w:noProof/>
                <w:webHidden/>
              </w:rPr>
              <w:t>60</w:t>
            </w:r>
            <w:r>
              <w:rPr>
                <w:noProof/>
                <w:webHidden/>
              </w:rPr>
              <w:fldChar w:fldCharType="end"/>
            </w:r>
          </w:hyperlink>
        </w:p>
        <w:p w14:paraId="0227DEB3" w14:textId="01D99D3A"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36" w:history="1">
            <w:r w:rsidRPr="00914AE1">
              <w:rPr>
                <w:rStyle w:val="Hyperlink"/>
                <w:noProof/>
              </w:rPr>
              <w:t>Appendix F: Data Collection &amp; Analysis Plan</w:t>
            </w:r>
            <w:r>
              <w:rPr>
                <w:noProof/>
                <w:webHidden/>
              </w:rPr>
              <w:tab/>
            </w:r>
            <w:r>
              <w:rPr>
                <w:noProof/>
                <w:webHidden/>
              </w:rPr>
              <w:fldChar w:fldCharType="begin"/>
            </w:r>
            <w:r>
              <w:rPr>
                <w:noProof/>
                <w:webHidden/>
              </w:rPr>
              <w:instrText xml:space="preserve"> PAGEREF _Toc202544536 \h </w:instrText>
            </w:r>
            <w:r>
              <w:rPr>
                <w:noProof/>
                <w:webHidden/>
              </w:rPr>
            </w:r>
            <w:r>
              <w:rPr>
                <w:noProof/>
                <w:webHidden/>
              </w:rPr>
              <w:fldChar w:fldCharType="separate"/>
            </w:r>
            <w:r>
              <w:rPr>
                <w:noProof/>
                <w:webHidden/>
              </w:rPr>
              <w:t>64</w:t>
            </w:r>
            <w:r>
              <w:rPr>
                <w:noProof/>
                <w:webHidden/>
              </w:rPr>
              <w:fldChar w:fldCharType="end"/>
            </w:r>
          </w:hyperlink>
        </w:p>
        <w:p w14:paraId="4E97393E" w14:textId="5E39A8E5" w:rsidR="00D7296C" w:rsidRDefault="00D7296C">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02544537" w:history="1">
            <w:r w:rsidRPr="00914AE1">
              <w:rPr>
                <w:rStyle w:val="Hyperlink"/>
                <w:noProof/>
              </w:rPr>
              <w:t>Appendix G: Glossary of Key Terms</w:t>
            </w:r>
            <w:r>
              <w:rPr>
                <w:noProof/>
                <w:webHidden/>
              </w:rPr>
              <w:tab/>
            </w:r>
            <w:r>
              <w:rPr>
                <w:noProof/>
                <w:webHidden/>
              </w:rPr>
              <w:fldChar w:fldCharType="begin"/>
            </w:r>
            <w:r>
              <w:rPr>
                <w:noProof/>
                <w:webHidden/>
              </w:rPr>
              <w:instrText xml:space="preserve"> PAGEREF _Toc202544537 \h </w:instrText>
            </w:r>
            <w:r>
              <w:rPr>
                <w:noProof/>
                <w:webHidden/>
              </w:rPr>
            </w:r>
            <w:r>
              <w:rPr>
                <w:noProof/>
                <w:webHidden/>
              </w:rPr>
              <w:fldChar w:fldCharType="separate"/>
            </w:r>
            <w:r>
              <w:rPr>
                <w:noProof/>
                <w:webHidden/>
              </w:rPr>
              <w:t>72</w:t>
            </w:r>
            <w:r>
              <w:rPr>
                <w:noProof/>
                <w:webHidden/>
              </w:rPr>
              <w:fldChar w:fldCharType="end"/>
            </w:r>
          </w:hyperlink>
        </w:p>
        <w:p w14:paraId="560A08CE" w14:textId="1A7BCC8E" w:rsidR="000928A0" w:rsidRPr="005A3967" w:rsidRDefault="000F4248" w:rsidP="00462E03">
          <w:pPr>
            <w:spacing w:line="360" w:lineRule="auto"/>
          </w:pPr>
          <w:r w:rsidRPr="005A3967">
            <w:rPr>
              <w:b/>
              <w:bCs/>
              <w:noProof/>
            </w:rPr>
            <w:fldChar w:fldCharType="end"/>
          </w:r>
        </w:p>
      </w:sdtContent>
    </w:sdt>
    <w:p w14:paraId="0775AE59" w14:textId="2937585A" w:rsidR="000928A0" w:rsidRPr="005A3967" w:rsidRDefault="000928A0" w:rsidP="00840B28">
      <w:pPr>
        <w:pStyle w:val="Heading1"/>
        <w:spacing w:line="360" w:lineRule="auto"/>
        <w:rPr>
          <w:rFonts w:ascii="Times New Roman" w:eastAsia="Times New Roman" w:hAnsi="Times New Roman" w:cs="Times New Roman"/>
          <w:b/>
          <w:bCs/>
          <w:color w:val="000000" w:themeColor="text1"/>
          <w:kern w:val="36"/>
          <w:sz w:val="28"/>
          <w:szCs w:val="28"/>
        </w:rPr>
      </w:pPr>
      <w:bookmarkStart w:id="0" w:name="_Toc202544478"/>
      <w:r w:rsidRPr="005A3967">
        <w:rPr>
          <w:rFonts w:ascii="Times New Roman" w:hAnsi="Times New Roman" w:cs="Times New Roman"/>
          <w:b/>
          <w:bCs/>
          <w:color w:val="000000" w:themeColor="text1"/>
          <w:sz w:val="28"/>
          <w:szCs w:val="28"/>
        </w:rPr>
        <w:t>List of Tables</w:t>
      </w:r>
      <w:bookmarkEnd w:id="0"/>
    </w:p>
    <w:p w14:paraId="22DACCAE" w14:textId="3AE1AAF2"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r>
        <w:fldChar w:fldCharType="begin"/>
      </w:r>
      <w:r>
        <w:instrText xml:space="preserve"> TOC \h \z \c "Table" </w:instrText>
      </w:r>
      <w:r>
        <w:fldChar w:fldCharType="separate"/>
      </w:r>
      <w:hyperlink w:anchor="_Toc201942891" w:history="1">
        <w:r w:rsidRPr="00F74594">
          <w:rPr>
            <w:rStyle w:val="Hyperlink"/>
            <w:rFonts w:eastAsiaTheme="majorEastAsia"/>
            <w:noProof/>
          </w:rPr>
          <w:t>Table 1: Alignment of Research Objectives and Research Questions (Author’s conceptualisation)</w:t>
        </w:r>
        <w:r w:rsidRPr="00F74594">
          <w:rPr>
            <w:noProof/>
            <w:webHidden/>
          </w:rPr>
          <w:tab/>
        </w:r>
        <w:r w:rsidRPr="00F74594">
          <w:rPr>
            <w:noProof/>
            <w:webHidden/>
          </w:rPr>
          <w:fldChar w:fldCharType="begin"/>
        </w:r>
        <w:r w:rsidRPr="00F74594">
          <w:rPr>
            <w:noProof/>
            <w:webHidden/>
          </w:rPr>
          <w:instrText xml:space="preserve"> PAGEREF _Toc201942891 \h </w:instrText>
        </w:r>
        <w:r w:rsidRPr="00F74594">
          <w:rPr>
            <w:noProof/>
            <w:webHidden/>
          </w:rPr>
        </w:r>
        <w:r w:rsidRPr="00F74594">
          <w:rPr>
            <w:noProof/>
            <w:webHidden/>
          </w:rPr>
          <w:fldChar w:fldCharType="separate"/>
        </w:r>
        <w:r w:rsidRPr="00F74594">
          <w:rPr>
            <w:noProof/>
            <w:webHidden/>
          </w:rPr>
          <w:t>7</w:t>
        </w:r>
        <w:r w:rsidRPr="00F74594">
          <w:rPr>
            <w:noProof/>
            <w:webHidden/>
          </w:rPr>
          <w:fldChar w:fldCharType="end"/>
        </w:r>
      </w:hyperlink>
    </w:p>
    <w:p w14:paraId="3EEAE589" w14:textId="72B1F8C4"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892" w:history="1">
        <w:r w:rsidRPr="00F74594">
          <w:rPr>
            <w:rStyle w:val="Hyperlink"/>
            <w:rFonts w:eastAsiaTheme="majorEastAsia"/>
            <w:noProof/>
          </w:rPr>
          <w:t>Table 2: Core Pillars of Effective Data Governance (Adapted from EDM Council (2020))</w:t>
        </w:r>
        <w:r w:rsidRPr="00F74594">
          <w:rPr>
            <w:noProof/>
            <w:webHidden/>
          </w:rPr>
          <w:tab/>
        </w:r>
        <w:r w:rsidRPr="00F74594">
          <w:rPr>
            <w:noProof/>
            <w:webHidden/>
          </w:rPr>
          <w:fldChar w:fldCharType="begin"/>
        </w:r>
        <w:r w:rsidRPr="00F74594">
          <w:rPr>
            <w:noProof/>
            <w:webHidden/>
          </w:rPr>
          <w:instrText xml:space="preserve"> PAGEREF _Toc201942892 \h </w:instrText>
        </w:r>
        <w:r w:rsidRPr="00F74594">
          <w:rPr>
            <w:noProof/>
            <w:webHidden/>
          </w:rPr>
        </w:r>
        <w:r w:rsidRPr="00F74594">
          <w:rPr>
            <w:noProof/>
            <w:webHidden/>
          </w:rPr>
          <w:fldChar w:fldCharType="separate"/>
        </w:r>
        <w:r w:rsidRPr="00F74594">
          <w:rPr>
            <w:noProof/>
            <w:webHidden/>
          </w:rPr>
          <w:t>11</w:t>
        </w:r>
        <w:r w:rsidRPr="00F74594">
          <w:rPr>
            <w:noProof/>
            <w:webHidden/>
          </w:rPr>
          <w:fldChar w:fldCharType="end"/>
        </w:r>
      </w:hyperlink>
    </w:p>
    <w:p w14:paraId="547486B2" w14:textId="3991CF04"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893" w:history="1">
        <w:r w:rsidRPr="00F74594">
          <w:rPr>
            <w:rStyle w:val="Hyperlink"/>
            <w:rFonts w:eastAsiaTheme="majorEastAsia"/>
            <w:noProof/>
          </w:rPr>
          <w:t>Table 3: Comparison of Centralised, Federated, and Hybrid Analytics Structures (Adapted from Davenport (2018) and author’s elaboration)</w:t>
        </w:r>
        <w:r w:rsidRPr="00F74594">
          <w:rPr>
            <w:noProof/>
            <w:webHidden/>
          </w:rPr>
          <w:tab/>
        </w:r>
        <w:r w:rsidRPr="00F74594">
          <w:rPr>
            <w:noProof/>
            <w:webHidden/>
          </w:rPr>
          <w:fldChar w:fldCharType="begin"/>
        </w:r>
        <w:r w:rsidRPr="00F74594">
          <w:rPr>
            <w:noProof/>
            <w:webHidden/>
          </w:rPr>
          <w:instrText xml:space="preserve"> PAGEREF _Toc201942893 \h </w:instrText>
        </w:r>
        <w:r w:rsidRPr="00F74594">
          <w:rPr>
            <w:noProof/>
            <w:webHidden/>
          </w:rPr>
        </w:r>
        <w:r w:rsidRPr="00F74594">
          <w:rPr>
            <w:noProof/>
            <w:webHidden/>
          </w:rPr>
          <w:fldChar w:fldCharType="separate"/>
        </w:r>
        <w:r w:rsidRPr="00F74594">
          <w:rPr>
            <w:noProof/>
            <w:webHidden/>
          </w:rPr>
          <w:t>14</w:t>
        </w:r>
        <w:r w:rsidRPr="00F74594">
          <w:rPr>
            <w:noProof/>
            <w:webHidden/>
          </w:rPr>
          <w:fldChar w:fldCharType="end"/>
        </w:r>
      </w:hyperlink>
    </w:p>
    <w:p w14:paraId="156030E9" w14:textId="391074C5"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894" w:history="1">
        <w:r w:rsidRPr="00F74594">
          <w:rPr>
            <w:rStyle w:val="Hyperlink"/>
            <w:rFonts w:eastAsiaTheme="majorEastAsia"/>
            <w:noProof/>
          </w:rPr>
          <w:t>Table 4: Comparison of Data Mesh, DCAM, and DELTA Frameworks (Author’s synthesis based on Dehghani (2022), EDM Council (2020), and Davenport &amp; Harris (2010))</w:t>
        </w:r>
        <w:r w:rsidRPr="00F74594">
          <w:rPr>
            <w:noProof/>
            <w:webHidden/>
          </w:rPr>
          <w:tab/>
        </w:r>
        <w:r w:rsidRPr="00F74594">
          <w:rPr>
            <w:noProof/>
            <w:webHidden/>
          </w:rPr>
          <w:fldChar w:fldCharType="begin"/>
        </w:r>
        <w:r w:rsidRPr="00F74594">
          <w:rPr>
            <w:noProof/>
            <w:webHidden/>
          </w:rPr>
          <w:instrText xml:space="preserve"> PAGEREF _Toc201942894 \h </w:instrText>
        </w:r>
        <w:r w:rsidRPr="00F74594">
          <w:rPr>
            <w:noProof/>
            <w:webHidden/>
          </w:rPr>
        </w:r>
        <w:r w:rsidRPr="00F74594">
          <w:rPr>
            <w:noProof/>
            <w:webHidden/>
          </w:rPr>
          <w:fldChar w:fldCharType="separate"/>
        </w:r>
        <w:r w:rsidRPr="00F74594">
          <w:rPr>
            <w:noProof/>
            <w:webHidden/>
          </w:rPr>
          <w:t>15</w:t>
        </w:r>
        <w:r w:rsidRPr="00F74594">
          <w:rPr>
            <w:noProof/>
            <w:webHidden/>
          </w:rPr>
          <w:fldChar w:fldCharType="end"/>
        </w:r>
      </w:hyperlink>
    </w:p>
    <w:p w14:paraId="264110BF" w14:textId="446ECFD7"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895" w:history="1">
        <w:r w:rsidRPr="00F74594">
          <w:rPr>
            <w:rStyle w:val="Hyperlink"/>
            <w:rFonts w:eastAsiaTheme="majorEastAsia"/>
            <w:noProof/>
          </w:rPr>
          <w:t>Table 5: Summary of Frameworks for Analytics Integration and Maturity (Author’s synthesis based on Davenport et al. (2010), EDM Council (2020), and Gartner (2024))</w:t>
        </w:r>
        <w:r w:rsidRPr="00F74594">
          <w:rPr>
            <w:noProof/>
            <w:webHidden/>
          </w:rPr>
          <w:tab/>
        </w:r>
        <w:r w:rsidRPr="00F74594">
          <w:rPr>
            <w:noProof/>
            <w:webHidden/>
          </w:rPr>
          <w:fldChar w:fldCharType="begin"/>
        </w:r>
        <w:r w:rsidRPr="00F74594">
          <w:rPr>
            <w:noProof/>
            <w:webHidden/>
          </w:rPr>
          <w:instrText xml:space="preserve"> PAGEREF _Toc201942895 \h </w:instrText>
        </w:r>
        <w:r w:rsidRPr="00F74594">
          <w:rPr>
            <w:noProof/>
            <w:webHidden/>
          </w:rPr>
        </w:r>
        <w:r w:rsidRPr="00F74594">
          <w:rPr>
            <w:noProof/>
            <w:webHidden/>
          </w:rPr>
          <w:fldChar w:fldCharType="separate"/>
        </w:r>
        <w:r w:rsidRPr="00F74594">
          <w:rPr>
            <w:noProof/>
            <w:webHidden/>
          </w:rPr>
          <w:t>16</w:t>
        </w:r>
        <w:r w:rsidRPr="00F74594">
          <w:rPr>
            <w:noProof/>
            <w:webHidden/>
          </w:rPr>
          <w:fldChar w:fldCharType="end"/>
        </w:r>
      </w:hyperlink>
    </w:p>
    <w:p w14:paraId="292C2869" w14:textId="250C738C"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896" w:history="1">
        <w:r w:rsidRPr="00F74594">
          <w:rPr>
            <w:rStyle w:val="Hyperlink"/>
            <w:rFonts w:eastAsiaTheme="majorEastAsia"/>
            <w:noProof/>
          </w:rPr>
          <w:t>Table 6: Comparative Overview of DELTA and DCAM Analytics Maturity Models (Author’s elaboration based on DELTA and DCAM frameworks)</w:t>
        </w:r>
        <w:r w:rsidRPr="00F74594">
          <w:rPr>
            <w:noProof/>
            <w:webHidden/>
          </w:rPr>
          <w:tab/>
        </w:r>
        <w:r w:rsidRPr="00F74594">
          <w:rPr>
            <w:noProof/>
            <w:webHidden/>
          </w:rPr>
          <w:fldChar w:fldCharType="begin"/>
        </w:r>
        <w:r w:rsidRPr="00F74594">
          <w:rPr>
            <w:noProof/>
            <w:webHidden/>
          </w:rPr>
          <w:instrText xml:space="preserve"> PAGEREF _Toc201942896 \h </w:instrText>
        </w:r>
        <w:r w:rsidRPr="00F74594">
          <w:rPr>
            <w:noProof/>
            <w:webHidden/>
          </w:rPr>
        </w:r>
        <w:r w:rsidRPr="00F74594">
          <w:rPr>
            <w:noProof/>
            <w:webHidden/>
          </w:rPr>
          <w:fldChar w:fldCharType="separate"/>
        </w:r>
        <w:r w:rsidRPr="00F74594">
          <w:rPr>
            <w:noProof/>
            <w:webHidden/>
          </w:rPr>
          <w:t>18</w:t>
        </w:r>
        <w:r w:rsidRPr="00F74594">
          <w:rPr>
            <w:noProof/>
            <w:webHidden/>
          </w:rPr>
          <w:fldChar w:fldCharType="end"/>
        </w:r>
      </w:hyperlink>
    </w:p>
    <w:p w14:paraId="1E170064" w14:textId="0C5584B8"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897" w:history="1">
        <w:r w:rsidRPr="00F74594">
          <w:rPr>
            <w:rStyle w:val="Hyperlink"/>
            <w:rFonts w:eastAsiaTheme="majorEastAsia"/>
            <w:noProof/>
          </w:rPr>
          <w:t>Table 7: Comparative Analytics Maturity of SSE PLC vs National Grid (2024) (Author’s conceptualisation using secondary data sources)</w:t>
        </w:r>
        <w:r w:rsidRPr="00F74594">
          <w:rPr>
            <w:noProof/>
            <w:webHidden/>
          </w:rPr>
          <w:tab/>
        </w:r>
        <w:r w:rsidRPr="00F74594">
          <w:rPr>
            <w:noProof/>
            <w:webHidden/>
          </w:rPr>
          <w:fldChar w:fldCharType="begin"/>
        </w:r>
        <w:r w:rsidRPr="00F74594">
          <w:rPr>
            <w:noProof/>
            <w:webHidden/>
          </w:rPr>
          <w:instrText xml:space="preserve"> PAGEREF _Toc201942897 \h </w:instrText>
        </w:r>
        <w:r w:rsidRPr="00F74594">
          <w:rPr>
            <w:noProof/>
            <w:webHidden/>
          </w:rPr>
        </w:r>
        <w:r w:rsidRPr="00F74594">
          <w:rPr>
            <w:noProof/>
            <w:webHidden/>
          </w:rPr>
          <w:fldChar w:fldCharType="separate"/>
        </w:r>
        <w:r w:rsidRPr="00F74594">
          <w:rPr>
            <w:noProof/>
            <w:webHidden/>
          </w:rPr>
          <w:t>18</w:t>
        </w:r>
        <w:r w:rsidRPr="00F74594">
          <w:rPr>
            <w:noProof/>
            <w:webHidden/>
          </w:rPr>
          <w:fldChar w:fldCharType="end"/>
        </w:r>
      </w:hyperlink>
    </w:p>
    <w:p w14:paraId="7376B14D" w14:textId="3EFF6140"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898" w:history="1">
        <w:r w:rsidRPr="00F74594">
          <w:rPr>
            <w:rStyle w:val="Hyperlink"/>
            <w:rFonts w:eastAsiaTheme="majorEastAsia"/>
            <w:noProof/>
          </w:rPr>
          <w:t>Table 8:Comparative Analytics Maturity Across UK Utility Firms (2024) (Author’s elaboration using data from Gartner (2024) and Ofgem (2024))</w:t>
        </w:r>
        <w:r w:rsidRPr="00F74594">
          <w:rPr>
            <w:noProof/>
            <w:webHidden/>
          </w:rPr>
          <w:tab/>
        </w:r>
        <w:r w:rsidRPr="00F74594">
          <w:rPr>
            <w:noProof/>
            <w:webHidden/>
          </w:rPr>
          <w:fldChar w:fldCharType="begin"/>
        </w:r>
        <w:r w:rsidRPr="00F74594">
          <w:rPr>
            <w:noProof/>
            <w:webHidden/>
          </w:rPr>
          <w:instrText xml:space="preserve"> PAGEREF _Toc201942898 \h </w:instrText>
        </w:r>
        <w:r w:rsidRPr="00F74594">
          <w:rPr>
            <w:noProof/>
            <w:webHidden/>
          </w:rPr>
        </w:r>
        <w:r w:rsidRPr="00F74594">
          <w:rPr>
            <w:noProof/>
            <w:webHidden/>
          </w:rPr>
          <w:fldChar w:fldCharType="separate"/>
        </w:r>
        <w:r w:rsidRPr="00F74594">
          <w:rPr>
            <w:noProof/>
            <w:webHidden/>
          </w:rPr>
          <w:t>19</w:t>
        </w:r>
        <w:r w:rsidRPr="00F74594">
          <w:rPr>
            <w:noProof/>
            <w:webHidden/>
          </w:rPr>
          <w:fldChar w:fldCharType="end"/>
        </w:r>
      </w:hyperlink>
    </w:p>
    <w:p w14:paraId="2B7CC0EC" w14:textId="23CD802E"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899" w:history="1">
        <w:r w:rsidRPr="00F74594">
          <w:rPr>
            <w:rStyle w:val="Hyperlink"/>
            <w:rFonts w:eastAsiaTheme="majorEastAsia"/>
            <w:noProof/>
          </w:rPr>
          <w:t>Table 9: Analytical Frameworks – SWOT, PESTEL, and SOAR Analyses</w:t>
        </w:r>
        <w:r w:rsidRPr="00F74594">
          <w:rPr>
            <w:noProof/>
            <w:webHidden/>
          </w:rPr>
          <w:tab/>
        </w:r>
        <w:r w:rsidRPr="00F74594">
          <w:rPr>
            <w:noProof/>
            <w:webHidden/>
          </w:rPr>
          <w:fldChar w:fldCharType="begin"/>
        </w:r>
        <w:r w:rsidRPr="00F74594">
          <w:rPr>
            <w:noProof/>
            <w:webHidden/>
          </w:rPr>
          <w:instrText xml:space="preserve"> PAGEREF _Toc201942899 \h </w:instrText>
        </w:r>
        <w:r w:rsidRPr="00F74594">
          <w:rPr>
            <w:noProof/>
            <w:webHidden/>
          </w:rPr>
        </w:r>
        <w:r w:rsidRPr="00F74594">
          <w:rPr>
            <w:noProof/>
            <w:webHidden/>
          </w:rPr>
          <w:fldChar w:fldCharType="separate"/>
        </w:r>
        <w:r w:rsidRPr="00F74594">
          <w:rPr>
            <w:noProof/>
            <w:webHidden/>
          </w:rPr>
          <w:t>20</w:t>
        </w:r>
        <w:r w:rsidRPr="00F74594">
          <w:rPr>
            <w:noProof/>
            <w:webHidden/>
          </w:rPr>
          <w:fldChar w:fldCharType="end"/>
        </w:r>
      </w:hyperlink>
    </w:p>
    <w:p w14:paraId="6C01F16D" w14:textId="31812E3C"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00" w:history="1">
        <w:r w:rsidRPr="00F74594">
          <w:rPr>
            <w:rStyle w:val="Hyperlink"/>
            <w:rFonts w:eastAsiaTheme="majorEastAsia"/>
            <w:noProof/>
          </w:rPr>
          <w:t>Table 10: Sample Predictive Analytics Use Cases and Business Impacts at SSE PLC (Author’s compilation based on SSE internal reports (2024))</w:t>
        </w:r>
        <w:r w:rsidRPr="00F74594">
          <w:rPr>
            <w:noProof/>
            <w:webHidden/>
          </w:rPr>
          <w:tab/>
        </w:r>
        <w:r w:rsidRPr="00F74594">
          <w:rPr>
            <w:noProof/>
            <w:webHidden/>
          </w:rPr>
          <w:fldChar w:fldCharType="begin"/>
        </w:r>
        <w:r w:rsidRPr="00F74594">
          <w:rPr>
            <w:noProof/>
            <w:webHidden/>
          </w:rPr>
          <w:instrText xml:space="preserve"> PAGEREF _Toc201942900 \h </w:instrText>
        </w:r>
        <w:r w:rsidRPr="00F74594">
          <w:rPr>
            <w:noProof/>
            <w:webHidden/>
          </w:rPr>
        </w:r>
        <w:r w:rsidRPr="00F74594">
          <w:rPr>
            <w:noProof/>
            <w:webHidden/>
          </w:rPr>
          <w:fldChar w:fldCharType="separate"/>
        </w:r>
        <w:r w:rsidRPr="00F74594">
          <w:rPr>
            <w:noProof/>
            <w:webHidden/>
          </w:rPr>
          <w:t>21</w:t>
        </w:r>
        <w:r w:rsidRPr="00F74594">
          <w:rPr>
            <w:noProof/>
            <w:webHidden/>
          </w:rPr>
          <w:fldChar w:fldCharType="end"/>
        </w:r>
      </w:hyperlink>
    </w:p>
    <w:p w14:paraId="2197DEAE" w14:textId="3DBAEAE6"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01" w:history="1">
        <w:r w:rsidRPr="00F74594">
          <w:rPr>
            <w:rStyle w:val="Hyperlink"/>
            <w:rFonts w:eastAsiaTheme="majorEastAsia"/>
            <w:noProof/>
          </w:rPr>
          <w:t>Table 11: Abductive Reasoning Process (Adapted from Dubois and Gadde (2002))</w:t>
        </w:r>
        <w:r w:rsidRPr="00F74594">
          <w:rPr>
            <w:noProof/>
            <w:webHidden/>
          </w:rPr>
          <w:tab/>
        </w:r>
        <w:r w:rsidRPr="00F74594">
          <w:rPr>
            <w:noProof/>
            <w:webHidden/>
          </w:rPr>
          <w:fldChar w:fldCharType="begin"/>
        </w:r>
        <w:r w:rsidRPr="00F74594">
          <w:rPr>
            <w:noProof/>
            <w:webHidden/>
          </w:rPr>
          <w:instrText xml:space="preserve"> PAGEREF _Toc201942901 \h </w:instrText>
        </w:r>
        <w:r w:rsidRPr="00F74594">
          <w:rPr>
            <w:noProof/>
            <w:webHidden/>
          </w:rPr>
        </w:r>
        <w:r w:rsidRPr="00F74594">
          <w:rPr>
            <w:noProof/>
            <w:webHidden/>
          </w:rPr>
          <w:fldChar w:fldCharType="separate"/>
        </w:r>
        <w:r w:rsidRPr="00F74594">
          <w:rPr>
            <w:noProof/>
            <w:webHidden/>
          </w:rPr>
          <w:t>22</w:t>
        </w:r>
        <w:r w:rsidRPr="00F74594">
          <w:rPr>
            <w:noProof/>
            <w:webHidden/>
          </w:rPr>
          <w:fldChar w:fldCharType="end"/>
        </w:r>
      </w:hyperlink>
    </w:p>
    <w:p w14:paraId="5A468B42" w14:textId="0C9149FB"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02" w:history="1">
        <w:r w:rsidRPr="00F74594">
          <w:rPr>
            <w:rStyle w:val="Hyperlink"/>
            <w:rFonts w:eastAsiaTheme="majorEastAsia"/>
            <w:noProof/>
          </w:rPr>
          <w:t>Table 12: Areas of Benchmarking Comparison with Top 5 UK Energy Utilities (Author’s conceptualisation)</w:t>
        </w:r>
        <w:r w:rsidRPr="00F74594">
          <w:rPr>
            <w:noProof/>
            <w:webHidden/>
          </w:rPr>
          <w:tab/>
        </w:r>
        <w:r w:rsidRPr="00F74594">
          <w:rPr>
            <w:noProof/>
            <w:webHidden/>
          </w:rPr>
          <w:fldChar w:fldCharType="begin"/>
        </w:r>
        <w:r w:rsidRPr="00F74594">
          <w:rPr>
            <w:noProof/>
            <w:webHidden/>
          </w:rPr>
          <w:instrText xml:space="preserve"> PAGEREF _Toc201942902 \h </w:instrText>
        </w:r>
        <w:r w:rsidRPr="00F74594">
          <w:rPr>
            <w:noProof/>
            <w:webHidden/>
          </w:rPr>
        </w:r>
        <w:r w:rsidRPr="00F74594">
          <w:rPr>
            <w:noProof/>
            <w:webHidden/>
          </w:rPr>
          <w:fldChar w:fldCharType="separate"/>
        </w:r>
        <w:r w:rsidRPr="00F74594">
          <w:rPr>
            <w:noProof/>
            <w:webHidden/>
          </w:rPr>
          <w:t>23</w:t>
        </w:r>
        <w:r w:rsidRPr="00F74594">
          <w:rPr>
            <w:noProof/>
            <w:webHidden/>
          </w:rPr>
          <w:fldChar w:fldCharType="end"/>
        </w:r>
      </w:hyperlink>
    </w:p>
    <w:p w14:paraId="5F5938D8" w14:textId="0CFF5DAA"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03" w:history="1">
        <w:r w:rsidRPr="00F74594">
          <w:rPr>
            <w:rStyle w:val="Hyperlink"/>
            <w:rFonts w:eastAsiaTheme="majorEastAsia"/>
            <w:noProof/>
          </w:rPr>
          <w:t>Table 13: Mixed-Methods Structure (Author’s conceptualisation)</w:t>
        </w:r>
        <w:r w:rsidRPr="00F74594">
          <w:rPr>
            <w:noProof/>
            <w:webHidden/>
          </w:rPr>
          <w:tab/>
        </w:r>
        <w:r w:rsidRPr="00F74594">
          <w:rPr>
            <w:noProof/>
            <w:webHidden/>
          </w:rPr>
          <w:fldChar w:fldCharType="begin"/>
        </w:r>
        <w:r w:rsidRPr="00F74594">
          <w:rPr>
            <w:noProof/>
            <w:webHidden/>
          </w:rPr>
          <w:instrText xml:space="preserve"> PAGEREF _Toc201942903 \h </w:instrText>
        </w:r>
        <w:r w:rsidRPr="00F74594">
          <w:rPr>
            <w:noProof/>
            <w:webHidden/>
          </w:rPr>
        </w:r>
        <w:r w:rsidRPr="00F74594">
          <w:rPr>
            <w:noProof/>
            <w:webHidden/>
          </w:rPr>
          <w:fldChar w:fldCharType="separate"/>
        </w:r>
        <w:r w:rsidRPr="00F74594">
          <w:rPr>
            <w:noProof/>
            <w:webHidden/>
          </w:rPr>
          <w:t>24</w:t>
        </w:r>
        <w:r w:rsidRPr="00F74594">
          <w:rPr>
            <w:noProof/>
            <w:webHidden/>
          </w:rPr>
          <w:fldChar w:fldCharType="end"/>
        </w:r>
      </w:hyperlink>
    </w:p>
    <w:p w14:paraId="7CE69673" w14:textId="41D3CD15"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04" w:history="1">
        <w:r w:rsidRPr="00F74594">
          <w:rPr>
            <w:rStyle w:val="Hyperlink"/>
            <w:rFonts w:eastAsiaTheme="majorEastAsia"/>
            <w:noProof/>
          </w:rPr>
          <w:t xml:space="preserve">Table 14: Example joint display linking survey and interview evidence (Author’s conceptualisation) </w:t>
        </w:r>
        <w:r w:rsidRPr="00F74594">
          <w:rPr>
            <w:noProof/>
            <w:webHidden/>
          </w:rPr>
          <w:tab/>
        </w:r>
        <w:r w:rsidRPr="00F74594">
          <w:rPr>
            <w:noProof/>
            <w:webHidden/>
          </w:rPr>
          <w:fldChar w:fldCharType="begin"/>
        </w:r>
        <w:r w:rsidRPr="00F74594">
          <w:rPr>
            <w:noProof/>
            <w:webHidden/>
          </w:rPr>
          <w:instrText xml:space="preserve"> PAGEREF _Toc201942904 \h </w:instrText>
        </w:r>
        <w:r w:rsidRPr="00F74594">
          <w:rPr>
            <w:noProof/>
            <w:webHidden/>
          </w:rPr>
        </w:r>
        <w:r w:rsidRPr="00F74594">
          <w:rPr>
            <w:noProof/>
            <w:webHidden/>
          </w:rPr>
          <w:fldChar w:fldCharType="separate"/>
        </w:r>
        <w:r w:rsidRPr="00F74594">
          <w:rPr>
            <w:noProof/>
            <w:webHidden/>
          </w:rPr>
          <w:t>25</w:t>
        </w:r>
        <w:r w:rsidRPr="00F74594">
          <w:rPr>
            <w:noProof/>
            <w:webHidden/>
          </w:rPr>
          <w:fldChar w:fldCharType="end"/>
        </w:r>
      </w:hyperlink>
    </w:p>
    <w:p w14:paraId="3526ADC4" w14:textId="4E81DB61"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05" w:history="1">
        <w:r w:rsidRPr="00F74594">
          <w:rPr>
            <w:rStyle w:val="Hyperlink"/>
            <w:rFonts w:eastAsiaTheme="majorEastAsia"/>
            <w:noProof/>
          </w:rPr>
          <w:t>Table 15: Sampling Overview (Author’s conceptualisation)</w:t>
        </w:r>
        <w:r w:rsidRPr="00F74594">
          <w:rPr>
            <w:noProof/>
            <w:webHidden/>
          </w:rPr>
          <w:tab/>
        </w:r>
        <w:r w:rsidRPr="00F74594">
          <w:rPr>
            <w:noProof/>
            <w:webHidden/>
          </w:rPr>
          <w:fldChar w:fldCharType="begin"/>
        </w:r>
        <w:r w:rsidRPr="00F74594">
          <w:rPr>
            <w:noProof/>
            <w:webHidden/>
          </w:rPr>
          <w:instrText xml:space="preserve"> PAGEREF _Toc201942905 \h </w:instrText>
        </w:r>
        <w:r w:rsidRPr="00F74594">
          <w:rPr>
            <w:noProof/>
            <w:webHidden/>
          </w:rPr>
        </w:r>
        <w:r w:rsidRPr="00F74594">
          <w:rPr>
            <w:noProof/>
            <w:webHidden/>
          </w:rPr>
          <w:fldChar w:fldCharType="separate"/>
        </w:r>
        <w:r w:rsidRPr="00F74594">
          <w:rPr>
            <w:noProof/>
            <w:webHidden/>
          </w:rPr>
          <w:t>26</w:t>
        </w:r>
        <w:r w:rsidRPr="00F74594">
          <w:rPr>
            <w:noProof/>
            <w:webHidden/>
          </w:rPr>
          <w:fldChar w:fldCharType="end"/>
        </w:r>
      </w:hyperlink>
    </w:p>
    <w:p w14:paraId="27E518F0" w14:textId="6E69A324"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06" w:history="1">
        <w:r w:rsidRPr="00F74594">
          <w:rPr>
            <w:rStyle w:val="Hyperlink"/>
            <w:rFonts w:eastAsiaTheme="majorEastAsia"/>
            <w:noProof/>
          </w:rPr>
          <w:t>Table 16: Summary of Ethical Safeguards (Adapted from BERA (2018) and author’s elaboration)</w:t>
        </w:r>
        <w:r w:rsidRPr="00F74594">
          <w:rPr>
            <w:noProof/>
            <w:webHidden/>
          </w:rPr>
          <w:tab/>
        </w:r>
        <w:r w:rsidRPr="00F74594">
          <w:rPr>
            <w:noProof/>
            <w:webHidden/>
          </w:rPr>
          <w:fldChar w:fldCharType="begin"/>
        </w:r>
        <w:r w:rsidRPr="00F74594">
          <w:rPr>
            <w:noProof/>
            <w:webHidden/>
          </w:rPr>
          <w:instrText xml:space="preserve"> PAGEREF _Toc201942906 \h </w:instrText>
        </w:r>
        <w:r w:rsidRPr="00F74594">
          <w:rPr>
            <w:noProof/>
            <w:webHidden/>
          </w:rPr>
        </w:r>
        <w:r w:rsidRPr="00F74594">
          <w:rPr>
            <w:noProof/>
            <w:webHidden/>
          </w:rPr>
          <w:fldChar w:fldCharType="separate"/>
        </w:r>
        <w:r w:rsidRPr="00F74594">
          <w:rPr>
            <w:noProof/>
            <w:webHidden/>
          </w:rPr>
          <w:t>28</w:t>
        </w:r>
        <w:r w:rsidRPr="00F74594">
          <w:rPr>
            <w:noProof/>
            <w:webHidden/>
          </w:rPr>
          <w:fldChar w:fldCharType="end"/>
        </w:r>
      </w:hyperlink>
    </w:p>
    <w:p w14:paraId="1AFA75C6" w14:textId="72943B5F"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07" w:history="1">
        <w:r w:rsidRPr="00F74594">
          <w:rPr>
            <w:rStyle w:val="Hyperlink"/>
            <w:rFonts w:eastAsiaTheme="majorEastAsia"/>
            <w:noProof/>
          </w:rPr>
          <w:t>Table 17: Summary of Resource and Budget Requirements</w:t>
        </w:r>
        <w:r w:rsidRPr="00F74594">
          <w:rPr>
            <w:noProof/>
            <w:webHidden/>
          </w:rPr>
          <w:tab/>
        </w:r>
        <w:r w:rsidRPr="00F74594">
          <w:rPr>
            <w:noProof/>
            <w:webHidden/>
          </w:rPr>
          <w:fldChar w:fldCharType="begin"/>
        </w:r>
        <w:r w:rsidRPr="00F74594">
          <w:rPr>
            <w:noProof/>
            <w:webHidden/>
          </w:rPr>
          <w:instrText xml:space="preserve"> PAGEREF _Toc201942907 \h </w:instrText>
        </w:r>
        <w:r w:rsidRPr="00F74594">
          <w:rPr>
            <w:noProof/>
            <w:webHidden/>
          </w:rPr>
        </w:r>
        <w:r w:rsidRPr="00F74594">
          <w:rPr>
            <w:noProof/>
            <w:webHidden/>
          </w:rPr>
          <w:fldChar w:fldCharType="separate"/>
        </w:r>
        <w:r w:rsidRPr="00F74594">
          <w:rPr>
            <w:noProof/>
            <w:webHidden/>
          </w:rPr>
          <w:t>30</w:t>
        </w:r>
        <w:r w:rsidRPr="00F74594">
          <w:rPr>
            <w:noProof/>
            <w:webHidden/>
          </w:rPr>
          <w:fldChar w:fldCharType="end"/>
        </w:r>
      </w:hyperlink>
    </w:p>
    <w:p w14:paraId="1584E474" w14:textId="69764232"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08" w:history="1">
        <w:r w:rsidRPr="00F74594">
          <w:rPr>
            <w:rStyle w:val="Hyperlink"/>
            <w:rFonts w:eastAsiaTheme="majorEastAsia"/>
            <w:noProof/>
          </w:rPr>
          <w:t>Table 18: Integration of Quantitative and Qualitative Insights Across Key Strategic Themes (Author’s synthesis, 2025)</w:t>
        </w:r>
        <w:r w:rsidRPr="00F74594">
          <w:rPr>
            <w:noProof/>
            <w:webHidden/>
          </w:rPr>
          <w:tab/>
        </w:r>
        <w:r w:rsidRPr="00F74594">
          <w:rPr>
            <w:noProof/>
            <w:webHidden/>
          </w:rPr>
          <w:fldChar w:fldCharType="begin"/>
        </w:r>
        <w:r w:rsidRPr="00F74594">
          <w:rPr>
            <w:noProof/>
            <w:webHidden/>
          </w:rPr>
          <w:instrText xml:space="preserve"> PAGEREF _Toc201942908 \h </w:instrText>
        </w:r>
        <w:r w:rsidRPr="00F74594">
          <w:rPr>
            <w:noProof/>
            <w:webHidden/>
          </w:rPr>
        </w:r>
        <w:r w:rsidRPr="00F74594">
          <w:rPr>
            <w:noProof/>
            <w:webHidden/>
          </w:rPr>
          <w:fldChar w:fldCharType="separate"/>
        </w:r>
        <w:r w:rsidRPr="00F74594">
          <w:rPr>
            <w:noProof/>
            <w:webHidden/>
          </w:rPr>
          <w:t>34</w:t>
        </w:r>
        <w:r w:rsidRPr="00F74594">
          <w:rPr>
            <w:noProof/>
            <w:webHidden/>
          </w:rPr>
          <w:fldChar w:fldCharType="end"/>
        </w:r>
      </w:hyperlink>
    </w:p>
    <w:p w14:paraId="263D0079" w14:textId="521A5644"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09" w:history="1">
        <w:r w:rsidRPr="00F74594">
          <w:rPr>
            <w:rStyle w:val="Hyperlink"/>
            <w:rFonts w:eastAsiaTheme="majorEastAsia"/>
            <w:noProof/>
          </w:rPr>
          <w:t>Table 19: Proposed Project Timeline (Author’s conceptualisation)</w:t>
        </w:r>
        <w:r w:rsidRPr="00F74594">
          <w:rPr>
            <w:noProof/>
            <w:webHidden/>
          </w:rPr>
          <w:tab/>
        </w:r>
        <w:r w:rsidRPr="00F74594">
          <w:rPr>
            <w:noProof/>
            <w:webHidden/>
          </w:rPr>
          <w:fldChar w:fldCharType="begin"/>
        </w:r>
        <w:r w:rsidRPr="00F74594">
          <w:rPr>
            <w:noProof/>
            <w:webHidden/>
          </w:rPr>
          <w:instrText xml:space="preserve"> PAGEREF _Toc201942909 \h </w:instrText>
        </w:r>
        <w:r w:rsidRPr="00F74594">
          <w:rPr>
            <w:noProof/>
            <w:webHidden/>
          </w:rPr>
        </w:r>
        <w:r w:rsidRPr="00F74594">
          <w:rPr>
            <w:noProof/>
            <w:webHidden/>
          </w:rPr>
          <w:fldChar w:fldCharType="separate"/>
        </w:r>
        <w:r w:rsidRPr="00F74594">
          <w:rPr>
            <w:noProof/>
            <w:webHidden/>
          </w:rPr>
          <w:t>35</w:t>
        </w:r>
        <w:r w:rsidRPr="00F74594">
          <w:rPr>
            <w:noProof/>
            <w:webHidden/>
          </w:rPr>
          <w:fldChar w:fldCharType="end"/>
        </w:r>
      </w:hyperlink>
    </w:p>
    <w:p w14:paraId="0D47DCA1" w14:textId="7163FFF0" w:rsid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10" w:history="1">
        <w:r w:rsidRPr="00F74594">
          <w:rPr>
            <w:rStyle w:val="Hyperlink"/>
            <w:rFonts w:eastAsiaTheme="majorEastAsia"/>
            <w:noProof/>
          </w:rPr>
          <w:t>Table 20: Risk Assessment and Mitigation Strategies for SSE Analytics Integration (Author’s elaboration based on research findings)</w:t>
        </w:r>
        <w:r w:rsidRPr="00F74594">
          <w:rPr>
            <w:noProof/>
            <w:webHidden/>
          </w:rPr>
          <w:tab/>
        </w:r>
        <w:r w:rsidRPr="00F74594">
          <w:rPr>
            <w:noProof/>
            <w:webHidden/>
          </w:rPr>
          <w:fldChar w:fldCharType="begin"/>
        </w:r>
        <w:r w:rsidRPr="00F74594">
          <w:rPr>
            <w:noProof/>
            <w:webHidden/>
          </w:rPr>
          <w:instrText xml:space="preserve"> PAGEREF _Toc201942910 \h </w:instrText>
        </w:r>
        <w:r w:rsidRPr="00F74594">
          <w:rPr>
            <w:noProof/>
            <w:webHidden/>
          </w:rPr>
        </w:r>
        <w:r w:rsidRPr="00F74594">
          <w:rPr>
            <w:noProof/>
            <w:webHidden/>
          </w:rPr>
          <w:fldChar w:fldCharType="separate"/>
        </w:r>
        <w:r w:rsidRPr="00F74594">
          <w:rPr>
            <w:noProof/>
            <w:webHidden/>
          </w:rPr>
          <w:t>38</w:t>
        </w:r>
        <w:r w:rsidRPr="00F74594">
          <w:rPr>
            <w:noProof/>
            <w:webHidden/>
          </w:rPr>
          <w:fldChar w:fldCharType="end"/>
        </w:r>
      </w:hyperlink>
    </w:p>
    <w:p w14:paraId="4940CAB3" w14:textId="18E7C895" w:rsidR="000928A0" w:rsidRPr="003E7855" w:rsidRDefault="00F74594" w:rsidP="0002751E">
      <w:pPr>
        <w:spacing w:line="360" w:lineRule="auto"/>
      </w:pPr>
      <w:r>
        <w:fldChar w:fldCharType="end"/>
      </w:r>
    </w:p>
    <w:p w14:paraId="41FC89A6" w14:textId="28D0F83E" w:rsidR="000928A0" w:rsidRPr="005A3967" w:rsidRDefault="000928A0" w:rsidP="00B53E44">
      <w:pPr>
        <w:pStyle w:val="Heading1"/>
        <w:spacing w:line="360" w:lineRule="auto"/>
        <w:rPr>
          <w:rFonts w:ascii="Times New Roman" w:hAnsi="Times New Roman" w:cs="Times New Roman"/>
          <w:b/>
          <w:bCs/>
          <w:color w:val="000000" w:themeColor="text1"/>
          <w:sz w:val="32"/>
          <w:szCs w:val="32"/>
        </w:rPr>
      </w:pPr>
      <w:bookmarkStart w:id="1" w:name="_Toc202544479"/>
      <w:r w:rsidRPr="005A3967">
        <w:rPr>
          <w:rFonts w:ascii="Times New Roman" w:hAnsi="Times New Roman" w:cs="Times New Roman"/>
          <w:b/>
          <w:bCs/>
          <w:color w:val="000000" w:themeColor="text1"/>
          <w:sz w:val="32"/>
          <w:szCs w:val="32"/>
        </w:rPr>
        <w:t>List of Figures</w:t>
      </w:r>
      <w:bookmarkEnd w:id="1"/>
    </w:p>
    <w:p w14:paraId="1D66A02C" w14:textId="5736929B"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r w:rsidRPr="00F74594">
        <w:rPr>
          <w:sz w:val="22"/>
          <w:szCs w:val="22"/>
        </w:rPr>
        <w:fldChar w:fldCharType="begin"/>
      </w:r>
      <w:r w:rsidRPr="00F74594">
        <w:rPr>
          <w:sz w:val="22"/>
          <w:szCs w:val="22"/>
        </w:rPr>
        <w:instrText xml:space="preserve"> TOC \h \z \c "Figure" </w:instrText>
      </w:r>
      <w:r w:rsidRPr="00F74594">
        <w:rPr>
          <w:sz w:val="22"/>
          <w:szCs w:val="22"/>
        </w:rPr>
        <w:fldChar w:fldCharType="separate"/>
      </w:r>
      <w:hyperlink w:anchor="_Toc201942911" w:history="1">
        <w:r w:rsidRPr="00F74594">
          <w:rPr>
            <w:rStyle w:val="Hyperlink"/>
            <w:rFonts w:eastAsiaTheme="majorEastAsia"/>
            <w:noProof/>
          </w:rPr>
          <w:t>Figure 1: SSE Plc Digital Transformation Timeline (Adapted from SSE PLC (2024d), author's elaboration)</w:t>
        </w:r>
        <w:r w:rsidRPr="00F74594">
          <w:rPr>
            <w:noProof/>
            <w:webHidden/>
          </w:rPr>
          <w:tab/>
        </w:r>
        <w:r w:rsidRPr="00F74594">
          <w:rPr>
            <w:noProof/>
            <w:webHidden/>
          </w:rPr>
          <w:fldChar w:fldCharType="begin"/>
        </w:r>
        <w:r w:rsidRPr="00F74594">
          <w:rPr>
            <w:noProof/>
            <w:webHidden/>
          </w:rPr>
          <w:instrText xml:space="preserve"> PAGEREF _Toc201942911 \h </w:instrText>
        </w:r>
        <w:r w:rsidRPr="00F74594">
          <w:rPr>
            <w:noProof/>
            <w:webHidden/>
          </w:rPr>
        </w:r>
        <w:r w:rsidRPr="00F74594">
          <w:rPr>
            <w:noProof/>
            <w:webHidden/>
          </w:rPr>
          <w:fldChar w:fldCharType="separate"/>
        </w:r>
        <w:r w:rsidRPr="00F74594">
          <w:rPr>
            <w:noProof/>
            <w:webHidden/>
          </w:rPr>
          <w:t>7</w:t>
        </w:r>
        <w:r w:rsidRPr="00F74594">
          <w:rPr>
            <w:noProof/>
            <w:webHidden/>
          </w:rPr>
          <w:fldChar w:fldCharType="end"/>
        </w:r>
      </w:hyperlink>
    </w:p>
    <w:p w14:paraId="051B8517" w14:textId="02B19606"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12" w:history="1">
        <w:r w:rsidRPr="00F74594">
          <w:rPr>
            <w:rStyle w:val="Hyperlink"/>
            <w:rFonts w:eastAsiaTheme="majorEastAsia"/>
            <w:noProof/>
          </w:rPr>
          <w:t>Figure 2: Gartner Analytics Maturity Model and Typical Utility Sector Positioning (Adapted from Gartner, 2024.)</w:t>
        </w:r>
        <w:r w:rsidRPr="00F74594">
          <w:rPr>
            <w:noProof/>
            <w:webHidden/>
          </w:rPr>
          <w:tab/>
        </w:r>
        <w:r w:rsidRPr="00F74594">
          <w:rPr>
            <w:noProof/>
            <w:webHidden/>
          </w:rPr>
          <w:fldChar w:fldCharType="begin"/>
        </w:r>
        <w:r w:rsidRPr="00F74594">
          <w:rPr>
            <w:noProof/>
            <w:webHidden/>
          </w:rPr>
          <w:instrText xml:space="preserve"> PAGEREF _Toc201942912 \h </w:instrText>
        </w:r>
        <w:r w:rsidRPr="00F74594">
          <w:rPr>
            <w:noProof/>
            <w:webHidden/>
          </w:rPr>
        </w:r>
        <w:r w:rsidRPr="00F74594">
          <w:rPr>
            <w:noProof/>
            <w:webHidden/>
          </w:rPr>
          <w:fldChar w:fldCharType="separate"/>
        </w:r>
        <w:r w:rsidRPr="00F74594">
          <w:rPr>
            <w:noProof/>
            <w:webHidden/>
          </w:rPr>
          <w:t>13</w:t>
        </w:r>
        <w:r w:rsidRPr="00F74594">
          <w:rPr>
            <w:noProof/>
            <w:webHidden/>
          </w:rPr>
          <w:fldChar w:fldCharType="end"/>
        </w:r>
      </w:hyperlink>
    </w:p>
    <w:p w14:paraId="0BCD7350" w14:textId="19521EAE"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13" w:history="1">
        <w:r w:rsidRPr="00F74594">
          <w:rPr>
            <w:rStyle w:val="Hyperlink"/>
            <w:rFonts w:eastAsiaTheme="majorEastAsia"/>
            <w:noProof/>
          </w:rPr>
          <w:t>Figure 3: Integrated Conceptual Framework Linking DELTA and DCAM Models to Organisational Readiness at SSE PLC (Author’s conceptualisation based on Davenport and Harris (2007) and EDM Council (2020))</w:t>
        </w:r>
        <w:r w:rsidRPr="00F74594">
          <w:rPr>
            <w:noProof/>
            <w:webHidden/>
          </w:rPr>
          <w:tab/>
        </w:r>
        <w:r w:rsidRPr="00F74594">
          <w:rPr>
            <w:noProof/>
            <w:webHidden/>
          </w:rPr>
          <w:fldChar w:fldCharType="begin"/>
        </w:r>
        <w:r w:rsidRPr="00F74594">
          <w:rPr>
            <w:noProof/>
            <w:webHidden/>
          </w:rPr>
          <w:instrText xml:space="preserve"> PAGEREF _Toc201942913 \h </w:instrText>
        </w:r>
        <w:r w:rsidRPr="00F74594">
          <w:rPr>
            <w:noProof/>
            <w:webHidden/>
          </w:rPr>
        </w:r>
        <w:r w:rsidRPr="00F74594">
          <w:rPr>
            <w:noProof/>
            <w:webHidden/>
          </w:rPr>
          <w:fldChar w:fldCharType="separate"/>
        </w:r>
        <w:r w:rsidRPr="00F74594">
          <w:rPr>
            <w:noProof/>
            <w:webHidden/>
          </w:rPr>
          <w:t>16</w:t>
        </w:r>
        <w:r w:rsidRPr="00F74594">
          <w:rPr>
            <w:noProof/>
            <w:webHidden/>
          </w:rPr>
          <w:fldChar w:fldCharType="end"/>
        </w:r>
      </w:hyperlink>
    </w:p>
    <w:p w14:paraId="63CD8121" w14:textId="1E09E48F"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14" w:history="1">
        <w:r w:rsidRPr="00F74594">
          <w:rPr>
            <w:rStyle w:val="Hyperlink"/>
            <w:rFonts w:eastAsiaTheme="majorEastAsia"/>
            <w:noProof/>
          </w:rPr>
          <w:t>Figure 4: SSE PLC Analytics Integration Maturity Model (Author's elaboration based on DELTA and DCAM frameworks)</w:t>
        </w:r>
        <w:r w:rsidRPr="00F74594">
          <w:rPr>
            <w:noProof/>
            <w:webHidden/>
          </w:rPr>
          <w:tab/>
        </w:r>
        <w:r w:rsidRPr="00F74594">
          <w:rPr>
            <w:noProof/>
            <w:webHidden/>
          </w:rPr>
          <w:fldChar w:fldCharType="begin"/>
        </w:r>
        <w:r w:rsidRPr="00F74594">
          <w:rPr>
            <w:noProof/>
            <w:webHidden/>
          </w:rPr>
          <w:instrText xml:space="preserve"> PAGEREF _Toc201942914 \h </w:instrText>
        </w:r>
        <w:r w:rsidRPr="00F74594">
          <w:rPr>
            <w:noProof/>
            <w:webHidden/>
          </w:rPr>
        </w:r>
        <w:r w:rsidRPr="00F74594">
          <w:rPr>
            <w:noProof/>
            <w:webHidden/>
          </w:rPr>
          <w:fldChar w:fldCharType="separate"/>
        </w:r>
        <w:r w:rsidRPr="00F74594">
          <w:rPr>
            <w:noProof/>
            <w:webHidden/>
          </w:rPr>
          <w:t>16</w:t>
        </w:r>
        <w:r w:rsidRPr="00F74594">
          <w:rPr>
            <w:noProof/>
            <w:webHidden/>
          </w:rPr>
          <w:fldChar w:fldCharType="end"/>
        </w:r>
      </w:hyperlink>
    </w:p>
    <w:p w14:paraId="5DDFAA40" w14:textId="0933093C"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15" w:history="1">
        <w:r w:rsidRPr="00F74594">
          <w:rPr>
            <w:rStyle w:val="Hyperlink"/>
            <w:rFonts w:eastAsiaTheme="majorEastAsia"/>
            <w:noProof/>
          </w:rPr>
          <w:t>Figure 5: Predictive Analytics Adoption Rates Among Major UK Energy Firms (2024) (Adapted from Gartner, 2024; Ofgem, 2024)</w:t>
        </w:r>
        <w:r w:rsidRPr="00F74594">
          <w:rPr>
            <w:noProof/>
            <w:webHidden/>
          </w:rPr>
          <w:tab/>
        </w:r>
        <w:r w:rsidRPr="00F74594">
          <w:rPr>
            <w:noProof/>
            <w:webHidden/>
          </w:rPr>
          <w:fldChar w:fldCharType="begin"/>
        </w:r>
        <w:r w:rsidRPr="00F74594">
          <w:rPr>
            <w:noProof/>
            <w:webHidden/>
          </w:rPr>
          <w:instrText xml:space="preserve"> PAGEREF _Toc201942915 \h </w:instrText>
        </w:r>
        <w:r w:rsidRPr="00F74594">
          <w:rPr>
            <w:noProof/>
            <w:webHidden/>
          </w:rPr>
        </w:r>
        <w:r w:rsidRPr="00F74594">
          <w:rPr>
            <w:noProof/>
            <w:webHidden/>
          </w:rPr>
          <w:fldChar w:fldCharType="separate"/>
        </w:r>
        <w:r w:rsidRPr="00F74594">
          <w:rPr>
            <w:noProof/>
            <w:webHidden/>
          </w:rPr>
          <w:t>19</w:t>
        </w:r>
        <w:r w:rsidRPr="00F74594">
          <w:rPr>
            <w:noProof/>
            <w:webHidden/>
          </w:rPr>
          <w:fldChar w:fldCharType="end"/>
        </w:r>
      </w:hyperlink>
    </w:p>
    <w:p w14:paraId="68933C3A" w14:textId="49265F65"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16" w:history="1">
        <w:r w:rsidRPr="00F74594">
          <w:rPr>
            <w:rStyle w:val="Hyperlink"/>
            <w:rFonts w:eastAsiaTheme="majorEastAsia"/>
            <w:noProof/>
          </w:rPr>
          <w:t>Figure 6: Overview of Primary and Secondary Data Collection for the Study (Author’s conceptualisation.)</w:t>
        </w:r>
        <w:r w:rsidRPr="00F74594">
          <w:rPr>
            <w:noProof/>
            <w:webHidden/>
          </w:rPr>
          <w:tab/>
        </w:r>
        <w:r w:rsidRPr="00F74594">
          <w:rPr>
            <w:noProof/>
            <w:webHidden/>
          </w:rPr>
          <w:fldChar w:fldCharType="begin"/>
        </w:r>
        <w:r w:rsidRPr="00F74594">
          <w:rPr>
            <w:noProof/>
            <w:webHidden/>
          </w:rPr>
          <w:instrText xml:space="preserve"> PAGEREF _Toc201942916 \h </w:instrText>
        </w:r>
        <w:r w:rsidRPr="00F74594">
          <w:rPr>
            <w:noProof/>
            <w:webHidden/>
          </w:rPr>
        </w:r>
        <w:r w:rsidRPr="00F74594">
          <w:rPr>
            <w:noProof/>
            <w:webHidden/>
          </w:rPr>
          <w:fldChar w:fldCharType="separate"/>
        </w:r>
        <w:r w:rsidRPr="00F74594">
          <w:rPr>
            <w:noProof/>
            <w:webHidden/>
          </w:rPr>
          <w:t>24</w:t>
        </w:r>
        <w:r w:rsidRPr="00F74594">
          <w:rPr>
            <w:noProof/>
            <w:webHidden/>
          </w:rPr>
          <w:fldChar w:fldCharType="end"/>
        </w:r>
      </w:hyperlink>
    </w:p>
    <w:p w14:paraId="737A7B3F" w14:textId="3DACF076"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17" w:history="1">
        <w:r w:rsidRPr="00F74594">
          <w:rPr>
            <w:rStyle w:val="Hyperlink"/>
            <w:rFonts w:eastAsiaTheme="majorEastAsia"/>
            <w:noProof/>
          </w:rPr>
          <w:t>Figure 7; Data Analysis Flow (Author’s conceptualisation.)</w:t>
        </w:r>
        <w:r w:rsidRPr="00F74594">
          <w:rPr>
            <w:noProof/>
            <w:webHidden/>
          </w:rPr>
          <w:tab/>
        </w:r>
        <w:r w:rsidRPr="00F74594">
          <w:rPr>
            <w:noProof/>
            <w:webHidden/>
          </w:rPr>
          <w:fldChar w:fldCharType="begin"/>
        </w:r>
        <w:r w:rsidRPr="00F74594">
          <w:rPr>
            <w:noProof/>
            <w:webHidden/>
          </w:rPr>
          <w:instrText xml:space="preserve"> PAGEREF _Toc201942917 \h </w:instrText>
        </w:r>
        <w:r w:rsidRPr="00F74594">
          <w:rPr>
            <w:noProof/>
            <w:webHidden/>
          </w:rPr>
        </w:r>
        <w:r w:rsidRPr="00F74594">
          <w:rPr>
            <w:noProof/>
            <w:webHidden/>
          </w:rPr>
          <w:fldChar w:fldCharType="separate"/>
        </w:r>
        <w:r w:rsidRPr="00F74594">
          <w:rPr>
            <w:noProof/>
            <w:webHidden/>
          </w:rPr>
          <w:t>26</w:t>
        </w:r>
        <w:r w:rsidRPr="00F74594">
          <w:rPr>
            <w:noProof/>
            <w:webHidden/>
          </w:rPr>
          <w:fldChar w:fldCharType="end"/>
        </w:r>
      </w:hyperlink>
    </w:p>
    <w:p w14:paraId="3CD71B98" w14:textId="26D80FE5"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18" w:history="1">
        <w:r w:rsidRPr="00F74594">
          <w:rPr>
            <w:rStyle w:val="Hyperlink"/>
            <w:rFonts w:eastAsiaTheme="majorEastAsia"/>
            <w:noProof/>
          </w:rPr>
          <w:t>Figure 8: Proposed Data Governance Framework Structure for SSE PLC (Author’s elaboration drawing on EDM Council (2020) guidelines)</w:t>
        </w:r>
        <w:r w:rsidRPr="00F74594">
          <w:rPr>
            <w:noProof/>
            <w:webHidden/>
          </w:rPr>
          <w:tab/>
        </w:r>
        <w:r w:rsidRPr="00F74594">
          <w:rPr>
            <w:noProof/>
            <w:webHidden/>
          </w:rPr>
          <w:fldChar w:fldCharType="begin"/>
        </w:r>
        <w:r w:rsidRPr="00F74594">
          <w:rPr>
            <w:noProof/>
            <w:webHidden/>
          </w:rPr>
          <w:instrText xml:space="preserve"> PAGEREF _Toc201942918 \h </w:instrText>
        </w:r>
        <w:r w:rsidRPr="00F74594">
          <w:rPr>
            <w:noProof/>
            <w:webHidden/>
          </w:rPr>
        </w:r>
        <w:r w:rsidRPr="00F74594">
          <w:rPr>
            <w:noProof/>
            <w:webHidden/>
          </w:rPr>
          <w:fldChar w:fldCharType="separate"/>
        </w:r>
        <w:r w:rsidRPr="00F74594">
          <w:rPr>
            <w:noProof/>
            <w:webHidden/>
          </w:rPr>
          <w:t>26</w:t>
        </w:r>
        <w:r w:rsidRPr="00F74594">
          <w:rPr>
            <w:noProof/>
            <w:webHidden/>
          </w:rPr>
          <w:fldChar w:fldCharType="end"/>
        </w:r>
      </w:hyperlink>
    </w:p>
    <w:p w14:paraId="234A6BDD" w14:textId="2B9A9500"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19" w:history="1">
        <w:r w:rsidRPr="00F74594">
          <w:rPr>
            <w:rStyle w:val="Hyperlink"/>
            <w:rFonts w:eastAsiaTheme="majorEastAsia"/>
            <w:noProof/>
          </w:rPr>
          <w:t>Figure 9: Summary of Research Design Limitations and Mitigation Measures (Author’s conceptualisation)</w:t>
        </w:r>
        <w:r w:rsidRPr="00F74594">
          <w:rPr>
            <w:noProof/>
            <w:webHidden/>
          </w:rPr>
          <w:tab/>
        </w:r>
        <w:r w:rsidRPr="00F74594">
          <w:rPr>
            <w:noProof/>
            <w:webHidden/>
          </w:rPr>
          <w:fldChar w:fldCharType="begin"/>
        </w:r>
        <w:r w:rsidRPr="00F74594">
          <w:rPr>
            <w:noProof/>
            <w:webHidden/>
          </w:rPr>
          <w:instrText xml:space="preserve"> PAGEREF _Toc201942919 \h </w:instrText>
        </w:r>
        <w:r w:rsidRPr="00F74594">
          <w:rPr>
            <w:noProof/>
            <w:webHidden/>
          </w:rPr>
        </w:r>
        <w:r w:rsidRPr="00F74594">
          <w:rPr>
            <w:noProof/>
            <w:webHidden/>
          </w:rPr>
          <w:fldChar w:fldCharType="separate"/>
        </w:r>
        <w:r w:rsidRPr="00F74594">
          <w:rPr>
            <w:noProof/>
            <w:webHidden/>
          </w:rPr>
          <w:t>28</w:t>
        </w:r>
        <w:r w:rsidRPr="00F74594">
          <w:rPr>
            <w:noProof/>
            <w:webHidden/>
          </w:rPr>
          <w:fldChar w:fldCharType="end"/>
        </w:r>
      </w:hyperlink>
    </w:p>
    <w:p w14:paraId="7918C85C" w14:textId="59F5CF3F"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20" w:history="1">
        <w:r w:rsidRPr="00F74594">
          <w:rPr>
            <w:rStyle w:val="Hyperlink"/>
            <w:rFonts w:eastAsiaTheme="majorEastAsia"/>
            <w:noProof/>
          </w:rPr>
          <w:t>Figure 10: Current vs Target State Analytics Maturity at SSE PLC (Author’s elaboration based on DELTA and DCAM frameworks)</w:t>
        </w:r>
        <w:r w:rsidRPr="00F74594">
          <w:rPr>
            <w:noProof/>
            <w:webHidden/>
          </w:rPr>
          <w:tab/>
        </w:r>
        <w:r w:rsidRPr="00F74594">
          <w:rPr>
            <w:noProof/>
            <w:webHidden/>
          </w:rPr>
          <w:fldChar w:fldCharType="begin"/>
        </w:r>
        <w:r w:rsidRPr="00F74594">
          <w:rPr>
            <w:noProof/>
            <w:webHidden/>
          </w:rPr>
          <w:instrText xml:space="preserve"> PAGEREF _Toc201942920 \h </w:instrText>
        </w:r>
        <w:r w:rsidRPr="00F74594">
          <w:rPr>
            <w:noProof/>
            <w:webHidden/>
          </w:rPr>
        </w:r>
        <w:r w:rsidRPr="00F74594">
          <w:rPr>
            <w:noProof/>
            <w:webHidden/>
          </w:rPr>
          <w:fldChar w:fldCharType="separate"/>
        </w:r>
        <w:r w:rsidRPr="00F74594">
          <w:rPr>
            <w:noProof/>
            <w:webHidden/>
          </w:rPr>
          <w:t>30</w:t>
        </w:r>
        <w:r w:rsidRPr="00F74594">
          <w:rPr>
            <w:noProof/>
            <w:webHidden/>
          </w:rPr>
          <w:fldChar w:fldCharType="end"/>
        </w:r>
      </w:hyperlink>
    </w:p>
    <w:p w14:paraId="46CB71C6" w14:textId="52546919"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21" w:history="1">
        <w:r w:rsidRPr="00F74594">
          <w:rPr>
            <w:rStyle w:val="Hyperlink"/>
            <w:rFonts w:eastAsiaTheme="majorEastAsia"/>
            <w:noProof/>
          </w:rPr>
          <w:t>Figure 11: Predictive Analytics Integration Process into Strategic Decision-Making at SSE PLC (Author’s conceptualisation)</w:t>
        </w:r>
        <w:r w:rsidRPr="00F74594">
          <w:rPr>
            <w:noProof/>
            <w:webHidden/>
          </w:rPr>
          <w:tab/>
        </w:r>
        <w:r w:rsidRPr="00F74594">
          <w:rPr>
            <w:noProof/>
            <w:webHidden/>
          </w:rPr>
          <w:fldChar w:fldCharType="begin"/>
        </w:r>
        <w:r w:rsidRPr="00F74594">
          <w:rPr>
            <w:noProof/>
            <w:webHidden/>
          </w:rPr>
          <w:instrText xml:space="preserve"> PAGEREF _Toc201942921 \h </w:instrText>
        </w:r>
        <w:r w:rsidRPr="00F74594">
          <w:rPr>
            <w:noProof/>
            <w:webHidden/>
          </w:rPr>
        </w:r>
        <w:r w:rsidRPr="00F74594">
          <w:rPr>
            <w:noProof/>
            <w:webHidden/>
          </w:rPr>
          <w:fldChar w:fldCharType="separate"/>
        </w:r>
        <w:r w:rsidRPr="00F74594">
          <w:rPr>
            <w:noProof/>
            <w:webHidden/>
          </w:rPr>
          <w:t>31</w:t>
        </w:r>
        <w:r w:rsidRPr="00F74594">
          <w:rPr>
            <w:noProof/>
            <w:webHidden/>
          </w:rPr>
          <w:fldChar w:fldCharType="end"/>
        </w:r>
      </w:hyperlink>
    </w:p>
    <w:p w14:paraId="05D8989E" w14:textId="348A0D49"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22" w:history="1">
        <w:r w:rsidRPr="00F74594">
          <w:rPr>
            <w:rStyle w:val="Hyperlink"/>
            <w:rFonts w:eastAsiaTheme="majorEastAsia"/>
            <w:noProof/>
          </w:rPr>
          <w:t>Figure 12: Proposed Gantt Chart for Research Project Activities (Author’s conceptualisation)</w:t>
        </w:r>
        <w:r w:rsidRPr="00F74594">
          <w:rPr>
            <w:noProof/>
            <w:webHidden/>
          </w:rPr>
          <w:tab/>
        </w:r>
        <w:r w:rsidRPr="00F74594">
          <w:rPr>
            <w:noProof/>
            <w:webHidden/>
          </w:rPr>
          <w:fldChar w:fldCharType="begin"/>
        </w:r>
        <w:r w:rsidRPr="00F74594">
          <w:rPr>
            <w:noProof/>
            <w:webHidden/>
          </w:rPr>
          <w:instrText xml:space="preserve"> PAGEREF _Toc201942922 \h </w:instrText>
        </w:r>
        <w:r w:rsidRPr="00F74594">
          <w:rPr>
            <w:noProof/>
            <w:webHidden/>
          </w:rPr>
        </w:r>
        <w:r w:rsidRPr="00F74594">
          <w:rPr>
            <w:noProof/>
            <w:webHidden/>
          </w:rPr>
          <w:fldChar w:fldCharType="separate"/>
        </w:r>
        <w:r w:rsidRPr="00F74594">
          <w:rPr>
            <w:noProof/>
            <w:webHidden/>
          </w:rPr>
          <w:t>35</w:t>
        </w:r>
        <w:r w:rsidRPr="00F74594">
          <w:rPr>
            <w:noProof/>
            <w:webHidden/>
          </w:rPr>
          <w:fldChar w:fldCharType="end"/>
        </w:r>
      </w:hyperlink>
    </w:p>
    <w:p w14:paraId="61639726" w14:textId="584842A5"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23" w:history="1">
        <w:r w:rsidRPr="00F74594">
          <w:rPr>
            <w:rStyle w:val="Hyperlink"/>
            <w:rFonts w:eastAsiaTheme="majorEastAsia"/>
            <w:noProof/>
          </w:rPr>
          <w:t>Figure 13: Proposed 3-Year Analytics Adoption Roadmap for SSE PLC (Author’s elaboration based on research findings and best practices)</w:t>
        </w:r>
        <w:r w:rsidRPr="00F74594">
          <w:rPr>
            <w:noProof/>
            <w:webHidden/>
          </w:rPr>
          <w:tab/>
        </w:r>
        <w:r w:rsidRPr="00F74594">
          <w:rPr>
            <w:noProof/>
            <w:webHidden/>
          </w:rPr>
          <w:fldChar w:fldCharType="begin"/>
        </w:r>
        <w:r w:rsidRPr="00F74594">
          <w:rPr>
            <w:noProof/>
            <w:webHidden/>
          </w:rPr>
          <w:instrText xml:space="preserve"> PAGEREF _Toc201942923 \h </w:instrText>
        </w:r>
        <w:r w:rsidRPr="00F74594">
          <w:rPr>
            <w:noProof/>
            <w:webHidden/>
          </w:rPr>
        </w:r>
        <w:r w:rsidRPr="00F74594">
          <w:rPr>
            <w:noProof/>
            <w:webHidden/>
          </w:rPr>
          <w:fldChar w:fldCharType="separate"/>
        </w:r>
        <w:r w:rsidRPr="00F74594">
          <w:rPr>
            <w:noProof/>
            <w:webHidden/>
          </w:rPr>
          <w:t>35</w:t>
        </w:r>
        <w:r w:rsidRPr="00F74594">
          <w:rPr>
            <w:noProof/>
            <w:webHidden/>
          </w:rPr>
          <w:fldChar w:fldCharType="end"/>
        </w:r>
      </w:hyperlink>
    </w:p>
    <w:p w14:paraId="44AA7E05" w14:textId="77579271" w:rsidR="00F74594" w:rsidRPr="00F74594" w:rsidRDefault="00F74594" w:rsidP="00E33BF4">
      <w:pPr>
        <w:pStyle w:val="TableofFigures"/>
        <w:tabs>
          <w:tab w:val="right" w:leader="dot" w:pos="9016"/>
        </w:tabs>
        <w:spacing w:line="360" w:lineRule="auto"/>
        <w:rPr>
          <w:rFonts w:asciiTheme="minorHAnsi" w:eastAsiaTheme="minorEastAsia" w:hAnsiTheme="minorHAnsi" w:cstheme="minorBidi"/>
          <w:noProof/>
          <w:kern w:val="2"/>
          <w14:ligatures w14:val="standardContextual"/>
        </w:rPr>
      </w:pPr>
      <w:hyperlink w:anchor="_Toc201942924" w:history="1">
        <w:r w:rsidRPr="00F74594">
          <w:rPr>
            <w:rStyle w:val="Hyperlink"/>
            <w:rFonts w:eastAsiaTheme="majorEastAsia"/>
            <w:noProof/>
          </w:rPr>
          <w:t>Figure 14: Proposed Roadmap for SSE’s Analytics Maturity Journey (Author’s elaboration informed by Davenport and Harris (2007) and EDM Council (2020))</w:t>
        </w:r>
        <w:r w:rsidRPr="00F74594">
          <w:rPr>
            <w:noProof/>
            <w:webHidden/>
          </w:rPr>
          <w:tab/>
        </w:r>
        <w:r w:rsidRPr="00F74594">
          <w:rPr>
            <w:noProof/>
            <w:webHidden/>
          </w:rPr>
          <w:fldChar w:fldCharType="begin"/>
        </w:r>
        <w:r w:rsidRPr="00F74594">
          <w:rPr>
            <w:noProof/>
            <w:webHidden/>
          </w:rPr>
          <w:instrText xml:space="preserve"> PAGEREF _Toc201942924 \h </w:instrText>
        </w:r>
        <w:r w:rsidRPr="00F74594">
          <w:rPr>
            <w:noProof/>
            <w:webHidden/>
          </w:rPr>
        </w:r>
        <w:r w:rsidRPr="00F74594">
          <w:rPr>
            <w:noProof/>
            <w:webHidden/>
          </w:rPr>
          <w:fldChar w:fldCharType="separate"/>
        </w:r>
        <w:r w:rsidRPr="00F74594">
          <w:rPr>
            <w:noProof/>
            <w:webHidden/>
          </w:rPr>
          <w:t>36</w:t>
        </w:r>
        <w:r w:rsidRPr="00F74594">
          <w:rPr>
            <w:noProof/>
            <w:webHidden/>
          </w:rPr>
          <w:fldChar w:fldCharType="end"/>
        </w:r>
      </w:hyperlink>
    </w:p>
    <w:p w14:paraId="7944FC90" w14:textId="5BB17143" w:rsidR="002120EA" w:rsidRPr="003E7855" w:rsidRDefault="00F74594" w:rsidP="00E33BF4">
      <w:pPr>
        <w:spacing w:line="360" w:lineRule="auto"/>
        <w:rPr>
          <w:sz w:val="22"/>
          <w:szCs w:val="22"/>
        </w:rPr>
      </w:pPr>
      <w:r w:rsidRPr="00F74594">
        <w:rPr>
          <w:sz w:val="22"/>
          <w:szCs w:val="22"/>
        </w:rPr>
        <w:fldChar w:fldCharType="end"/>
      </w:r>
    </w:p>
    <w:p w14:paraId="50D3CD4D" w14:textId="151AD85B" w:rsidR="007F5A94" w:rsidRPr="005A3967" w:rsidRDefault="007F5A94">
      <w:pPr>
        <w:rPr>
          <w:sz w:val="22"/>
          <w:szCs w:val="22"/>
        </w:rPr>
      </w:pPr>
      <w:r w:rsidRPr="005A3967">
        <w:rPr>
          <w:b/>
          <w:bCs/>
        </w:rPr>
        <w:br w:type="page"/>
      </w:r>
    </w:p>
    <w:p w14:paraId="47288D7A" w14:textId="4460CE36" w:rsidR="002120EA" w:rsidRPr="005A3967" w:rsidRDefault="002120EA" w:rsidP="007F5A94">
      <w:pPr>
        <w:pStyle w:val="Heading1"/>
        <w:spacing w:line="360" w:lineRule="auto"/>
        <w:rPr>
          <w:rFonts w:ascii="Times New Roman" w:hAnsi="Times New Roman" w:cs="Times New Roman"/>
          <w:b/>
          <w:bCs/>
        </w:rPr>
      </w:pPr>
      <w:bookmarkStart w:id="2" w:name="_Toc202544480"/>
      <w:r w:rsidRPr="005A3967">
        <w:rPr>
          <w:rFonts w:ascii="Times New Roman" w:hAnsi="Times New Roman" w:cs="Times New Roman"/>
          <w:b/>
          <w:bCs/>
        </w:rPr>
        <w:lastRenderedPageBreak/>
        <w:t>Abstract</w:t>
      </w:r>
      <w:bookmarkEnd w:id="2"/>
    </w:p>
    <w:p w14:paraId="179421C7" w14:textId="77777777" w:rsidR="00B06BC5" w:rsidRPr="00B06BC5" w:rsidRDefault="00B06BC5" w:rsidP="00B06BC5">
      <w:pPr>
        <w:spacing w:line="360" w:lineRule="auto"/>
        <w:jc w:val="both"/>
      </w:pPr>
      <w:r w:rsidRPr="00B06BC5">
        <w:t xml:space="preserve">This proposal outlines a study to investigate the </w:t>
      </w:r>
      <w:r w:rsidRPr="00B06BC5">
        <w:rPr>
          <w:i/>
          <w:iCs/>
        </w:rPr>
        <w:t>integration of predictive analytics</w:t>
      </w:r>
      <w:r w:rsidRPr="00B06BC5">
        <w:t xml:space="preserve"> into </w:t>
      </w:r>
      <w:r w:rsidRPr="00B06BC5">
        <w:rPr>
          <w:i/>
          <w:iCs/>
        </w:rPr>
        <w:t>strategic decision-making</w:t>
      </w:r>
      <w:r w:rsidRPr="00B06BC5">
        <w:t xml:space="preserve"> at </w:t>
      </w:r>
      <w:r w:rsidRPr="00B06BC5">
        <w:rPr>
          <w:b/>
          <w:bCs/>
        </w:rPr>
        <w:t>SSE PLC</w:t>
      </w:r>
      <w:r w:rsidRPr="00B06BC5">
        <w:t xml:space="preserve">, a leading UK energy provider operating within a </w:t>
      </w:r>
      <w:r w:rsidRPr="00B06BC5">
        <w:rPr>
          <w:i/>
          <w:iCs/>
        </w:rPr>
        <w:t>highly regulated</w:t>
      </w:r>
      <w:r w:rsidRPr="00B06BC5">
        <w:t xml:space="preserve"> and </w:t>
      </w:r>
      <w:r w:rsidRPr="00B06BC5">
        <w:rPr>
          <w:i/>
          <w:iCs/>
        </w:rPr>
        <w:t>data-rich</w:t>
      </w:r>
      <w:r w:rsidRPr="00B06BC5">
        <w:t xml:space="preserve"> environment. In response to increasing pressures for </w:t>
      </w:r>
      <w:r w:rsidRPr="00B06BC5">
        <w:rPr>
          <w:i/>
          <w:iCs/>
        </w:rPr>
        <w:t>operational efficiency</w:t>
      </w:r>
      <w:r w:rsidRPr="00B06BC5">
        <w:t xml:space="preserve">, </w:t>
      </w:r>
      <w:r w:rsidRPr="00B06BC5">
        <w:rPr>
          <w:i/>
          <w:iCs/>
        </w:rPr>
        <w:t>compliance</w:t>
      </w:r>
      <w:r w:rsidRPr="00B06BC5">
        <w:t xml:space="preserve"> with data regulations (e.g., </w:t>
      </w:r>
      <w:r w:rsidRPr="00B06BC5">
        <w:rPr>
          <w:b/>
          <w:bCs/>
        </w:rPr>
        <w:t>GDPR</w:t>
      </w:r>
      <w:r w:rsidRPr="00B06BC5">
        <w:t xml:space="preserve">, </w:t>
      </w:r>
      <w:r w:rsidRPr="00B06BC5">
        <w:rPr>
          <w:b/>
          <w:bCs/>
        </w:rPr>
        <w:t>Ofgem</w:t>
      </w:r>
      <w:r w:rsidRPr="00B06BC5">
        <w:t xml:space="preserve">), and the demands of </w:t>
      </w:r>
      <w:r w:rsidRPr="00B06BC5">
        <w:rPr>
          <w:i/>
          <w:iCs/>
        </w:rPr>
        <w:t>digital transformation</w:t>
      </w:r>
      <w:r w:rsidRPr="00B06BC5">
        <w:t xml:space="preserve">, SSE must enhance its </w:t>
      </w:r>
      <w:r w:rsidRPr="00B06BC5">
        <w:rPr>
          <w:i/>
          <w:iCs/>
        </w:rPr>
        <w:t>analytical capabilities</w:t>
      </w:r>
      <w:r w:rsidRPr="00B06BC5">
        <w:t xml:space="preserve"> to drive </w:t>
      </w:r>
      <w:r w:rsidRPr="00B06BC5">
        <w:rPr>
          <w:i/>
          <w:iCs/>
        </w:rPr>
        <w:t>agility</w:t>
      </w:r>
      <w:r w:rsidRPr="00B06BC5">
        <w:t xml:space="preserve">, </w:t>
      </w:r>
      <w:r w:rsidRPr="00B06BC5">
        <w:rPr>
          <w:i/>
          <w:iCs/>
        </w:rPr>
        <w:t>marketing responsiveness</w:t>
      </w:r>
      <w:r w:rsidRPr="00B06BC5">
        <w:t xml:space="preserve">, and </w:t>
      </w:r>
      <w:r w:rsidRPr="00B06BC5">
        <w:rPr>
          <w:i/>
          <w:iCs/>
        </w:rPr>
        <w:t>data-informed decisions</w:t>
      </w:r>
      <w:r w:rsidRPr="00B06BC5">
        <w:t>.</w:t>
      </w:r>
    </w:p>
    <w:p w14:paraId="28E09640" w14:textId="3EC0FEDB" w:rsidR="00B06BC5" w:rsidRPr="00B06BC5" w:rsidRDefault="00B06BC5" w:rsidP="00B06BC5">
      <w:pPr>
        <w:spacing w:line="360" w:lineRule="auto"/>
        <w:jc w:val="both"/>
      </w:pPr>
      <w:r w:rsidRPr="00B06BC5">
        <w:t xml:space="preserve">The proposed study </w:t>
      </w:r>
      <w:r w:rsidR="0002751E">
        <w:t>employs</w:t>
      </w:r>
      <w:r w:rsidRPr="00B06BC5">
        <w:t xml:space="preserve"> a </w:t>
      </w:r>
      <w:r w:rsidRPr="00B06BC5">
        <w:rPr>
          <w:b/>
          <w:bCs/>
        </w:rPr>
        <w:t>mixed-methods research design</w:t>
      </w:r>
      <w:r w:rsidR="0002751E">
        <w:rPr>
          <w:b/>
          <w:bCs/>
        </w:rPr>
        <w:t>,</w:t>
      </w:r>
      <w:r w:rsidRPr="00B06BC5">
        <w:t xml:space="preserve"> underpinned by a </w:t>
      </w:r>
      <w:r w:rsidRPr="00B06BC5">
        <w:rPr>
          <w:i/>
          <w:iCs/>
        </w:rPr>
        <w:t>pragmatic philosophical stance</w:t>
      </w:r>
      <w:r w:rsidRPr="00B06BC5">
        <w:t xml:space="preserve">, </w:t>
      </w:r>
      <w:r w:rsidR="0002751E">
        <w:t>which combines</w:t>
      </w:r>
      <w:r w:rsidRPr="00B06BC5">
        <w:t xml:space="preserve"> </w:t>
      </w:r>
      <w:r w:rsidRPr="00B06BC5">
        <w:rPr>
          <w:b/>
          <w:bCs/>
        </w:rPr>
        <w:t>quantitative survey analysis</w:t>
      </w:r>
      <w:r w:rsidRPr="00B06BC5">
        <w:t xml:space="preserve"> with </w:t>
      </w:r>
      <w:r w:rsidRPr="00B06BC5">
        <w:rPr>
          <w:b/>
          <w:bCs/>
        </w:rPr>
        <w:t>qualitative interviews</w:t>
      </w:r>
      <w:r w:rsidRPr="00B06BC5">
        <w:t xml:space="preserve"> across selected business units. It aims to examine the interrelationships between </w:t>
      </w:r>
      <w:r w:rsidR="0002751E">
        <w:t xml:space="preserve">the adoption of </w:t>
      </w:r>
      <w:r w:rsidRPr="00B06BC5">
        <w:rPr>
          <w:i/>
          <w:iCs/>
        </w:rPr>
        <w:t>predictive analytics</w:t>
      </w:r>
      <w:r w:rsidRPr="00B06BC5">
        <w:t xml:space="preserve">, </w:t>
      </w:r>
      <w:r w:rsidRPr="00B06BC5">
        <w:rPr>
          <w:i/>
          <w:iCs/>
        </w:rPr>
        <w:t>data governance maturity</w:t>
      </w:r>
      <w:r w:rsidRPr="00B06BC5">
        <w:t xml:space="preserve">, </w:t>
      </w:r>
      <w:r w:rsidRPr="00B06BC5">
        <w:rPr>
          <w:i/>
          <w:iCs/>
        </w:rPr>
        <w:t>decision-making effectiveness</w:t>
      </w:r>
      <w:r w:rsidRPr="00B06BC5">
        <w:t xml:space="preserve">, and </w:t>
      </w:r>
      <w:r w:rsidRPr="00B06BC5">
        <w:rPr>
          <w:i/>
          <w:iCs/>
        </w:rPr>
        <w:t>organisational readiness</w:t>
      </w:r>
      <w:r w:rsidRPr="00B06BC5">
        <w:t>. Three established frameworks—</w:t>
      </w:r>
      <w:r w:rsidRPr="00B06BC5">
        <w:rPr>
          <w:b/>
          <w:bCs/>
        </w:rPr>
        <w:t>DELTA</w:t>
      </w:r>
      <w:r w:rsidRPr="00B06BC5">
        <w:t xml:space="preserve">, </w:t>
      </w:r>
      <w:r w:rsidRPr="00B06BC5">
        <w:rPr>
          <w:b/>
          <w:bCs/>
        </w:rPr>
        <w:t>DCAM</w:t>
      </w:r>
      <w:r w:rsidRPr="00B06BC5">
        <w:t xml:space="preserve">, and </w:t>
      </w:r>
      <w:r w:rsidRPr="00B06BC5">
        <w:rPr>
          <w:b/>
          <w:bCs/>
        </w:rPr>
        <w:t>Data Mesh</w:t>
      </w:r>
      <w:r w:rsidRPr="00B06BC5">
        <w:t xml:space="preserve">—are applied both </w:t>
      </w:r>
      <w:r w:rsidRPr="00B06BC5">
        <w:rPr>
          <w:i/>
          <w:iCs/>
        </w:rPr>
        <w:t>diagnostically</w:t>
      </w:r>
      <w:r w:rsidRPr="00B06BC5">
        <w:t xml:space="preserve"> and </w:t>
      </w:r>
      <w:r w:rsidRPr="00B06BC5">
        <w:rPr>
          <w:i/>
          <w:iCs/>
        </w:rPr>
        <w:t>prescriptively</w:t>
      </w:r>
      <w:r w:rsidRPr="00B06BC5">
        <w:t xml:space="preserve"> to evaluate SSE’s current </w:t>
      </w:r>
      <w:r w:rsidRPr="00B06BC5">
        <w:rPr>
          <w:i/>
          <w:iCs/>
        </w:rPr>
        <w:t>analytics maturity</w:t>
      </w:r>
      <w:r w:rsidRPr="00B06BC5">
        <w:t xml:space="preserve"> and to explore viable </w:t>
      </w:r>
      <w:r w:rsidRPr="00B06BC5">
        <w:rPr>
          <w:i/>
          <w:iCs/>
        </w:rPr>
        <w:t>governance models</w:t>
      </w:r>
      <w:r w:rsidRPr="00B06BC5">
        <w:t xml:space="preserve"> in a </w:t>
      </w:r>
      <w:r w:rsidRPr="00B06BC5">
        <w:rPr>
          <w:i/>
          <w:iCs/>
        </w:rPr>
        <w:t>legacy infrastructure</w:t>
      </w:r>
      <w:r w:rsidRPr="00B06BC5">
        <w:t xml:space="preserve"> context.</w:t>
      </w:r>
    </w:p>
    <w:p w14:paraId="4AF0EF9D" w14:textId="3EF68F02" w:rsidR="00B06BC5" w:rsidRPr="00B06BC5" w:rsidRDefault="00B06BC5" w:rsidP="00B06BC5">
      <w:pPr>
        <w:spacing w:line="360" w:lineRule="auto"/>
        <w:jc w:val="both"/>
      </w:pPr>
      <w:r w:rsidRPr="00B06BC5">
        <w:rPr>
          <w:b/>
          <w:bCs/>
        </w:rPr>
        <w:t>Theoretically</w:t>
      </w:r>
      <w:r w:rsidRPr="00B06BC5">
        <w:t xml:space="preserve">, this research contributes to the emerging intersection of </w:t>
      </w:r>
      <w:r w:rsidRPr="00B06BC5">
        <w:rPr>
          <w:i/>
          <w:iCs/>
        </w:rPr>
        <w:t>analytics maturity models</w:t>
      </w:r>
      <w:r w:rsidRPr="00B06BC5">
        <w:t xml:space="preserve"> and </w:t>
      </w:r>
      <w:r w:rsidRPr="00B06BC5">
        <w:rPr>
          <w:i/>
          <w:iCs/>
        </w:rPr>
        <w:t>data governance theory</w:t>
      </w:r>
      <w:r w:rsidRPr="00B06BC5">
        <w:t xml:space="preserve"> within </w:t>
      </w:r>
      <w:r w:rsidRPr="00B06BC5">
        <w:rPr>
          <w:i/>
          <w:iCs/>
        </w:rPr>
        <w:t>regulated industries</w:t>
      </w:r>
      <w:r w:rsidRPr="00B06BC5">
        <w:t xml:space="preserve">, offering a refined </w:t>
      </w:r>
      <w:r w:rsidRPr="00B06BC5">
        <w:rPr>
          <w:i/>
          <w:iCs/>
        </w:rPr>
        <w:t>hybrid framework</w:t>
      </w:r>
      <w:r w:rsidRPr="00B06BC5">
        <w:t xml:space="preserve"> adapted for utilities. </w:t>
      </w:r>
      <w:r w:rsidRPr="00B06BC5">
        <w:rPr>
          <w:b/>
          <w:bCs/>
        </w:rPr>
        <w:t>Practically</w:t>
      </w:r>
      <w:r w:rsidRPr="00B06BC5">
        <w:t xml:space="preserve">, it provides a </w:t>
      </w:r>
      <w:r w:rsidRPr="00B06BC5">
        <w:rPr>
          <w:i/>
          <w:iCs/>
        </w:rPr>
        <w:t>strategic</w:t>
      </w:r>
      <w:r w:rsidRPr="00B06BC5">
        <w:t xml:space="preserve">, </w:t>
      </w:r>
      <w:r w:rsidRPr="00B06BC5">
        <w:rPr>
          <w:i/>
          <w:iCs/>
        </w:rPr>
        <w:t>evidence-based roadmap</w:t>
      </w:r>
      <w:r w:rsidRPr="00B06BC5">
        <w:t xml:space="preserve"> to support SSE’s progression toward </w:t>
      </w:r>
      <w:r w:rsidRPr="00B06BC5">
        <w:rPr>
          <w:i/>
          <w:iCs/>
        </w:rPr>
        <w:t>enterprise-wide analytics integration</w:t>
      </w:r>
      <w:r w:rsidRPr="00B06BC5">
        <w:t xml:space="preserve">. Anticipated outcomes include </w:t>
      </w:r>
      <w:r w:rsidRPr="00B06BC5">
        <w:rPr>
          <w:i/>
          <w:iCs/>
        </w:rPr>
        <w:t>actionable insights</w:t>
      </w:r>
      <w:r w:rsidRPr="00B06BC5">
        <w:t xml:space="preserve"> for embedding predictive analytics into SSE’s strategic processes</w:t>
      </w:r>
      <w:r w:rsidR="0002751E">
        <w:t>,</w:t>
      </w:r>
      <w:r w:rsidRPr="00B06BC5">
        <w:t xml:space="preserve"> </w:t>
      </w:r>
      <w:r w:rsidR="0002751E">
        <w:t>as well as</w:t>
      </w:r>
      <w:r w:rsidRPr="00B06BC5">
        <w:t xml:space="preserve"> broader implications for </w:t>
      </w:r>
      <w:r w:rsidRPr="00B06BC5">
        <w:rPr>
          <w:i/>
          <w:iCs/>
        </w:rPr>
        <w:t>analytics-driven transformation</w:t>
      </w:r>
      <w:r w:rsidRPr="00B06BC5">
        <w:t xml:space="preserve"> across the </w:t>
      </w:r>
      <w:r w:rsidRPr="00B06BC5">
        <w:rPr>
          <w:b/>
          <w:bCs/>
        </w:rPr>
        <w:t>UK energy sector</w:t>
      </w:r>
      <w:r w:rsidRPr="00B06BC5">
        <w:t>.</w:t>
      </w:r>
    </w:p>
    <w:p w14:paraId="1219C7D6" w14:textId="77777777" w:rsidR="00B06BC5" w:rsidRPr="005A3967" w:rsidRDefault="00B06BC5" w:rsidP="00B06BC5">
      <w:pPr>
        <w:spacing w:line="360" w:lineRule="auto"/>
        <w:jc w:val="both"/>
      </w:pPr>
    </w:p>
    <w:p w14:paraId="4AB64185" w14:textId="77777777" w:rsidR="008D1E65" w:rsidRPr="005A3967" w:rsidRDefault="008D1E65" w:rsidP="002120EA">
      <w:pPr>
        <w:spacing w:line="360" w:lineRule="auto"/>
      </w:pPr>
    </w:p>
    <w:p w14:paraId="4060E677" w14:textId="25CDBFBB" w:rsidR="002120EA" w:rsidRPr="005A3967" w:rsidRDefault="002120EA" w:rsidP="00B336A8">
      <w:pPr>
        <w:spacing w:line="360" w:lineRule="auto"/>
      </w:pPr>
    </w:p>
    <w:p w14:paraId="61412AB8" w14:textId="77777777" w:rsidR="002120EA" w:rsidRPr="005A3967" w:rsidRDefault="002120EA">
      <w:r w:rsidRPr="005A3967">
        <w:br w:type="page"/>
      </w:r>
    </w:p>
    <w:p w14:paraId="2BBA514D" w14:textId="77777777" w:rsidR="000928A0" w:rsidRPr="005A3967" w:rsidRDefault="000928A0" w:rsidP="00B336A8">
      <w:pPr>
        <w:spacing w:line="360" w:lineRule="auto"/>
        <w:sectPr w:rsidR="000928A0" w:rsidRPr="005A3967" w:rsidSect="00A7321F">
          <w:headerReference w:type="default" r:id="rId9"/>
          <w:footerReference w:type="even" r:id="rId10"/>
          <w:footerReference w:type="default" r:id="rId11"/>
          <w:footerReference w:type="first" r:id="rId12"/>
          <w:pgSz w:w="11906" w:h="16838"/>
          <w:pgMar w:top="1090" w:right="1440" w:bottom="1440" w:left="1440" w:header="708" w:footer="708" w:gutter="0"/>
          <w:pgNumType w:start="0"/>
          <w:cols w:space="708"/>
          <w:titlePg/>
          <w:docGrid w:linePitch="360"/>
        </w:sectPr>
      </w:pPr>
    </w:p>
    <w:p w14:paraId="43C98F40" w14:textId="031829BF" w:rsidR="00CA3F9F" w:rsidRPr="005A3967" w:rsidRDefault="00CA3F9F" w:rsidP="008824B8">
      <w:pPr>
        <w:pStyle w:val="Heading1"/>
        <w:numPr>
          <w:ilvl w:val="0"/>
          <w:numId w:val="6"/>
        </w:numPr>
        <w:rPr>
          <w:rFonts w:ascii="Times New Roman" w:eastAsia="Times New Roman" w:hAnsi="Times New Roman" w:cs="Times New Roman"/>
          <w:b/>
          <w:bCs/>
          <w:color w:val="000000" w:themeColor="text1"/>
        </w:rPr>
      </w:pPr>
      <w:bookmarkStart w:id="3" w:name="_Toc202544481"/>
      <w:r w:rsidRPr="005A3967">
        <w:rPr>
          <w:rFonts w:ascii="Times New Roman" w:eastAsia="Times New Roman" w:hAnsi="Times New Roman" w:cs="Times New Roman"/>
          <w:b/>
          <w:bCs/>
          <w:color w:val="000000" w:themeColor="text1"/>
        </w:rPr>
        <w:lastRenderedPageBreak/>
        <w:t>Introduction</w:t>
      </w:r>
      <w:bookmarkEnd w:id="3"/>
      <w:r w:rsidRPr="005A3967">
        <w:rPr>
          <w:rFonts w:ascii="Times New Roman" w:eastAsia="Times New Roman" w:hAnsi="Times New Roman" w:cs="Times New Roman"/>
          <w:b/>
          <w:bCs/>
          <w:color w:val="000000" w:themeColor="text1"/>
        </w:rPr>
        <w:t xml:space="preserve"> </w:t>
      </w:r>
    </w:p>
    <w:p w14:paraId="783B1E4C" w14:textId="3BEAB1B3" w:rsidR="00C45179" w:rsidRPr="005A3967" w:rsidRDefault="00C45179" w:rsidP="00A55078">
      <w:pPr>
        <w:pStyle w:val="NormalWeb"/>
        <w:spacing w:line="360" w:lineRule="auto"/>
        <w:jc w:val="both"/>
      </w:pPr>
      <w:r w:rsidRPr="005A3967">
        <w:t xml:space="preserve">The </w:t>
      </w:r>
      <w:r w:rsidRPr="005A3967">
        <w:rPr>
          <w:b/>
          <w:bCs/>
        </w:rPr>
        <w:t>UK energy sector</w:t>
      </w:r>
      <w:r w:rsidRPr="005A3967">
        <w:t xml:space="preserve"> is undergoing </w:t>
      </w:r>
      <w:r w:rsidR="0002751E">
        <w:t xml:space="preserve">a </w:t>
      </w:r>
      <w:r w:rsidRPr="005A3967">
        <w:rPr>
          <w:b/>
          <w:bCs/>
        </w:rPr>
        <w:t xml:space="preserve">profound </w:t>
      </w:r>
      <w:r w:rsidR="0002751E">
        <w:rPr>
          <w:b/>
          <w:bCs/>
        </w:rPr>
        <w:t>transformation</w:t>
      </w:r>
      <w:r w:rsidRPr="005A3967">
        <w:t xml:space="preserve">, driven by </w:t>
      </w:r>
      <w:r w:rsidRPr="005A3967">
        <w:rPr>
          <w:i/>
          <w:iCs/>
        </w:rPr>
        <w:t>net-zero targets</w:t>
      </w:r>
      <w:r w:rsidRPr="005A3967">
        <w:t xml:space="preserve">, </w:t>
      </w:r>
      <w:r w:rsidRPr="005A3967">
        <w:rPr>
          <w:i/>
          <w:iCs/>
        </w:rPr>
        <w:t>market volatility</w:t>
      </w:r>
      <w:r w:rsidRPr="005A3967">
        <w:t xml:space="preserve">, and increasing </w:t>
      </w:r>
      <w:r w:rsidRPr="005A3967">
        <w:rPr>
          <w:i/>
          <w:iCs/>
        </w:rPr>
        <w:t>consumer demand</w:t>
      </w:r>
      <w:r w:rsidRPr="005A3967">
        <w:t xml:space="preserve"> for </w:t>
      </w:r>
      <w:r w:rsidRPr="005A3967">
        <w:rPr>
          <w:b/>
          <w:bCs/>
        </w:rPr>
        <w:t>clean</w:t>
      </w:r>
      <w:r w:rsidR="0002751E">
        <w:rPr>
          <w:b/>
          <w:bCs/>
        </w:rPr>
        <w:t xml:space="preserve"> and</w:t>
      </w:r>
      <w:r w:rsidRPr="005A3967">
        <w:rPr>
          <w:b/>
          <w:bCs/>
        </w:rPr>
        <w:t xml:space="preserve"> transparent services</w:t>
      </w:r>
      <w:r w:rsidRPr="005A3967">
        <w:t xml:space="preserve"> </w:t>
      </w:r>
      <w:r w:rsidRPr="005A3967">
        <w:rPr>
          <w:i/>
          <w:iCs/>
        </w:rPr>
        <w:t>(BEIS, 2021; Ofgem, 2022)</w:t>
      </w:r>
      <w:r w:rsidRPr="005A3967">
        <w:t xml:space="preserve">. For </w:t>
      </w:r>
      <w:r w:rsidRPr="005A3967">
        <w:rPr>
          <w:b/>
          <w:bCs/>
        </w:rPr>
        <w:t>SSE PLC</w:t>
      </w:r>
      <w:r w:rsidRPr="005A3967">
        <w:t xml:space="preserve">, a </w:t>
      </w:r>
      <w:r w:rsidRPr="005A3967">
        <w:rPr>
          <w:b/>
          <w:bCs/>
        </w:rPr>
        <w:t>FTSE 100</w:t>
      </w:r>
      <w:r w:rsidRPr="005A3967">
        <w:t xml:space="preserve"> integrated energy firm, </w:t>
      </w:r>
      <w:r w:rsidRPr="005A3967">
        <w:rPr>
          <w:b/>
          <w:bCs/>
        </w:rPr>
        <w:t>data-driven decision-making</w:t>
      </w:r>
      <w:r w:rsidRPr="005A3967">
        <w:t xml:space="preserve"> has become a </w:t>
      </w:r>
      <w:r w:rsidRPr="005A3967">
        <w:rPr>
          <w:i/>
          <w:iCs/>
        </w:rPr>
        <w:t>strategic necessity</w:t>
      </w:r>
      <w:r w:rsidRPr="005A3967">
        <w:t>.</w:t>
      </w:r>
    </w:p>
    <w:p w14:paraId="0F062FE4" w14:textId="77777777" w:rsidR="00C45179" w:rsidRPr="005A3967" w:rsidRDefault="00C45179" w:rsidP="00A55078">
      <w:pPr>
        <w:pStyle w:val="NormalWeb"/>
        <w:spacing w:line="360" w:lineRule="auto"/>
        <w:jc w:val="both"/>
      </w:pPr>
      <w:r w:rsidRPr="005A3967">
        <w:t xml:space="preserve">At the centre of this shift is </w:t>
      </w:r>
      <w:r w:rsidRPr="005A3967">
        <w:rPr>
          <w:b/>
          <w:bCs/>
        </w:rPr>
        <w:t>predictive analytics</w:t>
      </w:r>
      <w:r w:rsidRPr="005A3967">
        <w:t xml:space="preserve">—the application of </w:t>
      </w:r>
      <w:r w:rsidRPr="005A3967">
        <w:rPr>
          <w:i/>
          <w:iCs/>
        </w:rPr>
        <w:t>statistical modelling</w:t>
      </w:r>
      <w:r w:rsidRPr="005A3967">
        <w:t xml:space="preserve">, </w:t>
      </w:r>
      <w:r w:rsidRPr="005A3967">
        <w:rPr>
          <w:i/>
          <w:iCs/>
        </w:rPr>
        <w:t>machine learning</w:t>
      </w:r>
      <w:r w:rsidRPr="005A3967">
        <w:t xml:space="preserve">, and </w:t>
      </w:r>
      <w:r w:rsidRPr="005A3967">
        <w:rPr>
          <w:i/>
          <w:iCs/>
        </w:rPr>
        <w:t>data science</w:t>
      </w:r>
      <w:r w:rsidRPr="005A3967">
        <w:t xml:space="preserve"> to </w:t>
      </w:r>
      <w:r w:rsidRPr="005A3967">
        <w:rPr>
          <w:b/>
          <w:bCs/>
        </w:rPr>
        <w:t>forecast trends</w:t>
      </w:r>
      <w:r w:rsidRPr="005A3967">
        <w:t xml:space="preserve">, </w:t>
      </w:r>
      <w:r w:rsidRPr="005A3967">
        <w:rPr>
          <w:b/>
          <w:bCs/>
        </w:rPr>
        <w:t>manage risks</w:t>
      </w:r>
      <w:r w:rsidRPr="005A3967">
        <w:t xml:space="preserve">, and </w:t>
      </w:r>
      <w:r w:rsidRPr="005A3967">
        <w:rPr>
          <w:b/>
          <w:bCs/>
        </w:rPr>
        <w:t>optimise operations</w:t>
      </w:r>
      <w:r w:rsidRPr="005A3967">
        <w:t xml:space="preserve"> </w:t>
      </w:r>
      <w:r w:rsidRPr="005A3967">
        <w:rPr>
          <w:i/>
          <w:iCs/>
        </w:rPr>
        <w:t xml:space="preserve">(Waller &amp; Fawcett, 2013; Shmueli &amp; </w:t>
      </w:r>
      <w:proofErr w:type="spellStart"/>
      <w:r w:rsidRPr="005A3967">
        <w:rPr>
          <w:i/>
          <w:iCs/>
        </w:rPr>
        <w:t>Koppius</w:t>
      </w:r>
      <w:proofErr w:type="spellEnd"/>
      <w:r w:rsidRPr="005A3967">
        <w:rPr>
          <w:i/>
          <w:iCs/>
        </w:rPr>
        <w:t>, 2011)</w:t>
      </w:r>
      <w:r w:rsidRPr="005A3967">
        <w:t xml:space="preserve">. When effectively implemented, it can drive </w:t>
      </w:r>
      <w:r w:rsidRPr="005A3967">
        <w:rPr>
          <w:b/>
          <w:bCs/>
        </w:rPr>
        <w:t>investment efficiency</w:t>
      </w:r>
      <w:r w:rsidRPr="005A3967">
        <w:t xml:space="preserve">, </w:t>
      </w:r>
      <w:r w:rsidRPr="005A3967">
        <w:rPr>
          <w:b/>
          <w:bCs/>
        </w:rPr>
        <w:t>network resilience</w:t>
      </w:r>
      <w:r w:rsidRPr="005A3967">
        <w:t xml:space="preserve">, </w:t>
      </w:r>
      <w:r w:rsidRPr="005A3967">
        <w:rPr>
          <w:b/>
          <w:bCs/>
        </w:rPr>
        <w:t>customer insight</w:t>
      </w:r>
      <w:r w:rsidRPr="005A3967">
        <w:t xml:space="preserve">, and ensure </w:t>
      </w:r>
      <w:r w:rsidRPr="005A3967">
        <w:rPr>
          <w:b/>
          <w:bCs/>
        </w:rPr>
        <w:t>regulatory compliance</w:t>
      </w:r>
      <w:r w:rsidRPr="005A3967">
        <w:t>.</w:t>
      </w:r>
    </w:p>
    <w:p w14:paraId="7B67EF0D" w14:textId="60B3A3A6" w:rsidR="00C45179" w:rsidRPr="005A3967" w:rsidRDefault="00C45179" w:rsidP="00A55078">
      <w:pPr>
        <w:pStyle w:val="NormalWeb"/>
        <w:spacing w:line="360" w:lineRule="auto"/>
        <w:jc w:val="both"/>
      </w:pPr>
      <w:r w:rsidRPr="005A3967">
        <w:t>Despite notable digital initiatives</w:t>
      </w:r>
      <w:r w:rsidR="0002751E">
        <w:t xml:space="preserve">, </w:t>
      </w:r>
      <w:r w:rsidRPr="005A3967">
        <w:t xml:space="preserve">including the </w:t>
      </w:r>
      <w:r w:rsidR="00622DD9">
        <w:t>establishment</w:t>
      </w:r>
      <w:r w:rsidRPr="005A3967">
        <w:t xml:space="preserve"> of a </w:t>
      </w:r>
      <w:r w:rsidRPr="005A3967">
        <w:rPr>
          <w:b/>
          <w:bCs/>
        </w:rPr>
        <w:t>Chief Data Office</w:t>
      </w:r>
      <w:r w:rsidRPr="005A3967">
        <w:t xml:space="preserve"> and investment in </w:t>
      </w:r>
      <w:r w:rsidRPr="005A3967">
        <w:rPr>
          <w:b/>
          <w:bCs/>
        </w:rPr>
        <w:t>cloud platforms</w:t>
      </w:r>
      <w:r w:rsidR="0002751E">
        <w:t xml:space="preserve">, </w:t>
      </w:r>
      <w:r w:rsidR="00622DD9">
        <w:rPr>
          <w:b/>
          <w:bCs/>
        </w:rPr>
        <w:t>the</w:t>
      </w:r>
      <w:r w:rsidRPr="005A3967">
        <w:rPr>
          <w:b/>
          <w:bCs/>
        </w:rPr>
        <w:t xml:space="preserve"> maturity</w:t>
      </w:r>
      <w:r w:rsidRPr="005A3967">
        <w:t xml:space="preserve"> </w:t>
      </w:r>
      <w:r w:rsidR="00622DD9">
        <w:t xml:space="preserve">of analytics </w:t>
      </w:r>
      <w:r w:rsidRPr="005A3967">
        <w:t xml:space="preserve">within SSE and across the </w:t>
      </w:r>
      <w:r w:rsidR="00622DD9">
        <w:t>broader</w:t>
      </w:r>
      <w:r w:rsidRPr="005A3967">
        <w:t xml:space="preserve"> sector remains </w:t>
      </w:r>
      <w:r w:rsidRPr="005A3967">
        <w:rPr>
          <w:i/>
          <w:iCs/>
        </w:rPr>
        <w:t>uneven</w:t>
      </w:r>
      <w:r w:rsidRPr="005A3967">
        <w:t xml:space="preserve">. Challenges include </w:t>
      </w:r>
      <w:r w:rsidRPr="005A3967">
        <w:rPr>
          <w:b/>
          <w:bCs/>
        </w:rPr>
        <w:t>fragmented governance</w:t>
      </w:r>
      <w:r w:rsidRPr="005A3967">
        <w:t xml:space="preserve">, </w:t>
      </w:r>
      <w:r w:rsidRPr="005A3967">
        <w:rPr>
          <w:b/>
          <w:bCs/>
        </w:rPr>
        <w:t>siloed practices</w:t>
      </w:r>
      <w:r w:rsidRPr="005A3967">
        <w:t xml:space="preserve">, and a lack of </w:t>
      </w:r>
      <w:r w:rsidRPr="005A3967">
        <w:rPr>
          <w:i/>
          <w:iCs/>
        </w:rPr>
        <w:t>cross-functional integration</w:t>
      </w:r>
      <w:r w:rsidRPr="005A3967">
        <w:t xml:space="preserve"> </w:t>
      </w:r>
      <w:r w:rsidRPr="005A3967">
        <w:rPr>
          <w:i/>
          <w:iCs/>
        </w:rPr>
        <w:t>(Capgemini Research Institute, 2020)</w:t>
      </w:r>
      <w:r w:rsidRPr="005A3967">
        <w:t>.</w:t>
      </w:r>
    </w:p>
    <w:p w14:paraId="5D4AD2E3" w14:textId="77777777" w:rsidR="00C45179" w:rsidRPr="005A3967" w:rsidRDefault="00C45179" w:rsidP="00A55078">
      <w:pPr>
        <w:pStyle w:val="NormalWeb"/>
        <w:spacing w:line="360" w:lineRule="auto"/>
        <w:jc w:val="both"/>
      </w:pPr>
      <w:r w:rsidRPr="005A3967">
        <w:t xml:space="preserve">This study addresses that gap through a </w:t>
      </w:r>
      <w:r w:rsidRPr="005A3967">
        <w:rPr>
          <w:b/>
          <w:bCs/>
        </w:rPr>
        <w:t>mixed-methods investigation</w:t>
      </w:r>
      <w:r w:rsidRPr="005A3967">
        <w:t xml:space="preserve"> of </w:t>
      </w:r>
      <w:r w:rsidRPr="005A3967">
        <w:rPr>
          <w:b/>
          <w:bCs/>
        </w:rPr>
        <w:t>SSE’s organisational readiness</w:t>
      </w:r>
      <w:r w:rsidRPr="005A3967">
        <w:t xml:space="preserve">, </w:t>
      </w:r>
      <w:r w:rsidRPr="005A3967">
        <w:rPr>
          <w:b/>
          <w:bCs/>
        </w:rPr>
        <w:t>governance maturity</w:t>
      </w:r>
      <w:r w:rsidRPr="005A3967">
        <w:t xml:space="preserve">, and </w:t>
      </w:r>
      <w:r w:rsidRPr="005A3967">
        <w:rPr>
          <w:b/>
          <w:bCs/>
        </w:rPr>
        <w:t>analytics adoption</w:t>
      </w:r>
      <w:r w:rsidRPr="005A3967">
        <w:t xml:space="preserve">. Drawing on both </w:t>
      </w:r>
      <w:r w:rsidRPr="005A3967">
        <w:rPr>
          <w:i/>
          <w:iCs/>
        </w:rPr>
        <w:t>survey data</w:t>
      </w:r>
      <w:r w:rsidRPr="005A3967">
        <w:t xml:space="preserve"> and </w:t>
      </w:r>
      <w:r w:rsidRPr="005A3967">
        <w:rPr>
          <w:i/>
          <w:iCs/>
        </w:rPr>
        <w:t>qualitative interviews</w:t>
      </w:r>
      <w:r w:rsidRPr="005A3967">
        <w:t xml:space="preserve">, it develops a </w:t>
      </w:r>
      <w:r w:rsidRPr="005A3967">
        <w:rPr>
          <w:b/>
          <w:bCs/>
        </w:rPr>
        <w:t>practical roadmap</w:t>
      </w:r>
      <w:r w:rsidRPr="005A3967">
        <w:t xml:space="preserve"> to support enterprise-wide transformation.</w:t>
      </w:r>
    </w:p>
    <w:p w14:paraId="36117C87" w14:textId="7051761B" w:rsidR="00C45179" w:rsidRPr="005A3967" w:rsidRDefault="00C45179" w:rsidP="00A55078">
      <w:pPr>
        <w:pStyle w:val="NormalWeb"/>
        <w:spacing w:line="360" w:lineRule="auto"/>
        <w:jc w:val="both"/>
      </w:pPr>
      <w:r w:rsidRPr="005A3967">
        <w:t xml:space="preserve">Ultimately, embedding </w:t>
      </w:r>
      <w:r w:rsidRPr="005A3967">
        <w:rPr>
          <w:b/>
          <w:bCs/>
        </w:rPr>
        <w:t>predictive analytics</w:t>
      </w:r>
      <w:r w:rsidRPr="005A3967">
        <w:t xml:space="preserve"> is not just a technical initiative—it requires a </w:t>
      </w:r>
      <w:r w:rsidRPr="005A3967">
        <w:rPr>
          <w:b/>
          <w:bCs/>
        </w:rPr>
        <w:t>cultural shift</w:t>
      </w:r>
      <w:r w:rsidRPr="005A3967">
        <w:t xml:space="preserve">, </w:t>
      </w:r>
      <w:r w:rsidRPr="005A3967">
        <w:rPr>
          <w:b/>
          <w:bCs/>
        </w:rPr>
        <w:t>redefined governance structures</w:t>
      </w:r>
      <w:r w:rsidRPr="005A3967">
        <w:t xml:space="preserve">, and a renewed commitment to treating </w:t>
      </w:r>
      <w:r w:rsidRPr="005A3967">
        <w:rPr>
          <w:b/>
          <w:bCs/>
        </w:rPr>
        <w:t>data as a strategic asset</w:t>
      </w:r>
      <w:r w:rsidRPr="005A3967">
        <w:t xml:space="preserve"> for </w:t>
      </w:r>
      <w:r w:rsidRPr="005A3967">
        <w:rPr>
          <w:b/>
          <w:bCs/>
        </w:rPr>
        <w:t>sustainable success</w:t>
      </w:r>
      <w:r w:rsidRPr="005A3967">
        <w:t>.</w:t>
      </w:r>
    </w:p>
    <w:p w14:paraId="62F33EA3" w14:textId="32455DF7" w:rsidR="004B3A72" w:rsidRPr="005A3967" w:rsidRDefault="00E4124D" w:rsidP="008824B8">
      <w:pPr>
        <w:pStyle w:val="Heading1"/>
        <w:numPr>
          <w:ilvl w:val="0"/>
          <w:numId w:val="6"/>
        </w:numPr>
        <w:rPr>
          <w:rFonts w:ascii="Times New Roman" w:eastAsia="Times New Roman" w:hAnsi="Times New Roman" w:cs="Times New Roman"/>
          <w:b/>
          <w:bCs/>
          <w:color w:val="000000" w:themeColor="text1"/>
        </w:rPr>
      </w:pPr>
      <w:bookmarkStart w:id="4" w:name="_Toc202544482"/>
      <w:r w:rsidRPr="005A3967">
        <w:rPr>
          <w:rFonts w:ascii="Times New Roman" w:eastAsia="Times New Roman" w:hAnsi="Times New Roman" w:cs="Times New Roman"/>
          <w:b/>
          <w:bCs/>
          <w:color w:val="000000" w:themeColor="text1"/>
        </w:rPr>
        <w:t>Research Aim and Objectives</w:t>
      </w:r>
      <w:bookmarkEnd w:id="4"/>
    </w:p>
    <w:p w14:paraId="3663E74D" w14:textId="5CFA4FEA" w:rsidR="004B3A72" w:rsidRPr="005A3967" w:rsidRDefault="00CA3F9F" w:rsidP="004B3A72">
      <w:pPr>
        <w:pStyle w:val="Heading2"/>
        <w:rPr>
          <w:rFonts w:ascii="Times New Roman" w:hAnsi="Times New Roman" w:cs="Times New Roman"/>
        </w:rPr>
      </w:pPr>
      <w:bookmarkStart w:id="5" w:name="_Toc202544483"/>
      <w:r w:rsidRPr="005A3967">
        <w:rPr>
          <w:rFonts w:ascii="Times New Roman" w:hAnsi="Times New Roman" w:cs="Times New Roman"/>
        </w:rPr>
        <w:t>2</w:t>
      </w:r>
      <w:r w:rsidR="004B3A72" w:rsidRPr="005A3967">
        <w:rPr>
          <w:rFonts w:ascii="Times New Roman" w:hAnsi="Times New Roman" w:cs="Times New Roman"/>
        </w:rPr>
        <w:t>.1 Research Aim</w:t>
      </w:r>
      <w:bookmarkEnd w:id="5"/>
    </w:p>
    <w:p w14:paraId="33E871CA" w14:textId="0EBDC657" w:rsidR="00584B8E" w:rsidRPr="005A3967" w:rsidRDefault="00F64955" w:rsidP="005467CC">
      <w:pPr>
        <w:spacing w:before="100" w:beforeAutospacing="1" w:after="100" w:afterAutospacing="1" w:line="360" w:lineRule="auto"/>
        <w:jc w:val="both"/>
      </w:pPr>
      <w:r w:rsidRPr="005A3967">
        <w:t>This study aims</w:t>
      </w:r>
      <w:r w:rsidR="00584B8E" w:rsidRPr="005A3967">
        <w:t xml:space="preserve"> to explore how SSE PLC </w:t>
      </w:r>
      <w:r w:rsidRPr="005A3967">
        <w:t>utilises</w:t>
      </w:r>
      <w:r w:rsidR="00584B8E" w:rsidRPr="005A3967">
        <w:t xml:space="preserve"> predictive analytics to support strategic </w:t>
      </w:r>
      <w:proofErr w:type="gramStart"/>
      <w:r w:rsidR="00105B4A" w:rsidRPr="005A3967">
        <w:t>decision-making</w:t>
      </w:r>
      <w:proofErr w:type="gramEnd"/>
      <w:r w:rsidR="00584B8E" w:rsidRPr="005A3967">
        <w:t xml:space="preserve"> and what</w:t>
      </w:r>
      <w:r w:rsidRPr="005A3967">
        <w:t xml:space="preserve"> factors </w:t>
      </w:r>
      <w:r w:rsidR="00074FBB" w:rsidRPr="005A3967">
        <w:t>enable</w:t>
      </w:r>
      <w:r w:rsidR="00584B8E" w:rsidRPr="005A3967">
        <w:t xml:space="preserve"> or </w:t>
      </w:r>
      <w:r w:rsidR="00074FBB" w:rsidRPr="005A3967">
        <w:t>hinder</w:t>
      </w:r>
      <w:r w:rsidR="00584B8E" w:rsidRPr="005A3967">
        <w:t xml:space="preserve"> </w:t>
      </w:r>
      <w:r w:rsidRPr="005A3967">
        <w:t>this</w:t>
      </w:r>
      <w:r w:rsidR="00584B8E" w:rsidRPr="005A3967">
        <w:t xml:space="preserve"> progress. The focus is on moving beyond isolated efforts toward a more integrated, organisation-wide approach—identifying key enablers, barriers, and practical steps for improvement.</w:t>
      </w:r>
    </w:p>
    <w:p w14:paraId="5E28D097" w14:textId="57E70B96" w:rsidR="004B3A72" w:rsidRPr="005A3967" w:rsidRDefault="00CA3F9F" w:rsidP="004B3A72">
      <w:pPr>
        <w:pStyle w:val="Heading2"/>
        <w:rPr>
          <w:rFonts w:ascii="Times New Roman" w:hAnsi="Times New Roman" w:cs="Times New Roman"/>
        </w:rPr>
      </w:pPr>
      <w:bookmarkStart w:id="6" w:name="_Toc202544484"/>
      <w:r w:rsidRPr="005A3967">
        <w:rPr>
          <w:rFonts w:ascii="Times New Roman" w:hAnsi="Times New Roman" w:cs="Times New Roman"/>
        </w:rPr>
        <w:lastRenderedPageBreak/>
        <w:t>2</w:t>
      </w:r>
      <w:r w:rsidR="004B3A72" w:rsidRPr="005A3967">
        <w:rPr>
          <w:rFonts w:ascii="Times New Roman" w:hAnsi="Times New Roman" w:cs="Times New Roman"/>
        </w:rPr>
        <w:t>.2 Research Objectives</w:t>
      </w:r>
      <w:bookmarkEnd w:id="6"/>
    </w:p>
    <w:p w14:paraId="40AC6987" w14:textId="14940627" w:rsidR="00584B8E" w:rsidRPr="005A3967" w:rsidRDefault="00F64955" w:rsidP="005467CC">
      <w:pPr>
        <w:spacing w:before="100" w:beforeAutospacing="1" w:after="100" w:afterAutospacing="1" w:line="360" w:lineRule="auto"/>
        <w:jc w:val="both"/>
      </w:pPr>
      <w:r w:rsidRPr="005A3967">
        <w:t>Five key objectives guide this study</w:t>
      </w:r>
      <w:r w:rsidR="00584B8E" w:rsidRPr="005A3967">
        <w:t>:</w:t>
      </w:r>
    </w:p>
    <w:p w14:paraId="31592940" w14:textId="77777777" w:rsidR="00584B8E" w:rsidRPr="005A3967" w:rsidRDefault="00584B8E" w:rsidP="008824B8">
      <w:pPr>
        <w:numPr>
          <w:ilvl w:val="0"/>
          <w:numId w:val="19"/>
        </w:numPr>
        <w:spacing w:before="100" w:beforeAutospacing="1" w:after="100" w:afterAutospacing="1" w:line="360" w:lineRule="auto"/>
        <w:jc w:val="both"/>
      </w:pPr>
      <w:r w:rsidRPr="005A3967">
        <w:rPr>
          <w:b/>
          <w:bCs/>
        </w:rPr>
        <w:t>Assess</w:t>
      </w:r>
      <w:r w:rsidRPr="005A3967">
        <w:t xml:space="preserve"> how predictive analytics is currently used across SSE’s business functions and strategic planning.</w:t>
      </w:r>
    </w:p>
    <w:p w14:paraId="4490417C" w14:textId="2FBF9E1E" w:rsidR="00584B8E" w:rsidRPr="005A3967" w:rsidRDefault="00584B8E" w:rsidP="008824B8">
      <w:pPr>
        <w:numPr>
          <w:ilvl w:val="0"/>
          <w:numId w:val="19"/>
        </w:numPr>
        <w:spacing w:before="100" w:beforeAutospacing="1" w:after="100" w:afterAutospacing="1" w:line="360" w:lineRule="auto"/>
        <w:jc w:val="both"/>
      </w:pPr>
      <w:r w:rsidRPr="005A3967">
        <w:rPr>
          <w:b/>
          <w:bCs/>
        </w:rPr>
        <w:t>Evaluate</w:t>
      </w:r>
      <w:r w:rsidRPr="005A3967">
        <w:t xml:space="preserve"> its role in marketing</w:t>
      </w:r>
      <w:r w:rsidR="0002751E">
        <w:t xml:space="preserve">, </w:t>
      </w:r>
      <w:r w:rsidRPr="005A3967">
        <w:t>especially for customer segmentation, targeting, and campaign effectiveness.</w:t>
      </w:r>
    </w:p>
    <w:p w14:paraId="6D2D0597" w14:textId="77777777" w:rsidR="00584B8E" w:rsidRPr="005A3967" w:rsidRDefault="00584B8E" w:rsidP="008824B8">
      <w:pPr>
        <w:numPr>
          <w:ilvl w:val="0"/>
          <w:numId w:val="19"/>
        </w:numPr>
        <w:spacing w:before="100" w:beforeAutospacing="1" w:after="100" w:afterAutospacing="1" w:line="360" w:lineRule="auto"/>
        <w:jc w:val="both"/>
      </w:pPr>
      <w:r w:rsidRPr="005A3967">
        <w:rPr>
          <w:b/>
          <w:bCs/>
        </w:rPr>
        <w:t>Analyse</w:t>
      </w:r>
      <w:r w:rsidRPr="005A3967">
        <w:t xml:space="preserve"> its impact on the quality, speed, and confidence of strategic decisions.</w:t>
      </w:r>
    </w:p>
    <w:p w14:paraId="733C5FFF" w14:textId="77777777" w:rsidR="00584B8E" w:rsidRPr="005A3967" w:rsidRDefault="00584B8E" w:rsidP="008824B8">
      <w:pPr>
        <w:numPr>
          <w:ilvl w:val="0"/>
          <w:numId w:val="19"/>
        </w:numPr>
        <w:spacing w:before="100" w:beforeAutospacing="1" w:after="100" w:afterAutospacing="1" w:line="360" w:lineRule="auto"/>
        <w:jc w:val="both"/>
      </w:pPr>
      <w:r w:rsidRPr="005A3967">
        <w:rPr>
          <w:b/>
          <w:bCs/>
        </w:rPr>
        <w:t>Examine</w:t>
      </w:r>
      <w:r w:rsidRPr="005A3967">
        <w:t xml:space="preserve"> how data governance—policies, quality management, and ownership—supports or hinders adoption.</w:t>
      </w:r>
    </w:p>
    <w:p w14:paraId="6E3BBA49" w14:textId="77777777" w:rsidR="00584B8E" w:rsidRPr="005A3967" w:rsidRDefault="00584B8E" w:rsidP="008824B8">
      <w:pPr>
        <w:numPr>
          <w:ilvl w:val="0"/>
          <w:numId w:val="19"/>
        </w:numPr>
        <w:spacing w:before="100" w:beforeAutospacing="1" w:after="100" w:afterAutospacing="1" w:line="360" w:lineRule="auto"/>
        <w:jc w:val="both"/>
      </w:pPr>
      <w:r w:rsidRPr="005A3967">
        <w:rPr>
          <w:b/>
          <w:bCs/>
        </w:rPr>
        <w:t>Explore</w:t>
      </w:r>
      <w:r w:rsidRPr="005A3967">
        <w:t xml:space="preserve"> SSE’s readiness to scale predictive analytics, with a focus on leadership, skills, and data culture.</w:t>
      </w:r>
    </w:p>
    <w:p w14:paraId="04667E15" w14:textId="77777777" w:rsidR="00584B8E" w:rsidRPr="005A3967" w:rsidRDefault="00584B8E" w:rsidP="005467CC">
      <w:pPr>
        <w:spacing w:before="100" w:beforeAutospacing="1" w:after="100" w:afterAutospacing="1" w:line="360" w:lineRule="auto"/>
        <w:jc w:val="both"/>
      </w:pPr>
      <w:r w:rsidRPr="005A3967">
        <w:t>Together, these objectives frame a focused assessment of SSE’s current capabilities and future potential in data-driven strategy.</w:t>
      </w:r>
    </w:p>
    <w:p w14:paraId="59930052" w14:textId="047D1812" w:rsidR="004B3A72" w:rsidRPr="005A3967" w:rsidRDefault="00CA3F9F" w:rsidP="004B3A72">
      <w:pPr>
        <w:pStyle w:val="Heading2"/>
        <w:rPr>
          <w:rFonts w:ascii="Times New Roman" w:hAnsi="Times New Roman" w:cs="Times New Roman"/>
        </w:rPr>
      </w:pPr>
      <w:bookmarkStart w:id="7" w:name="_Toc202544485"/>
      <w:r w:rsidRPr="005A3967">
        <w:rPr>
          <w:rFonts w:ascii="Times New Roman" w:hAnsi="Times New Roman" w:cs="Times New Roman"/>
        </w:rPr>
        <w:t>2</w:t>
      </w:r>
      <w:r w:rsidR="00D81D65" w:rsidRPr="005A3967">
        <w:rPr>
          <w:rFonts w:ascii="Times New Roman" w:hAnsi="Times New Roman" w:cs="Times New Roman"/>
        </w:rPr>
        <w:t xml:space="preserve">.3 </w:t>
      </w:r>
      <w:r w:rsidR="004B3A72" w:rsidRPr="005A3967">
        <w:rPr>
          <w:rFonts w:ascii="Times New Roman" w:hAnsi="Times New Roman" w:cs="Times New Roman"/>
        </w:rPr>
        <w:t>Research Questions (RQs)</w:t>
      </w:r>
      <w:bookmarkEnd w:id="7"/>
    </w:p>
    <w:p w14:paraId="3DA19D4F" w14:textId="5FCA6D8C" w:rsidR="004B3A72" w:rsidRPr="005A3967" w:rsidRDefault="004B3A72" w:rsidP="005467CC">
      <w:pPr>
        <w:spacing w:before="100" w:beforeAutospacing="1" w:after="100" w:afterAutospacing="1" w:line="360" w:lineRule="auto"/>
        <w:jc w:val="both"/>
      </w:pPr>
      <w:r w:rsidRPr="005A3967">
        <w:t xml:space="preserve">These research questions align with the objectives, forming a structured foundation for the study’s methodology. The alignment is summarised in </w:t>
      </w:r>
      <w:r w:rsidRPr="005A3967">
        <w:rPr>
          <w:b/>
          <w:bCs/>
        </w:rPr>
        <w:t>Table 1</w:t>
      </w:r>
      <w:r w:rsidRPr="005A3967">
        <w:t>.</w:t>
      </w:r>
    </w:p>
    <w:p w14:paraId="10E67199" w14:textId="5B5F5E52" w:rsidR="001F07A2" w:rsidRPr="005A3967" w:rsidRDefault="00502321" w:rsidP="00502321">
      <w:pPr>
        <w:pStyle w:val="Caption"/>
        <w:rPr>
          <w:b/>
          <w:bCs/>
        </w:rPr>
      </w:pPr>
      <w:bookmarkStart w:id="8" w:name="_Toc201942891"/>
      <w:r w:rsidRPr="005A3967">
        <w:rPr>
          <w:b/>
          <w:bCs/>
        </w:rPr>
        <w:t xml:space="preserve">Table </w:t>
      </w:r>
      <w:r w:rsidR="003831A5" w:rsidRPr="005A3967">
        <w:rPr>
          <w:b/>
          <w:bCs/>
        </w:rPr>
        <w:fldChar w:fldCharType="begin"/>
      </w:r>
      <w:r w:rsidR="003831A5" w:rsidRPr="005A3967">
        <w:rPr>
          <w:b/>
          <w:bCs/>
        </w:rPr>
        <w:instrText xml:space="preserve"> SEQ Table \* ARABIC </w:instrText>
      </w:r>
      <w:r w:rsidR="003831A5" w:rsidRPr="005A3967">
        <w:rPr>
          <w:b/>
          <w:bCs/>
        </w:rPr>
        <w:fldChar w:fldCharType="separate"/>
      </w:r>
      <w:r w:rsidR="00A50FDD" w:rsidRPr="005A3967">
        <w:rPr>
          <w:b/>
          <w:bCs/>
          <w:noProof/>
        </w:rPr>
        <w:t>1</w:t>
      </w:r>
      <w:r w:rsidR="003831A5" w:rsidRPr="005A3967">
        <w:rPr>
          <w:b/>
          <w:bCs/>
          <w:noProof/>
        </w:rPr>
        <w:fldChar w:fldCharType="end"/>
      </w:r>
      <w:r w:rsidRPr="005A3967">
        <w:rPr>
          <w:b/>
          <w:bCs/>
        </w:rPr>
        <w:t>: Alignment of Research Objectives and Research Questions</w:t>
      </w:r>
      <w:r w:rsidR="00DA5393" w:rsidRPr="005A3967">
        <w:rPr>
          <w:b/>
          <w:bCs/>
        </w:rPr>
        <w:t xml:space="preserve"> (Author’s conceptualisatio</w:t>
      </w:r>
      <w:r w:rsidR="007607D1" w:rsidRPr="005A3967">
        <w:rPr>
          <w:b/>
          <w:bCs/>
        </w:rPr>
        <w:t>n</w:t>
      </w:r>
      <w:r w:rsidR="00DA5393" w:rsidRPr="005A3967">
        <w:rPr>
          <w:b/>
          <w:bCs/>
        </w:rPr>
        <w:t>)</w:t>
      </w:r>
      <w:r w:rsidR="00922007" w:rsidRPr="005A3967">
        <w:rPr>
          <w:rStyle w:val="FootnoteReference"/>
          <w:b/>
          <w:bCs/>
        </w:rPr>
        <w:footnoteReference w:id="1"/>
      </w:r>
      <w:bookmarkEnd w:id="8"/>
    </w:p>
    <w:p w14:paraId="1DC7FB64" w14:textId="60347C05" w:rsidR="00EE5A0B" w:rsidRPr="005A3967" w:rsidRDefault="00EE5A0B" w:rsidP="00C0512C">
      <w:pPr>
        <w:jc w:val="center"/>
      </w:pPr>
      <w:r w:rsidRPr="005A3967">
        <w:rPr>
          <w:noProof/>
          <w14:ligatures w14:val="standardContextual"/>
        </w:rPr>
        <w:drawing>
          <wp:inline distT="0" distB="0" distL="0" distR="0" wp14:anchorId="5886A342" wp14:editId="4625F448">
            <wp:extent cx="5852121" cy="2720529"/>
            <wp:effectExtent l="0" t="0" r="3175" b="0"/>
            <wp:docPr id="1787216941" name="Picture 28"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216941" name="Picture 28" descr="A close-up of a tabl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02728" cy="2744055"/>
                    </a:xfrm>
                    <a:prstGeom prst="rect">
                      <a:avLst/>
                    </a:prstGeom>
                  </pic:spPr>
                </pic:pic>
              </a:graphicData>
            </a:graphic>
          </wp:inline>
        </w:drawing>
      </w:r>
    </w:p>
    <w:p w14:paraId="5AC1A23A" w14:textId="0219EDE0" w:rsidR="00E4124D" w:rsidRPr="005A3967" w:rsidRDefault="003275CF" w:rsidP="00C31E77">
      <w:pPr>
        <w:pStyle w:val="Heading1"/>
        <w:rPr>
          <w:rFonts w:ascii="Times New Roman" w:eastAsia="Times New Roman" w:hAnsi="Times New Roman" w:cs="Times New Roman"/>
          <w:b/>
          <w:bCs/>
          <w:color w:val="000000" w:themeColor="text1"/>
        </w:rPr>
      </w:pPr>
      <w:bookmarkStart w:id="9" w:name="_Toc202544486"/>
      <w:r w:rsidRPr="005A3967">
        <w:rPr>
          <w:rFonts w:ascii="Times New Roman" w:hAnsi="Times New Roman" w:cs="Times New Roman"/>
          <w:b/>
          <w:bCs/>
          <w:color w:val="000000" w:themeColor="text1"/>
        </w:rPr>
        <w:lastRenderedPageBreak/>
        <w:t xml:space="preserve">3. </w:t>
      </w:r>
      <w:r w:rsidR="00E4124D" w:rsidRPr="005A3967">
        <w:rPr>
          <w:rFonts w:ascii="Times New Roman" w:hAnsi="Times New Roman" w:cs="Times New Roman"/>
          <w:b/>
          <w:bCs/>
          <w:color w:val="000000" w:themeColor="text1"/>
        </w:rPr>
        <w:t>Background and Context</w:t>
      </w:r>
      <w:bookmarkEnd w:id="9"/>
    </w:p>
    <w:p w14:paraId="21651E06" w14:textId="110D6200" w:rsidR="0012064F" w:rsidRPr="005A3967" w:rsidRDefault="00544E6D" w:rsidP="0012064F">
      <w:pPr>
        <w:pStyle w:val="Heading2"/>
        <w:rPr>
          <w:rFonts w:ascii="Times New Roman" w:hAnsi="Times New Roman" w:cs="Times New Roman"/>
        </w:rPr>
      </w:pPr>
      <w:bookmarkStart w:id="10" w:name="_Toc202544487"/>
      <w:r w:rsidRPr="005A3967">
        <w:rPr>
          <w:rFonts w:ascii="Times New Roman" w:hAnsi="Times New Roman" w:cs="Times New Roman"/>
        </w:rPr>
        <w:t>3</w:t>
      </w:r>
      <w:r w:rsidR="00884355" w:rsidRPr="005A3967">
        <w:rPr>
          <w:rFonts w:ascii="Times New Roman" w:hAnsi="Times New Roman" w:cs="Times New Roman"/>
        </w:rPr>
        <w:t xml:space="preserve">.1 </w:t>
      </w:r>
      <w:r w:rsidR="00E4124D" w:rsidRPr="005A3967">
        <w:rPr>
          <w:rFonts w:ascii="Times New Roman" w:hAnsi="Times New Roman" w:cs="Times New Roman"/>
        </w:rPr>
        <w:t>Industry Context and Rationale</w:t>
      </w:r>
      <w:bookmarkEnd w:id="10"/>
    </w:p>
    <w:p w14:paraId="30B5DD9F" w14:textId="1F07BFA3" w:rsidR="0012064F" w:rsidRPr="005A3967" w:rsidRDefault="0012064F" w:rsidP="005467CC">
      <w:pPr>
        <w:spacing w:before="100" w:beforeAutospacing="1" w:after="100" w:afterAutospacing="1" w:line="360" w:lineRule="auto"/>
        <w:jc w:val="both"/>
      </w:pPr>
      <w:r w:rsidRPr="005A3967">
        <w:t xml:space="preserve">As data volumes grow and analytics tools evolve, organisations are rethinking </w:t>
      </w:r>
      <w:r w:rsidR="00F64955" w:rsidRPr="005A3967">
        <w:t>their strategic planning</w:t>
      </w:r>
      <w:r w:rsidRPr="005A3967">
        <w:t>. Predictive analytics—using historical data, statistical models, and machine learning—helps support more confident, evidence-based decisions (Davenport &amp; Harris, 2017; Brynjolfsson et al., 2021).</w:t>
      </w:r>
    </w:p>
    <w:p w14:paraId="5EFB8C73" w14:textId="1844A3A5" w:rsidR="0012064F" w:rsidRPr="005A3967" w:rsidRDefault="0012064F" w:rsidP="005467CC">
      <w:pPr>
        <w:spacing w:before="100" w:beforeAutospacing="1" w:after="100" w:afterAutospacing="1" w:line="360" w:lineRule="auto"/>
        <w:jc w:val="both"/>
      </w:pPr>
      <w:r w:rsidRPr="005A3967">
        <w:t xml:space="preserve">In the UK energy sector, </w:t>
      </w:r>
      <w:r w:rsidR="00F64955" w:rsidRPr="005A3967">
        <w:t>operational resilience is becoming increasingly essential, driven by</w:t>
      </w:r>
      <w:r w:rsidRPr="005A3967">
        <w:t xml:space="preserve"> the shift toward low-carbon solutions </w:t>
      </w:r>
      <w:r w:rsidR="00F64955" w:rsidRPr="005A3967">
        <w:t>and alignment</w:t>
      </w:r>
      <w:r w:rsidRPr="005A3967">
        <w:t xml:space="preserve"> with national climate goals (IEA, 2022; Ofgem, 2023). SSE PLC is responding by gradually strengthening its digital and analytics capabilities, taking a phased approach to </w:t>
      </w:r>
      <w:r w:rsidR="00F64955" w:rsidRPr="005A3967">
        <w:t>embedding</w:t>
      </w:r>
      <w:r w:rsidRPr="005A3967">
        <w:t xml:space="preserve"> predictive tools into core decision-making (see Figure 1).</w:t>
      </w:r>
    </w:p>
    <w:p w14:paraId="0275CD09" w14:textId="70293837" w:rsidR="00E412C1" w:rsidRPr="005A3967" w:rsidRDefault="00E412C1" w:rsidP="00462E03">
      <w:pPr>
        <w:spacing w:before="100" w:beforeAutospacing="1" w:after="100" w:afterAutospacing="1" w:line="360" w:lineRule="auto"/>
        <w:jc w:val="center"/>
      </w:pPr>
      <w:r w:rsidRPr="005A3967">
        <w:fldChar w:fldCharType="begin"/>
      </w:r>
      <w:r w:rsidRPr="005A3967">
        <w:instrText xml:space="preserve"> INCLUDEPICTURE "https://sdmntprukwest.oaiusercontent.com/files/00000000-263c-6243-9767-cf4c7772caea/raw?se=2025-04-25T20%3A12%3A11Z&amp;sp=r&amp;sv=2024-08-04&amp;sr=b&amp;scid=92113f05-b2ff-53c8-87b1-6cf25b601347&amp;skoid=06d77cea-897f-49c6-9d78-20f6510f72af&amp;sktid=a48cca56-e6da-484e-a814-9c849652bcb3&amp;skt=2025-04-25T06%3A18%3A07Z&amp;ske=2025-04-26T06%3A18%3A07Z&amp;sks=b&amp;skv=2024-08-04&amp;sig=SfC0JAyX9LyyrGv6cXiulcH5wCBN03w4PV7XM4xH2bI%3D" \* MERGEFORMATINET </w:instrText>
      </w:r>
      <w:r w:rsidRPr="005A3967">
        <w:fldChar w:fldCharType="separate"/>
      </w:r>
      <w:r w:rsidRPr="005A3967">
        <w:rPr>
          <w:noProof/>
        </w:rPr>
        <w:drawing>
          <wp:inline distT="0" distB="0" distL="0" distR="0" wp14:anchorId="0C6527BC" wp14:editId="1EED1161">
            <wp:extent cx="3678090" cy="1186349"/>
            <wp:effectExtent l="0" t="0" r="5080" b="0"/>
            <wp:docPr id="691056153" name="Picture 8"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Generated image"/>
                    <pic:cNvPicPr>
                      <a:picLocks noChangeAspect="1" noChangeArrowheads="1"/>
                    </pic:cNvPicPr>
                  </pic:nvPicPr>
                  <pic:blipFill rotWithShape="1">
                    <a:blip r:embed="rId14">
                      <a:extLst>
                        <a:ext uri="{28A0092B-C50C-407E-A947-70E740481C1C}">
                          <a14:useLocalDpi xmlns:a14="http://schemas.microsoft.com/office/drawing/2010/main" val="0"/>
                        </a:ext>
                      </a:extLst>
                    </a:blip>
                    <a:srcRect l="3073" t="17353" r="2058" b="36746"/>
                    <a:stretch/>
                  </pic:blipFill>
                  <pic:spPr bwMode="auto">
                    <a:xfrm>
                      <a:off x="0" y="0"/>
                      <a:ext cx="3761166" cy="1213145"/>
                    </a:xfrm>
                    <a:prstGeom prst="rect">
                      <a:avLst/>
                    </a:prstGeom>
                    <a:noFill/>
                    <a:ln>
                      <a:noFill/>
                    </a:ln>
                    <a:extLst>
                      <a:ext uri="{53640926-AAD7-44D8-BBD7-CCE9431645EC}">
                        <a14:shadowObscured xmlns:a14="http://schemas.microsoft.com/office/drawing/2010/main"/>
                      </a:ext>
                    </a:extLst>
                  </pic:spPr>
                </pic:pic>
              </a:graphicData>
            </a:graphic>
          </wp:inline>
        </w:drawing>
      </w:r>
      <w:r w:rsidR="00413AF0" w:rsidRPr="005A3967">
        <w:rPr>
          <w:rStyle w:val="FootnoteReference"/>
        </w:rPr>
        <w:footnoteReference w:id="2"/>
      </w:r>
      <w:r w:rsidRPr="005A3967">
        <w:fldChar w:fldCharType="end"/>
      </w:r>
    </w:p>
    <w:p w14:paraId="2F14071E" w14:textId="0F93CAF6" w:rsidR="007A119A" w:rsidRPr="005A3967" w:rsidRDefault="00EE053D" w:rsidP="00462E03">
      <w:pPr>
        <w:pStyle w:val="Caption"/>
        <w:spacing w:line="360" w:lineRule="auto"/>
        <w:jc w:val="center"/>
        <w:rPr>
          <w:rStyle w:val="Strong"/>
          <w:rFonts w:eastAsiaTheme="majorEastAsia"/>
          <w:b w:val="0"/>
          <w:bCs w:val="0"/>
        </w:rPr>
      </w:pPr>
      <w:bookmarkStart w:id="11" w:name="_Toc201942911"/>
      <w:r w:rsidRPr="005A3967">
        <w:rPr>
          <w:b/>
          <w:bCs/>
        </w:rPr>
        <w:t xml:space="preserve">Figure </w:t>
      </w:r>
      <w:r w:rsidR="00747E01" w:rsidRPr="005A3967">
        <w:rPr>
          <w:b/>
          <w:bCs/>
        </w:rPr>
        <w:fldChar w:fldCharType="begin"/>
      </w:r>
      <w:r w:rsidR="00747E01" w:rsidRPr="005A3967">
        <w:rPr>
          <w:b/>
          <w:bCs/>
        </w:rPr>
        <w:instrText xml:space="preserve"> SEQ Figure \* ARABIC </w:instrText>
      </w:r>
      <w:r w:rsidR="00747E01" w:rsidRPr="005A3967">
        <w:rPr>
          <w:b/>
          <w:bCs/>
        </w:rPr>
        <w:fldChar w:fldCharType="separate"/>
      </w:r>
      <w:r w:rsidR="00747E01" w:rsidRPr="005A3967">
        <w:rPr>
          <w:b/>
          <w:bCs/>
          <w:noProof/>
        </w:rPr>
        <w:t>1</w:t>
      </w:r>
      <w:r w:rsidR="00747E01" w:rsidRPr="005A3967">
        <w:rPr>
          <w:b/>
          <w:bCs/>
          <w:noProof/>
        </w:rPr>
        <w:fldChar w:fldCharType="end"/>
      </w:r>
      <w:r w:rsidRPr="005A3967">
        <w:rPr>
          <w:b/>
          <w:bCs/>
        </w:rPr>
        <w:t>: SSE Plc Digital Transformation Timeline</w:t>
      </w:r>
      <w:r w:rsidR="00D51EA0" w:rsidRPr="005A3967">
        <w:rPr>
          <w:b/>
          <w:bCs/>
        </w:rPr>
        <w:t xml:space="preserve"> (Adapted from SSE PLC (2024d), author's elaboration)</w:t>
      </w:r>
      <w:bookmarkEnd w:id="11"/>
    </w:p>
    <w:p w14:paraId="30004054" w14:textId="58261756" w:rsidR="00413AF0" w:rsidRPr="005A3967" w:rsidRDefault="00413AF0" w:rsidP="00C43C96">
      <w:pPr>
        <w:spacing w:before="100" w:beforeAutospacing="1" w:after="100" w:afterAutospacing="1" w:line="360" w:lineRule="auto"/>
        <w:jc w:val="both"/>
      </w:pPr>
      <w:r w:rsidRPr="005A3967">
        <w:t>As SSE moves toward enterprise-wide AI and predictive analytics adoption, it becomes essential to understand the theoretical foundations, organisational enablers, and strategic frameworks that underpin successful analytics integration, which the following literature review explores in detail.</w:t>
      </w:r>
    </w:p>
    <w:p w14:paraId="6340180B" w14:textId="652A827D" w:rsidR="000F3CE9" w:rsidRPr="005A3967" w:rsidRDefault="00544E6D" w:rsidP="000F3CE9">
      <w:pPr>
        <w:pStyle w:val="Heading2"/>
        <w:rPr>
          <w:rFonts w:ascii="Times New Roman" w:hAnsi="Times New Roman" w:cs="Times New Roman"/>
        </w:rPr>
      </w:pPr>
      <w:bookmarkStart w:id="12" w:name="_Toc202544488"/>
      <w:r w:rsidRPr="005A3967">
        <w:rPr>
          <w:rFonts w:ascii="Times New Roman" w:hAnsi="Times New Roman" w:cs="Times New Roman"/>
        </w:rPr>
        <w:t>3</w:t>
      </w:r>
      <w:r w:rsidR="00884355" w:rsidRPr="005A3967">
        <w:rPr>
          <w:rFonts w:ascii="Times New Roman" w:hAnsi="Times New Roman" w:cs="Times New Roman"/>
        </w:rPr>
        <w:t xml:space="preserve">.2 </w:t>
      </w:r>
      <w:r w:rsidR="00E4124D" w:rsidRPr="005A3967">
        <w:rPr>
          <w:rFonts w:ascii="Times New Roman" w:hAnsi="Times New Roman" w:cs="Times New Roman"/>
        </w:rPr>
        <w:t>Company Profile: SSE PLC</w:t>
      </w:r>
      <w:bookmarkEnd w:id="12"/>
    </w:p>
    <w:p w14:paraId="54D11E10" w14:textId="3EF1B2D5" w:rsidR="001B3CEA" w:rsidRPr="005A3967" w:rsidRDefault="001B3CEA" w:rsidP="001B3CEA">
      <w:pPr>
        <w:spacing w:before="100" w:beforeAutospacing="1" w:after="100" w:afterAutospacing="1" w:line="360" w:lineRule="auto"/>
        <w:jc w:val="both"/>
      </w:pPr>
      <w:r w:rsidRPr="005A3967">
        <w:rPr>
          <w:b/>
          <w:bCs/>
        </w:rPr>
        <w:t>SSE PLC</w:t>
      </w:r>
      <w:r w:rsidRPr="005A3967">
        <w:t xml:space="preserve">, a </w:t>
      </w:r>
      <w:r w:rsidRPr="005A3967">
        <w:rPr>
          <w:b/>
          <w:bCs/>
        </w:rPr>
        <w:t>FTSE 100</w:t>
      </w:r>
      <w:r w:rsidRPr="005A3967">
        <w:t xml:space="preserve"> energy company headquartered in </w:t>
      </w:r>
      <w:r w:rsidRPr="005A3967">
        <w:rPr>
          <w:i/>
          <w:iCs/>
        </w:rPr>
        <w:t>Perth, Scotland</w:t>
      </w:r>
      <w:r w:rsidRPr="005A3967">
        <w:t xml:space="preserve">, operates across </w:t>
      </w:r>
      <w:r w:rsidRPr="005A3967">
        <w:rPr>
          <w:b/>
          <w:bCs/>
        </w:rPr>
        <w:t>generation</w:t>
      </w:r>
      <w:r w:rsidRPr="005A3967">
        <w:t xml:space="preserve">, </w:t>
      </w:r>
      <w:r w:rsidRPr="005A3967">
        <w:rPr>
          <w:b/>
          <w:bCs/>
        </w:rPr>
        <w:t>transmission</w:t>
      </w:r>
      <w:r w:rsidRPr="005A3967">
        <w:t xml:space="preserve">, </w:t>
      </w:r>
      <w:r w:rsidRPr="005A3967">
        <w:rPr>
          <w:b/>
          <w:bCs/>
        </w:rPr>
        <w:t>distribution</w:t>
      </w:r>
      <w:r w:rsidRPr="005A3967">
        <w:t xml:space="preserve">, and </w:t>
      </w:r>
      <w:r w:rsidRPr="005A3967">
        <w:rPr>
          <w:b/>
          <w:bCs/>
        </w:rPr>
        <w:t>retail</w:t>
      </w:r>
      <w:r w:rsidRPr="005A3967">
        <w:t xml:space="preserve">, with over </w:t>
      </w:r>
      <w:r w:rsidRPr="005A3967">
        <w:rPr>
          <w:b/>
          <w:bCs/>
        </w:rPr>
        <w:t>12,000 employees</w:t>
      </w:r>
      <w:r w:rsidRPr="005A3967">
        <w:t xml:space="preserve"> </w:t>
      </w:r>
      <w:r w:rsidRPr="005A3967">
        <w:rPr>
          <w:i/>
          <w:iCs/>
        </w:rPr>
        <w:t>(SSE, 2024a)</w:t>
      </w:r>
      <w:r w:rsidRPr="005A3967">
        <w:t>.</w:t>
      </w:r>
      <w:r w:rsidR="004C5CA0" w:rsidRPr="005A3967">
        <w:t xml:space="preserve"> </w:t>
      </w:r>
      <w:r w:rsidRPr="005A3967">
        <w:t xml:space="preserve">Through its </w:t>
      </w:r>
      <w:r w:rsidRPr="005A3967">
        <w:rPr>
          <w:b/>
          <w:bCs/>
        </w:rPr>
        <w:t>£20.5bn Net Zero Acceleration Programme Plus</w:t>
      </w:r>
      <w:r w:rsidRPr="005A3967">
        <w:t xml:space="preserve">, SSE is investing in </w:t>
      </w:r>
      <w:r w:rsidRPr="005A3967">
        <w:rPr>
          <w:i/>
          <w:iCs/>
        </w:rPr>
        <w:t>offshore wind</w:t>
      </w:r>
      <w:r w:rsidRPr="005A3967">
        <w:t xml:space="preserve">, </w:t>
      </w:r>
      <w:r w:rsidRPr="005A3967">
        <w:rPr>
          <w:i/>
          <w:iCs/>
        </w:rPr>
        <w:t>flexible generation</w:t>
      </w:r>
      <w:r w:rsidRPr="005A3967">
        <w:t xml:space="preserve">, and </w:t>
      </w:r>
      <w:r w:rsidRPr="005A3967">
        <w:rPr>
          <w:i/>
          <w:iCs/>
        </w:rPr>
        <w:t>network upgrades</w:t>
      </w:r>
      <w:r w:rsidRPr="005A3967">
        <w:t xml:space="preserve"> to accelerate the energy transition </w:t>
      </w:r>
      <w:r w:rsidRPr="005A3967">
        <w:rPr>
          <w:i/>
          <w:iCs/>
        </w:rPr>
        <w:t>(SSE, 2024b)</w:t>
      </w:r>
      <w:r w:rsidRPr="005A3967">
        <w:t xml:space="preserve">. Since launching its </w:t>
      </w:r>
      <w:r w:rsidRPr="005A3967">
        <w:rPr>
          <w:b/>
          <w:bCs/>
        </w:rPr>
        <w:t>Chief Data Office</w:t>
      </w:r>
      <w:r w:rsidRPr="005A3967">
        <w:t xml:space="preserve"> in </w:t>
      </w:r>
      <w:r w:rsidRPr="005A3967">
        <w:rPr>
          <w:i/>
          <w:iCs/>
        </w:rPr>
        <w:t>2020</w:t>
      </w:r>
      <w:r w:rsidRPr="005A3967">
        <w:t xml:space="preserve">, the company has focused on </w:t>
      </w:r>
      <w:r w:rsidRPr="005A3967">
        <w:rPr>
          <w:b/>
          <w:bCs/>
        </w:rPr>
        <w:t>digital transformation</w:t>
      </w:r>
      <w:r w:rsidRPr="005A3967">
        <w:t xml:space="preserve"> through enhanced </w:t>
      </w:r>
      <w:r w:rsidRPr="005A3967">
        <w:rPr>
          <w:b/>
          <w:bCs/>
        </w:rPr>
        <w:t>data governance</w:t>
      </w:r>
      <w:r w:rsidRPr="005A3967">
        <w:t xml:space="preserve">, </w:t>
      </w:r>
      <w:r w:rsidRPr="005A3967">
        <w:rPr>
          <w:b/>
          <w:bCs/>
        </w:rPr>
        <w:t>cloud infrastructure</w:t>
      </w:r>
      <w:r w:rsidRPr="005A3967">
        <w:t xml:space="preserve">, and </w:t>
      </w:r>
      <w:r w:rsidRPr="005A3967">
        <w:rPr>
          <w:b/>
          <w:bCs/>
        </w:rPr>
        <w:t xml:space="preserve">AI </w:t>
      </w:r>
      <w:r w:rsidRPr="005A3967">
        <w:rPr>
          <w:b/>
          <w:bCs/>
        </w:rPr>
        <w:lastRenderedPageBreak/>
        <w:t>adoption</w:t>
      </w:r>
      <w:r w:rsidRPr="005A3967">
        <w:t xml:space="preserve"> </w:t>
      </w:r>
      <w:r w:rsidRPr="005A3967">
        <w:rPr>
          <w:i/>
          <w:iCs/>
        </w:rPr>
        <w:t>(SSE, 2024c)</w:t>
      </w:r>
      <w:r w:rsidRPr="005A3967">
        <w:t>.</w:t>
      </w:r>
      <w:r w:rsidR="004C5CA0" w:rsidRPr="005A3967">
        <w:t xml:space="preserve"> </w:t>
      </w:r>
      <w:r w:rsidRPr="005A3967">
        <w:t xml:space="preserve">However, </w:t>
      </w:r>
      <w:r w:rsidRPr="005A3967">
        <w:rPr>
          <w:b/>
          <w:bCs/>
        </w:rPr>
        <w:t>predictive analytics maturity</w:t>
      </w:r>
      <w:r w:rsidRPr="005A3967">
        <w:t xml:space="preserve"> remains </w:t>
      </w:r>
      <w:r w:rsidRPr="005A3967">
        <w:rPr>
          <w:i/>
          <w:iCs/>
        </w:rPr>
        <w:t>uneven</w:t>
      </w:r>
      <w:r w:rsidRPr="005A3967">
        <w:t xml:space="preserve">, hindered by </w:t>
      </w:r>
      <w:r w:rsidRPr="005A3967">
        <w:rPr>
          <w:b/>
          <w:bCs/>
        </w:rPr>
        <w:t>data silos</w:t>
      </w:r>
      <w:r w:rsidRPr="005A3967">
        <w:t xml:space="preserve">, </w:t>
      </w:r>
      <w:r w:rsidRPr="005A3967">
        <w:rPr>
          <w:i/>
          <w:iCs/>
        </w:rPr>
        <w:t>limited cross-functional collaboration</w:t>
      </w:r>
      <w:r w:rsidRPr="005A3967">
        <w:t xml:space="preserve">, and </w:t>
      </w:r>
      <w:r w:rsidRPr="005A3967">
        <w:rPr>
          <w:i/>
          <w:iCs/>
        </w:rPr>
        <w:t>cultural resistance</w:t>
      </w:r>
      <w:r w:rsidRPr="005A3967">
        <w:t xml:space="preserve">—challenges highlighted in recent assessments </w:t>
      </w:r>
      <w:r w:rsidRPr="005A3967">
        <w:rPr>
          <w:i/>
          <w:iCs/>
        </w:rPr>
        <w:t>(KPMG, 2024)</w:t>
      </w:r>
      <w:r w:rsidRPr="005A3967">
        <w:t xml:space="preserve">. Overcoming these issues is </w:t>
      </w:r>
      <w:r w:rsidR="0002751E">
        <w:t>crucial</w:t>
      </w:r>
      <w:r w:rsidRPr="005A3967">
        <w:t xml:space="preserve"> to </w:t>
      </w:r>
      <w:r w:rsidR="0002751E">
        <w:t>achieving</w:t>
      </w:r>
      <w:r w:rsidRPr="005A3967">
        <w:t xml:space="preserve"> </w:t>
      </w:r>
      <w:r w:rsidRPr="005A3967">
        <w:rPr>
          <w:b/>
          <w:bCs/>
        </w:rPr>
        <w:t>net-zero objectives</w:t>
      </w:r>
      <w:r w:rsidRPr="005A3967">
        <w:t xml:space="preserve">, </w:t>
      </w:r>
      <w:r w:rsidR="0002751E">
        <w:t>strengthening</w:t>
      </w:r>
      <w:r w:rsidRPr="005A3967">
        <w:t xml:space="preserve"> </w:t>
      </w:r>
      <w:r w:rsidRPr="005A3967">
        <w:rPr>
          <w:b/>
          <w:bCs/>
        </w:rPr>
        <w:t>risk management</w:t>
      </w:r>
      <w:r w:rsidRPr="005A3967">
        <w:t xml:space="preserve">, and </w:t>
      </w:r>
      <w:r w:rsidR="0002751E">
        <w:t>enhancing</w:t>
      </w:r>
      <w:r w:rsidRPr="005A3967">
        <w:t xml:space="preserve"> </w:t>
      </w:r>
      <w:r w:rsidRPr="005A3967">
        <w:rPr>
          <w:b/>
          <w:bCs/>
        </w:rPr>
        <w:t>customer service</w:t>
      </w:r>
      <w:r w:rsidRPr="005A3967">
        <w:t>.</w:t>
      </w:r>
    </w:p>
    <w:p w14:paraId="6DD707D9" w14:textId="6E3F69C6" w:rsidR="00FB65A3" w:rsidRPr="005A3967" w:rsidRDefault="00544E6D" w:rsidP="00FB65A3">
      <w:pPr>
        <w:pStyle w:val="Heading2"/>
        <w:rPr>
          <w:rFonts w:ascii="Times New Roman" w:hAnsi="Times New Roman" w:cs="Times New Roman"/>
        </w:rPr>
      </w:pPr>
      <w:bookmarkStart w:id="13" w:name="_Toc202544489"/>
      <w:r w:rsidRPr="005A3967">
        <w:rPr>
          <w:rFonts w:ascii="Times New Roman" w:hAnsi="Times New Roman" w:cs="Times New Roman"/>
        </w:rPr>
        <w:t>3</w:t>
      </w:r>
      <w:r w:rsidR="00884355" w:rsidRPr="005A3967">
        <w:rPr>
          <w:rFonts w:ascii="Times New Roman" w:hAnsi="Times New Roman" w:cs="Times New Roman"/>
        </w:rPr>
        <w:t xml:space="preserve">.3 </w:t>
      </w:r>
      <w:r w:rsidR="00E4124D" w:rsidRPr="005A3967">
        <w:rPr>
          <w:rFonts w:ascii="Times New Roman" w:hAnsi="Times New Roman" w:cs="Times New Roman"/>
        </w:rPr>
        <w:t>Contextual Relevance and Contributions</w:t>
      </w:r>
      <w:bookmarkEnd w:id="13"/>
    </w:p>
    <w:p w14:paraId="6D211EB4" w14:textId="328E2DF2" w:rsidR="007C30A2" w:rsidRPr="005A3967" w:rsidRDefault="007C30A2" w:rsidP="00C43C96">
      <w:pPr>
        <w:spacing w:before="100" w:beforeAutospacing="1" w:after="100" w:afterAutospacing="1" w:line="360" w:lineRule="auto"/>
        <w:jc w:val="both"/>
      </w:pPr>
      <w:r w:rsidRPr="005A3967">
        <w:t>As SSE faces growing pressure from decarbonisation, customer demands, and competition, this study explores how predictive analytics can support its transformation. It identifies key enablers and barriers, highlights cultural and governance gaps, and offers practical recommendations, including a tailored maturity roadmap.</w:t>
      </w:r>
      <w:r w:rsidR="004C5CA0" w:rsidRPr="005A3967">
        <w:t xml:space="preserve"> </w:t>
      </w:r>
      <w:r w:rsidRPr="005A3967">
        <w:t xml:space="preserve">Academically, it addresses a gap by focusing on </w:t>
      </w:r>
      <w:r w:rsidR="00F64955" w:rsidRPr="005A3967">
        <w:t>the</w:t>
      </w:r>
      <w:r w:rsidRPr="005A3967">
        <w:t xml:space="preserve"> adoption </w:t>
      </w:r>
      <w:r w:rsidR="00F64955" w:rsidRPr="005A3967">
        <w:t xml:space="preserve">of analytics </w:t>
      </w:r>
      <w:r w:rsidRPr="005A3967">
        <w:t xml:space="preserve">in </w:t>
      </w:r>
      <w:r w:rsidR="00F64955" w:rsidRPr="005A3967">
        <w:t>asset-intensive</w:t>
      </w:r>
      <w:r w:rsidRPr="005A3967">
        <w:t xml:space="preserve"> industries. It evaluates the DELTA and DCAM frameworks in a utility context and contributes to understanding how leadership, culture, and technology drive data-led change.</w:t>
      </w:r>
    </w:p>
    <w:p w14:paraId="4EFDC050" w14:textId="2F419F9D" w:rsidR="00E4124D" w:rsidRPr="005A3967" w:rsidRDefault="003275CF" w:rsidP="00E92359">
      <w:pPr>
        <w:pStyle w:val="Heading1"/>
        <w:spacing w:line="276" w:lineRule="auto"/>
        <w:rPr>
          <w:rFonts w:ascii="Times New Roman" w:eastAsia="Times New Roman" w:hAnsi="Times New Roman" w:cs="Times New Roman"/>
          <w:b/>
          <w:bCs/>
          <w:color w:val="000000" w:themeColor="text1"/>
        </w:rPr>
      </w:pPr>
      <w:bookmarkStart w:id="14" w:name="_Toc202544490"/>
      <w:r w:rsidRPr="005A3967">
        <w:rPr>
          <w:rFonts w:ascii="Times New Roman" w:hAnsi="Times New Roman" w:cs="Times New Roman"/>
          <w:b/>
          <w:bCs/>
          <w:color w:val="000000" w:themeColor="text1"/>
        </w:rPr>
        <w:t xml:space="preserve">4. </w:t>
      </w:r>
      <w:r w:rsidR="00E4124D" w:rsidRPr="005A3967">
        <w:rPr>
          <w:rFonts w:ascii="Times New Roman" w:eastAsia="Times New Roman" w:hAnsi="Times New Roman" w:cs="Times New Roman"/>
          <w:b/>
          <w:bCs/>
          <w:color w:val="000000" w:themeColor="text1"/>
        </w:rPr>
        <w:t>Literature Review: Predictive Analytics and Strategic Decision-Making</w:t>
      </w:r>
      <w:bookmarkEnd w:id="14"/>
    </w:p>
    <w:p w14:paraId="5D53CA2D" w14:textId="703AF5C6" w:rsidR="00A842F7" w:rsidRPr="005A3967" w:rsidRDefault="00A842F7" w:rsidP="00A842F7">
      <w:pPr>
        <w:spacing w:before="100" w:beforeAutospacing="1" w:after="100" w:afterAutospacing="1" w:line="360" w:lineRule="auto"/>
        <w:jc w:val="both"/>
      </w:pPr>
      <w:r w:rsidRPr="005A3967">
        <w:rPr>
          <w:b/>
          <w:bCs/>
        </w:rPr>
        <w:t>Predictive analytics</w:t>
      </w:r>
      <w:r w:rsidRPr="005A3967">
        <w:t xml:space="preserve"> is a </w:t>
      </w:r>
      <w:r w:rsidRPr="005A3967">
        <w:rPr>
          <w:i/>
          <w:iCs/>
        </w:rPr>
        <w:t>strategic enabler</w:t>
      </w:r>
      <w:r w:rsidRPr="005A3967">
        <w:t xml:space="preserve">, empowering organisations to act on </w:t>
      </w:r>
      <w:r w:rsidRPr="005A3967">
        <w:rPr>
          <w:i/>
          <w:iCs/>
        </w:rPr>
        <w:t>foresight</w:t>
      </w:r>
      <w:r w:rsidRPr="005A3967">
        <w:t xml:space="preserve"> rather than hindsight. It enhances </w:t>
      </w:r>
      <w:r w:rsidRPr="005A3967">
        <w:rPr>
          <w:b/>
          <w:bCs/>
        </w:rPr>
        <w:t>operational efficiency</w:t>
      </w:r>
      <w:r w:rsidRPr="005A3967">
        <w:t xml:space="preserve">, </w:t>
      </w:r>
      <w:r w:rsidRPr="005A3967">
        <w:rPr>
          <w:b/>
          <w:bCs/>
        </w:rPr>
        <w:t>customer insight</w:t>
      </w:r>
      <w:r w:rsidRPr="005A3967">
        <w:t xml:space="preserve">, and </w:t>
      </w:r>
      <w:r w:rsidRPr="005A3967">
        <w:rPr>
          <w:b/>
          <w:bCs/>
        </w:rPr>
        <w:t>risk mitigation</w:t>
      </w:r>
      <w:r w:rsidRPr="005A3967">
        <w:t xml:space="preserve"> by identifying patterns in historical and real-time data </w:t>
      </w:r>
      <w:r w:rsidRPr="005A3967">
        <w:rPr>
          <w:i/>
          <w:iCs/>
        </w:rPr>
        <w:t>(Davenport &amp; Harris, 2017; Provost &amp; Fawcett, 2013)</w:t>
      </w:r>
      <w:r w:rsidRPr="005A3967">
        <w:t xml:space="preserve">. In sectors like the </w:t>
      </w:r>
      <w:r w:rsidRPr="005A3967">
        <w:rPr>
          <w:b/>
          <w:bCs/>
        </w:rPr>
        <w:t>UK energy industry</w:t>
      </w:r>
      <w:r w:rsidRPr="005A3967">
        <w:t xml:space="preserve">, this capability is </w:t>
      </w:r>
      <w:r w:rsidRPr="005A3967">
        <w:rPr>
          <w:i/>
          <w:iCs/>
        </w:rPr>
        <w:t>crucial</w:t>
      </w:r>
      <w:r w:rsidRPr="005A3967">
        <w:t xml:space="preserve"> for </w:t>
      </w:r>
      <w:r w:rsidRPr="005A3967">
        <w:rPr>
          <w:b/>
          <w:bCs/>
        </w:rPr>
        <w:t>competitiveness</w:t>
      </w:r>
      <w:r w:rsidRPr="005A3967">
        <w:t xml:space="preserve">, </w:t>
      </w:r>
      <w:r w:rsidRPr="005A3967">
        <w:rPr>
          <w:b/>
          <w:bCs/>
        </w:rPr>
        <w:t>regulatory compliance</w:t>
      </w:r>
      <w:r w:rsidRPr="005A3967">
        <w:t xml:space="preserve">, and </w:t>
      </w:r>
      <w:r w:rsidRPr="005A3967">
        <w:rPr>
          <w:b/>
          <w:bCs/>
        </w:rPr>
        <w:t>sustainability</w:t>
      </w:r>
      <w:r w:rsidRPr="005A3967">
        <w:t>.</w:t>
      </w:r>
      <w:r w:rsidR="004C5CA0" w:rsidRPr="005A3967">
        <w:t xml:space="preserve"> </w:t>
      </w:r>
      <w:r w:rsidRPr="005A3967">
        <w:t xml:space="preserve">However, </w:t>
      </w:r>
      <w:r w:rsidRPr="005A3967">
        <w:rPr>
          <w:b/>
          <w:bCs/>
        </w:rPr>
        <w:t>technology alone is insufficient</w:t>
      </w:r>
      <w:r w:rsidRPr="005A3967">
        <w:t xml:space="preserve">. Real value depends on </w:t>
      </w:r>
      <w:r w:rsidRPr="005A3967">
        <w:rPr>
          <w:i/>
          <w:iCs/>
        </w:rPr>
        <w:t>organisational readiness</w:t>
      </w:r>
      <w:r w:rsidRPr="005A3967">
        <w:t xml:space="preserve"> and </w:t>
      </w:r>
      <w:r w:rsidRPr="005A3967">
        <w:rPr>
          <w:i/>
          <w:iCs/>
        </w:rPr>
        <w:t>governance maturity</w:t>
      </w:r>
      <w:r w:rsidRPr="005A3967">
        <w:t xml:space="preserve"> </w:t>
      </w:r>
      <w:r w:rsidRPr="005A3967">
        <w:rPr>
          <w:i/>
          <w:iCs/>
        </w:rPr>
        <w:t>(Kwon et al., 2014; Sharma et al., 2020)</w:t>
      </w:r>
      <w:r w:rsidRPr="005A3967">
        <w:t xml:space="preserve">. While infrastructure matters, </w:t>
      </w:r>
      <w:r w:rsidRPr="005A3967">
        <w:rPr>
          <w:b/>
          <w:bCs/>
        </w:rPr>
        <w:t>leadership</w:t>
      </w:r>
      <w:r w:rsidRPr="005A3967">
        <w:t xml:space="preserve">, </w:t>
      </w:r>
      <w:r w:rsidRPr="005A3967">
        <w:rPr>
          <w:b/>
          <w:bCs/>
        </w:rPr>
        <w:t>governance</w:t>
      </w:r>
      <w:r w:rsidRPr="005A3967">
        <w:t xml:space="preserve">, and a </w:t>
      </w:r>
      <w:r w:rsidRPr="005A3967">
        <w:rPr>
          <w:i/>
          <w:iCs/>
        </w:rPr>
        <w:t>data-driven culture</w:t>
      </w:r>
      <w:r w:rsidRPr="005A3967">
        <w:t xml:space="preserve"> are key to success </w:t>
      </w:r>
      <w:r w:rsidRPr="005A3967">
        <w:rPr>
          <w:i/>
          <w:iCs/>
        </w:rPr>
        <w:t>(Wamba et al., 2015)</w:t>
      </w:r>
      <w:r w:rsidRPr="005A3967">
        <w:t>.</w:t>
      </w:r>
    </w:p>
    <w:p w14:paraId="35E9AFDD" w14:textId="022F5B88" w:rsidR="00A842F7" w:rsidRPr="005A3967" w:rsidRDefault="00A842F7" w:rsidP="00A842F7">
      <w:pPr>
        <w:spacing w:before="100" w:beforeAutospacing="1" w:after="100" w:afterAutospacing="1" w:line="360" w:lineRule="auto"/>
        <w:jc w:val="both"/>
      </w:pPr>
      <w:r w:rsidRPr="005A3967">
        <w:t xml:space="preserve">Early models </w:t>
      </w:r>
      <w:r w:rsidRPr="005A3967">
        <w:rPr>
          <w:i/>
          <w:iCs/>
        </w:rPr>
        <w:t>(e.g., Strecker et al., 2012)</w:t>
      </w:r>
      <w:r w:rsidRPr="005A3967">
        <w:t xml:space="preserve"> offer useful foundations but lack relevance in today’s </w:t>
      </w:r>
      <w:r w:rsidRPr="005A3967">
        <w:rPr>
          <w:b/>
          <w:bCs/>
        </w:rPr>
        <w:t>AI-driven</w:t>
      </w:r>
      <w:r w:rsidRPr="005A3967">
        <w:t xml:space="preserve">, </w:t>
      </w:r>
      <w:r w:rsidRPr="005A3967">
        <w:rPr>
          <w:b/>
          <w:bCs/>
        </w:rPr>
        <w:t>decentralised</w:t>
      </w:r>
      <w:r w:rsidRPr="005A3967">
        <w:t xml:space="preserve">, and </w:t>
      </w:r>
      <w:r w:rsidRPr="005A3967">
        <w:rPr>
          <w:b/>
          <w:bCs/>
        </w:rPr>
        <w:t>agile</w:t>
      </w:r>
      <w:r w:rsidRPr="005A3967">
        <w:t xml:space="preserve"> data environments. Their limitations are evident in complex, regulated sectors like energy.</w:t>
      </w:r>
      <w:r w:rsidR="004C5CA0" w:rsidRPr="005A3967">
        <w:t xml:space="preserve"> </w:t>
      </w:r>
      <w:r w:rsidRPr="005A3967">
        <w:t xml:space="preserve">To address these gaps, </w:t>
      </w:r>
      <w:r w:rsidRPr="005A3967">
        <w:rPr>
          <w:b/>
          <w:bCs/>
        </w:rPr>
        <w:t>adaptive frameworks</w:t>
      </w:r>
      <w:r w:rsidRPr="005A3967">
        <w:t xml:space="preserve"> such as </w:t>
      </w:r>
      <w:r w:rsidRPr="005A3967">
        <w:rPr>
          <w:b/>
          <w:bCs/>
        </w:rPr>
        <w:t>DCAM</w:t>
      </w:r>
      <w:r w:rsidRPr="005A3967">
        <w:t xml:space="preserve"> and </w:t>
      </w:r>
      <w:r w:rsidRPr="005A3967">
        <w:rPr>
          <w:b/>
          <w:bCs/>
        </w:rPr>
        <w:t>Data Mesh</w:t>
      </w:r>
      <w:r w:rsidRPr="005A3967">
        <w:t xml:space="preserve"> offer decentralised, domain-driven, and iterative approaches </w:t>
      </w:r>
      <w:r w:rsidRPr="005A3967">
        <w:rPr>
          <w:i/>
          <w:iCs/>
        </w:rPr>
        <w:t>(EDM Council, 2020; Dehghani, 2022)</w:t>
      </w:r>
      <w:r w:rsidRPr="005A3967">
        <w:t xml:space="preserve">. These models better align predictive analytics with </w:t>
      </w:r>
      <w:r w:rsidRPr="005A3967">
        <w:rPr>
          <w:b/>
          <w:bCs/>
        </w:rPr>
        <w:t>strategy</w:t>
      </w:r>
      <w:r w:rsidRPr="005A3967">
        <w:t xml:space="preserve">, </w:t>
      </w:r>
      <w:r w:rsidRPr="005A3967">
        <w:rPr>
          <w:b/>
          <w:bCs/>
        </w:rPr>
        <w:t>compliance</w:t>
      </w:r>
      <w:r w:rsidRPr="005A3967">
        <w:t xml:space="preserve">, and </w:t>
      </w:r>
      <w:r w:rsidRPr="005A3967">
        <w:rPr>
          <w:b/>
          <w:bCs/>
        </w:rPr>
        <w:t>digital innovation</w:t>
      </w:r>
      <w:r w:rsidRPr="005A3967">
        <w:t xml:space="preserve"> </w:t>
      </w:r>
      <w:r w:rsidRPr="005A3967">
        <w:rPr>
          <w:i/>
          <w:iCs/>
        </w:rPr>
        <w:t>(Gupta &amp; George, 2023)</w:t>
      </w:r>
      <w:r w:rsidRPr="005A3967">
        <w:t>.</w:t>
      </w:r>
    </w:p>
    <w:p w14:paraId="398CD8EF" w14:textId="6FDDA87C" w:rsidR="00A842F7" w:rsidRPr="005A3967" w:rsidRDefault="00A842F7" w:rsidP="00A842F7">
      <w:pPr>
        <w:spacing w:before="100" w:beforeAutospacing="1" w:after="100" w:afterAutospacing="1" w:line="360" w:lineRule="auto"/>
        <w:jc w:val="both"/>
      </w:pPr>
      <w:r w:rsidRPr="005A3967">
        <w:lastRenderedPageBreak/>
        <w:t xml:space="preserve">For </w:t>
      </w:r>
      <w:r w:rsidRPr="005A3967">
        <w:rPr>
          <w:b/>
          <w:bCs/>
        </w:rPr>
        <w:t>SSE PLC</w:t>
      </w:r>
      <w:r w:rsidRPr="005A3967">
        <w:t xml:space="preserve">, success requires moving from </w:t>
      </w:r>
      <w:r w:rsidRPr="005A3967">
        <w:rPr>
          <w:b/>
          <w:bCs/>
        </w:rPr>
        <w:t>siloed analytics</w:t>
      </w:r>
      <w:r w:rsidRPr="005A3967">
        <w:t xml:space="preserve"> to a unified, enterprise-wide strategy—embedding predictive analytics within strategic planning and operations. This demands </w:t>
      </w:r>
      <w:r w:rsidRPr="005A3967">
        <w:rPr>
          <w:b/>
          <w:bCs/>
        </w:rPr>
        <w:t>strong governance</w:t>
      </w:r>
      <w:r w:rsidRPr="005A3967">
        <w:t xml:space="preserve">, </w:t>
      </w:r>
      <w:r w:rsidRPr="005A3967">
        <w:rPr>
          <w:i/>
          <w:iCs/>
        </w:rPr>
        <w:t>leadership alignment</w:t>
      </w:r>
      <w:r w:rsidRPr="005A3967">
        <w:t xml:space="preserve">, </w:t>
      </w:r>
      <w:r w:rsidRPr="005A3967">
        <w:rPr>
          <w:i/>
          <w:iCs/>
        </w:rPr>
        <w:t>domain expertise</w:t>
      </w:r>
      <w:r w:rsidRPr="005A3967">
        <w:t xml:space="preserve">, and a </w:t>
      </w:r>
      <w:r w:rsidRPr="005A3967">
        <w:rPr>
          <w:i/>
          <w:iCs/>
        </w:rPr>
        <w:t>data-literate culture</w:t>
      </w:r>
      <w:r w:rsidRPr="005A3967">
        <w:t>.</w:t>
      </w:r>
      <w:r w:rsidR="004C5CA0" w:rsidRPr="005A3967">
        <w:t xml:space="preserve"> </w:t>
      </w:r>
      <w:r w:rsidRPr="005A3967">
        <w:t xml:space="preserve">Frameworks </w:t>
      </w:r>
      <w:r w:rsidR="0002751E">
        <w:t>such as</w:t>
      </w:r>
      <w:r w:rsidRPr="005A3967">
        <w:t xml:space="preserve"> </w:t>
      </w:r>
      <w:r w:rsidRPr="005A3967">
        <w:rPr>
          <w:b/>
          <w:bCs/>
        </w:rPr>
        <w:t>DELTA</w:t>
      </w:r>
      <w:r w:rsidRPr="005A3967">
        <w:t xml:space="preserve">, </w:t>
      </w:r>
      <w:r w:rsidRPr="005A3967">
        <w:rPr>
          <w:b/>
          <w:bCs/>
        </w:rPr>
        <w:t>DCAM</w:t>
      </w:r>
      <w:r w:rsidRPr="005A3967">
        <w:t xml:space="preserve">, and </w:t>
      </w:r>
      <w:r w:rsidRPr="005A3967">
        <w:rPr>
          <w:b/>
          <w:bCs/>
        </w:rPr>
        <w:t>Data Mesh</w:t>
      </w:r>
      <w:r w:rsidRPr="005A3967">
        <w:t xml:space="preserve"> will guide this transformation by </w:t>
      </w:r>
      <w:r w:rsidR="0002751E">
        <w:t>assessing</w:t>
      </w:r>
      <w:r w:rsidRPr="005A3967">
        <w:t xml:space="preserve"> readiness and shaping the journey toward a </w:t>
      </w:r>
      <w:r w:rsidRPr="005A3967">
        <w:rPr>
          <w:b/>
          <w:bCs/>
        </w:rPr>
        <w:t>data-driven enterprise</w:t>
      </w:r>
      <w:r w:rsidRPr="005A3967">
        <w:t>.</w:t>
      </w:r>
    </w:p>
    <w:p w14:paraId="69EF2D37" w14:textId="218AD445" w:rsidR="00FB65A3" w:rsidRPr="005A3967" w:rsidRDefault="00544E6D" w:rsidP="00FB65A3">
      <w:pPr>
        <w:pStyle w:val="Heading2"/>
        <w:rPr>
          <w:rFonts w:ascii="Times New Roman" w:hAnsi="Times New Roman" w:cs="Times New Roman"/>
        </w:rPr>
      </w:pPr>
      <w:bookmarkStart w:id="15" w:name="_Toc202544491"/>
      <w:r w:rsidRPr="005A3967">
        <w:rPr>
          <w:rFonts w:ascii="Times New Roman" w:hAnsi="Times New Roman" w:cs="Times New Roman"/>
        </w:rPr>
        <w:t>4</w:t>
      </w:r>
      <w:r w:rsidR="00730F3E" w:rsidRPr="005A3967">
        <w:rPr>
          <w:rFonts w:ascii="Times New Roman" w:hAnsi="Times New Roman" w:cs="Times New Roman"/>
        </w:rPr>
        <w:t>.1 The Concept and Strategic Importance of Predictive Analytics</w:t>
      </w:r>
      <w:bookmarkEnd w:id="15"/>
    </w:p>
    <w:p w14:paraId="15BBA319" w14:textId="3EDA52E3" w:rsidR="004D4B3E" w:rsidRPr="005A3967" w:rsidRDefault="004D4B3E" w:rsidP="00C43C96">
      <w:pPr>
        <w:spacing w:before="100" w:beforeAutospacing="1" w:after="100" w:afterAutospacing="1" w:line="360" w:lineRule="auto"/>
        <w:jc w:val="both"/>
      </w:pPr>
      <w:r w:rsidRPr="005A3967">
        <w:t xml:space="preserve">Predictive analytics </w:t>
      </w:r>
      <w:r w:rsidR="00F64955" w:rsidRPr="005A3967">
        <w:t>utilises</w:t>
      </w:r>
      <w:r w:rsidRPr="005A3967">
        <w:t xml:space="preserve"> statistical and machine learning techniques to forecast outcomes and </w:t>
      </w:r>
      <w:r w:rsidR="00F64955" w:rsidRPr="005A3967">
        <w:t>inform more informed</w:t>
      </w:r>
      <w:r w:rsidRPr="005A3967">
        <w:t xml:space="preserve"> decisions (Davenport &amp; Harris, 2017; Waller &amp; Fawcett, 2013). Its value lies in enabling proactive </w:t>
      </w:r>
      <w:r w:rsidR="00F64955" w:rsidRPr="005A3967">
        <w:t>strategies</w:t>
      </w:r>
      <w:r w:rsidRPr="005A3967">
        <w:t xml:space="preserve"> and improving performance in </w:t>
      </w:r>
      <w:r w:rsidR="00F64955" w:rsidRPr="005A3967">
        <w:t xml:space="preserve">terms of </w:t>
      </w:r>
      <w:r w:rsidRPr="005A3967">
        <w:t>efficiency, agility, and innovation (Brynjolfsson et al., 2021; Manyika et al., 2011).</w:t>
      </w:r>
    </w:p>
    <w:p w14:paraId="5A6CBE16" w14:textId="77777777" w:rsidR="004D4B3E" w:rsidRPr="005A3967" w:rsidRDefault="004D4B3E" w:rsidP="00C43C96">
      <w:pPr>
        <w:spacing w:before="100" w:beforeAutospacing="1" w:after="100" w:afterAutospacing="1" w:line="360" w:lineRule="auto"/>
        <w:jc w:val="both"/>
      </w:pPr>
      <w:r w:rsidRPr="005A3967">
        <w:t>In energy, it helps anticipate customer needs, optimise assets, and navigate regulation. But success depends not just on tools—it also requires strong leadership, culture, governance, and skills. This chapter examines these factors in the utility context.</w:t>
      </w:r>
    </w:p>
    <w:p w14:paraId="22D3006E" w14:textId="6B634E15" w:rsidR="00730F3E" w:rsidRPr="005A3967" w:rsidRDefault="00544E6D" w:rsidP="00C31E77">
      <w:pPr>
        <w:pStyle w:val="Heading2"/>
        <w:rPr>
          <w:rFonts w:ascii="Times New Roman" w:hAnsi="Times New Roman" w:cs="Times New Roman"/>
        </w:rPr>
      </w:pPr>
      <w:bookmarkStart w:id="16" w:name="_Toc202544492"/>
      <w:r w:rsidRPr="005A3967">
        <w:rPr>
          <w:rFonts w:ascii="Times New Roman" w:hAnsi="Times New Roman" w:cs="Times New Roman"/>
        </w:rPr>
        <w:t>4</w:t>
      </w:r>
      <w:r w:rsidR="00730F3E" w:rsidRPr="005A3967">
        <w:rPr>
          <w:rFonts w:ascii="Times New Roman" w:hAnsi="Times New Roman" w:cs="Times New Roman"/>
        </w:rPr>
        <w:t>.2 Organisational Data Governance and Analytics Integration</w:t>
      </w:r>
      <w:bookmarkEnd w:id="16"/>
    </w:p>
    <w:p w14:paraId="71B65C15" w14:textId="4EDEB95E" w:rsidR="004D4B3E" w:rsidRPr="005A3967" w:rsidRDefault="004D4B3E" w:rsidP="00C43C96">
      <w:pPr>
        <w:spacing w:before="100" w:beforeAutospacing="1" w:after="100" w:afterAutospacing="1" w:line="360" w:lineRule="auto"/>
        <w:jc w:val="both"/>
      </w:pPr>
      <w:r w:rsidRPr="005A3967">
        <w:t>Scaling predictive analytics depends on strong data governance. Reliable, accessible, and high-quality data underpins trustworthy model outcomes (Otto, 2011). Governance has shifted from a compliance focus to a key driver of analytics maturity (Khatri &amp; Brown, 2010), with frameworks like DCAM stressing ownership, standards, and data lineage (EDM Council, 2020).</w:t>
      </w:r>
      <w:r w:rsidR="00630282" w:rsidRPr="005A3967">
        <w:t xml:space="preserve"> </w:t>
      </w:r>
      <w:r w:rsidRPr="005A3967">
        <w:t>In the energy sector, governance also supports regulatory compliance</w:t>
      </w:r>
      <w:r w:rsidR="00F64955" w:rsidRPr="005A3967">
        <w:t xml:space="preserve">, </w:t>
      </w:r>
      <w:r w:rsidRPr="005A3967">
        <w:t>meeting GDPR and Ofgem requirements</w:t>
      </w:r>
      <w:r w:rsidR="00F64955" w:rsidRPr="005A3967">
        <w:t xml:space="preserve">, </w:t>
      </w:r>
      <w:r w:rsidRPr="005A3967">
        <w:t>and is essential for maintaining operational integrity and public trust (Adesina et al., 2024; Benjamin et al., 2024).</w:t>
      </w:r>
    </w:p>
    <w:p w14:paraId="2BD6D30D" w14:textId="2883D2A6" w:rsidR="00730F3E" w:rsidRPr="005A3967" w:rsidRDefault="00544E6D" w:rsidP="00C31E77">
      <w:pPr>
        <w:pStyle w:val="Heading3"/>
        <w:rPr>
          <w:rFonts w:cs="Times New Roman"/>
        </w:rPr>
      </w:pPr>
      <w:bookmarkStart w:id="17" w:name="_Toc202544493"/>
      <w:r w:rsidRPr="005A3967">
        <w:rPr>
          <w:rFonts w:cs="Times New Roman"/>
        </w:rPr>
        <w:t>4</w:t>
      </w:r>
      <w:r w:rsidR="00730F3E" w:rsidRPr="005A3967">
        <w:rPr>
          <w:rFonts w:cs="Times New Roman"/>
        </w:rPr>
        <w:t>.2.1 Definition and Evolution of Data Governance</w:t>
      </w:r>
      <w:bookmarkEnd w:id="17"/>
    </w:p>
    <w:p w14:paraId="6C559750" w14:textId="6F1602E1" w:rsidR="00FB65A3" w:rsidRPr="005A3967" w:rsidRDefault="00FB65A3" w:rsidP="00C43C96">
      <w:pPr>
        <w:spacing w:before="100" w:beforeAutospacing="1" w:after="100" w:afterAutospacing="1" w:line="360" w:lineRule="auto"/>
        <w:jc w:val="both"/>
      </w:pPr>
      <w:r w:rsidRPr="005A3967">
        <w:t xml:space="preserve">Data governance is </w:t>
      </w:r>
      <w:r w:rsidR="00C86DDA" w:rsidRPr="005A3967">
        <w:t>exercising</w:t>
      </w:r>
      <w:r w:rsidRPr="005A3967">
        <w:t xml:space="preserve"> authority over data assets to ensure quality, consistency, security, and availability (Khatri &amp; Brown, </w:t>
      </w:r>
      <w:r w:rsidR="00D80AB8" w:rsidRPr="005A3967">
        <w:t>2010; DAMA DMBoK, 202</w:t>
      </w:r>
      <w:r w:rsidR="00FC3949" w:rsidRPr="005A3967">
        <w:t>4</w:t>
      </w:r>
      <w:r w:rsidRPr="005A3967">
        <w:t>). Initially compliance-driven and reactive (Otto, 2011), governance has evolved into a strategic enabler, with data recognised as a valuable asset (Laney, 2017). Effective governance now underpins predictive analytics by ensuring data quality, accessibility, and trust (Shakya &amp; Kumar, 2024; Shet et al., 2021; Komolafe et al., 2024).</w:t>
      </w:r>
    </w:p>
    <w:p w14:paraId="794BD810" w14:textId="5DDC146B" w:rsidR="00730F3E" w:rsidRPr="005A3967" w:rsidRDefault="00544E6D" w:rsidP="00C31E77">
      <w:pPr>
        <w:pStyle w:val="Heading3"/>
        <w:rPr>
          <w:rFonts w:cs="Times New Roman"/>
        </w:rPr>
      </w:pPr>
      <w:bookmarkStart w:id="18" w:name="_Toc202544494"/>
      <w:r w:rsidRPr="005A3967">
        <w:rPr>
          <w:rFonts w:cs="Times New Roman"/>
        </w:rPr>
        <w:lastRenderedPageBreak/>
        <w:t>4</w:t>
      </w:r>
      <w:r w:rsidR="00730F3E" w:rsidRPr="005A3967">
        <w:rPr>
          <w:rFonts w:cs="Times New Roman"/>
        </w:rPr>
        <w:t>.2.2 Key Elements of Effective Data Governance for Predictive Analytics</w:t>
      </w:r>
      <w:bookmarkEnd w:id="18"/>
    </w:p>
    <w:p w14:paraId="1DFAC482" w14:textId="77777777" w:rsidR="004D4B3E" w:rsidRPr="005A3967" w:rsidRDefault="004D4B3E" w:rsidP="00C43C96">
      <w:pPr>
        <w:spacing w:before="100" w:beforeAutospacing="1" w:after="100" w:afterAutospacing="1" w:line="360" w:lineRule="auto"/>
        <w:jc w:val="both"/>
      </w:pPr>
      <w:r w:rsidRPr="005A3967">
        <w:t>Successful predictive analytics depends on strong governance. The EDM Council (2020) outlines four key pillars, while research by Mashayekhy Rad and Liu (2023) highlights governance gaps—especially in legacy systems—as major blockers in the energy sector. For SSE, improving stewardship and metadata practices is essential.</w:t>
      </w:r>
    </w:p>
    <w:p w14:paraId="385179B5" w14:textId="77777777" w:rsidR="004D4B3E" w:rsidRPr="005A3967" w:rsidRDefault="004D4B3E" w:rsidP="00FE279B">
      <w:pPr>
        <w:spacing w:before="100" w:beforeAutospacing="1" w:after="100" w:afterAutospacing="1"/>
        <w:jc w:val="both"/>
      </w:pPr>
      <w:r w:rsidRPr="005A3967">
        <w:t>Key elements include:</w:t>
      </w:r>
    </w:p>
    <w:p w14:paraId="28B6DD5C" w14:textId="77777777" w:rsidR="004D4B3E" w:rsidRPr="005A3967" w:rsidRDefault="004D4B3E" w:rsidP="008824B8">
      <w:pPr>
        <w:numPr>
          <w:ilvl w:val="0"/>
          <w:numId w:val="13"/>
        </w:numPr>
        <w:spacing w:before="100" w:beforeAutospacing="1" w:after="100" w:afterAutospacing="1" w:line="360" w:lineRule="auto"/>
        <w:jc w:val="both"/>
      </w:pPr>
      <w:r w:rsidRPr="005A3967">
        <w:rPr>
          <w:b/>
          <w:bCs/>
        </w:rPr>
        <w:t>Clear ownership and stewardship</w:t>
      </w:r>
      <w:r w:rsidRPr="005A3967">
        <w:t xml:space="preserve"> – assigning responsibility for data quality and use.</w:t>
      </w:r>
    </w:p>
    <w:p w14:paraId="0A56ECA4" w14:textId="77777777" w:rsidR="004D4B3E" w:rsidRPr="005A3967" w:rsidRDefault="004D4B3E" w:rsidP="008824B8">
      <w:pPr>
        <w:numPr>
          <w:ilvl w:val="0"/>
          <w:numId w:val="13"/>
        </w:numPr>
        <w:spacing w:before="100" w:beforeAutospacing="1" w:after="100" w:afterAutospacing="1" w:line="360" w:lineRule="auto"/>
        <w:jc w:val="both"/>
      </w:pPr>
      <w:r w:rsidRPr="005A3967">
        <w:rPr>
          <w:b/>
          <w:bCs/>
        </w:rPr>
        <w:t>Data quality management</w:t>
      </w:r>
      <w:r w:rsidRPr="005A3967">
        <w:t xml:space="preserve"> – ensuring data is accurate, complete, and consistent.</w:t>
      </w:r>
    </w:p>
    <w:p w14:paraId="43C0F75D" w14:textId="77777777" w:rsidR="004D4B3E" w:rsidRPr="005A3967" w:rsidRDefault="004D4B3E" w:rsidP="008824B8">
      <w:pPr>
        <w:numPr>
          <w:ilvl w:val="0"/>
          <w:numId w:val="13"/>
        </w:numPr>
        <w:spacing w:before="100" w:beforeAutospacing="1" w:after="100" w:afterAutospacing="1" w:line="360" w:lineRule="auto"/>
        <w:jc w:val="both"/>
      </w:pPr>
      <w:r w:rsidRPr="005A3967">
        <w:rPr>
          <w:b/>
          <w:bCs/>
        </w:rPr>
        <w:t>Metadata management</w:t>
      </w:r>
      <w:r w:rsidRPr="005A3967">
        <w:t xml:space="preserve"> – tracking data origin, usage, and transformations.</w:t>
      </w:r>
    </w:p>
    <w:p w14:paraId="5CDE95EE" w14:textId="77777777" w:rsidR="004D4B3E" w:rsidRPr="005A3967" w:rsidRDefault="004D4B3E" w:rsidP="008824B8">
      <w:pPr>
        <w:numPr>
          <w:ilvl w:val="0"/>
          <w:numId w:val="13"/>
        </w:numPr>
        <w:spacing w:before="100" w:beforeAutospacing="1" w:after="100" w:afterAutospacing="1" w:line="360" w:lineRule="auto"/>
        <w:jc w:val="both"/>
      </w:pPr>
      <w:r w:rsidRPr="005A3967">
        <w:rPr>
          <w:b/>
          <w:bCs/>
        </w:rPr>
        <w:t>Secure, controlled access</w:t>
      </w:r>
      <w:r w:rsidRPr="005A3967">
        <w:t xml:space="preserve"> – managing who can access sensitive data.</w:t>
      </w:r>
    </w:p>
    <w:p w14:paraId="43A29F5B" w14:textId="2B146691" w:rsidR="004D4B3E" w:rsidRPr="005A3967" w:rsidRDefault="004D4B3E" w:rsidP="00C43C96">
      <w:pPr>
        <w:spacing w:before="100" w:beforeAutospacing="1" w:after="100" w:afterAutospacing="1" w:line="360" w:lineRule="auto"/>
        <w:jc w:val="both"/>
        <w:rPr>
          <w:rStyle w:val="Emphasis"/>
          <w:i w:val="0"/>
          <w:iCs w:val="0"/>
        </w:rPr>
      </w:pPr>
      <w:r w:rsidRPr="005A3967">
        <w:t>These components provide the foundation for reliable, scalable analytics. Without them, predictive efforts risk becoming fragmented and unsustainable (Otto, 2011). Table 2 summarises these governance essentials.</w:t>
      </w:r>
    </w:p>
    <w:p w14:paraId="4536BCA0" w14:textId="60EB2FC3" w:rsidR="00B56881" w:rsidRPr="005A3967" w:rsidRDefault="00B56881" w:rsidP="00B56881">
      <w:pPr>
        <w:pStyle w:val="Caption"/>
        <w:rPr>
          <w:b/>
          <w:bCs/>
        </w:rPr>
      </w:pPr>
      <w:bookmarkStart w:id="19" w:name="_Toc201942892"/>
      <w:r w:rsidRPr="005A3967">
        <w:rPr>
          <w:b/>
          <w:bCs/>
        </w:rPr>
        <w:t xml:space="preserve">Table </w:t>
      </w:r>
      <w:r w:rsidR="003831A5" w:rsidRPr="005A3967">
        <w:rPr>
          <w:b/>
          <w:bCs/>
        </w:rPr>
        <w:fldChar w:fldCharType="begin"/>
      </w:r>
      <w:r w:rsidR="003831A5" w:rsidRPr="005A3967">
        <w:rPr>
          <w:b/>
          <w:bCs/>
        </w:rPr>
        <w:instrText xml:space="preserve"> SEQ Table \* ARABIC </w:instrText>
      </w:r>
      <w:r w:rsidR="003831A5" w:rsidRPr="005A3967">
        <w:rPr>
          <w:b/>
          <w:bCs/>
        </w:rPr>
        <w:fldChar w:fldCharType="separate"/>
      </w:r>
      <w:r w:rsidR="00A50FDD" w:rsidRPr="005A3967">
        <w:rPr>
          <w:b/>
          <w:bCs/>
          <w:noProof/>
        </w:rPr>
        <w:t>2</w:t>
      </w:r>
      <w:r w:rsidR="003831A5" w:rsidRPr="005A3967">
        <w:rPr>
          <w:b/>
          <w:bCs/>
          <w:noProof/>
        </w:rPr>
        <w:fldChar w:fldCharType="end"/>
      </w:r>
      <w:r w:rsidRPr="005A3967">
        <w:rPr>
          <w:b/>
          <w:bCs/>
        </w:rPr>
        <w:t>: Core Pillars of Effective Data Governance</w:t>
      </w:r>
      <w:r w:rsidR="00DA5393" w:rsidRPr="005A3967">
        <w:rPr>
          <w:b/>
          <w:bCs/>
        </w:rPr>
        <w:t xml:space="preserve"> (Adapted from EDM Council (2020))</w:t>
      </w:r>
      <w:bookmarkEnd w:id="19"/>
    </w:p>
    <w:p w14:paraId="0424FEA7" w14:textId="7B1F14E7" w:rsidR="00EE5A0B" w:rsidRPr="005A3967" w:rsidRDefault="00EE5A0B" w:rsidP="0019364C">
      <w:pPr>
        <w:jc w:val="center"/>
      </w:pPr>
      <w:r w:rsidRPr="005A3967">
        <w:rPr>
          <w:noProof/>
          <w14:ligatures w14:val="standardContextual"/>
        </w:rPr>
        <w:drawing>
          <wp:inline distT="0" distB="0" distL="0" distR="0" wp14:anchorId="7271E078" wp14:editId="115006EA">
            <wp:extent cx="5368773" cy="1250890"/>
            <wp:effectExtent l="0" t="0" r="3810" b="0"/>
            <wp:docPr id="306233030" name="Picture 29" descr="A close-up of a list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233030" name="Picture 29" descr="A close-up of a list of word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92682" cy="1256461"/>
                    </a:xfrm>
                    <a:prstGeom prst="rect">
                      <a:avLst/>
                    </a:prstGeom>
                  </pic:spPr>
                </pic:pic>
              </a:graphicData>
            </a:graphic>
          </wp:inline>
        </w:drawing>
      </w:r>
    </w:p>
    <w:p w14:paraId="248FF7D0" w14:textId="77777777" w:rsidR="004B195D" w:rsidRPr="005A3967" w:rsidRDefault="004B195D" w:rsidP="004B195D"/>
    <w:p w14:paraId="35F817B8" w14:textId="749D90FD" w:rsidR="00730F3E" w:rsidRPr="005A3967" w:rsidRDefault="00544E6D" w:rsidP="00C31E77">
      <w:pPr>
        <w:pStyle w:val="Heading3"/>
        <w:rPr>
          <w:rFonts w:cs="Times New Roman"/>
        </w:rPr>
      </w:pPr>
      <w:bookmarkStart w:id="20" w:name="_Toc202544495"/>
      <w:r w:rsidRPr="005A3967">
        <w:rPr>
          <w:rFonts w:cs="Times New Roman"/>
        </w:rPr>
        <w:t>4</w:t>
      </w:r>
      <w:r w:rsidR="00730F3E" w:rsidRPr="005A3967">
        <w:rPr>
          <w:rFonts w:cs="Times New Roman"/>
        </w:rPr>
        <w:t>.2.3 Challenges of Embedding Data Governance for Analytics Integration</w:t>
      </w:r>
      <w:bookmarkEnd w:id="20"/>
    </w:p>
    <w:p w14:paraId="462C577A" w14:textId="47BFAF72" w:rsidR="00FB65A3" w:rsidRPr="005A3967" w:rsidRDefault="00FB65A3" w:rsidP="00C43C96">
      <w:pPr>
        <w:spacing w:before="100" w:beforeAutospacing="1" w:after="100" w:afterAutospacing="1" w:line="360" w:lineRule="auto"/>
        <w:jc w:val="both"/>
      </w:pPr>
      <w:r w:rsidRPr="005A3967">
        <w:t>Despite its recognised value, embedding data governance faces challenges. Many organisations still treat data inconsistently, leading to fragmented ownership (Laney, 2017), while overly rigid governance models can stifle innovation (Khatri &amp; Brown, 2010). Cultural resistance</w:t>
      </w:r>
      <w:r w:rsidR="00C86DDA" w:rsidRPr="005A3967">
        <w:t xml:space="preserve"> complicates integration</w:t>
      </w:r>
      <w:r w:rsidRPr="005A3967">
        <w:t xml:space="preserve">, </w:t>
      </w:r>
      <w:r w:rsidR="008F1FC7" w:rsidRPr="005A3967">
        <w:t>particularly</w:t>
      </w:r>
      <w:r w:rsidRPr="005A3967">
        <w:t xml:space="preserve"> in traditional, hierarchical sectors</w:t>
      </w:r>
      <w:r w:rsidR="00E368FB" w:rsidRPr="005A3967">
        <w:t>,</w:t>
      </w:r>
      <w:r w:rsidRPr="005A3967">
        <w:t xml:space="preserve"> </w:t>
      </w:r>
      <w:r w:rsidR="008F1FC7" w:rsidRPr="005A3967">
        <w:t>such as</w:t>
      </w:r>
      <w:r w:rsidRPr="005A3967">
        <w:t xml:space="preserve"> </w:t>
      </w:r>
      <w:r w:rsidR="00E368FB" w:rsidRPr="005A3967">
        <w:t xml:space="preserve">the </w:t>
      </w:r>
      <w:r w:rsidRPr="005A3967">
        <w:t xml:space="preserve">energy </w:t>
      </w:r>
      <w:r w:rsidR="00E368FB" w:rsidRPr="005A3967">
        <w:t xml:space="preserve">sector </w:t>
      </w:r>
      <w:r w:rsidRPr="005A3967">
        <w:t xml:space="preserve">(Otto, 2011). Siloed systems further limit </w:t>
      </w:r>
      <w:r w:rsidR="008F1FC7" w:rsidRPr="005A3967">
        <w:t>the</w:t>
      </w:r>
      <w:r w:rsidRPr="005A3967">
        <w:t xml:space="preserve"> scalability and effectiveness </w:t>
      </w:r>
      <w:r w:rsidR="008F1FC7" w:rsidRPr="005A3967">
        <w:t xml:space="preserve">of predictive analytics </w:t>
      </w:r>
      <w:r w:rsidRPr="005A3967">
        <w:t>(Jeleel-Ojuade, 2024; Kothandapani, 2022).</w:t>
      </w:r>
    </w:p>
    <w:p w14:paraId="214E436E" w14:textId="12949DCE" w:rsidR="00730F3E" w:rsidRPr="005A3967" w:rsidRDefault="00544E6D" w:rsidP="00C31E77">
      <w:pPr>
        <w:pStyle w:val="Heading3"/>
        <w:rPr>
          <w:rFonts w:cs="Times New Roman"/>
        </w:rPr>
      </w:pPr>
      <w:bookmarkStart w:id="21" w:name="_Toc202544496"/>
      <w:r w:rsidRPr="005A3967">
        <w:rPr>
          <w:rFonts w:cs="Times New Roman"/>
        </w:rPr>
        <w:t>4</w:t>
      </w:r>
      <w:r w:rsidR="00730F3E" w:rsidRPr="005A3967">
        <w:rPr>
          <w:rFonts w:cs="Times New Roman"/>
        </w:rPr>
        <w:t>.2.4 Data Governance and Regulatory Compliance</w:t>
      </w:r>
      <w:bookmarkEnd w:id="21"/>
    </w:p>
    <w:p w14:paraId="48F66A41" w14:textId="25958AD2" w:rsidR="00FB65A3" w:rsidRPr="005A3967" w:rsidRDefault="00C86DDA" w:rsidP="00C43C96">
      <w:pPr>
        <w:spacing w:before="100" w:beforeAutospacing="1" w:after="100" w:afterAutospacing="1" w:line="360" w:lineRule="auto"/>
        <w:jc w:val="both"/>
      </w:pPr>
      <w:r w:rsidRPr="005A3967">
        <w:t>Data</w:t>
      </w:r>
      <w:r w:rsidR="00FB65A3" w:rsidRPr="005A3967">
        <w:t xml:space="preserve"> governance is both a strategic enabler and </w:t>
      </w:r>
      <w:r w:rsidRPr="005A3967">
        <w:t xml:space="preserve">a </w:t>
      </w:r>
      <w:r w:rsidR="00FB65A3" w:rsidRPr="005A3967">
        <w:t>regulatory requirement</w:t>
      </w:r>
      <w:r w:rsidRPr="005A3967">
        <w:t xml:space="preserve"> in the energy sector</w:t>
      </w:r>
      <w:r w:rsidR="00FB65A3" w:rsidRPr="005A3967">
        <w:t xml:space="preserve">. Compliance with GDPR and sector-specific mandates, such as Ofgem’s regulations, demands stringent data controls (ICO, 2021). Strong governance mitigates financial, operational, and </w:t>
      </w:r>
      <w:r w:rsidR="00FB65A3" w:rsidRPr="005A3967">
        <w:lastRenderedPageBreak/>
        <w:t>reputational risks while enhancing the trustworthiness of predictive analytics outputs (EDM Council, 2020). Aligning governance, analytics, and compliance is essential for sustainable digital transformation.</w:t>
      </w:r>
    </w:p>
    <w:p w14:paraId="7D0B8A31" w14:textId="6259876F" w:rsidR="00E4124D" w:rsidRPr="005A3967" w:rsidRDefault="00544E6D" w:rsidP="00C31E77">
      <w:pPr>
        <w:pStyle w:val="Heading2"/>
        <w:rPr>
          <w:rFonts w:ascii="Times New Roman" w:hAnsi="Times New Roman" w:cs="Times New Roman"/>
        </w:rPr>
      </w:pPr>
      <w:bookmarkStart w:id="22" w:name="_Toc202544497"/>
      <w:r w:rsidRPr="005A3967">
        <w:rPr>
          <w:rFonts w:ascii="Times New Roman" w:hAnsi="Times New Roman" w:cs="Times New Roman"/>
        </w:rPr>
        <w:t>4</w:t>
      </w:r>
      <w:r w:rsidR="00884355" w:rsidRPr="005A3967">
        <w:rPr>
          <w:rFonts w:ascii="Times New Roman" w:hAnsi="Times New Roman" w:cs="Times New Roman"/>
        </w:rPr>
        <w:t xml:space="preserve">.3 </w:t>
      </w:r>
      <w:r w:rsidR="00E4124D" w:rsidRPr="005A3967">
        <w:rPr>
          <w:rFonts w:ascii="Times New Roman" w:hAnsi="Times New Roman" w:cs="Times New Roman"/>
        </w:rPr>
        <w:t>Frameworks for Analytics Integration and Maturity</w:t>
      </w:r>
      <w:bookmarkEnd w:id="22"/>
    </w:p>
    <w:p w14:paraId="22706E28" w14:textId="14FEACFF" w:rsidR="00730F3E" w:rsidRPr="005A3967" w:rsidRDefault="00730F3E" w:rsidP="00C43C96">
      <w:pPr>
        <w:spacing w:before="100" w:beforeAutospacing="1" w:after="100" w:afterAutospacing="1" w:line="360" w:lineRule="auto"/>
        <w:jc w:val="both"/>
      </w:pPr>
      <w:r w:rsidRPr="005A3967">
        <w:t xml:space="preserve">Researchers and practitioners have developed several models to assess and guide </w:t>
      </w:r>
      <w:r w:rsidR="008F1FC7" w:rsidRPr="005A3967">
        <w:t>the</w:t>
      </w:r>
      <w:r w:rsidR="00C86DDA" w:rsidRPr="005A3967">
        <w:t xml:space="preserve"> integration</w:t>
      </w:r>
      <w:r w:rsidRPr="005A3967">
        <w:t xml:space="preserve"> </w:t>
      </w:r>
      <w:r w:rsidR="008F1FC7" w:rsidRPr="005A3967">
        <w:t xml:space="preserve">of analytics </w:t>
      </w:r>
      <w:r w:rsidRPr="005A3967">
        <w:t>into organisational strategy. This study particularly draws on two frameworks: the DELTA Model and the Data Management Capability Assessment Model (DCAM). These models will serve as analytical lenses for evaluating SSE PLC’s capabilities and inform the development of a tailored roadmap for enhanced analytics integration</w:t>
      </w:r>
      <w:r w:rsidR="00A15164" w:rsidRPr="005A3967">
        <w:t xml:space="preserve"> (Gaston, 2021).</w:t>
      </w:r>
    </w:p>
    <w:p w14:paraId="4E3EBE1C" w14:textId="4EC232D8" w:rsidR="00730F3E" w:rsidRPr="005A3967" w:rsidRDefault="00544E6D" w:rsidP="00C31E77">
      <w:pPr>
        <w:pStyle w:val="Heading3"/>
        <w:rPr>
          <w:rFonts w:cs="Times New Roman"/>
        </w:rPr>
      </w:pPr>
      <w:bookmarkStart w:id="23" w:name="_Toc202544498"/>
      <w:r w:rsidRPr="005A3967">
        <w:rPr>
          <w:rFonts w:cs="Times New Roman"/>
        </w:rPr>
        <w:t>4</w:t>
      </w:r>
      <w:r w:rsidR="00730F3E" w:rsidRPr="005A3967">
        <w:rPr>
          <w:rFonts w:cs="Times New Roman"/>
        </w:rPr>
        <w:t>.3.1 DELTA Model</w:t>
      </w:r>
      <w:bookmarkEnd w:id="23"/>
    </w:p>
    <w:p w14:paraId="2068EBF9" w14:textId="77777777" w:rsidR="004D4B3E" w:rsidRPr="005A3967" w:rsidRDefault="004D4B3E" w:rsidP="00C43C96">
      <w:pPr>
        <w:spacing w:before="100" w:beforeAutospacing="1" w:after="100" w:afterAutospacing="1" w:line="360" w:lineRule="auto"/>
        <w:jc w:val="both"/>
      </w:pPr>
      <w:r w:rsidRPr="005A3967">
        <w:t>The DELTA model (Davenport &amp; Harris, 2007; Davenport et al., 2010) outlines five key dimensions for building analytics capability:</w:t>
      </w:r>
    </w:p>
    <w:p w14:paraId="743161E2" w14:textId="1FBA943D" w:rsidR="004D4B3E" w:rsidRPr="005A3967" w:rsidRDefault="004D4B3E" w:rsidP="008824B8">
      <w:pPr>
        <w:numPr>
          <w:ilvl w:val="0"/>
          <w:numId w:val="14"/>
        </w:numPr>
        <w:spacing w:before="100" w:beforeAutospacing="1" w:after="100" w:afterAutospacing="1" w:line="360" w:lineRule="auto"/>
        <w:jc w:val="both"/>
      </w:pPr>
      <w:r w:rsidRPr="005A3967">
        <w:rPr>
          <w:b/>
          <w:bCs/>
        </w:rPr>
        <w:t>Data</w:t>
      </w:r>
      <w:r w:rsidRPr="005A3967">
        <w:t xml:space="preserve">: High-quality, integrated data is essential. SSE must address </w:t>
      </w:r>
      <w:r w:rsidR="008F1FC7" w:rsidRPr="005A3967">
        <w:t>challenges related to its legacy systems</w:t>
      </w:r>
      <w:r w:rsidRPr="005A3967">
        <w:t xml:space="preserve"> and unify key datasets</w:t>
      </w:r>
      <w:r w:rsidR="00074FBB" w:rsidRPr="005A3967">
        <w:t xml:space="preserve"> to ensure seamless integration</w:t>
      </w:r>
      <w:r w:rsidR="00E368FB" w:rsidRPr="005A3967">
        <w:t xml:space="preserve"> and data consistency</w:t>
      </w:r>
      <w:r w:rsidRPr="005A3967">
        <w:t>.</w:t>
      </w:r>
    </w:p>
    <w:p w14:paraId="2584FE4F" w14:textId="77777777" w:rsidR="004D4B3E" w:rsidRPr="005A3967" w:rsidRDefault="004D4B3E" w:rsidP="008824B8">
      <w:pPr>
        <w:numPr>
          <w:ilvl w:val="0"/>
          <w:numId w:val="14"/>
        </w:numPr>
        <w:spacing w:before="100" w:beforeAutospacing="1" w:after="100" w:afterAutospacing="1" w:line="360" w:lineRule="auto"/>
        <w:jc w:val="both"/>
      </w:pPr>
      <w:r w:rsidRPr="005A3967">
        <w:rPr>
          <w:b/>
          <w:bCs/>
        </w:rPr>
        <w:t>Enterprise-wide focus</w:t>
      </w:r>
      <w:r w:rsidRPr="005A3967">
        <w:t>: Analytics should be embedded across teams. SSE’s siloed approach highlights current immaturity.</w:t>
      </w:r>
    </w:p>
    <w:p w14:paraId="7A1CE30E" w14:textId="77777777" w:rsidR="004D4B3E" w:rsidRPr="005A3967" w:rsidRDefault="004D4B3E" w:rsidP="008824B8">
      <w:pPr>
        <w:numPr>
          <w:ilvl w:val="0"/>
          <w:numId w:val="14"/>
        </w:numPr>
        <w:spacing w:before="100" w:beforeAutospacing="1" w:after="100" w:afterAutospacing="1" w:line="360" w:lineRule="auto"/>
        <w:jc w:val="both"/>
      </w:pPr>
      <w:r w:rsidRPr="005A3967">
        <w:rPr>
          <w:b/>
          <w:bCs/>
        </w:rPr>
        <w:t>Leadership</w:t>
      </w:r>
      <w:r w:rsidRPr="005A3967">
        <w:t>: Executive support is crucial. The Chief Data Office shows growing leadership commitment.</w:t>
      </w:r>
    </w:p>
    <w:p w14:paraId="413F7F6E" w14:textId="4C2CC612" w:rsidR="004D4B3E" w:rsidRPr="005A3967" w:rsidRDefault="004D4B3E" w:rsidP="008824B8">
      <w:pPr>
        <w:numPr>
          <w:ilvl w:val="0"/>
          <w:numId w:val="14"/>
        </w:numPr>
        <w:spacing w:before="100" w:beforeAutospacing="1" w:after="100" w:afterAutospacing="1" w:line="360" w:lineRule="auto"/>
        <w:jc w:val="both"/>
      </w:pPr>
      <w:r w:rsidRPr="005A3967">
        <w:rPr>
          <w:b/>
          <w:bCs/>
        </w:rPr>
        <w:t>Targets</w:t>
      </w:r>
      <w:r w:rsidRPr="005A3967">
        <w:t>: Analytics must align with core goals—</w:t>
      </w:r>
      <w:r w:rsidR="008F1FC7" w:rsidRPr="005A3967">
        <w:t>such as</w:t>
      </w:r>
      <w:r w:rsidRPr="005A3967">
        <w:t xml:space="preserve"> net-zero and customer retention—to </w:t>
      </w:r>
      <w:r w:rsidR="008F1FC7" w:rsidRPr="005A3967">
        <w:t>remain</w:t>
      </w:r>
      <w:r w:rsidRPr="005A3967">
        <w:t xml:space="preserve"> relevant.</w:t>
      </w:r>
    </w:p>
    <w:p w14:paraId="3C0875A7" w14:textId="77777777" w:rsidR="004D4B3E" w:rsidRPr="005A3967" w:rsidRDefault="004D4B3E" w:rsidP="008824B8">
      <w:pPr>
        <w:numPr>
          <w:ilvl w:val="0"/>
          <w:numId w:val="14"/>
        </w:numPr>
        <w:spacing w:before="100" w:beforeAutospacing="1" w:after="100" w:afterAutospacing="1" w:line="360" w:lineRule="auto"/>
        <w:jc w:val="both"/>
      </w:pPr>
      <w:r w:rsidRPr="005A3967">
        <w:rPr>
          <w:b/>
          <w:bCs/>
        </w:rPr>
        <w:t>Talent (Analysts)</w:t>
      </w:r>
      <w:r w:rsidRPr="005A3967">
        <w:t>: A skilled mix of technical and analytical staff is needed. SSE still faces talent gaps despite efforts to build data literacy.</w:t>
      </w:r>
    </w:p>
    <w:p w14:paraId="19C3B37C" w14:textId="5A30111E" w:rsidR="004D4B3E" w:rsidRPr="005A3967" w:rsidRDefault="004D4B3E" w:rsidP="004D4B3E">
      <w:pPr>
        <w:spacing w:before="100" w:beforeAutospacing="1" w:after="100" w:afterAutospacing="1" w:line="360" w:lineRule="auto"/>
      </w:pPr>
      <w:r w:rsidRPr="005A3967">
        <w:rPr>
          <w:b/>
          <w:bCs/>
        </w:rPr>
        <w:t>Critical view</w:t>
      </w:r>
      <w:r w:rsidRPr="005A3967">
        <w:t>:</w:t>
      </w:r>
      <w:r w:rsidRPr="005A3967">
        <w:br/>
        <w:t xml:space="preserve">The model assumes digital maturity and may overlook constraints tied to legacy systems (Jarvis, 2025; Alhumaidi, 2025). SSE </w:t>
      </w:r>
      <w:r w:rsidR="008F1FC7" w:rsidRPr="005A3967">
        <w:t>requires</w:t>
      </w:r>
      <w:r w:rsidRPr="005A3967">
        <w:t xml:space="preserve"> a tailored approach</w:t>
      </w:r>
      <w:r w:rsidR="008F1FC7" w:rsidRPr="005A3967">
        <w:t xml:space="preserve">, including a </w:t>
      </w:r>
      <w:r w:rsidRPr="005A3967">
        <w:t>phased rollout, talent development, and hybrid governance. More adaptive models may better support ongoing AI evolution (Gupta &amp; George, 2023).</w:t>
      </w:r>
    </w:p>
    <w:p w14:paraId="4B02DAB2" w14:textId="31A2E416" w:rsidR="00730F3E" w:rsidRPr="005A3967" w:rsidRDefault="00544E6D" w:rsidP="000A101D">
      <w:pPr>
        <w:pStyle w:val="Heading3"/>
        <w:rPr>
          <w:rFonts w:cs="Times New Roman"/>
        </w:rPr>
      </w:pPr>
      <w:bookmarkStart w:id="24" w:name="_Toc202544499"/>
      <w:r w:rsidRPr="005A3967">
        <w:rPr>
          <w:rFonts w:cs="Times New Roman"/>
        </w:rPr>
        <w:lastRenderedPageBreak/>
        <w:t>4</w:t>
      </w:r>
      <w:r w:rsidR="00730F3E" w:rsidRPr="005A3967">
        <w:rPr>
          <w:rFonts w:cs="Times New Roman"/>
        </w:rPr>
        <w:t>.3.2 Data Management Capability Assessment Model (DCAM)</w:t>
      </w:r>
      <w:bookmarkEnd w:id="24"/>
    </w:p>
    <w:p w14:paraId="39B902B1" w14:textId="5579149C" w:rsidR="004D4B3E" w:rsidRPr="005A3967" w:rsidRDefault="004D4B3E" w:rsidP="00C43C96">
      <w:pPr>
        <w:spacing w:before="100" w:beforeAutospacing="1" w:after="100" w:afterAutospacing="1" w:line="360" w:lineRule="auto"/>
        <w:jc w:val="both"/>
      </w:pPr>
      <w:r w:rsidRPr="005A3967">
        <w:t xml:space="preserve">This study </w:t>
      </w:r>
      <w:r w:rsidR="008F1FC7" w:rsidRPr="005A3967">
        <w:t>utilises</w:t>
      </w:r>
      <w:r w:rsidRPr="005A3967">
        <w:t xml:space="preserve"> the DCAM framework (EDM Council, 2020) to </w:t>
      </w:r>
      <w:r w:rsidR="008F1FC7" w:rsidRPr="005A3967">
        <w:t>evaluate</w:t>
      </w:r>
      <w:r w:rsidRPr="005A3967">
        <w:t xml:space="preserve"> SSE’s data governance maturity </w:t>
      </w:r>
      <w:r w:rsidR="008F1FC7" w:rsidRPr="005A3967">
        <w:t>in conjunction with</w:t>
      </w:r>
      <w:r w:rsidRPr="005A3967">
        <w:t xml:space="preserve"> the DELTA model. DCAM focuses on core areas that support predictive analytics:</w:t>
      </w:r>
    </w:p>
    <w:p w14:paraId="09A912CD" w14:textId="77777777" w:rsidR="004D4B3E" w:rsidRPr="005A3967" w:rsidRDefault="004D4B3E" w:rsidP="008824B8">
      <w:pPr>
        <w:numPr>
          <w:ilvl w:val="0"/>
          <w:numId w:val="15"/>
        </w:numPr>
        <w:spacing w:before="100" w:beforeAutospacing="1" w:after="100" w:afterAutospacing="1" w:line="360" w:lineRule="auto"/>
      </w:pPr>
      <w:r w:rsidRPr="005A3967">
        <w:rPr>
          <w:b/>
          <w:bCs/>
        </w:rPr>
        <w:t>Data governance</w:t>
      </w:r>
      <w:r w:rsidRPr="005A3967">
        <w:t xml:space="preserve"> – Clear roles, policies, and oversight.</w:t>
      </w:r>
    </w:p>
    <w:p w14:paraId="3642F56D" w14:textId="77777777" w:rsidR="004D4B3E" w:rsidRPr="005A3967" w:rsidRDefault="004D4B3E" w:rsidP="008824B8">
      <w:pPr>
        <w:numPr>
          <w:ilvl w:val="0"/>
          <w:numId w:val="15"/>
        </w:numPr>
        <w:spacing w:before="100" w:beforeAutospacing="1" w:after="100" w:afterAutospacing="1" w:line="360" w:lineRule="auto"/>
      </w:pPr>
      <w:r w:rsidRPr="005A3967">
        <w:rPr>
          <w:b/>
          <w:bCs/>
        </w:rPr>
        <w:t>Data quality</w:t>
      </w:r>
      <w:r w:rsidRPr="005A3967">
        <w:t xml:space="preserve"> – Ongoing monitoring and strong metadata practices.</w:t>
      </w:r>
    </w:p>
    <w:p w14:paraId="41CE1DDB" w14:textId="77777777" w:rsidR="004D4B3E" w:rsidRPr="005A3967" w:rsidRDefault="004D4B3E" w:rsidP="008824B8">
      <w:pPr>
        <w:numPr>
          <w:ilvl w:val="0"/>
          <w:numId w:val="15"/>
        </w:numPr>
        <w:spacing w:before="100" w:beforeAutospacing="1" w:after="100" w:afterAutospacing="1" w:line="360" w:lineRule="auto"/>
      </w:pPr>
      <w:r w:rsidRPr="005A3967">
        <w:rPr>
          <w:b/>
          <w:bCs/>
        </w:rPr>
        <w:t>Architecture and infrastructure</w:t>
      </w:r>
      <w:r w:rsidRPr="005A3967">
        <w:t xml:space="preserve"> – Integrated systems using catalogues, MDM, and cloud platforms.</w:t>
      </w:r>
    </w:p>
    <w:p w14:paraId="1B5C2A6F" w14:textId="77777777" w:rsidR="004D4B3E" w:rsidRPr="005A3967" w:rsidRDefault="004D4B3E" w:rsidP="008824B8">
      <w:pPr>
        <w:numPr>
          <w:ilvl w:val="0"/>
          <w:numId w:val="15"/>
        </w:numPr>
        <w:spacing w:before="100" w:beforeAutospacing="1" w:after="100" w:afterAutospacing="1" w:line="360" w:lineRule="auto"/>
      </w:pPr>
      <w:r w:rsidRPr="005A3967">
        <w:rPr>
          <w:b/>
          <w:bCs/>
        </w:rPr>
        <w:t>Analytics management</w:t>
      </w:r>
      <w:r w:rsidRPr="005A3967">
        <w:t xml:space="preserve"> – Model development, validation, and alignment with business goals.</w:t>
      </w:r>
    </w:p>
    <w:p w14:paraId="39D4AFED" w14:textId="77777777" w:rsidR="004D4B3E" w:rsidRPr="005A3967" w:rsidRDefault="004D4B3E" w:rsidP="008824B8">
      <w:pPr>
        <w:numPr>
          <w:ilvl w:val="0"/>
          <w:numId w:val="15"/>
        </w:numPr>
        <w:spacing w:before="100" w:beforeAutospacing="1" w:after="100" w:afterAutospacing="1" w:line="360" w:lineRule="auto"/>
      </w:pPr>
      <w:r w:rsidRPr="005A3967">
        <w:rPr>
          <w:b/>
          <w:bCs/>
        </w:rPr>
        <w:t>Training and culture</w:t>
      </w:r>
      <w:r w:rsidRPr="005A3967">
        <w:t xml:space="preserve"> – Promoting data literacy and evidence-based decisions.</w:t>
      </w:r>
    </w:p>
    <w:p w14:paraId="15EBF802" w14:textId="1F7580B3" w:rsidR="004D4B3E" w:rsidRPr="005A3967" w:rsidRDefault="004D4B3E" w:rsidP="00C43C96">
      <w:pPr>
        <w:spacing w:before="100" w:beforeAutospacing="1" w:after="100" w:afterAutospacing="1" w:line="360" w:lineRule="auto"/>
        <w:jc w:val="both"/>
      </w:pPr>
      <w:r w:rsidRPr="005A3967">
        <w:t xml:space="preserve">Strong governance </w:t>
      </w:r>
      <w:r w:rsidR="008F1FC7" w:rsidRPr="005A3967">
        <w:t>fosters</w:t>
      </w:r>
      <w:r w:rsidRPr="005A3967">
        <w:t xml:space="preserve"> trust in analytics</w:t>
      </w:r>
      <w:r w:rsidR="008F1FC7" w:rsidRPr="005A3967">
        <w:t>, which is crucial</w:t>
      </w:r>
      <w:r w:rsidRPr="005A3967">
        <w:t xml:space="preserve"> for SSE, where data quality issues and fragmented ownership </w:t>
      </w:r>
      <w:r w:rsidR="008F1FC7" w:rsidRPr="005A3967">
        <w:t>persist as</w:t>
      </w:r>
      <w:r w:rsidRPr="005A3967">
        <w:t xml:space="preserve"> barriers (Brous, Janssen, &amp; Krans, 2020; EDM Council, 2020). DCAM helps pinpoint where maturity gaps exist, particularly </w:t>
      </w:r>
      <w:r w:rsidR="008F1FC7" w:rsidRPr="005A3967">
        <w:t>in areas such as</w:t>
      </w:r>
      <w:r w:rsidRPr="005A3967">
        <w:t xml:space="preserve"> siloed data and unclear accountability.</w:t>
      </w:r>
    </w:p>
    <w:p w14:paraId="10DE0D79" w14:textId="6547592C" w:rsidR="00DF0E40" w:rsidRPr="005A3967" w:rsidRDefault="00730F3E" w:rsidP="008824B8">
      <w:pPr>
        <w:pStyle w:val="Heading3"/>
        <w:numPr>
          <w:ilvl w:val="2"/>
          <w:numId w:val="48"/>
        </w:numPr>
        <w:rPr>
          <w:rFonts w:cs="Times New Roman"/>
        </w:rPr>
      </w:pPr>
      <w:bookmarkStart w:id="25" w:name="_Toc202544500"/>
      <w:r w:rsidRPr="005A3967">
        <w:rPr>
          <w:rFonts w:cs="Times New Roman"/>
        </w:rPr>
        <w:t>Other Relevant Frameworks and Debates</w:t>
      </w:r>
      <w:bookmarkEnd w:id="25"/>
    </w:p>
    <w:p w14:paraId="6948B5DD" w14:textId="4BB396EB" w:rsidR="00DF0E40" w:rsidRPr="005A3967" w:rsidRDefault="00DF0E40" w:rsidP="008824B8">
      <w:pPr>
        <w:pStyle w:val="ListParagraph"/>
        <w:numPr>
          <w:ilvl w:val="0"/>
          <w:numId w:val="8"/>
        </w:numPr>
        <w:spacing w:before="100" w:beforeAutospacing="1" w:after="100" w:afterAutospacing="1" w:line="360" w:lineRule="auto"/>
      </w:pPr>
      <w:r w:rsidRPr="005A3967">
        <w:rPr>
          <w:b/>
          <w:bCs/>
        </w:rPr>
        <w:t>Gartner Analytics Maturity Model</w:t>
      </w:r>
      <w:r w:rsidRPr="005A3967">
        <w:t xml:space="preserve">: Stages firms from descriptive to prescriptive analytics; most utilities are still </w:t>
      </w:r>
      <w:r w:rsidR="008F1FC7" w:rsidRPr="005A3967">
        <w:t>in the development stage</w:t>
      </w:r>
      <w:r w:rsidRPr="005A3967">
        <w:t xml:space="preserve"> (Gartner, 2024). </w:t>
      </w:r>
      <w:r w:rsidRPr="005A3967">
        <w:rPr>
          <w:i/>
          <w:iCs/>
        </w:rPr>
        <w:t>Figure 2</w:t>
      </w:r>
      <w:r w:rsidRPr="005A3967">
        <w:t xml:space="preserve"> shows SSE positioned between </w:t>
      </w:r>
      <w:r w:rsidR="002D20CB" w:rsidRPr="005A3967">
        <w:t xml:space="preserve">the </w:t>
      </w:r>
      <w:r w:rsidRPr="005A3967">
        <w:t>Predictive and early Prescriptive stages.</w:t>
      </w:r>
    </w:p>
    <w:p w14:paraId="2575D261" w14:textId="68381169" w:rsidR="00DF0E40" w:rsidRPr="005A3967" w:rsidRDefault="00DF0E40" w:rsidP="008824B8">
      <w:pPr>
        <w:pStyle w:val="ListParagraph"/>
        <w:numPr>
          <w:ilvl w:val="0"/>
          <w:numId w:val="8"/>
        </w:numPr>
        <w:spacing w:before="100" w:beforeAutospacing="1" w:after="100" w:afterAutospacing="1" w:line="360" w:lineRule="auto"/>
      </w:pPr>
      <w:r w:rsidRPr="005A3967">
        <w:rPr>
          <w:b/>
          <w:bCs/>
        </w:rPr>
        <w:t>DIKD Pyramid</w:t>
      </w:r>
      <w:r w:rsidRPr="005A3967">
        <w:t>: Aligns raw data through information and knowledge to support strategic decisions and maximise value.</w:t>
      </w:r>
    </w:p>
    <w:p w14:paraId="341486B7" w14:textId="6543703E" w:rsidR="00DF0E40" w:rsidRPr="005A3967" w:rsidRDefault="00DF0E40" w:rsidP="008824B8">
      <w:pPr>
        <w:pStyle w:val="ListParagraph"/>
        <w:numPr>
          <w:ilvl w:val="0"/>
          <w:numId w:val="9"/>
        </w:numPr>
        <w:spacing w:before="100" w:beforeAutospacing="1" w:after="100" w:afterAutospacing="1" w:line="360" w:lineRule="auto"/>
      </w:pPr>
      <w:r w:rsidRPr="005A3967">
        <w:rPr>
          <w:b/>
          <w:bCs/>
        </w:rPr>
        <w:t>Centralised vs Federated Models</w:t>
      </w:r>
      <w:r w:rsidRPr="005A3967">
        <w:t xml:space="preserve"> (Davenport, 2018):</w:t>
      </w:r>
    </w:p>
    <w:p w14:paraId="1280EC28" w14:textId="77777777" w:rsidR="00DF0E40" w:rsidRPr="005A3967" w:rsidRDefault="00DF0E40" w:rsidP="008824B8">
      <w:pPr>
        <w:numPr>
          <w:ilvl w:val="1"/>
          <w:numId w:val="9"/>
        </w:numPr>
        <w:spacing w:before="100" w:beforeAutospacing="1" w:after="100" w:afterAutospacing="1" w:line="360" w:lineRule="auto"/>
      </w:pPr>
      <w:r w:rsidRPr="005A3967">
        <w:rPr>
          <w:i/>
          <w:iCs/>
        </w:rPr>
        <w:t>Centralised CoE</w:t>
      </w:r>
      <w:r w:rsidRPr="005A3967">
        <w:t>: Ensures consistency and governance.</w:t>
      </w:r>
    </w:p>
    <w:p w14:paraId="76F06D8E" w14:textId="1E3615A4" w:rsidR="00DF0E40" w:rsidRPr="005A3967" w:rsidRDefault="00DF0E40" w:rsidP="008824B8">
      <w:pPr>
        <w:numPr>
          <w:ilvl w:val="1"/>
          <w:numId w:val="9"/>
        </w:numPr>
        <w:spacing w:before="100" w:beforeAutospacing="1" w:after="100" w:afterAutospacing="1" w:line="360" w:lineRule="auto"/>
      </w:pPr>
      <w:r w:rsidRPr="005A3967">
        <w:rPr>
          <w:i/>
          <w:iCs/>
        </w:rPr>
        <w:t>Federated Models</w:t>
      </w:r>
      <w:r w:rsidRPr="005A3967">
        <w:t xml:space="preserve">: Enhance </w:t>
      </w:r>
      <w:r w:rsidR="0002751E">
        <w:t>Agility</w:t>
      </w:r>
      <w:r w:rsidRPr="005A3967">
        <w:t xml:space="preserve"> at </w:t>
      </w:r>
      <w:r w:rsidR="0002751E">
        <w:t>the Business Unit Level</w:t>
      </w:r>
      <w:r w:rsidRPr="005A3967">
        <w:t>.</w:t>
      </w:r>
    </w:p>
    <w:p w14:paraId="00A7D52E" w14:textId="7031AF18" w:rsidR="00DF0E40" w:rsidRPr="005A3967" w:rsidRDefault="00DF0E40" w:rsidP="008824B8">
      <w:pPr>
        <w:numPr>
          <w:ilvl w:val="1"/>
          <w:numId w:val="9"/>
        </w:numPr>
        <w:spacing w:before="100" w:beforeAutospacing="1" w:after="100" w:afterAutospacing="1" w:line="360" w:lineRule="auto"/>
      </w:pPr>
      <w:r w:rsidRPr="005A3967">
        <w:rPr>
          <w:i/>
          <w:iCs/>
        </w:rPr>
        <w:t>For SSE</w:t>
      </w:r>
      <w:r w:rsidRPr="005A3967">
        <w:t xml:space="preserve">: A hybrid model offers </w:t>
      </w:r>
      <w:r w:rsidR="002D20CB" w:rsidRPr="005A3967">
        <w:t xml:space="preserve">a </w:t>
      </w:r>
      <w:r w:rsidRPr="005A3967">
        <w:t>balance between governance and flexibility.</w:t>
      </w:r>
    </w:p>
    <w:p w14:paraId="41A9EB1A" w14:textId="37A4A0D7" w:rsidR="00DF0E40" w:rsidRPr="005A3967" w:rsidRDefault="00DF0E40" w:rsidP="008824B8">
      <w:pPr>
        <w:pStyle w:val="ListParagraph"/>
        <w:numPr>
          <w:ilvl w:val="0"/>
          <w:numId w:val="10"/>
        </w:numPr>
        <w:spacing w:before="100" w:beforeAutospacing="1" w:after="100" w:afterAutospacing="1" w:line="360" w:lineRule="auto"/>
      </w:pPr>
      <w:r w:rsidRPr="005A3967">
        <w:rPr>
          <w:b/>
          <w:bCs/>
        </w:rPr>
        <w:t>Framework Limitations</w:t>
      </w:r>
      <w:r w:rsidRPr="005A3967">
        <w:t>:</w:t>
      </w:r>
    </w:p>
    <w:p w14:paraId="2EAD106D" w14:textId="77777777" w:rsidR="00DF0E40" w:rsidRPr="005A3967" w:rsidRDefault="00DF0E40" w:rsidP="008824B8">
      <w:pPr>
        <w:numPr>
          <w:ilvl w:val="1"/>
          <w:numId w:val="10"/>
        </w:numPr>
        <w:spacing w:before="100" w:beforeAutospacing="1" w:after="100" w:afterAutospacing="1" w:line="360" w:lineRule="auto"/>
      </w:pPr>
      <w:r w:rsidRPr="005A3967">
        <w:rPr>
          <w:i/>
          <w:iCs/>
        </w:rPr>
        <w:t>DELTA</w:t>
      </w:r>
      <w:r w:rsidRPr="005A3967">
        <w:t>: Assumes uniform maturity across dimensions—often unrealistic (Jarvis, 2025).</w:t>
      </w:r>
    </w:p>
    <w:p w14:paraId="405BEB95" w14:textId="77777777" w:rsidR="00DF0E40" w:rsidRPr="005A3967" w:rsidRDefault="00DF0E40" w:rsidP="008824B8">
      <w:pPr>
        <w:numPr>
          <w:ilvl w:val="1"/>
          <w:numId w:val="10"/>
        </w:numPr>
        <w:spacing w:before="100" w:beforeAutospacing="1" w:after="100" w:afterAutospacing="1" w:line="360" w:lineRule="auto"/>
      </w:pPr>
      <w:r w:rsidRPr="005A3967">
        <w:rPr>
          <w:i/>
          <w:iCs/>
        </w:rPr>
        <w:t>DCAM</w:t>
      </w:r>
      <w:r w:rsidRPr="005A3967">
        <w:t>: Can clash with agile, iterative innovation (Jarvis, 2025).</w:t>
      </w:r>
    </w:p>
    <w:p w14:paraId="7A456C60" w14:textId="74ED7ACD" w:rsidR="00735F6F" w:rsidRDefault="00DF0E40" w:rsidP="008824B8">
      <w:pPr>
        <w:numPr>
          <w:ilvl w:val="1"/>
          <w:numId w:val="10"/>
        </w:numPr>
        <w:spacing w:before="100" w:beforeAutospacing="1" w:after="100" w:afterAutospacing="1" w:line="360" w:lineRule="auto"/>
      </w:pPr>
      <w:r w:rsidRPr="005A3967">
        <w:rPr>
          <w:i/>
          <w:iCs/>
        </w:rPr>
        <w:t>Future Direction</w:t>
      </w:r>
      <w:r w:rsidRPr="005A3967">
        <w:t>: SSE must evolve toward adaptive, AI-augmented frameworks (Gupta &amp; George, 2023).</w:t>
      </w:r>
    </w:p>
    <w:p w14:paraId="2AB7F44F" w14:textId="77777777" w:rsidR="00AF3EB7" w:rsidRPr="005A3967" w:rsidRDefault="00AF3EB7" w:rsidP="00AF3EB7">
      <w:pPr>
        <w:spacing w:before="100" w:beforeAutospacing="1" w:after="100" w:afterAutospacing="1" w:line="360" w:lineRule="auto"/>
      </w:pPr>
    </w:p>
    <w:p w14:paraId="25674BB2" w14:textId="6B71A550" w:rsidR="00EE053D" w:rsidRPr="005A3967" w:rsidRDefault="00EE053D" w:rsidP="00462E03">
      <w:pPr>
        <w:spacing w:before="100" w:beforeAutospacing="1" w:after="100" w:afterAutospacing="1" w:line="360" w:lineRule="auto"/>
        <w:jc w:val="center"/>
      </w:pPr>
      <w:r w:rsidRPr="005A3967">
        <w:fldChar w:fldCharType="begin"/>
      </w:r>
      <w:r w:rsidRPr="005A3967">
        <w:instrText xml:space="preserve"> INCLUDEPICTURE "https://sdmntprnorthcentralus.oaiusercontent.com/files/00000000-1960-622f-aab2-d115a31bea2d/raw?se=2025-04-26T09%3A56%3A30Z&amp;sp=r&amp;sv=2024-08-04&amp;sr=b&amp;scid=b9e7d96b-a6a6-5a94-b6e7-81366ede51b6&amp;skoid=a3336399-497e-45e5-8f28-4b88ecca3d1f&amp;sktid=a48cca56-e6da-484e-a814-9c849652bcb3&amp;skt=2025-04-25T16%3A01%3A02Z&amp;ske=2025-04-26T16%3A01%3A02Z&amp;sks=b&amp;skv=2024-08-04&amp;sig=DPOJLB/7VST65K9nWIIP2kSGbdII/ZWVMpxzii8eNvk%3D" \* MERGEFORMATINET </w:instrText>
      </w:r>
      <w:r w:rsidRPr="005A3967">
        <w:fldChar w:fldCharType="separate"/>
      </w:r>
      <w:r w:rsidRPr="005A3967">
        <w:rPr>
          <w:noProof/>
        </w:rPr>
        <w:drawing>
          <wp:inline distT="0" distB="0" distL="0" distR="0" wp14:anchorId="7002B341" wp14:editId="545B5659">
            <wp:extent cx="4532459" cy="2048933"/>
            <wp:effectExtent l="0" t="0" r="1905" b="0"/>
            <wp:docPr id="173863360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rotWithShape="1">
                    <a:blip r:embed="rId16">
                      <a:extLst>
                        <a:ext uri="{28A0092B-C50C-407E-A947-70E740481C1C}">
                          <a14:useLocalDpi xmlns:a14="http://schemas.microsoft.com/office/drawing/2010/main" val="0"/>
                        </a:ext>
                      </a:extLst>
                    </a:blip>
                    <a:srcRect l="2570" t="25866" r="3691" b="10566"/>
                    <a:stretch/>
                  </pic:blipFill>
                  <pic:spPr bwMode="auto">
                    <a:xfrm>
                      <a:off x="0" y="0"/>
                      <a:ext cx="4687212" cy="2118890"/>
                    </a:xfrm>
                    <a:prstGeom prst="rect">
                      <a:avLst/>
                    </a:prstGeom>
                    <a:noFill/>
                    <a:ln>
                      <a:noFill/>
                    </a:ln>
                    <a:extLst>
                      <a:ext uri="{53640926-AAD7-44D8-BBD7-CCE9431645EC}">
                        <a14:shadowObscured xmlns:a14="http://schemas.microsoft.com/office/drawing/2010/main"/>
                      </a:ext>
                    </a:extLst>
                  </pic:spPr>
                </pic:pic>
              </a:graphicData>
            </a:graphic>
          </wp:inline>
        </w:drawing>
      </w:r>
      <w:r w:rsidR="00622D99" w:rsidRPr="005A3967">
        <w:rPr>
          <w:rStyle w:val="FootnoteReference"/>
        </w:rPr>
        <w:footnoteReference w:id="3"/>
      </w:r>
      <w:r w:rsidRPr="005A3967">
        <w:fldChar w:fldCharType="end"/>
      </w:r>
    </w:p>
    <w:p w14:paraId="487E5B6E" w14:textId="16E4BDC1" w:rsidR="0007144A" w:rsidRPr="005A3967" w:rsidRDefault="00EE053D" w:rsidP="0007144A">
      <w:pPr>
        <w:pStyle w:val="Caption"/>
        <w:spacing w:line="360" w:lineRule="auto"/>
        <w:jc w:val="center"/>
        <w:rPr>
          <w:rFonts w:eastAsiaTheme="majorEastAsia"/>
          <w:b/>
          <w:bCs/>
          <w:i w:val="0"/>
          <w:iCs w:val="0"/>
        </w:rPr>
      </w:pPr>
      <w:bookmarkStart w:id="26" w:name="_Toc201942912"/>
      <w:r w:rsidRPr="005A3967">
        <w:rPr>
          <w:b/>
          <w:bCs/>
        </w:rPr>
        <w:t xml:space="preserve">Figure </w:t>
      </w:r>
      <w:r w:rsidR="00747E01" w:rsidRPr="005A3967">
        <w:rPr>
          <w:b/>
          <w:bCs/>
        </w:rPr>
        <w:fldChar w:fldCharType="begin"/>
      </w:r>
      <w:r w:rsidR="00747E01" w:rsidRPr="005A3967">
        <w:rPr>
          <w:b/>
          <w:bCs/>
        </w:rPr>
        <w:instrText xml:space="preserve"> SEQ Figure \* ARABIC </w:instrText>
      </w:r>
      <w:r w:rsidR="00747E01" w:rsidRPr="005A3967">
        <w:rPr>
          <w:b/>
          <w:bCs/>
        </w:rPr>
        <w:fldChar w:fldCharType="separate"/>
      </w:r>
      <w:r w:rsidR="00747E01" w:rsidRPr="005A3967">
        <w:rPr>
          <w:b/>
          <w:bCs/>
          <w:noProof/>
        </w:rPr>
        <w:t>2</w:t>
      </w:r>
      <w:r w:rsidR="00747E01" w:rsidRPr="005A3967">
        <w:rPr>
          <w:b/>
          <w:bCs/>
          <w:noProof/>
        </w:rPr>
        <w:fldChar w:fldCharType="end"/>
      </w:r>
      <w:r w:rsidRPr="005A3967">
        <w:rPr>
          <w:b/>
          <w:bCs/>
        </w:rPr>
        <w:t xml:space="preserve">: Gartner Analytics Maturity Model and Typical Utility Sector Positioning </w:t>
      </w:r>
      <w:r w:rsidR="00D51EA0" w:rsidRPr="005A3967">
        <w:rPr>
          <w:b/>
          <w:bCs/>
        </w:rPr>
        <w:t>(Adapted from Gartner, 2024.)</w:t>
      </w:r>
      <w:bookmarkEnd w:id="26"/>
    </w:p>
    <w:p w14:paraId="1F352317" w14:textId="3B103431" w:rsidR="00DA5904" w:rsidRPr="005A3967" w:rsidRDefault="00DA5904" w:rsidP="00C43C96">
      <w:pPr>
        <w:spacing w:line="360" w:lineRule="auto"/>
        <w:jc w:val="both"/>
      </w:pPr>
      <w:r w:rsidRPr="005A3967">
        <w:t xml:space="preserve">SSE is moving toward prescriptive analytics but must improve integration, modelling, and talent. </w:t>
      </w:r>
      <w:r w:rsidRPr="005A3967">
        <w:rPr>
          <w:b/>
          <w:bCs/>
        </w:rPr>
        <w:t>Table 3</w:t>
      </w:r>
      <w:r w:rsidRPr="005A3967">
        <w:t xml:space="preserve"> compares centralised, federated, and hybrid models to guide this shift.</w:t>
      </w:r>
    </w:p>
    <w:p w14:paraId="548FF9D4" w14:textId="43B19E32" w:rsidR="00DA5904" w:rsidRPr="005A3967" w:rsidRDefault="00DA5904" w:rsidP="00C43C96">
      <w:pPr>
        <w:spacing w:line="360" w:lineRule="auto"/>
        <w:jc w:val="both"/>
      </w:pPr>
      <w:r w:rsidRPr="005A3967">
        <w:t xml:space="preserve">Studies highlight the importance of analytics maturity (Zhang et al., 2023), governance alignment (Thomas &amp; Liu, 2022), and hybrid models in disrupted sectors (Rodriguez et al., 2024). DELTA and DCAM remain useful but require </w:t>
      </w:r>
      <w:r w:rsidR="008F1FC7" w:rsidRPr="005A3967">
        <w:t xml:space="preserve">a </w:t>
      </w:r>
      <w:r w:rsidRPr="005A3967">
        <w:t>flexible application.</w:t>
      </w:r>
    </w:p>
    <w:p w14:paraId="2F93D15F" w14:textId="367366AC" w:rsidR="008A0038" w:rsidRPr="005A3967" w:rsidRDefault="00DA5904" w:rsidP="002550EF">
      <w:pPr>
        <w:spacing w:line="360" w:lineRule="auto"/>
        <w:jc w:val="both"/>
      </w:pPr>
      <w:r w:rsidRPr="005A3967">
        <w:t>Compared to peers like National Grid, SSE’s fragmented approach shows the need for stronger leadership and a clearer model to drive its strategy forward.</w:t>
      </w:r>
    </w:p>
    <w:p w14:paraId="6712EBF1" w14:textId="34303B85" w:rsidR="00D12263" w:rsidRPr="005A3967" w:rsidRDefault="00D12263" w:rsidP="008A0038">
      <w:pPr>
        <w:pStyle w:val="Caption"/>
        <w:rPr>
          <w:b/>
          <w:bCs/>
        </w:rPr>
      </w:pPr>
      <w:bookmarkStart w:id="27" w:name="_Toc196559535"/>
      <w:bookmarkStart w:id="28" w:name="_Toc201942893"/>
      <w:r w:rsidRPr="005A3967">
        <w:rPr>
          <w:b/>
          <w:bCs/>
        </w:rPr>
        <w:t xml:space="preserve">Table </w:t>
      </w:r>
      <w:r w:rsidR="003831A5" w:rsidRPr="005A3967">
        <w:rPr>
          <w:b/>
          <w:bCs/>
        </w:rPr>
        <w:fldChar w:fldCharType="begin"/>
      </w:r>
      <w:r w:rsidR="003831A5" w:rsidRPr="005A3967">
        <w:rPr>
          <w:b/>
          <w:bCs/>
        </w:rPr>
        <w:instrText xml:space="preserve"> SEQ Table \* ARABIC </w:instrText>
      </w:r>
      <w:r w:rsidR="003831A5" w:rsidRPr="005A3967">
        <w:rPr>
          <w:b/>
          <w:bCs/>
        </w:rPr>
        <w:fldChar w:fldCharType="separate"/>
      </w:r>
      <w:r w:rsidR="00A50FDD" w:rsidRPr="005A3967">
        <w:rPr>
          <w:b/>
          <w:bCs/>
          <w:noProof/>
        </w:rPr>
        <w:t>3</w:t>
      </w:r>
      <w:r w:rsidR="003831A5" w:rsidRPr="005A3967">
        <w:rPr>
          <w:b/>
          <w:bCs/>
          <w:noProof/>
        </w:rPr>
        <w:fldChar w:fldCharType="end"/>
      </w:r>
      <w:r w:rsidRPr="005A3967">
        <w:rPr>
          <w:b/>
          <w:bCs/>
        </w:rPr>
        <w:t>: Comparison of Centralised, Federated, and Hybrid Analytics Structures</w:t>
      </w:r>
      <w:bookmarkEnd w:id="27"/>
      <w:r w:rsidR="00DA5393" w:rsidRPr="005A3967">
        <w:rPr>
          <w:b/>
          <w:bCs/>
        </w:rPr>
        <w:t xml:space="preserve"> (Adapted from Davenport (2018) and author’s elaboration)</w:t>
      </w:r>
      <w:r w:rsidR="006B2945" w:rsidRPr="005A3967">
        <w:rPr>
          <w:rStyle w:val="FootnoteReference"/>
          <w:b/>
          <w:bCs/>
        </w:rPr>
        <w:footnoteReference w:id="4"/>
      </w:r>
      <w:bookmarkEnd w:id="28"/>
    </w:p>
    <w:p w14:paraId="4A04E426" w14:textId="2642BB69" w:rsidR="00EE5A0B" w:rsidRDefault="00EE5A0B" w:rsidP="004C5CA0">
      <w:pPr>
        <w:jc w:val="center"/>
      </w:pPr>
      <w:r w:rsidRPr="005A3967">
        <w:rPr>
          <w:noProof/>
          <w14:ligatures w14:val="standardContextual"/>
        </w:rPr>
        <w:drawing>
          <wp:inline distT="0" distB="0" distL="0" distR="0" wp14:anchorId="691C7878" wp14:editId="68B696B2">
            <wp:extent cx="5996580" cy="2446866"/>
            <wp:effectExtent l="0" t="0" r="0" b="4445"/>
            <wp:docPr id="435443692" name="Picture 30"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443692" name="Picture 30" descr="A table with text on i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89730" cy="2525680"/>
                    </a:xfrm>
                    <a:prstGeom prst="rect">
                      <a:avLst/>
                    </a:prstGeom>
                  </pic:spPr>
                </pic:pic>
              </a:graphicData>
            </a:graphic>
          </wp:inline>
        </w:drawing>
      </w:r>
    </w:p>
    <w:p w14:paraId="56CBCCFE" w14:textId="77777777" w:rsidR="001E3AA9" w:rsidRDefault="001E3AA9" w:rsidP="004C5CA0">
      <w:pPr>
        <w:jc w:val="center"/>
      </w:pPr>
    </w:p>
    <w:p w14:paraId="57BD900D" w14:textId="77777777" w:rsidR="001E3AA9" w:rsidRPr="005A3967" w:rsidRDefault="001E3AA9" w:rsidP="004C5CA0">
      <w:pPr>
        <w:jc w:val="center"/>
      </w:pPr>
    </w:p>
    <w:p w14:paraId="6070E9CC" w14:textId="77777777" w:rsidR="00B95645" w:rsidRPr="005A3967" w:rsidRDefault="00B95645" w:rsidP="00B95645">
      <w:pPr>
        <w:spacing w:line="360" w:lineRule="auto"/>
        <w:rPr>
          <w:b/>
          <w:bCs/>
        </w:rPr>
      </w:pPr>
    </w:p>
    <w:p w14:paraId="6F22365D" w14:textId="1590682E" w:rsidR="000216A5" w:rsidRDefault="00B95645" w:rsidP="000216A5">
      <w:pPr>
        <w:spacing w:line="360" w:lineRule="auto"/>
      </w:pPr>
      <w:bookmarkStart w:id="29" w:name="_Toc202544501"/>
      <w:r w:rsidRPr="005A3967">
        <w:rPr>
          <w:rStyle w:val="Heading3Char"/>
          <w:rFonts w:cs="Times New Roman"/>
        </w:rPr>
        <w:t>4.3.4 Framework Limitations and Alternative Perspectives</w:t>
      </w:r>
      <w:bookmarkEnd w:id="29"/>
    </w:p>
    <w:p w14:paraId="69D1C003" w14:textId="75BCD5F9" w:rsidR="000216A5" w:rsidRPr="000216A5" w:rsidRDefault="000216A5" w:rsidP="000216A5">
      <w:pPr>
        <w:spacing w:line="360" w:lineRule="auto"/>
        <w:jc w:val="both"/>
      </w:pPr>
      <w:r w:rsidRPr="000216A5">
        <w:t xml:space="preserve">As discussed in </w:t>
      </w:r>
      <w:r w:rsidRPr="000216A5">
        <w:rPr>
          <w:b/>
          <w:bCs/>
        </w:rPr>
        <w:t>Sections 4.3.1</w:t>
      </w:r>
      <w:r w:rsidRPr="000216A5">
        <w:t xml:space="preserve"> and </w:t>
      </w:r>
      <w:r w:rsidRPr="000216A5">
        <w:rPr>
          <w:b/>
          <w:bCs/>
        </w:rPr>
        <w:t>4.3.2</w:t>
      </w:r>
      <w:r w:rsidRPr="000216A5">
        <w:t xml:space="preserve">, both </w:t>
      </w:r>
      <w:r w:rsidRPr="000216A5">
        <w:rPr>
          <w:b/>
          <w:bCs/>
        </w:rPr>
        <w:t>DELTA</w:t>
      </w:r>
      <w:r w:rsidRPr="000216A5">
        <w:t xml:space="preserve"> and </w:t>
      </w:r>
      <w:r w:rsidRPr="000216A5">
        <w:rPr>
          <w:b/>
          <w:bCs/>
        </w:rPr>
        <w:t>DCAM</w:t>
      </w:r>
      <w:r w:rsidRPr="000216A5">
        <w:t xml:space="preserve"> present </w:t>
      </w:r>
      <w:r w:rsidRPr="000216A5">
        <w:rPr>
          <w:i/>
          <w:iCs/>
        </w:rPr>
        <w:t>context-specific limitations</w:t>
      </w:r>
      <w:r w:rsidR="0002751E">
        <w:t>, particularly in relation to</w:t>
      </w:r>
      <w:r w:rsidRPr="000216A5">
        <w:t xml:space="preserve"> </w:t>
      </w:r>
      <w:r w:rsidRPr="000216A5">
        <w:rPr>
          <w:i/>
          <w:iCs/>
        </w:rPr>
        <w:t>legacy systems</w:t>
      </w:r>
      <w:r w:rsidRPr="000216A5">
        <w:t xml:space="preserve"> and </w:t>
      </w:r>
      <w:r w:rsidRPr="000216A5">
        <w:rPr>
          <w:i/>
          <w:iCs/>
        </w:rPr>
        <w:t>innovation agility</w:t>
      </w:r>
      <w:r w:rsidRPr="000216A5">
        <w:t xml:space="preserve">. To address these, </w:t>
      </w:r>
      <w:r w:rsidRPr="000216A5">
        <w:rPr>
          <w:b/>
          <w:bCs/>
        </w:rPr>
        <w:t>Data Mesh</w:t>
      </w:r>
      <w:r w:rsidRPr="000216A5">
        <w:t xml:space="preserve"> offers a </w:t>
      </w:r>
      <w:r w:rsidRPr="000216A5">
        <w:rPr>
          <w:i/>
          <w:iCs/>
        </w:rPr>
        <w:t>decentralised, domain-driven</w:t>
      </w:r>
      <w:r w:rsidRPr="000216A5">
        <w:t xml:space="preserve"> alternative, aligning with SSE’s </w:t>
      </w:r>
      <w:r w:rsidRPr="000216A5">
        <w:rPr>
          <w:i/>
          <w:iCs/>
        </w:rPr>
        <w:t>federated model</w:t>
      </w:r>
      <w:r w:rsidRPr="000216A5">
        <w:t xml:space="preserve">. However, it introduces challenges related to </w:t>
      </w:r>
      <w:r w:rsidRPr="000216A5">
        <w:rPr>
          <w:b/>
          <w:bCs/>
        </w:rPr>
        <w:t>GDPR</w:t>
      </w:r>
      <w:r w:rsidRPr="000216A5">
        <w:t xml:space="preserve">, </w:t>
      </w:r>
      <w:r w:rsidRPr="000216A5">
        <w:rPr>
          <w:b/>
          <w:bCs/>
        </w:rPr>
        <w:t>Ofgem</w:t>
      </w:r>
      <w:r w:rsidRPr="000216A5">
        <w:t xml:space="preserve"> compliance, and </w:t>
      </w:r>
      <w:r w:rsidRPr="000216A5">
        <w:rPr>
          <w:i/>
          <w:iCs/>
        </w:rPr>
        <w:t>platform maturity</w:t>
      </w:r>
      <w:r w:rsidRPr="000216A5">
        <w:t>.</w:t>
      </w:r>
    </w:p>
    <w:p w14:paraId="3D224345" w14:textId="3822458A" w:rsidR="000216A5" w:rsidRPr="005A3967" w:rsidRDefault="000216A5" w:rsidP="00B02160">
      <w:pPr>
        <w:spacing w:line="360" w:lineRule="auto"/>
        <w:jc w:val="both"/>
      </w:pPr>
      <w:r w:rsidRPr="000216A5">
        <w:t xml:space="preserve">A </w:t>
      </w:r>
      <w:r w:rsidRPr="000216A5">
        <w:rPr>
          <w:b/>
          <w:bCs/>
        </w:rPr>
        <w:t>hybrid approach</w:t>
      </w:r>
      <w:r w:rsidRPr="000216A5">
        <w:t xml:space="preserve">—combining </w:t>
      </w:r>
      <w:r w:rsidRPr="000216A5">
        <w:rPr>
          <w:b/>
          <w:bCs/>
        </w:rPr>
        <w:t>DELTA</w:t>
      </w:r>
      <w:r w:rsidRPr="000216A5">
        <w:t xml:space="preserve">, </w:t>
      </w:r>
      <w:r w:rsidRPr="000216A5">
        <w:rPr>
          <w:b/>
          <w:bCs/>
        </w:rPr>
        <w:t>DCAM</w:t>
      </w:r>
      <w:r w:rsidRPr="000216A5">
        <w:t xml:space="preserve">, and selective </w:t>
      </w:r>
      <w:r w:rsidRPr="000216A5">
        <w:rPr>
          <w:i/>
          <w:iCs/>
        </w:rPr>
        <w:t>Data Mesh</w:t>
      </w:r>
      <w:r w:rsidRPr="000216A5">
        <w:t xml:space="preserve"> principles—is proposed to balance </w:t>
      </w:r>
      <w:r w:rsidRPr="000216A5">
        <w:rPr>
          <w:i/>
          <w:iCs/>
        </w:rPr>
        <w:t>governance control</w:t>
      </w:r>
      <w:r w:rsidRPr="000216A5">
        <w:t xml:space="preserve"> with </w:t>
      </w:r>
      <w:r w:rsidRPr="000216A5">
        <w:rPr>
          <w:i/>
          <w:iCs/>
        </w:rPr>
        <w:t>scalability</w:t>
      </w:r>
      <w:r w:rsidRPr="000216A5">
        <w:t xml:space="preserve"> and </w:t>
      </w:r>
      <w:r w:rsidRPr="000216A5">
        <w:rPr>
          <w:i/>
          <w:iCs/>
        </w:rPr>
        <w:t>flexibility</w:t>
      </w:r>
      <w:r w:rsidRPr="000216A5">
        <w:t xml:space="preserve"> in </w:t>
      </w:r>
      <w:r w:rsidR="0002751E">
        <w:t xml:space="preserve">the adoption of </w:t>
      </w:r>
      <w:r w:rsidRPr="000216A5">
        <w:t>predictive analytics.</w:t>
      </w:r>
    </w:p>
    <w:p w14:paraId="7F94DB89" w14:textId="231BE613" w:rsidR="004C5EE0" w:rsidRPr="005A3967" w:rsidRDefault="004C5EE0" w:rsidP="008A0038">
      <w:pPr>
        <w:pStyle w:val="Caption"/>
        <w:rPr>
          <w:rStyle w:val="Emphasis"/>
          <w:rFonts w:eastAsiaTheme="majorEastAsia"/>
          <w:b/>
          <w:bCs/>
          <w:i/>
          <w:iCs/>
        </w:rPr>
      </w:pPr>
      <w:bookmarkStart w:id="30" w:name="_Toc201942894"/>
      <w:r w:rsidRPr="005A3967">
        <w:rPr>
          <w:b/>
          <w:bCs/>
        </w:rPr>
        <w:t xml:space="preserve">Table </w:t>
      </w:r>
      <w:r w:rsidRPr="005A3967">
        <w:rPr>
          <w:b/>
          <w:bCs/>
        </w:rPr>
        <w:fldChar w:fldCharType="begin"/>
      </w:r>
      <w:r w:rsidRPr="005A3967">
        <w:rPr>
          <w:b/>
          <w:bCs/>
        </w:rPr>
        <w:instrText xml:space="preserve"> SEQ Table \* ARABIC </w:instrText>
      </w:r>
      <w:r w:rsidRPr="005A3967">
        <w:rPr>
          <w:b/>
          <w:bCs/>
        </w:rPr>
        <w:fldChar w:fldCharType="separate"/>
      </w:r>
      <w:r w:rsidR="00A50FDD" w:rsidRPr="005A3967">
        <w:rPr>
          <w:b/>
          <w:bCs/>
          <w:noProof/>
        </w:rPr>
        <w:t>4</w:t>
      </w:r>
      <w:r w:rsidRPr="005A3967">
        <w:rPr>
          <w:b/>
          <w:bCs/>
        </w:rPr>
        <w:fldChar w:fldCharType="end"/>
      </w:r>
      <w:r w:rsidRPr="005A3967">
        <w:rPr>
          <w:b/>
          <w:bCs/>
        </w:rPr>
        <w:t xml:space="preserve">: Comparison of Data Mesh, DCAM, and DELTA </w:t>
      </w:r>
      <w:r w:rsidRPr="005A3967">
        <w:rPr>
          <w:b/>
          <w:bCs/>
          <w:i w:val="0"/>
          <w:iCs w:val="0"/>
        </w:rPr>
        <w:t xml:space="preserve">Frameworks </w:t>
      </w:r>
      <w:r w:rsidRPr="005A3967">
        <w:rPr>
          <w:rStyle w:val="Emphasis"/>
          <w:rFonts w:eastAsiaTheme="majorEastAsia"/>
          <w:b/>
          <w:bCs/>
          <w:i/>
          <w:iCs/>
        </w:rPr>
        <w:t>(Author’s synthesis based on Dehghani (2022), EDM Council (2020), and Davenport &amp; Harris (2010))</w:t>
      </w:r>
      <w:bookmarkEnd w:id="30"/>
    </w:p>
    <w:p w14:paraId="64981E36" w14:textId="5243283E" w:rsidR="004C5EE0" w:rsidRPr="005A3967" w:rsidRDefault="004C5EE0" w:rsidP="004C5CA0">
      <w:pPr>
        <w:jc w:val="center"/>
      </w:pPr>
      <w:r w:rsidRPr="005A3967">
        <w:rPr>
          <w:noProof/>
          <w14:ligatures w14:val="standardContextual"/>
        </w:rPr>
        <w:drawing>
          <wp:inline distT="0" distB="0" distL="0" distR="0" wp14:anchorId="41E8CD7B" wp14:editId="6362E3ED">
            <wp:extent cx="5732826" cy="3559358"/>
            <wp:effectExtent l="0" t="0" r="0" b="0"/>
            <wp:docPr id="204425708" name="Picture 46" descr="A table of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25708" name="Picture 46" descr="A table of text on a white background&#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70014" cy="3582447"/>
                    </a:xfrm>
                    <a:prstGeom prst="rect">
                      <a:avLst/>
                    </a:prstGeom>
                  </pic:spPr>
                </pic:pic>
              </a:graphicData>
            </a:graphic>
          </wp:inline>
        </w:drawing>
      </w:r>
    </w:p>
    <w:p w14:paraId="0DDE7B7E" w14:textId="7D4EAF54" w:rsidR="00730F3E" w:rsidRPr="005A3967" w:rsidRDefault="00544E6D" w:rsidP="009A0E2B">
      <w:pPr>
        <w:pStyle w:val="Heading2"/>
        <w:rPr>
          <w:rFonts w:ascii="Times New Roman" w:hAnsi="Times New Roman" w:cs="Times New Roman"/>
        </w:rPr>
      </w:pPr>
      <w:bookmarkStart w:id="31" w:name="_Toc202544502"/>
      <w:r w:rsidRPr="005A3967">
        <w:rPr>
          <w:rFonts w:ascii="Times New Roman" w:hAnsi="Times New Roman" w:cs="Times New Roman"/>
        </w:rPr>
        <w:t>4</w:t>
      </w:r>
      <w:r w:rsidR="0015357F" w:rsidRPr="005A3967">
        <w:rPr>
          <w:rFonts w:ascii="Times New Roman" w:hAnsi="Times New Roman" w:cs="Times New Roman"/>
        </w:rPr>
        <w:t xml:space="preserve">.4 </w:t>
      </w:r>
      <w:r w:rsidR="00730F3E" w:rsidRPr="005A3967">
        <w:rPr>
          <w:rFonts w:ascii="Times New Roman" w:hAnsi="Times New Roman" w:cs="Times New Roman"/>
        </w:rPr>
        <w:t>Conclusion of Literature Review</w:t>
      </w:r>
      <w:bookmarkEnd w:id="31"/>
    </w:p>
    <w:p w14:paraId="2B115E5C" w14:textId="344A9A74" w:rsidR="00DA5904" w:rsidRPr="005A3967" w:rsidRDefault="00DA5904" w:rsidP="00C43C96">
      <w:pPr>
        <w:spacing w:before="100" w:beforeAutospacing="1" w:after="100" w:afterAutospacing="1" w:line="360" w:lineRule="auto"/>
        <w:jc w:val="both"/>
      </w:pPr>
      <w:r w:rsidRPr="005A3967">
        <w:t xml:space="preserve">The literature </w:t>
      </w:r>
      <w:r w:rsidR="008F1FC7" w:rsidRPr="005A3967">
        <w:t>indicates</w:t>
      </w:r>
      <w:r w:rsidRPr="005A3967">
        <w:t xml:space="preserve"> that predictive analytics can </w:t>
      </w:r>
      <w:r w:rsidR="008F1FC7" w:rsidRPr="005A3967">
        <w:t>enhance</w:t>
      </w:r>
      <w:r w:rsidRPr="005A3967">
        <w:t xml:space="preserve"> foresight, agility, and competitiveness—but only when </w:t>
      </w:r>
      <w:r w:rsidR="008F1FC7" w:rsidRPr="005A3967">
        <w:t>backed</w:t>
      </w:r>
      <w:r w:rsidRPr="005A3967">
        <w:t xml:space="preserve"> by strong leadership, </w:t>
      </w:r>
      <w:r w:rsidR="008F1FC7" w:rsidRPr="005A3967">
        <w:t>high-quality</w:t>
      </w:r>
      <w:r w:rsidRPr="005A3967">
        <w:t xml:space="preserve"> data, skilled talent, and </w:t>
      </w:r>
      <w:r w:rsidR="008F1FC7" w:rsidRPr="005A3967">
        <w:t>effective</w:t>
      </w:r>
      <w:r w:rsidRPr="005A3967">
        <w:t xml:space="preserve"> governance. Frameworks like DELTA and DCAM are helpful, though they must be adapted to fit real-world contexts.</w:t>
      </w:r>
    </w:p>
    <w:p w14:paraId="7965D529" w14:textId="61511ADA" w:rsidR="00DA5904" w:rsidRDefault="00DA5904" w:rsidP="00C43C96">
      <w:pPr>
        <w:spacing w:before="100" w:beforeAutospacing="1" w:after="100" w:afterAutospacing="1" w:line="360" w:lineRule="auto"/>
        <w:jc w:val="both"/>
      </w:pPr>
      <w:r w:rsidRPr="005A3967">
        <w:rPr>
          <w:b/>
          <w:bCs/>
        </w:rPr>
        <w:t>SSE’s challenges—such as fragmented ownership, legacy systems, and developing leadership—mirror patterns seen across the sector.</w:t>
      </w:r>
      <w:r w:rsidRPr="005A3967">
        <w:t xml:space="preserve"> This study will assess SSE’s analytics maturity and propose a strategic roadmap</w:t>
      </w:r>
      <w:r w:rsidR="008F1FC7" w:rsidRPr="005A3967">
        <w:t xml:space="preserve"> for improvement</w:t>
      </w:r>
      <w:r w:rsidRPr="005A3967">
        <w:t xml:space="preserve">. </w:t>
      </w:r>
      <w:r w:rsidRPr="005A3967">
        <w:rPr>
          <w:b/>
          <w:bCs/>
        </w:rPr>
        <w:t xml:space="preserve">Table </w:t>
      </w:r>
      <w:r w:rsidR="004C5EE0" w:rsidRPr="005A3967">
        <w:rPr>
          <w:b/>
          <w:bCs/>
        </w:rPr>
        <w:t>5</w:t>
      </w:r>
      <w:r w:rsidRPr="005A3967">
        <w:t xml:space="preserve"> outlines the key </w:t>
      </w:r>
      <w:r w:rsidRPr="005A3967">
        <w:lastRenderedPageBreak/>
        <w:t>frameworks, while Appendix E includes tools like SWOT, PESTEL, and SOAR to support the readiness assessment.</w:t>
      </w:r>
    </w:p>
    <w:p w14:paraId="12B1FA40" w14:textId="61511ADA" w:rsidR="00EE5A0B" w:rsidRPr="005A3967" w:rsidRDefault="00632C75" w:rsidP="008A0038">
      <w:pPr>
        <w:pStyle w:val="Caption"/>
        <w:rPr>
          <w:b/>
          <w:bCs/>
        </w:rPr>
      </w:pPr>
      <w:bookmarkStart w:id="32" w:name="_Toc196559536"/>
      <w:bookmarkStart w:id="33" w:name="_Toc201942895"/>
      <w:r w:rsidRPr="005A3967">
        <w:rPr>
          <w:b/>
          <w:bCs/>
        </w:rPr>
        <w:t xml:space="preserve">Table </w:t>
      </w:r>
      <w:r w:rsidR="003831A5" w:rsidRPr="005A3967">
        <w:rPr>
          <w:b/>
          <w:bCs/>
        </w:rPr>
        <w:fldChar w:fldCharType="begin"/>
      </w:r>
      <w:r w:rsidR="003831A5" w:rsidRPr="005A3967">
        <w:rPr>
          <w:b/>
          <w:bCs/>
        </w:rPr>
        <w:instrText xml:space="preserve"> SEQ Table \* ARABIC </w:instrText>
      </w:r>
      <w:r w:rsidR="003831A5" w:rsidRPr="005A3967">
        <w:rPr>
          <w:b/>
          <w:bCs/>
        </w:rPr>
        <w:fldChar w:fldCharType="separate"/>
      </w:r>
      <w:r w:rsidR="00A50FDD" w:rsidRPr="005A3967">
        <w:rPr>
          <w:b/>
          <w:bCs/>
          <w:noProof/>
        </w:rPr>
        <w:t>5</w:t>
      </w:r>
      <w:r w:rsidR="003831A5" w:rsidRPr="005A3967">
        <w:rPr>
          <w:b/>
          <w:bCs/>
          <w:noProof/>
        </w:rPr>
        <w:fldChar w:fldCharType="end"/>
      </w:r>
      <w:r w:rsidRPr="005A3967">
        <w:rPr>
          <w:b/>
          <w:bCs/>
        </w:rPr>
        <w:t>: Summary of Frameworks for Analytics Integration and Maturity</w:t>
      </w:r>
      <w:bookmarkEnd w:id="32"/>
      <w:r w:rsidR="00DA5393" w:rsidRPr="005A3967">
        <w:rPr>
          <w:b/>
          <w:bCs/>
        </w:rPr>
        <w:t xml:space="preserve"> (Author’s synthesis based on Davenport et al. (2010), EDM Council (2020), and Gartner (2024))</w:t>
      </w:r>
      <w:bookmarkEnd w:id="33"/>
    </w:p>
    <w:p w14:paraId="271D32B3" w14:textId="06FC3EF3" w:rsidR="00EE5A0B" w:rsidRPr="005A3967" w:rsidRDefault="00EE5A0B" w:rsidP="004C5CA0">
      <w:pPr>
        <w:jc w:val="center"/>
      </w:pPr>
      <w:r w:rsidRPr="005A3967">
        <w:rPr>
          <w:noProof/>
          <w14:ligatures w14:val="standardContextual"/>
        </w:rPr>
        <w:drawing>
          <wp:inline distT="0" distB="0" distL="0" distR="0" wp14:anchorId="5C4FD908" wp14:editId="4AC785C0">
            <wp:extent cx="5705503" cy="4541772"/>
            <wp:effectExtent l="0" t="0" r="0" b="5080"/>
            <wp:docPr id="1420810384" name="Picture 31" descr="A table of informationa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10384" name="Picture 31" descr="A table of informational tex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6967" cy="4590700"/>
                    </a:xfrm>
                    <a:prstGeom prst="rect">
                      <a:avLst/>
                    </a:prstGeom>
                  </pic:spPr>
                </pic:pic>
              </a:graphicData>
            </a:graphic>
          </wp:inline>
        </w:drawing>
      </w:r>
    </w:p>
    <w:p w14:paraId="60B2D437" w14:textId="77777777" w:rsidR="00DA5904" w:rsidRPr="005A3967" w:rsidRDefault="00DA5904" w:rsidP="00C43C96">
      <w:pPr>
        <w:spacing w:before="100" w:beforeAutospacing="1" w:after="100" w:afterAutospacing="1" w:line="360" w:lineRule="auto"/>
        <w:jc w:val="both"/>
      </w:pPr>
      <w:r w:rsidRPr="005A3967">
        <w:t xml:space="preserve">This synthesis forms the foundation for the empirical phase by combining the DELTA and DCAM frameworks to assess SSE’s analytics maturity. </w:t>
      </w:r>
      <w:r w:rsidRPr="005A3967">
        <w:rPr>
          <w:b/>
          <w:bCs/>
        </w:rPr>
        <w:t>Figure 3</w:t>
      </w:r>
      <w:r w:rsidRPr="005A3967">
        <w:t xml:space="preserve"> brings both models together, emphasising leadership, governance, culture, and talent as key enablers. </w:t>
      </w:r>
      <w:r w:rsidRPr="005A3967">
        <w:rPr>
          <w:b/>
          <w:bCs/>
        </w:rPr>
        <w:t>Figure 4</w:t>
      </w:r>
      <w:r w:rsidRPr="005A3967">
        <w:t xml:space="preserve"> outlines SSE’s current and target states in a staged maturity model.</w:t>
      </w:r>
    </w:p>
    <w:p w14:paraId="7D1384D6" w14:textId="08E556C2" w:rsidR="00DA5904" w:rsidRPr="005A3967" w:rsidRDefault="00DA5904" w:rsidP="00C43C96">
      <w:pPr>
        <w:spacing w:before="100" w:beforeAutospacing="1" w:after="100" w:afterAutospacing="1" w:line="360" w:lineRule="auto"/>
        <w:jc w:val="both"/>
      </w:pPr>
      <w:r w:rsidRPr="005A3967">
        <w:t xml:space="preserve">While DELTA and DCAM offer solid structure, research by Ransbotham et al. (2022) and Li &amp; Pan (2024) highlights the added importance of innovation and agility. To deliver real business value, SSE must align its analytics strategy with broader </w:t>
      </w:r>
      <w:r w:rsidR="008F1FC7" w:rsidRPr="005A3967">
        <w:t xml:space="preserve">corporate </w:t>
      </w:r>
      <w:r w:rsidRPr="005A3967">
        <w:t>goals</w:t>
      </w:r>
      <w:r w:rsidR="008F1FC7" w:rsidRPr="005A3967">
        <w:t>,</w:t>
      </w:r>
      <w:r w:rsidRPr="005A3967">
        <w:t xml:space="preserve"> </w:t>
      </w:r>
      <w:r w:rsidR="008F1FC7" w:rsidRPr="005A3967">
        <w:t>such as achieving</w:t>
      </w:r>
      <w:r w:rsidRPr="005A3967">
        <w:t xml:space="preserve"> net-zero and </w:t>
      </w:r>
      <w:r w:rsidR="008F1FC7" w:rsidRPr="005A3967">
        <w:t xml:space="preserve">prioritising </w:t>
      </w:r>
      <w:r w:rsidRPr="005A3967">
        <w:t>customer focus.</w:t>
      </w:r>
    </w:p>
    <w:p w14:paraId="02E25F50" w14:textId="75466AE0" w:rsidR="00F05DD1" w:rsidRPr="005A3967" w:rsidRDefault="002E10EB" w:rsidP="002E10EB">
      <w:pPr>
        <w:spacing w:before="100" w:beforeAutospacing="1" w:after="100" w:afterAutospacing="1"/>
        <w:jc w:val="center"/>
      </w:pPr>
      <w:r w:rsidRPr="005A3967">
        <w:lastRenderedPageBreak/>
        <w:fldChar w:fldCharType="begin"/>
      </w:r>
      <w:r w:rsidRPr="005A3967">
        <w:instrText xml:space="preserve"> INCLUDEPICTURE "https://sdmntpritalynorth.oaiusercontent.com/files/00000000-00ac-6246-9617-36e700643e81/raw?se=2025-04-27T22%3A04%3A42Z&amp;sp=r&amp;sv=2024-08-04&amp;sr=b&amp;scid=682afb1a-c4eb-5590-b07a-96826f2d66ab&amp;skoid=06e05d6f-bdd9-4a88-a7ec-2c0a779a08ca&amp;sktid=a48cca56-e6da-484e-a814-9c849652bcb3&amp;skt=2025-04-27T21%3A51%3A37Z&amp;ske=2025-04-28T21%3A51%3A37Z&amp;sks=b&amp;skv=2024-08-04&amp;sig=p33%2BX1yXsY7K5bg712bsmJEH5c5Wj3WaaKWLCGAKICo%3D" \* MERGEFORMATINET </w:instrText>
      </w:r>
      <w:r w:rsidRPr="005A3967">
        <w:fldChar w:fldCharType="separate"/>
      </w:r>
      <w:r w:rsidRPr="005A3967">
        <w:rPr>
          <w:noProof/>
        </w:rPr>
        <w:drawing>
          <wp:inline distT="0" distB="0" distL="0" distR="0" wp14:anchorId="2722AA5C" wp14:editId="097FF1A0">
            <wp:extent cx="3121121" cy="2365349"/>
            <wp:effectExtent l="0" t="0" r="3175" b="0"/>
            <wp:docPr id="1804521798" name="Picture 8"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nerated image"/>
                    <pic:cNvPicPr>
                      <a:picLocks noChangeAspect="1" noChangeArrowheads="1"/>
                    </pic:cNvPicPr>
                  </pic:nvPicPr>
                  <pic:blipFill rotWithShape="1">
                    <a:blip r:embed="rId20">
                      <a:extLst>
                        <a:ext uri="{28A0092B-C50C-407E-A947-70E740481C1C}">
                          <a14:useLocalDpi xmlns:a14="http://schemas.microsoft.com/office/drawing/2010/main" val="0"/>
                        </a:ext>
                      </a:extLst>
                    </a:blip>
                    <a:srcRect l="13348" r="16736" b="20543"/>
                    <a:stretch/>
                  </pic:blipFill>
                  <pic:spPr bwMode="auto">
                    <a:xfrm>
                      <a:off x="0" y="0"/>
                      <a:ext cx="3222919" cy="2442497"/>
                    </a:xfrm>
                    <a:prstGeom prst="rect">
                      <a:avLst/>
                    </a:prstGeom>
                    <a:noFill/>
                    <a:ln>
                      <a:noFill/>
                    </a:ln>
                    <a:extLst>
                      <a:ext uri="{53640926-AAD7-44D8-BBD7-CCE9431645EC}">
                        <a14:shadowObscured xmlns:a14="http://schemas.microsoft.com/office/drawing/2010/main"/>
                      </a:ext>
                    </a:extLst>
                  </pic:spPr>
                </pic:pic>
              </a:graphicData>
            </a:graphic>
          </wp:inline>
        </w:drawing>
      </w:r>
      <w:r w:rsidR="006B2945" w:rsidRPr="005A3967">
        <w:rPr>
          <w:rStyle w:val="FootnoteReference"/>
        </w:rPr>
        <w:footnoteReference w:id="5"/>
      </w:r>
      <w:r w:rsidRPr="005A3967">
        <w:fldChar w:fldCharType="end"/>
      </w:r>
    </w:p>
    <w:p w14:paraId="3DA4C6A5" w14:textId="39BC133A" w:rsidR="00B664E5" w:rsidRPr="005A3967" w:rsidRDefault="00B664E5" w:rsidP="00462E03">
      <w:pPr>
        <w:pStyle w:val="Caption"/>
        <w:spacing w:line="360" w:lineRule="auto"/>
        <w:jc w:val="center"/>
        <w:rPr>
          <w:b/>
          <w:bCs/>
        </w:rPr>
      </w:pPr>
      <w:bookmarkStart w:id="34" w:name="_Toc201942913"/>
      <w:r w:rsidRPr="005A3967">
        <w:rPr>
          <w:b/>
          <w:bCs/>
        </w:rPr>
        <w:t xml:space="preserve">Figure </w:t>
      </w:r>
      <w:r w:rsidR="00747E01" w:rsidRPr="005A3967">
        <w:rPr>
          <w:b/>
          <w:bCs/>
        </w:rPr>
        <w:fldChar w:fldCharType="begin"/>
      </w:r>
      <w:r w:rsidR="00747E01" w:rsidRPr="005A3967">
        <w:rPr>
          <w:b/>
          <w:bCs/>
        </w:rPr>
        <w:instrText xml:space="preserve"> SEQ Figure \* ARABIC </w:instrText>
      </w:r>
      <w:r w:rsidR="00747E01" w:rsidRPr="005A3967">
        <w:rPr>
          <w:b/>
          <w:bCs/>
        </w:rPr>
        <w:fldChar w:fldCharType="separate"/>
      </w:r>
      <w:r w:rsidR="00747E01" w:rsidRPr="005A3967">
        <w:rPr>
          <w:b/>
          <w:bCs/>
          <w:noProof/>
        </w:rPr>
        <w:t>3</w:t>
      </w:r>
      <w:r w:rsidR="00747E01" w:rsidRPr="005A3967">
        <w:rPr>
          <w:b/>
          <w:bCs/>
          <w:noProof/>
        </w:rPr>
        <w:fldChar w:fldCharType="end"/>
      </w:r>
      <w:r w:rsidRPr="005A3967">
        <w:rPr>
          <w:b/>
          <w:bCs/>
        </w:rPr>
        <w:t>: Integrated Conceptual Framework Linking DELTA and DCAM Models to Organisational Readiness at SSE PLC</w:t>
      </w:r>
      <w:r w:rsidR="00D51EA0" w:rsidRPr="005A3967">
        <w:rPr>
          <w:b/>
          <w:bCs/>
        </w:rPr>
        <w:t xml:space="preserve"> (Author’s conceptualisation based on Davenport and Harris (2007) and EDM Council (2020</w:t>
      </w:r>
      <w:r w:rsidR="00457D9F" w:rsidRPr="005A3967">
        <w:rPr>
          <w:b/>
          <w:bCs/>
        </w:rPr>
        <w:t>)</w:t>
      </w:r>
      <w:r w:rsidR="00D51EA0" w:rsidRPr="005A3967">
        <w:rPr>
          <w:b/>
          <w:bCs/>
        </w:rPr>
        <w:t>)</w:t>
      </w:r>
      <w:bookmarkEnd w:id="34"/>
    </w:p>
    <w:p w14:paraId="36075F64" w14:textId="46EB9FB1" w:rsidR="000B0E0D" w:rsidRPr="005A3967" w:rsidRDefault="00C03DF3" w:rsidP="00462E03">
      <w:pPr>
        <w:spacing w:line="360" w:lineRule="auto"/>
        <w:jc w:val="center"/>
      </w:pPr>
      <w:r w:rsidRPr="005A3967">
        <w:fldChar w:fldCharType="begin"/>
      </w:r>
      <w:r w:rsidRPr="005A3967">
        <w:instrText xml:space="preserve"> INCLUDEPICTURE "https://sdmntpritalynorth.oaiusercontent.com/files/00000000-4d7c-6246-a411-1ab3779ec843/raw?se=2025-04-27T21%3A59%3A42Z&amp;sp=r&amp;sv=2024-08-04&amp;sr=b&amp;scid=a71641ee-3820-55c4-ba9c-92874780948f&amp;skoid=06e05d6f-bdd9-4a88-a7ec-2c0a779a08ca&amp;sktid=a48cca56-e6da-484e-a814-9c849652bcb3&amp;skt=2025-04-27T06%3A10%3A47Z&amp;ske=2025-04-28T06%3A10%3A47Z&amp;sks=b&amp;skv=2024-08-04&amp;sig=1r7HF9Sdmcw1hkAUYpMVEgP1fMTmGE5KFdJQzohI8OM%3D" \* MERGEFORMATINET </w:instrText>
      </w:r>
      <w:r w:rsidRPr="005A3967">
        <w:fldChar w:fldCharType="separate"/>
      </w:r>
      <w:r w:rsidRPr="005A3967">
        <w:rPr>
          <w:noProof/>
        </w:rPr>
        <w:drawing>
          <wp:inline distT="0" distB="0" distL="0" distR="0" wp14:anchorId="585A1607" wp14:editId="796F9EA3">
            <wp:extent cx="5396454" cy="2267108"/>
            <wp:effectExtent l="0" t="0" r="1270" b="6350"/>
            <wp:docPr id="753846793" name="Picture 6"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rotWithShape="1">
                    <a:blip r:embed="rId21">
                      <a:extLst>
                        <a:ext uri="{28A0092B-C50C-407E-A947-70E740481C1C}">
                          <a14:useLocalDpi xmlns:a14="http://schemas.microsoft.com/office/drawing/2010/main" val="0"/>
                        </a:ext>
                      </a:extLst>
                    </a:blip>
                    <a:srcRect l="3001" t="24406" r="3766" b="16857"/>
                    <a:stretch/>
                  </pic:blipFill>
                  <pic:spPr bwMode="auto">
                    <a:xfrm>
                      <a:off x="0" y="0"/>
                      <a:ext cx="5711902" cy="2399631"/>
                    </a:xfrm>
                    <a:prstGeom prst="rect">
                      <a:avLst/>
                    </a:prstGeom>
                    <a:noFill/>
                    <a:ln>
                      <a:noFill/>
                    </a:ln>
                    <a:extLst>
                      <a:ext uri="{53640926-AAD7-44D8-BBD7-CCE9431645EC}">
                        <a14:shadowObscured xmlns:a14="http://schemas.microsoft.com/office/drawing/2010/main"/>
                      </a:ext>
                    </a:extLst>
                  </pic:spPr>
                </pic:pic>
              </a:graphicData>
            </a:graphic>
          </wp:inline>
        </w:drawing>
      </w:r>
      <w:r w:rsidRPr="005A3967">
        <w:rPr>
          <w:rStyle w:val="FootnoteReference"/>
        </w:rPr>
        <w:footnoteReference w:id="6"/>
      </w:r>
      <w:r w:rsidRPr="005A3967">
        <w:fldChar w:fldCharType="end"/>
      </w:r>
    </w:p>
    <w:p w14:paraId="1718AFA7" w14:textId="7F3A6A57" w:rsidR="00B664E5" w:rsidRPr="005A3967" w:rsidRDefault="00B664E5" w:rsidP="00462E03">
      <w:pPr>
        <w:pStyle w:val="Caption"/>
        <w:spacing w:line="360" w:lineRule="auto"/>
        <w:jc w:val="center"/>
        <w:rPr>
          <w:b/>
          <w:bCs/>
        </w:rPr>
      </w:pPr>
      <w:bookmarkStart w:id="35" w:name="_Toc201942914"/>
      <w:r w:rsidRPr="005A3967">
        <w:rPr>
          <w:b/>
          <w:bCs/>
        </w:rPr>
        <w:t xml:space="preserve">Figure </w:t>
      </w:r>
      <w:r w:rsidR="00747E01" w:rsidRPr="005A3967">
        <w:rPr>
          <w:b/>
          <w:bCs/>
        </w:rPr>
        <w:fldChar w:fldCharType="begin"/>
      </w:r>
      <w:r w:rsidR="00747E01" w:rsidRPr="005A3967">
        <w:rPr>
          <w:b/>
          <w:bCs/>
        </w:rPr>
        <w:instrText xml:space="preserve"> SEQ Figure \* ARABIC </w:instrText>
      </w:r>
      <w:r w:rsidR="00747E01" w:rsidRPr="005A3967">
        <w:rPr>
          <w:b/>
          <w:bCs/>
        </w:rPr>
        <w:fldChar w:fldCharType="separate"/>
      </w:r>
      <w:r w:rsidR="00747E01" w:rsidRPr="005A3967">
        <w:rPr>
          <w:b/>
          <w:bCs/>
          <w:noProof/>
        </w:rPr>
        <w:t>4</w:t>
      </w:r>
      <w:r w:rsidR="00747E01" w:rsidRPr="005A3967">
        <w:rPr>
          <w:b/>
          <w:bCs/>
          <w:noProof/>
        </w:rPr>
        <w:fldChar w:fldCharType="end"/>
      </w:r>
      <w:r w:rsidRPr="005A3967">
        <w:rPr>
          <w:b/>
          <w:bCs/>
        </w:rPr>
        <w:t xml:space="preserve">: SSE PLC Analytics Integration Maturity Model </w:t>
      </w:r>
      <w:r w:rsidR="00D51EA0" w:rsidRPr="005A3967">
        <w:rPr>
          <w:b/>
          <w:bCs/>
        </w:rPr>
        <w:t>(Author's elaboration based on DELTA and DCAM frameworks)</w:t>
      </w:r>
      <w:bookmarkEnd w:id="35"/>
    </w:p>
    <w:p w14:paraId="00C4505B" w14:textId="52B36483" w:rsidR="00955006" w:rsidRPr="005A3967" w:rsidRDefault="00B56881" w:rsidP="00C43C96">
      <w:pPr>
        <w:spacing w:before="100" w:beforeAutospacing="1" w:after="100" w:afterAutospacing="1" w:line="360" w:lineRule="auto"/>
        <w:jc w:val="both"/>
        <w:rPr>
          <w:rFonts w:eastAsiaTheme="majorEastAsia"/>
        </w:rPr>
      </w:pPr>
      <w:r w:rsidRPr="005A3967">
        <w:rPr>
          <w:rStyle w:val="Emphasis"/>
          <w:rFonts w:eastAsiaTheme="majorEastAsia"/>
          <w:i w:val="0"/>
          <w:iCs w:val="0"/>
        </w:rPr>
        <w:t xml:space="preserve">To further synthesise the critical frameworks discussed, </w:t>
      </w:r>
      <w:r w:rsidR="0030179D" w:rsidRPr="005A3967">
        <w:rPr>
          <w:rStyle w:val="Emphasis"/>
          <w:rFonts w:eastAsiaTheme="majorEastAsia"/>
          <w:b/>
          <w:bCs/>
          <w:i w:val="0"/>
          <w:iCs w:val="0"/>
        </w:rPr>
        <w:t>Table</w:t>
      </w:r>
      <w:r w:rsidR="00BA4C5B" w:rsidRPr="005A3967">
        <w:rPr>
          <w:rStyle w:val="Emphasis"/>
          <w:rFonts w:eastAsiaTheme="majorEastAsia"/>
          <w:b/>
          <w:bCs/>
          <w:i w:val="0"/>
          <w:iCs w:val="0"/>
        </w:rPr>
        <w:t xml:space="preserve"> </w:t>
      </w:r>
      <w:r w:rsidR="004C5EE0" w:rsidRPr="005A3967">
        <w:rPr>
          <w:rStyle w:val="Emphasis"/>
          <w:rFonts w:eastAsiaTheme="majorEastAsia"/>
          <w:b/>
          <w:bCs/>
          <w:i w:val="0"/>
          <w:iCs w:val="0"/>
        </w:rPr>
        <w:t>6</w:t>
      </w:r>
      <w:r w:rsidRPr="005A3967">
        <w:rPr>
          <w:rStyle w:val="Emphasis"/>
          <w:rFonts w:eastAsiaTheme="majorEastAsia"/>
          <w:b/>
          <w:bCs/>
          <w:i w:val="0"/>
          <w:iCs w:val="0"/>
        </w:rPr>
        <w:t xml:space="preserve"> </w:t>
      </w:r>
      <w:r w:rsidRPr="005A3967">
        <w:rPr>
          <w:rStyle w:val="Emphasis"/>
          <w:rFonts w:eastAsiaTheme="majorEastAsia"/>
          <w:i w:val="0"/>
          <w:iCs w:val="0"/>
        </w:rPr>
        <w:t xml:space="preserve">compares the DELTA and DCAM models </w:t>
      </w:r>
      <w:r w:rsidR="00C86DDA" w:rsidRPr="005A3967">
        <w:rPr>
          <w:rStyle w:val="Emphasis"/>
          <w:rFonts w:eastAsiaTheme="majorEastAsia"/>
          <w:i w:val="0"/>
          <w:iCs w:val="0"/>
        </w:rPr>
        <w:t>regarding</w:t>
      </w:r>
      <w:r w:rsidRPr="005A3967">
        <w:rPr>
          <w:rStyle w:val="Emphasis"/>
          <w:rFonts w:eastAsiaTheme="majorEastAsia"/>
          <w:i w:val="0"/>
          <w:iCs w:val="0"/>
        </w:rPr>
        <w:t xml:space="preserve"> their organisational focus and applicability to SSE PLC’s analytics maturity journey.</w:t>
      </w:r>
    </w:p>
    <w:p w14:paraId="7B79FD05" w14:textId="52746E14" w:rsidR="00B56881" w:rsidRPr="005A3967" w:rsidRDefault="00B56881" w:rsidP="008A0038">
      <w:pPr>
        <w:pStyle w:val="Caption"/>
        <w:keepNext/>
        <w:rPr>
          <w:b/>
          <w:bCs/>
        </w:rPr>
      </w:pPr>
      <w:bookmarkStart w:id="36" w:name="_Toc201942896"/>
      <w:r w:rsidRPr="005A3967">
        <w:rPr>
          <w:b/>
          <w:bCs/>
        </w:rPr>
        <w:lastRenderedPageBreak/>
        <w:t xml:space="preserve">Table </w:t>
      </w:r>
      <w:r w:rsidR="003831A5" w:rsidRPr="005A3967">
        <w:rPr>
          <w:b/>
          <w:bCs/>
        </w:rPr>
        <w:fldChar w:fldCharType="begin"/>
      </w:r>
      <w:r w:rsidR="003831A5" w:rsidRPr="005A3967">
        <w:rPr>
          <w:b/>
          <w:bCs/>
        </w:rPr>
        <w:instrText xml:space="preserve"> SEQ Table \* ARABIC </w:instrText>
      </w:r>
      <w:r w:rsidR="003831A5" w:rsidRPr="005A3967">
        <w:rPr>
          <w:b/>
          <w:bCs/>
        </w:rPr>
        <w:fldChar w:fldCharType="separate"/>
      </w:r>
      <w:r w:rsidR="00A50FDD" w:rsidRPr="005A3967">
        <w:rPr>
          <w:b/>
          <w:bCs/>
          <w:noProof/>
        </w:rPr>
        <w:t>6</w:t>
      </w:r>
      <w:r w:rsidR="003831A5" w:rsidRPr="005A3967">
        <w:rPr>
          <w:b/>
          <w:bCs/>
          <w:noProof/>
        </w:rPr>
        <w:fldChar w:fldCharType="end"/>
      </w:r>
      <w:r w:rsidRPr="005A3967">
        <w:rPr>
          <w:b/>
          <w:bCs/>
        </w:rPr>
        <w:t>: Comparative Overview of DELTA and DCAM Analytics Maturity Models</w:t>
      </w:r>
      <w:r w:rsidR="00DA5393" w:rsidRPr="005A3967">
        <w:rPr>
          <w:b/>
          <w:bCs/>
        </w:rPr>
        <w:t xml:space="preserve"> (Author’s elaboration based on DELTA and DCAM frameworks)</w:t>
      </w:r>
      <w:r w:rsidR="006B2945" w:rsidRPr="005A3967">
        <w:rPr>
          <w:rStyle w:val="FootnoteReference"/>
          <w:b/>
          <w:bCs/>
        </w:rPr>
        <w:footnoteReference w:id="7"/>
      </w:r>
      <w:bookmarkEnd w:id="36"/>
    </w:p>
    <w:p w14:paraId="15B3413D" w14:textId="76BA6A41" w:rsidR="00EE5A0B" w:rsidRPr="005A3967" w:rsidRDefault="00EE5A0B" w:rsidP="00052070">
      <w:pPr>
        <w:jc w:val="center"/>
      </w:pPr>
      <w:r w:rsidRPr="005A3967">
        <w:rPr>
          <w:noProof/>
          <w14:ligatures w14:val="standardContextual"/>
        </w:rPr>
        <w:drawing>
          <wp:inline distT="0" distB="0" distL="0" distR="0" wp14:anchorId="688B3DA4" wp14:editId="390332FA">
            <wp:extent cx="5703050" cy="1518962"/>
            <wp:effectExtent l="0" t="0" r="0" b="5080"/>
            <wp:docPr id="1585270750" name="Picture 32"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270750" name="Picture 32" descr="A table with text on i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56077" cy="1533085"/>
                    </a:xfrm>
                    <a:prstGeom prst="rect">
                      <a:avLst/>
                    </a:prstGeom>
                  </pic:spPr>
                </pic:pic>
              </a:graphicData>
            </a:graphic>
          </wp:inline>
        </w:drawing>
      </w:r>
    </w:p>
    <w:p w14:paraId="69BBF15A" w14:textId="5BE32884" w:rsidR="003F6027" w:rsidRPr="005A3967" w:rsidRDefault="003F6027" w:rsidP="00205E6B">
      <w:pPr>
        <w:spacing w:before="100" w:beforeAutospacing="1" w:after="100" w:afterAutospacing="1" w:line="360" w:lineRule="auto"/>
        <w:rPr>
          <w:i/>
          <w:iCs/>
        </w:rPr>
      </w:pPr>
      <w:r w:rsidRPr="005A3967">
        <w:rPr>
          <w:rStyle w:val="Emphasis"/>
          <w:rFonts w:eastAsiaTheme="majorEastAsia"/>
          <w:i w:val="0"/>
          <w:iCs w:val="0"/>
        </w:rPr>
        <w:t xml:space="preserve">To contextualise SSE’s analytics maturity, a comparison with National Grid’s digital transformation journey is presented in </w:t>
      </w:r>
      <w:r w:rsidRPr="005A3967">
        <w:rPr>
          <w:rStyle w:val="Emphasis"/>
          <w:rFonts w:eastAsiaTheme="majorEastAsia"/>
          <w:b/>
          <w:bCs/>
          <w:i w:val="0"/>
          <w:iCs w:val="0"/>
        </w:rPr>
        <w:t xml:space="preserve">Table </w:t>
      </w:r>
      <w:r w:rsidR="004C5EE0" w:rsidRPr="005A3967">
        <w:rPr>
          <w:rStyle w:val="Emphasis"/>
          <w:rFonts w:eastAsiaTheme="majorEastAsia"/>
          <w:b/>
          <w:bCs/>
          <w:i w:val="0"/>
          <w:iCs w:val="0"/>
        </w:rPr>
        <w:t>7</w:t>
      </w:r>
      <w:r w:rsidRPr="005A3967">
        <w:rPr>
          <w:rStyle w:val="Emphasis"/>
          <w:rFonts w:eastAsiaTheme="majorEastAsia"/>
          <w:b/>
          <w:bCs/>
          <w:i w:val="0"/>
          <w:iCs w:val="0"/>
        </w:rPr>
        <w:t>.</w:t>
      </w:r>
    </w:p>
    <w:p w14:paraId="3143889F" w14:textId="07A12A63" w:rsidR="003F6027" w:rsidRPr="005A3967" w:rsidRDefault="003F6027" w:rsidP="008A0038">
      <w:pPr>
        <w:pStyle w:val="Caption"/>
        <w:rPr>
          <w:b/>
          <w:bCs/>
        </w:rPr>
      </w:pPr>
      <w:bookmarkStart w:id="37" w:name="_Toc201942897"/>
      <w:r w:rsidRPr="005A3967">
        <w:rPr>
          <w:b/>
          <w:bCs/>
        </w:rPr>
        <w:t xml:space="preserve">Table </w:t>
      </w:r>
      <w:r w:rsidR="003831A5" w:rsidRPr="005A3967">
        <w:rPr>
          <w:b/>
          <w:bCs/>
        </w:rPr>
        <w:fldChar w:fldCharType="begin"/>
      </w:r>
      <w:r w:rsidR="003831A5" w:rsidRPr="005A3967">
        <w:rPr>
          <w:b/>
          <w:bCs/>
        </w:rPr>
        <w:instrText xml:space="preserve"> SEQ Table \* ARABIC </w:instrText>
      </w:r>
      <w:r w:rsidR="003831A5" w:rsidRPr="005A3967">
        <w:rPr>
          <w:b/>
          <w:bCs/>
        </w:rPr>
        <w:fldChar w:fldCharType="separate"/>
      </w:r>
      <w:r w:rsidR="00A50FDD" w:rsidRPr="005A3967">
        <w:rPr>
          <w:b/>
          <w:bCs/>
          <w:noProof/>
        </w:rPr>
        <w:t>7</w:t>
      </w:r>
      <w:r w:rsidR="003831A5" w:rsidRPr="005A3967">
        <w:rPr>
          <w:b/>
          <w:bCs/>
          <w:noProof/>
        </w:rPr>
        <w:fldChar w:fldCharType="end"/>
      </w:r>
      <w:r w:rsidRPr="005A3967">
        <w:rPr>
          <w:b/>
          <w:bCs/>
        </w:rPr>
        <w:t>: Comparative Analytics Maturity of SSE PLC vs National Grid (2024</w:t>
      </w:r>
      <w:r w:rsidR="00F344E4">
        <w:rPr>
          <w:b/>
          <w:bCs/>
        </w:rPr>
        <w:t xml:space="preserve">) </w:t>
      </w:r>
      <w:r w:rsidR="00DA5393" w:rsidRPr="005A3967">
        <w:rPr>
          <w:b/>
          <w:bCs/>
        </w:rPr>
        <w:t>(Author’s conceptualisation using secondary data sources</w:t>
      </w:r>
      <w:r w:rsidRPr="005A3967">
        <w:rPr>
          <w:b/>
          <w:bCs/>
        </w:rPr>
        <w:t>)</w:t>
      </w:r>
      <w:r w:rsidR="006B2945" w:rsidRPr="005A3967">
        <w:rPr>
          <w:rStyle w:val="FootnoteReference"/>
          <w:b/>
          <w:bCs/>
        </w:rPr>
        <w:footnoteReference w:id="8"/>
      </w:r>
      <w:bookmarkEnd w:id="37"/>
    </w:p>
    <w:p w14:paraId="0681837E" w14:textId="0E4A07A4" w:rsidR="006A1BB4" w:rsidRPr="005A3967" w:rsidRDefault="006A1BB4" w:rsidP="00052070">
      <w:pPr>
        <w:jc w:val="center"/>
      </w:pPr>
      <w:r w:rsidRPr="005A3967">
        <w:rPr>
          <w:noProof/>
          <w14:ligatures w14:val="standardContextual"/>
        </w:rPr>
        <w:drawing>
          <wp:inline distT="0" distB="0" distL="0" distR="0" wp14:anchorId="5E5663C3" wp14:editId="55946568">
            <wp:extent cx="5728138" cy="1639874"/>
            <wp:effectExtent l="0" t="0" r="0" b="0"/>
            <wp:docPr id="69635028" name="Picture 33"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5028" name="Picture 33" descr="A table with text on i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829982" cy="1669030"/>
                    </a:xfrm>
                    <a:prstGeom prst="rect">
                      <a:avLst/>
                    </a:prstGeom>
                  </pic:spPr>
                </pic:pic>
              </a:graphicData>
            </a:graphic>
          </wp:inline>
        </w:drawing>
      </w:r>
    </w:p>
    <w:p w14:paraId="6F06F35E" w14:textId="309DCF3C" w:rsidR="00C03DF3" w:rsidRPr="005A3967" w:rsidRDefault="00C03DF3" w:rsidP="00C03DF3">
      <w:pPr>
        <w:spacing w:before="100" w:beforeAutospacing="1" w:after="100" w:afterAutospacing="1" w:line="360" w:lineRule="auto"/>
        <w:jc w:val="both"/>
      </w:pPr>
      <w:r w:rsidRPr="005A3967">
        <w:t xml:space="preserve">The </w:t>
      </w:r>
      <w:r w:rsidRPr="005A3967">
        <w:rPr>
          <w:b/>
          <w:bCs/>
        </w:rPr>
        <w:t>DELTA–DCAM framework</w:t>
      </w:r>
      <w:r w:rsidRPr="005A3967">
        <w:t xml:space="preserve"> (</w:t>
      </w:r>
      <w:r w:rsidRPr="005A3967">
        <w:rPr>
          <w:i/>
          <w:iCs/>
        </w:rPr>
        <w:t>Figure 3</w:t>
      </w:r>
      <w:r w:rsidRPr="005A3967">
        <w:t xml:space="preserve">) is used to evaluate </w:t>
      </w:r>
      <w:r w:rsidRPr="005A3967">
        <w:rPr>
          <w:b/>
          <w:bCs/>
        </w:rPr>
        <w:t>SSE’s data readiness</w:t>
      </w:r>
      <w:r w:rsidRPr="005A3967">
        <w:t xml:space="preserve">, guiding both diagnostic and strategic assessments. In parallel, the </w:t>
      </w:r>
      <w:r w:rsidRPr="005A3967">
        <w:rPr>
          <w:b/>
          <w:bCs/>
        </w:rPr>
        <w:t>Analytics Maturity Model</w:t>
      </w:r>
      <w:r w:rsidRPr="005A3967">
        <w:t xml:space="preserve"> (</w:t>
      </w:r>
      <w:r w:rsidRPr="005A3967">
        <w:rPr>
          <w:i/>
          <w:iCs/>
        </w:rPr>
        <w:t>Figure 4</w:t>
      </w:r>
      <w:r w:rsidRPr="005A3967">
        <w:t xml:space="preserve">) maps the transition from </w:t>
      </w:r>
      <w:r w:rsidRPr="005A3967">
        <w:rPr>
          <w:b/>
          <w:bCs/>
        </w:rPr>
        <w:t>fragmented analytics</w:t>
      </w:r>
      <w:r w:rsidRPr="005A3967">
        <w:t xml:space="preserve"> to </w:t>
      </w:r>
      <w:r w:rsidRPr="005A3967">
        <w:rPr>
          <w:b/>
          <w:bCs/>
        </w:rPr>
        <w:t>enterprise-wide integration</w:t>
      </w:r>
      <w:r w:rsidRPr="005A3967">
        <w:t>.</w:t>
      </w:r>
      <w:r w:rsidR="00E4051A">
        <w:t xml:space="preserve"> </w:t>
      </w:r>
      <w:r w:rsidRPr="005A3967">
        <w:t xml:space="preserve">These frameworks are </w:t>
      </w:r>
      <w:r w:rsidRPr="005A3967">
        <w:rPr>
          <w:i/>
          <w:iCs/>
        </w:rPr>
        <w:t>central to the research design</w:t>
      </w:r>
      <w:r w:rsidRPr="005A3967">
        <w:t xml:space="preserve">, underpinning the </w:t>
      </w:r>
      <w:r w:rsidRPr="005A3967">
        <w:rPr>
          <w:b/>
          <w:bCs/>
        </w:rPr>
        <w:t>analysis</w:t>
      </w:r>
      <w:r w:rsidRPr="005A3967">
        <w:t xml:space="preserve">, </w:t>
      </w:r>
      <w:r w:rsidRPr="005A3967">
        <w:rPr>
          <w:b/>
          <w:bCs/>
        </w:rPr>
        <w:t>recommendations</w:t>
      </w:r>
      <w:r w:rsidRPr="005A3967">
        <w:t xml:space="preserve">, and </w:t>
      </w:r>
      <w:r w:rsidRPr="005A3967">
        <w:rPr>
          <w:b/>
          <w:bCs/>
        </w:rPr>
        <w:t>benchmarking</w:t>
      </w:r>
      <w:r w:rsidRPr="005A3967">
        <w:t xml:space="preserve"> of SSE’s progress. Their structured insights help align data initiatives with </w:t>
      </w:r>
      <w:r w:rsidRPr="005A3967">
        <w:rPr>
          <w:b/>
          <w:bCs/>
        </w:rPr>
        <w:t>business value</w:t>
      </w:r>
      <w:r w:rsidRPr="005A3967">
        <w:t xml:space="preserve">, </w:t>
      </w:r>
      <w:r w:rsidRPr="005A3967">
        <w:rPr>
          <w:b/>
          <w:bCs/>
        </w:rPr>
        <w:t>governance maturity</w:t>
      </w:r>
      <w:r w:rsidRPr="005A3967">
        <w:t xml:space="preserve">, and </w:t>
      </w:r>
      <w:r w:rsidRPr="005A3967">
        <w:rPr>
          <w:b/>
          <w:bCs/>
        </w:rPr>
        <w:t>strategic goals</w:t>
      </w:r>
      <w:r w:rsidRPr="005A3967">
        <w:t>.</w:t>
      </w:r>
    </w:p>
    <w:p w14:paraId="78B356AE" w14:textId="4CE42760" w:rsidR="00C03DF3" w:rsidRPr="005A3967" w:rsidRDefault="00C03DF3" w:rsidP="00C03DF3">
      <w:pPr>
        <w:spacing w:before="100" w:beforeAutospacing="1" w:after="100" w:afterAutospacing="1" w:line="360" w:lineRule="auto"/>
        <w:jc w:val="both"/>
      </w:pPr>
      <w:r w:rsidRPr="005A3967">
        <w:t xml:space="preserve">While DELTA and DCAM are referenced throughout the study, </w:t>
      </w:r>
      <w:r w:rsidRPr="005A3967">
        <w:rPr>
          <w:b/>
          <w:bCs/>
        </w:rPr>
        <w:t>minor redundancies</w:t>
      </w:r>
      <w:r w:rsidRPr="005A3967">
        <w:t xml:space="preserve"> have been noted. In the final dissertation, these will be </w:t>
      </w:r>
      <w:r w:rsidRPr="005A3967">
        <w:rPr>
          <w:b/>
          <w:bCs/>
        </w:rPr>
        <w:t>streamlined</w:t>
      </w:r>
      <w:r w:rsidR="0002751E">
        <w:t xml:space="preserve">, </w:t>
      </w:r>
      <w:r w:rsidRPr="005A3967">
        <w:t xml:space="preserve">ensuring that each mention provides a </w:t>
      </w:r>
      <w:r w:rsidRPr="005A3967">
        <w:rPr>
          <w:i/>
          <w:iCs/>
        </w:rPr>
        <w:t>distinct analytical insight</w:t>
      </w:r>
      <w:r w:rsidRPr="005A3967">
        <w:t xml:space="preserve">, whether through </w:t>
      </w:r>
      <w:r w:rsidRPr="005A3967">
        <w:rPr>
          <w:b/>
          <w:bCs/>
        </w:rPr>
        <w:t>contextual application</w:t>
      </w:r>
      <w:r w:rsidRPr="005A3967">
        <w:t xml:space="preserve">, </w:t>
      </w:r>
      <w:r w:rsidRPr="005A3967">
        <w:rPr>
          <w:b/>
          <w:bCs/>
        </w:rPr>
        <w:t xml:space="preserve">critical </w:t>
      </w:r>
      <w:r w:rsidRPr="005A3967">
        <w:rPr>
          <w:b/>
          <w:bCs/>
        </w:rPr>
        <w:lastRenderedPageBreak/>
        <w:t>comparison</w:t>
      </w:r>
      <w:r w:rsidRPr="005A3967">
        <w:t xml:space="preserve">, or alignment with </w:t>
      </w:r>
      <w:r w:rsidRPr="005A3967">
        <w:rPr>
          <w:b/>
          <w:bCs/>
        </w:rPr>
        <w:t>SSE-specific challenges</w:t>
      </w:r>
      <w:r w:rsidRPr="005A3967">
        <w:t xml:space="preserve">. This will enhance </w:t>
      </w:r>
      <w:r w:rsidRPr="005A3967">
        <w:rPr>
          <w:b/>
          <w:bCs/>
        </w:rPr>
        <w:t>narrative clarity</w:t>
      </w:r>
      <w:r w:rsidRPr="005A3967">
        <w:t xml:space="preserve"> and preserve the </w:t>
      </w:r>
      <w:r w:rsidRPr="005A3967">
        <w:rPr>
          <w:b/>
          <w:bCs/>
        </w:rPr>
        <w:t>strategic precision</w:t>
      </w:r>
      <w:r w:rsidRPr="005A3967">
        <w:t xml:space="preserve"> of the literature review.</w:t>
      </w:r>
    </w:p>
    <w:p w14:paraId="60242338" w14:textId="01A00498" w:rsidR="00EC3D99" w:rsidRPr="005A3967" w:rsidRDefault="00EC3D99" w:rsidP="00EC3D99">
      <w:pPr>
        <w:pStyle w:val="Heading2"/>
        <w:rPr>
          <w:rFonts w:ascii="Times New Roman" w:hAnsi="Times New Roman" w:cs="Times New Roman"/>
        </w:rPr>
      </w:pPr>
      <w:bookmarkStart w:id="38" w:name="_Toc202544503"/>
      <w:r w:rsidRPr="005A3967">
        <w:rPr>
          <w:rFonts w:ascii="Times New Roman" w:eastAsia="Times New Roman" w:hAnsi="Times New Roman" w:cs="Times New Roman"/>
        </w:rPr>
        <w:t>4.</w:t>
      </w:r>
      <w:r w:rsidR="00DB3FA2" w:rsidRPr="005A3967">
        <w:rPr>
          <w:rFonts w:ascii="Times New Roman" w:eastAsia="Times New Roman" w:hAnsi="Times New Roman" w:cs="Times New Roman"/>
        </w:rPr>
        <w:t>5</w:t>
      </w:r>
      <w:r w:rsidRPr="005A3967">
        <w:rPr>
          <w:rFonts w:ascii="Times New Roman" w:eastAsia="Times New Roman" w:hAnsi="Times New Roman" w:cs="Times New Roman"/>
        </w:rPr>
        <w:t xml:space="preserve"> Conceptual Contribution</w:t>
      </w:r>
      <w:bookmarkEnd w:id="38"/>
    </w:p>
    <w:p w14:paraId="57737483" w14:textId="2BA1FC9D" w:rsidR="00052070" w:rsidRPr="005A3967" w:rsidRDefault="00B548DF" w:rsidP="00C43C96">
      <w:pPr>
        <w:spacing w:before="100" w:beforeAutospacing="1" w:after="100" w:afterAutospacing="1" w:line="360" w:lineRule="auto"/>
        <w:jc w:val="both"/>
      </w:pPr>
      <w:r w:rsidRPr="005A3967">
        <w:t xml:space="preserve">This study assesses SSE PLC’s predictive analytics maturity while offering a scalable framework for analytics integration across the regulated UK energy sector. </w:t>
      </w:r>
      <w:r w:rsidR="00FD2726" w:rsidRPr="005A3967">
        <w:t>Adapting</w:t>
      </w:r>
      <w:r w:rsidRPr="005A3967">
        <w:t xml:space="preserve"> and critically applying DELTA and DCAM insights within an energy utility context contributes </w:t>
      </w:r>
      <w:r w:rsidR="00FD2726" w:rsidRPr="005A3967">
        <w:t xml:space="preserve">to </w:t>
      </w:r>
      <w:r w:rsidRPr="005A3967">
        <w:t>practical industry guidance and theoretical advancements in analytics-driven strategic transformation.</w:t>
      </w:r>
      <w:r w:rsidR="003F0927" w:rsidRPr="005A3967">
        <w:t xml:space="preserve"> </w:t>
      </w:r>
      <w:r w:rsidR="00FD2726" w:rsidRPr="005A3967">
        <w:t>A</w:t>
      </w:r>
      <w:r w:rsidRPr="005A3967">
        <w:t xml:space="preserve"> comparative benchmarking exercise was conducted</w:t>
      </w:r>
      <w:r w:rsidR="00FD2726" w:rsidRPr="005A3967">
        <w:t xml:space="preserve"> to contextualise SSE's position</w:t>
      </w:r>
      <w:r w:rsidRPr="005A3967">
        <w:t xml:space="preserve">. </w:t>
      </w:r>
      <w:r w:rsidRPr="005A3967">
        <w:rPr>
          <w:b/>
          <w:bCs/>
        </w:rPr>
        <w:t xml:space="preserve">Table </w:t>
      </w:r>
      <w:r w:rsidR="004C5EE0" w:rsidRPr="005A3967">
        <w:rPr>
          <w:b/>
          <w:bCs/>
        </w:rPr>
        <w:t>8</w:t>
      </w:r>
      <w:r w:rsidRPr="005A3967">
        <w:t xml:space="preserve"> assesses seven major UK utilities across data governance, AI adoption, leadership commitment, and cultural readiness, </w:t>
      </w:r>
      <w:r w:rsidR="008F1FC7" w:rsidRPr="005A3967">
        <w:t>providing</w:t>
      </w:r>
      <w:r w:rsidRPr="005A3967">
        <w:t xml:space="preserve"> a strategic reference for evaluating SSE’s strengths and areas</w:t>
      </w:r>
      <w:r w:rsidR="008F1FC7" w:rsidRPr="005A3967">
        <w:t xml:space="preserve"> for improvement</w:t>
      </w:r>
      <w:r w:rsidRPr="005A3967">
        <w:t>.</w:t>
      </w:r>
    </w:p>
    <w:p w14:paraId="3B745B6A" w14:textId="536CEF02" w:rsidR="00652CAA" w:rsidRPr="005A3967" w:rsidRDefault="00F60200" w:rsidP="00F60200">
      <w:pPr>
        <w:pStyle w:val="Caption"/>
        <w:rPr>
          <w:b/>
          <w:bCs/>
        </w:rPr>
      </w:pPr>
      <w:bookmarkStart w:id="39" w:name="_Toc201942898"/>
      <w:r w:rsidRPr="005A3967">
        <w:rPr>
          <w:b/>
          <w:bCs/>
        </w:rPr>
        <w:t xml:space="preserve">Table </w:t>
      </w:r>
      <w:r w:rsidRPr="005A3967">
        <w:rPr>
          <w:b/>
          <w:bCs/>
        </w:rPr>
        <w:fldChar w:fldCharType="begin"/>
      </w:r>
      <w:r w:rsidRPr="005A3967">
        <w:rPr>
          <w:b/>
          <w:bCs/>
        </w:rPr>
        <w:instrText xml:space="preserve"> SEQ Table \* ARABIC </w:instrText>
      </w:r>
      <w:r w:rsidRPr="005A3967">
        <w:rPr>
          <w:b/>
          <w:bCs/>
        </w:rPr>
        <w:fldChar w:fldCharType="separate"/>
      </w:r>
      <w:r w:rsidR="00A50FDD" w:rsidRPr="005A3967">
        <w:rPr>
          <w:b/>
          <w:bCs/>
          <w:noProof/>
        </w:rPr>
        <w:t>8</w:t>
      </w:r>
      <w:r w:rsidRPr="005A3967">
        <w:rPr>
          <w:b/>
          <w:bCs/>
        </w:rPr>
        <w:fldChar w:fldCharType="end"/>
      </w:r>
      <w:r w:rsidRPr="005A3967">
        <w:rPr>
          <w:b/>
          <w:bCs/>
        </w:rPr>
        <w:t>:</w:t>
      </w:r>
      <w:r w:rsidR="00652CAA" w:rsidRPr="005A3967">
        <w:rPr>
          <w:b/>
          <w:bCs/>
        </w:rPr>
        <w:t>Comparative Analytics Maturity Across UK Utility Firms (2024)</w:t>
      </w:r>
      <w:r w:rsidR="00414D91" w:rsidRPr="005A3967">
        <w:rPr>
          <w:b/>
          <w:bCs/>
        </w:rPr>
        <w:t xml:space="preserve"> </w:t>
      </w:r>
      <w:r w:rsidR="00DA5393" w:rsidRPr="005A3967">
        <w:rPr>
          <w:b/>
          <w:bCs/>
        </w:rPr>
        <w:t>(Author’s elaboration using data from Gartner (2024) and Ofgem (2024))</w:t>
      </w:r>
      <w:r w:rsidR="006B2945" w:rsidRPr="005A3967">
        <w:rPr>
          <w:rStyle w:val="FootnoteReference"/>
          <w:b/>
          <w:bCs/>
        </w:rPr>
        <w:footnoteReference w:id="9"/>
      </w:r>
      <w:bookmarkEnd w:id="39"/>
    </w:p>
    <w:p w14:paraId="7B886FD7" w14:textId="791A7D5E" w:rsidR="00FE15B8" w:rsidRPr="005A3967" w:rsidRDefault="006A1BB4" w:rsidP="00FE15B8">
      <w:pPr>
        <w:jc w:val="center"/>
      </w:pPr>
      <w:r w:rsidRPr="005A3967">
        <w:rPr>
          <w:noProof/>
          <w14:ligatures w14:val="standardContextual"/>
        </w:rPr>
        <w:drawing>
          <wp:inline distT="0" distB="0" distL="0" distR="0" wp14:anchorId="1315300A" wp14:editId="54A4E93B">
            <wp:extent cx="5542285" cy="3173950"/>
            <wp:effectExtent l="0" t="0" r="0" b="1270"/>
            <wp:docPr id="1167263984" name="Picture 34"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263984" name="Picture 34" descr="A table with text on i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10445" cy="3212984"/>
                    </a:xfrm>
                    <a:prstGeom prst="rect">
                      <a:avLst/>
                    </a:prstGeom>
                  </pic:spPr>
                </pic:pic>
              </a:graphicData>
            </a:graphic>
          </wp:inline>
        </w:drawing>
      </w:r>
    </w:p>
    <w:p w14:paraId="3A460D94" w14:textId="77777777" w:rsidR="004C5CA0" w:rsidRPr="005A3967" w:rsidRDefault="004C5CA0" w:rsidP="001D2D22">
      <w:pPr>
        <w:spacing w:line="360" w:lineRule="auto"/>
      </w:pPr>
    </w:p>
    <w:p w14:paraId="39332673" w14:textId="02CC82B0" w:rsidR="00FE15B8" w:rsidRPr="005A3967" w:rsidRDefault="00FE15B8" w:rsidP="001D2D22">
      <w:pPr>
        <w:spacing w:line="360" w:lineRule="auto"/>
      </w:pPr>
      <w:r w:rsidRPr="005A3967">
        <w:t xml:space="preserve">To support this conceptual analysis, </w:t>
      </w:r>
      <w:r w:rsidRPr="005A3967">
        <w:rPr>
          <w:rStyle w:val="Strong"/>
          <w:rFonts w:eastAsiaTheme="majorEastAsia"/>
        </w:rPr>
        <w:t>Appendix E</w:t>
      </w:r>
      <w:r w:rsidRPr="005A3967">
        <w:t xml:space="preserve"> presents three strategic frameworks—</w:t>
      </w:r>
      <w:r w:rsidRPr="005A3967">
        <w:rPr>
          <w:rStyle w:val="Strong"/>
          <w:rFonts w:eastAsiaTheme="majorEastAsia"/>
        </w:rPr>
        <w:t>SWOT</w:t>
      </w:r>
      <w:r w:rsidRPr="005A3967">
        <w:t xml:space="preserve">, </w:t>
      </w:r>
      <w:r w:rsidRPr="005A3967">
        <w:rPr>
          <w:rStyle w:val="Strong"/>
          <w:rFonts w:eastAsiaTheme="majorEastAsia"/>
        </w:rPr>
        <w:t>PESTEL</w:t>
      </w:r>
      <w:r w:rsidRPr="005A3967">
        <w:t xml:space="preserve">, and </w:t>
      </w:r>
      <w:r w:rsidRPr="005A3967">
        <w:rPr>
          <w:rStyle w:val="Strong"/>
          <w:rFonts w:eastAsiaTheme="majorEastAsia"/>
        </w:rPr>
        <w:t>SOAR</w:t>
      </w:r>
      <w:r w:rsidRPr="005A3967">
        <w:t xml:space="preserve">—that summarise </w:t>
      </w:r>
      <w:r w:rsidRPr="005A3967">
        <w:rPr>
          <w:rStyle w:val="Strong"/>
          <w:rFonts w:eastAsiaTheme="majorEastAsia"/>
        </w:rPr>
        <w:t>SSE PLC’s internal capabilities, external environment, and strategic aspirations</w:t>
      </w:r>
      <w:r w:rsidRPr="005A3967">
        <w:t xml:space="preserve"> for predictive analytics. These frameworks synthesise findings from survey and interview data, supporting the roadmap outlined later in </w:t>
      </w:r>
      <w:r w:rsidRPr="005A3967">
        <w:lastRenderedPageBreak/>
        <w:t xml:space="preserve">Section 8. A comparative summary is provided in </w:t>
      </w:r>
      <w:r w:rsidRPr="005A3967">
        <w:rPr>
          <w:rStyle w:val="Strong"/>
          <w:rFonts w:eastAsiaTheme="majorEastAsia"/>
        </w:rPr>
        <w:t>Table 9: Analytical Frameworks – SWOT, PESTEL, and SOAR Analyses</w:t>
      </w:r>
      <w:r w:rsidRPr="005A3967">
        <w:t xml:space="preserve">, which highlights the distinct </w:t>
      </w:r>
      <w:r w:rsidR="0002751E">
        <w:t>purposes</w:t>
      </w:r>
      <w:r w:rsidRPr="005A3967">
        <w:t xml:space="preserve">, </w:t>
      </w:r>
      <w:r w:rsidR="0002751E">
        <w:t>focuses</w:t>
      </w:r>
      <w:r w:rsidRPr="005A3967">
        <w:t xml:space="preserve">, and interpretive </w:t>
      </w:r>
      <w:r w:rsidR="0002751E">
        <w:t>values</w:t>
      </w:r>
      <w:r w:rsidRPr="005A3967">
        <w:t xml:space="preserve"> of each model in the context of SSE’s analytics integration journey.</w:t>
      </w:r>
    </w:p>
    <w:p w14:paraId="735EC68C" w14:textId="77777777" w:rsidR="003F1393" w:rsidRPr="005A3967" w:rsidRDefault="003F1393" w:rsidP="001D2D22">
      <w:pPr>
        <w:spacing w:line="360" w:lineRule="auto"/>
      </w:pPr>
    </w:p>
    <w:p w14:paraId="4323C9AF" w14:textId="564707E9" w:rsidR="001D2D22" w:rsidRPr="005A3967" w:rsidRDefault="001D2D22" w:rsidP="001D2D22">
      <w:pPr>
        <w:pStyle w:val="Caption"/>
        <w:rPr>
          <w:b/>
          <w:bCs/>
        </w:rPr>
      </w:pPr>
      <w:bookmarkStart w:id="40" w:name="_Toc201942899"/>
      <w:r w:rsidRPr="005A3967">
        <w:rPr>
          <w:b/>
          <w:bCs/>
        </w:rPr>
        <w:t xml:space="preserve">Table </w:t>
      </w:r>
      <w:r w:rsidRPr="005A3967">
        <w:rPr>
          <w:b/>
          <w:bCs/>
        </w:rPr>
        <w:fldChar w:fldCharType="begin"/>
      </w:r>
      <w:r w:rsidRPr="005A3967">
        <w:rPr>
          <w:b/>
          <w:bCs/>
        </w:rPr>
        <w:instrText xml:space="preserve"> SEQ Table \* ARABIC </w:instrText>
      </w:r>
      <w:r w:rsidRPr="005A3967">
        <w:rPr>
          <w:b/>
          <w:bCs/>
        </w:rPr>
        <w:fldChar w:fldCharType="separate"/>
      </w:r>
      <w:r w:rsidR="00A50FDD" w:rsidRPr="005A3967">
        <w:rPr>
          <w:b/>
          <w:bCs/>
          <w:noProof/>
        </w:rPr>
        <w:t>9</w:t>
      </w:r>
      <w:r w:rsidRPr="005A3967">
        <w:rPr>
          <w:b/>
          <w:bCs/>
        </w:rPr>
        <w:fldChar w:fldCharType="end"/>
      </w:r>
      <w:r w:rsidRPr="005A3967">
        <w:rPr>
          <w:b/>
          <w:bCs/>
        </w:rPr>
        <w:t>: Analytical Frameworks – SWOT, PESTEL, and SOAR Analyses</w:t>
      </w:r>
      <w:bookmarkEnd w:id="40"/>
    </w:p>
    <w:p w14:paraId="73D082DE" w14:textId="0918A412" w:rsidR="001D2D22" w:rsidRPr="005A3967" w:rsidRDefault="00084AFA" w:rsidP="00084AFA">
      <w:pPr>
        <w:jc w:val="center"/>
      </w:pPr>
      <w:r w:rsidRPr="005A3967">
        <w:rPr>
          <w:noProof/>
          <w14:ligatures w14:val="standardContextual"/>
        </w:rPr>
        <w:drawing>
          <wp:inline distT="0" distB="0" distL="0" distR="0" wp14:anchorId="115B0BC7" wp14:editId="6B7DD017">
            <wp:extent cx="5414692" cy="3189064"/>
            <wp:effectExtent l="0" t="0" r="0" b="0"/>
            <wp:docPr id="730495725" name="Picture 35"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495725" name="Picture 35" descr="A table with text on i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21213" cy="3251801"/>
                    </a:xfrm>
                    <a:prstGeom prst="rect">
                      <a:avLst/>
                    </a:prstGeom>
                  </pic:spPr>
                </pic:pic>
              </a:graphicData>
            </a:graphic>
          </wp:inline>
        </w:drawing>
      </w:r>
    </w:p>
    <w:p w14:paraId="032C9120" w14:textId="38175848" w:rsidR="001710A8" w:rsidRPr="005A3967" w:rsidRDefault="001710A8" w:rsidP="00C43C96">
      <w:pPr>
        <w:spacing w:before="100" w:beforeAutospacing="1" w:after="100" w:afterAutospacing="1" w:line="360" w:lineRule="auto"/>
        <w:jc w:val="both"/>
      </w:pPr>
      <w:r w:rsidRPr="005A3967">
        <w:rPr>
          <w:rStyle w:val="Strong"/>
          <w:rFonts w:eastAsiaTheme="majorEastAsia"/>
        </w:rPr>
        <w:t>Figure 5</w:t>
      </w:r>
      <w:r w:rsidRPr="005A3967">
        <w:t xml:space="preserve"> benchmarks predictive analytics adoption across UK utility firms (Gartner &amp; Ofgem, 2024), placing </w:t>
      </w:r>
      <w:r w:rsidRPr="005A3967">
        <w:rPr>
          <w:rStyle w:val="Strong"/>
          <w:rFonts w:eastAsiaTheme="majorEastAsia"/>
        </w:rPr>
        <w:t>SSE mid-pack</w:t>
      </w:r>
      <w:r w:rsidRPr="005A3967">
        <w:t xml:space="preserve">—behind leaders like </w:t>
      </w:r>
      <w:r w:rsidRPr="005A3967">
        <w:rPr>
          <w:rStyle w:val="Strong"/>
          <w:rFonts w:eastAsiaTheme="majorEastAsia"/>
        </w:rPr>
        <w:t>National Grid</w:t>
      </w:r>
      <w:r w:rsidRPr="005A3967">
        <w:t xml:space="preserve"> and </w:t>
      </w:r>
      <w:r w:rsidRPr="005A3967">
        <w:rPr>
          <w:rStyle w:val="Strong"/>
          <w:rFonts w:eastAsiaTheme="majorEastAsia"/>
        </w:rPr>
        <w:t>EDF</w:t>
      </w:r>
      <w:r w:rsidRPr="005A3967">
        <w:t xml:space="preserve">, but ahead of newer entrants such as </w:t>
      </w:r>
      <w:r w:rsidRPr="005A3967">
        <w:rPr>
          <w:rStyle w:val="Strong"/>
          <w:rFonts w:eastAsiaTheme="majorEastAsia"/>
        </w:rPr>
        <w:t>Octopus Energy</w:t>
      </w:r>
      <w:r w:rsidRPr="005A3967">
        <w:t xml:space="preserve">. This highlights sector-wide variability and </w:t>
      </w:r>
      <w:r w:rsidR="008F1FC7" w:rsidRPr="005A3967">
        <w:t xml:space="preserve">presents </w:t>
      </w:r>
      <w:r w:rsidRPr="005A3967">
        <w:t xml:space="preserve">strategic </w:t>
      </w:r>
      <w:r w:rsidR="008F1FC7" w:rsidRPr="005A3967">
        <w:t>opportunities</w:t>
      </w:r>
      <w:r w:rsidRPr="005A3967">
        <w:t xml:space="preserve"> for SSE to </w:t>
      </w:r>
      <w:r w:rsidR="008F1FC7" w:rsidRPr="005A3967">
        <w:t>enhance</w:t>
      </w:r>
      <w:r w:rsidRPr="005A3967">
        <w:t xml:space="preserve"> its analytics maturity.</w:t>
      </w:r>
    </w:p>
    <w:p w14:paraId="7E87AB78" w14:textId="6A161E28" w:rsidR="0055236A" w:rsidRPr="005A3967" w:rsidRDefault="00B024E4" w:rsidP="0055236A">
      <w:pPr>
        <w:spacing w:before="100" w:beforeAutospacing="1" w:after="100" w:afterAutospacing="1" w:line="360" w:lineRule="auto"/>
        <w:jc w:val="center"/>
      </w:pPr>
      <w:r w:rsidRPr="005A3967">
        <w:fldChar w:fldCharType="begin"/>
      </w:r>
      <w:r w:rsidRPr="005A3967">
        <w:instrText xml:space="preserve"> INCLUDEPICTURE "https://sdmntprpolandcentral.oaiusercontent.com/files/00000000-71a0-620a-8e73-fe698db5a7c2/raw?se=2025-04-26T22%3A29%3A49Z&amp;sp=r&amp;sv=2024-08-04&amp;sr=b&amp;scid=103c2cd5-17c2-5388-9374-ef9db008a74a&amp;skoid=06d77cea-897f-49c6-9d78-20f6510f72af&amp;sktid=a48cca56-e6da-484e-a814-9c849652bcb3&amp;skt=2025-04-26T11%3A48%3A45Z&amp;ske=2025-04-27T11%3A48%3A45Z&amp;sks=b&amp;skv=2024-08-04&amp;sig=qM6xHyhlHZ0pDyWEkYqMXw%2Bj9mpn%2BO3IcwuH8yrGtJg%3D" \* MERGEFORMATINET </w:instrText>
      </w:r>
      <w:r w:rsidRPr="005A3967">
        <w:fldChar w:fldCharType="separate"/>
      </w:r>
      <w:r w:rsidRPr="005A3967">
        <w:rPr>
          <w:noProof/>
        </w:rPr>
        <w:drawing>
          <wp:inline distT="0" distB="0" distL="0" distR="0" wp14:anchorId="626DCD58" wp14:editId="0BFAED2B">
            <wp:extent cx="4140975" cy="1995953"/>
            <wp:effectExtent l="0" t="0" r="0" b="0"/>
            <wp:docPr id="856463382" name="Picture 1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enerated image"/>
                    <pic:cNvPicPr>
                      <a:picLocks noChangeAspect="1" noChangeArrowheads="1"/>
                    </pic:cNvPicPr>
                  </pic:nvPicPr>
                  <pic:blipFill rotWithShape="1">
                    <a:blip r:embed="rId26">
                      <a:extLst>
                        <a:ext uri="{28A0092B-C50C-407E-A947-70E740481C1C}">
                          <a14:useLocalDpi xmlns:a14="http://schemas.microsoft.com/office/drawing/2010/main" val="0"/>
                        </a:ext>
                      </a:extLst>
                    </a:blip>
                    <a:srcRect l="1" t="16270" r="1390" b="12431"/>
                    <a:stretch/>
                  </pic:blipFill>
                  <pic:spPr bwMode="auto">
                    <a:xfrm>
                      <a:off x="0" y="0"/>
                      <a:ext cx="4453176" cy="2146434"/>
                    </a:xfrm>
                    <a:prstGeom prst="rect">
                      <a:avLst/>
                    </a:prstGeom>
                    <a:noFill/>
                    <a:ln>
                      <a:noFill/>
                    </a:ln>
                    <a:extLst>
                      <a:ext uri="{53640926-AAD7-44D8-BBD7-CCE9431645EC}">
                        <a14:shadowObscured xmlns:a14="http://schemas.microsoft.com/office/drawing/2010/main"/>
                      </a:ext>
                    </a:extLst>
                  </pic:spPr>
                </pic:pic>
              </a:graphicData>
            </a:graphic>
          </wp:inline>
        </w:drawing>
      </w:r>
      <w:r w:rsidR="006B2945" w:rsidRPr="005A3967">
        <w:rPr>
          <w:rStyle w:val="FootnoteReference"/>
        </w:rPr>
        <w:footnoteReference w:id="10"/>
      </w:r>
      <w:r w:rsidRPr="005A3967">
        <w:fldChar w:fldCharType="end"/>
      </w:r>
    </w:p>
    <w:p w14:paraId="3BCFD08C" w14:textId="7F0E7660" w:rsidR="0055236A" w:rsidRPr="005A3967" w:rsidRDefault="0055236A" w:rsidP="0055236A">
      <w:pPr>
        <w:pStyle w:val="Caption"/>
        <w:jc w:val="center"/>
        <w:rPr>
          <w:b/>
          <w:bCs/>
        </w:rPr>
      </w:pPr>
      <w:bookmarkStart w:id="41" w:name="_Toc201942915"/>
      <w:r w:rsidRPr="005A3967">
        <w:rPr>
          <w:b/>
          <w:bCs/>
        </w:rPr>
        <w:t xml:space="preserve">Figure </w:t>
      </w:r>
      <w:r w:rsidR="00747E01" w:rsidRPr="005A3967">
        <w:rPr>
          <w:b/>
          <w:bCs/>
        </w:rPr>
        <w:fldChar w:fldCharType="begin"/>
      </w:r>
      <w:r w:rsidR="00747E01" w:rsidRPr="005A3967">
        <w:rPr>
          <w:b/>
          <w:bCs/>
        </w:rPr>
        <w:instrText xml:space="preserve"> SEQ Figure \* ARABIC </w:instrText>
      </w:r>
      <w:r w:rsidR="00747E01" w:rsidRPr="005A3967">
        <w:rPr>
          <w:b/>
          <w:bCs/>
        </w:rPr>
        <w:fldChar w:fldCharType="separate"/>
      </w:r>
      <w:r w:rsidR="00747E01" w:rsidRPr="005A3967">
        <w:rPr>
          <w:b/>
          <w:bCs/>
          <w:noProof/>
        </w:rPr>
        <w:t>5</w:t>
      </w:r>
      <w:r w:rsidR="00747E01" w:rsidRPr="005A3967">
        <w:rPr>
          <w:b/>
          <w:bCs/>
          <w:noProof/>
        </w:rPr>
        <w:fldChar w:fldCharType="end"/>
      </w:r>
      <w:r w:rsidRPr="005A3967">
        <w:rPr>
          <w:b/>
          <w:bCs/>
        </w:rPr>
        <w:t xml:space="preserve">: </w:t>
      </w:r>
      <w:r w:rsidR="00BC6CA5" w:rsidRPr="005A3967">
        <w:rPr>
          <w:b/>
          <w:bCs/>
        </w:rPr>
        <w:t>Predictive Analytics Adoption Rates Among Major UK Energy Firms (2024)</w:t>
      </w:r>
      <w:r w:rsidR="00BC6CA5" w:rsidRPr="005A3967">
        <w:rPr>
          <w:b/>
          <w:bCs/>
        </w:rPr>
        <w:br/>
      </w:r>
      <w:r w:rsidR="00D51EA0" w:rsidRPr="005A3967">
        <w:rPr>
          <w:b/>
          <w:bCs/>
        </w:rPr>
        <w:t>(Adapted from Gartner, 2024; Ofgem, 2024)</w:t>
      </w:r>
      <w:bookmarkEnd w:id="41"/>
    </w:p>
    <w:p w14:paraId="4432A301" w14:textId="7B3DE575" w:rsidR="00FE15B8" w:rsidRPr="005A3967" w:rsidRDefault="00FE15B8" w:rsidP="00FE15B8">
      <w:pPr>
        <w:spacing w:line="360" w:lineRule="auto"/>
      </w:pPr>
      <w:r w:rsidRPr="005A3967">
        <w:lastRenderedPageBreak/>
        <w:t xml:space="preserve">In addition to benchmarking, a PESTEL analysis (Appendix E.2) was </w:t>
      </w:r>
      <w:r w:rsidR="0002751E">
        <w:t>conducted</w:t>
      </w:r>
      <w:r w:rsidRPr="005A3967">
        <w:t xml:space="preserve"> to assess macro-environmental factors</w:t>
      </w:r>
      <w:r w:rsidR="0002751E">
        <w:t>, including</w:t>
      </w:r>
      <w:r w:rsidRPr="005A3967">
        <w:t xml:space="preserve"> regulatory pressures, economic constraints, and technological enablers</w:t>
      </w:r>
      <w:r w:rsidR="0002751E">
        <w:t>,</w:t>
      </w:r>
      <w:r w:rsidRPr="005A3967">
        <w:t xml:space="preserve"> </w:t>
      </w:r>
      <w:r w:rsidR="0002751E">
        <w:t>that influence</w:t>
      </w:r>
      <w:r w:rsidRPr="005A3967">
        <w:t xml:space="preserve"> SSE’s analytics journey.</w:t>
      </w:r>
      <w:r w:rsidR="00E742B5">
        <w:t xml:space="preserve"> Beyond applying DCAM and DELTA, this study seeks to extend existing models by proposing a hybrid framework tailored to legacy-heavy, regulated sectors. It aims to contribute theoretically by bridging maturity models with decentralised governance concepts, such as </w:t>
      </w:r>
      <w:r w:rsidR="00E742B5">
        <w:rPr>
          <w:rStyle w:val="Emphasis"/>
          <w:rFonts w:eastAsiaTheme="majorEastAsia"/>
        </w:rPr>
        <w:t>Data Mesh</w:t>
      </w:r>
      <w:r w:rsidR="00E742B5">
        <w:t>, within real-world utility contexts.</w:t>
      </w:r>
    </w:p>
    <w:p w14:paraId="0E52A64E" w14:textId="4C352BF9" w:rsidR="00E157F4" w:rsidRPr="005A3967" w:rsidRDefault="00E157F4" w:rsidP="00F927CA">
      <w:pPr>
        <w:pStyle w:val="Heading3"/>
        <w:rPr>
          <w:rFonts w:cs="Times New Roman"/>
        </w:rPr>
      </w:pPr>
      <w:bookmarkStart w:id="42" w:name="_Toc202544504"/>
      <w:r w:rsidRPr="005A3967">
        <w:rPr>
          <w:rFonts w:cs="Times New Roman"/>
        </w:rPr>
        <w:t>4.5.1 Sample Predictive Analytics Use Cases at SSE PLC</w:t>
      </w:r>
      <w:bookmarkEnd w:id="42"/>
    </w:p>
    <w:p w14:paraId="00DBCDE4" w14:textId="2189830D" w:rsidR="002947C9" w:rsidRPr="005A3967" w:rsidRDefault="002947C9" w:rsidP="002947C9">
      <w:pPr>
        <w:pStyle w:val="NormalWeb"/>
        <w:spacing w:line="360" w:lineRule="auto"/>
      </w:pPr>
      <w:r w:rsidRPr="005A3967">
        <w:rPr>
          <w:rStyle w:val="Strong"/>
          <w:rFonts w:eastAsiaTheme="majorEastAsia"/>
        </w:rPr>
        <w:t>Table 10</w:t>
      </w:r>
      <w:r w:rsidRPr="005A3967">
        <w:t xml:space="preserve"> outlines current </w:t>
      </w:r>
      <w:r w:rsidRPr="005A3967">
        <w:rPr>
          <w:rStyle w:val="Strong"/>
          <w:rFonts w:eastAsiaTheme="majorEastAsia"/>
        </w:rPr>
        <w:t>predictive analytics use cases</w:t>
      </w:r>
      <w:r w:rsidRPr="005A3967">
        <w:t xml:space="preserve"> across </w:t>
      </w:r>
      <w:r w:rsidRPr="005A3967">
        <w:rPr>
          <w:rStyle w:val="Emphasis"/>
          <w:rFonts w:eastAsiaTheme="majorEastAsia"/>
        </w:rPr>
        <w:t>marketing</w:t>
      </w:r>
      <w:r w:rsidRPr="005A3967">
        <w:t xml:space="preserve">, </w:t>
      </w:r>
      <w:r w:rsidRPr="005A3967">
        <w:rPr>
          <w:rStyle w:val="Emphasis"/>
          <w:rFonts w:eastAsiaTheme="majorEastAsia"/>
        </w:rPr>
        <w:t>operations</w:t>
      </w:r>
      <w:r w:rsidRPr="005A3967">
        <w:t xml:space="preserve">, and </w:t>
      </w:r>
      <w:r w:rsidRPr="005A3967">
        <w:rPr>
          <w:rStyle w:val="Emphasis"/>
          <w:rFonts w:eastAsiaTheme="majorEastAsia"/>
        </w:rPr>
        <w:t>customer management</w:t>
      </w:r>
      <w:r w:rsidRPr="005A3967">
        <w:t xml:space="preserve">, showing </w:t>
      </w:r>
      <w:r w:rsidRPr="005A3967">
        <w:rPr>
          <w:rStyle w:val="Strong"/>
          <w:rFonts w:eastAsiaTheme="majorEastAsia"/>
        </w:rPr>
        <w:t>early success</w:t>
      </w:r>
      <w:r w:rsidRPr="005A3967">
        <w:t xml:space="preserve"> in specific functions.</w:t>
      </w:r>
      <w:r w:rsidR="004C5CA0" w:rsidRPr="005A3967">
        <w:t xml:space="preserve"> </w:t>
      </w:r>
      <w:r w:rsidRPr="005A3967">
        <w:t xml:space="preserve">However, adoption remains </w:t>
      </w:r>
      <w:r w:rsidRPr="005A3967">
        <w:rPr>
          <w:rStyle w:val="Strong"/>
          <w:rFonts w:eastAsiaTheme="majorEastAsia"/>
        </w:rPr>
        <w:t>siloed</w:t>
      </w:r>
      <w:r w:rsidRPr="005A3967">
        <w:t xml:space="preserve"> and </w:t>
      </w:r>
      <w:r w:rsidRPr="005A3967">
        <w:rPr>
          <w:rStyle w:val="Strong"/>
          <w:rFonts w:eastAsiaTheme="majorEastAsia"/>
        </w:rPr>
        <w:t>opportunistic</w:t>
      </w:r>
      <w:r w:rsidRPr="005A3967">
        <w:t xml:space="preserve">, highlighting the need for a </w:t>
      </w:r>
      <w:r w:rsidRPr="005A3967">
        <w:rPr>
          <w:rStyle w:val="Strong"/>
          <w:rFonts w:eastAsiaTheme="majorEastAsia"/>
        </w:rPr>
        <w:t>cohesive, enterprise-wide strategy</w:t>
      </w:r>
      <w:r w:rsidRPr="005A3967">
        <w:t xml:space="preserve"> aligned with the </w:t>
      </w:r>
      <w:r w:rsidRPr="005A3967">
        <w:rPr>
          <w:rStyle w:val="Strong"/>
          <w:rFonts w:eastAsiaTheme="majorEastAsia"/>
        </w:rPr>
        <w:t>DELTA</w:t>
      </w:r>
      <w:r w:rsidRPr="005A3967">
        <w:t xml:space="preserve"> and </w:t>
      </w:r>
      <w:r w:rsidRPr="005A3967">
        <w:rPr>
          <w:rStyle w:val="Strong"/>
          <w:rFonts w:eastAsiaTheme="majorEastAsia"/>
        </w:rPr>
        <w:t>DCAM</w:t>
      </w:r>
      <w:r w:rsidRPr="005A3967">
        <w:t xml:space="preserve"> frameworks to unlock full organisational value.</w:t>
      </w:r>
      <w:r w:rsidR="004C5CA0" w:rsidRPr="005A3967">
        <w:t xml:space="preserve"> </w:t>
      </w:r>
      <w:r w:rsidRPr="005A3967">
        <w:t xml:space="preserve">A supporting </w:t>
      </w:r>
      <w:r w:rsidRPr="005A3967">
        <w:rPr>
          <w:rStyle w:val="Strong"/>
          <w:rFonts w:eastAsiaTheme="majorEastAsia"/>
        </w:rPr>
        <w:t>SWOT analysis</w:t>
      </w:r>
      <w:r w:rsidRPr="005A3967">
        <w:t xml:space="preserve"> (</w:t>
      </w:r>
      <w:r w:rsidRPr="005A3967">
        <w:rPr>
          <w:rStyle w:val="Emphasis"/>
          <w:rFonts w:eastAsiaTheme="majorEastAsia"/>
        </w:rPr>
        <w:t>Appendix E.1</w:t>
      </w:r>
      <w:r w:rsidRPr="005A3967">
        <w:t xml:space="preserve">) identifies key </w:t>
      </w:r>
      <w:r w:rsidRPr="005A3967">
        <w:rPr>
          <w:rStyle w:val="Strong"/>
          <w:rFonts w:eastAsiaTheme="majorEastAsia"/>
        </w:rPr>
        <w:t>strengths</w:t>
      </w:r>
      <w:r w:rsidR="0002751E">
        <w:t xml:space="preserve">, </w:t>
      </w:r>
      <w:r w:rsidRPr="005A3967">
        <w:t xml:space="preserve">such as </w:t>
      </w:r>
      <w:r w:rsidRPr="005A3967">
        <w:rPr>
          <w:rStyle w:val="Emphasis"/>
          <w:rFonts w:eastAsiaTheme="majorEastAsia"/>
        </w:rPr>
        <w:t>leadership backing</w:t>
      </w:r>
      <w:r w:rsidRPr="005A3967">
        <w:t xml:space="preserve"> and </w:t>
      </w:r>
      <w:r w:rsidRPr="005A3967">
        <w:rPr>
          <w:rStyle w:val="Emphasis"/>
          <w:rFonts w:eastAsiaTheme="majorEastAsia"/>
        </w:rPr>
        <w:t>successful pilots</w:t>
      </w:r>
      <w:r w:rsidR="0002751E">
        <w:t xml:space="preserve">, </w:t>
      </w:r>
      <w:r w:rsidRPr="005A3967">
        <w:t xml:space="preserve">alongside </w:t>
      </w:r>
      <w:r w:rsidRPr="005A3967">
        <w:rPr>
          <w:rStyle w:val="Strong"/>
          <w:rFonts w:eastAsiaTheme="majorEastAsia"/>
        </w:rPr>
        <w:t>barriers</w:t>
      </w:r>
      <w:r w:rsidRPr="005A3967">
        <w:t xml:space="preserve"> like </w:t>
      </w:r>
      <w:r w:rsidRPr="005A3967">
        <w:rPr>
          <w:rStyle w:val="Emphasis"/>
          <w:rFonts w:eastAsiaTheme="majorEastAsia"/>
        </w:rPr>
        <w:t>data fragmentation</w:t>
      </w:r>
      <w:r w:rsidRPr="005A3967">
        <w:t xml:space="preserve"> and </w:t>
      </w:r>
      <w:r w:rsidRPr="005A3967">
        <w:rPr>
          <w:rStyle w:val="Emphasis"/>
          <w:rFonts w:eastAsiaTheme="majorEastAsia"/>
        </w:rPr>
        <w:t>vendor dependency</w:t>
      </w:r>
      <w:r w:rsidRPr="005A3967">
        <w:t xml:space="preserve">, which limit </w:t>
      </w:r>
      <w:r w:rsidR="00622DD9">
        <w:t>the</w:t>
      </w:r>
      <w:r w:rsidRPr="005A3967">
        <w:t xml:space="preserve"> maturity and scalability</w:t>
      </w:r>
      <w:r w:rsidR="00622DD9">
        <w:t xml:space="preserve"> of analytics</w:t>
      </w:r>
      <w:r w:rsidRPr="005A3967">
        <w:t>.</w:t>
      </w:r>
    </w:p>
    <w:p w14:paraId="13114D71" w14:textId="37C77E7B" w:rsidR="00F60200" w:rsidRPr="005A3967" w:rsidRDefault="00084AFA" w:rsidP="00084AFA">
      <w:pPr>
        <w:pStyle w:val="Caption"/>
        <w:rPr>
          <w:b/>
          <w:bCs/>
        </w:rPr>
      </w:pPr>
      <w:bookmarkStart w:id="43" w:name="_Toc201942900"/>
      <w:r w:rsidRPr="005A3967">
        <w:rPr>
          <w:b/>
          <w:bCs/>
        </w:rPr>
        <w:t xml:space="preserve">Table </w:t>
      </w:r>
      <w:r w:rsidRPr="005A3967">
        <w:rPr>
          <w:b/>
          <w:bCs/>
        </w:rPr>
        <w:fldChar w:fldCharType="begin"/>
      </w:r>
      <w:r w:rsidRPr="005A3967">
        <w:rPr>
          <w:b/>
          <w:bCs/>
        </w:rPr>
        <w:instrText xml:space="preserve"> SEQ Table \* ARABIC </w:instrText>
      </w:r>
      <w:r w:rsidRPr="005A3967">
        <w:rPr>
          <w:b/>
          <w:bCs/>
        </w:rPr>
        <w:fldChar w:fldCharType="separate"/>
      </w:r>
      <w:r w:rsidR="00A50FDD" w:rsidRPr="005A3967">
        <w:rPr>
          <w:b/>
          <w:bCs/>
          <w:noProof/>
        </w:rPr>
        <w:t>10</w:t>
      </w:r>
      <w:r w:rsidRPr="005A3967">
        <w:rPr>
          <w:b/>
          <w:bCs/>
        </w:rPr>
        <w:fldChar w:fldCharType="end"/>
      </w:r>
      <w:r w:rsidR="00F60200" w:rsidRPr="005A3967">
        <w:rPr>
          <w:b/>
          <w:bCs/>
        </w:rPr>
        <w:t xml:space="preserve">: </w:t>
      </w:r>
      <w:r w:rsidR="00BA4C5B" w:rsidRPr="005A3967">
        <w:rPr>
          <w:b/>
          <w:bCs/>
        </w:rPr>
        <w:t>Sample Predictive Analytics Use Cases and Business Impacts at SSE PLC</w:t>
      </w:r>
      <w:r w:rsidR="00DA5393" w:rsidRPr="005A3967">
        <w:rPr>
          <w:b/>
          <w:bCs/>
        </w:rPr>
        <w:t xml:space="preserve"> (Author’s compilation based on SSE internal reports (2024))</w:t>
      </w:r>
      <w:r w:rsidR="006B2945" w:rsidRPr="005A3967">
        <w:rPr>
          <w:rStyle w:val="FootnoteReference"/>
          <w:b/>
          <w:bCs/>
        </w:rPr>
        <w:footnoteReference w:id="11"/>
      </w:r>
      <w:bookmarkEnd w:id="43"/>
    </w:p>
    <w:p w14:paraId="362D19E9" w14:textId="4E0B9F80" w:rsidR="001D2D22" w:rsidRPr="005A3967" w:rsidRDefault="006A1BB4" w:rsidP="004C5CA0">
      <w:pPr>
        <w:jc w:val="center"/>
      </w:pPr>
      <w:r w:rsidRPr="005A3967">
        <w:rPr>
          <w:noProof/>
          <w14:ligatures w14:val="standardContextual"/>
        </w:rPr>
        <w:drawing>
          <wp:inline distT="0" distB="0" distL="0" distR="0" wp14:anchorId="67F785C1" wp14:editId="6B24527F">
            <wp:extent cx="5743242" cy="3121051"/>
            <wp:effectExtent l="0" t="0" r="0" b="3175"/>
            <wp:docPr id="300457812" name="Picture 35"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57812" name="Picture 35" descr="A close-up of a char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830688" cy="3168572"/>
                    </a:xfrm>
                    <a:prstGeom prst="rect">
                      <a:avLst/>
                    </a:prstGeom>
                  </pic:spPr>
                </pic:pic>
              </a:graphicData>
            </a:graphic>
          </wp:inline>
        </w:drawing>
      </w:r>
    </w:p>
    <w:p w14:paraId="37933020" w14:textId="3D2F7786" w:rsidR="00E4124D" w:rsidRPr="005A3967" w:rsidRDefault="00D41B4A" w:rsidP="001D2D22">
      <w:pPr>
        <w:pStyle w:val="Heading1"/>
        <w:numPr>
          <w:ilvl w:val="0"/>
          <w:numId w:val="3"/>
        </w:numPr>
        <w:rPr>
          <w:rFonts w:ascii="Times New Roman" w:eastAsia="Times New Roman" w:hAnsi="Times New Roman" w:cs="Times New Roman"/>
          <w:b/>
          <w:bCs/>
          <w:color w:val="000000" w:themeColor="text1"/>
        </w:rPr>
      </w:pPr>
      <w:bookmarkStart w:id="44" w:name="_Toc202544505"/>
      <w:r w:rsidRPr="005A3967">
        <w:rPr>
          <w:rFonts w:ascii="Times New Roman" w:eastAsia="Times New Roman" w:hAnsi="Times New Roman" w:cs="Times New Roman"/>
          <w:b/>
          <w:bCs/>
          <w:color w:val="000000" w:themeColor="text1"/>
        </w:rPr>
        <w:lastRenderedPageBreak/>
        <w:t xml:space="preserve">Research </w:t>
      </w:r>
      <w:r w:rsidR="00F90739" w:rsidRPr="005A3967">
        <w:rPr>
          <w:rFonts w:ascii="Times New Roman" w:eastAsia="Times New Roman" w:hAnsi="Times New Roman" w:cs="Times New Roman"/>
          <w:b/>
          <w:bCs/>
          <w:color w:val="000000" w:themeColor="text1"/>
        </w:rPr>
        <w:t>Paradigm &amp; Methodology</w:t>
      </w:r>
      <w:bookmarkEnd w:id="44"/>
    </w:p>
    <w:p w14:paraId="1F6BD0A5" w14:textId="1D700856" w:rsidR="004A7483" w:rsidRPr="005A3967" w:rsidRDefault="00E6553F" w:rsidP="00C43C96">
      <w:pPr>
        <w:spacing w:before="100" w:beforeAutospacing="1" w:after="100" w:afterAutospacing="1" w:line="360" w:lineRule="auto"/>
        <w:jc w:val="both"/>
      </w:pPr>
      <w:r w:rsidRPr="005A3967">
        <w:t xml:space="preserve">This chapter </w:t>
      </w:r>
      <w:r w:rsidR="008F1FC7" w:rsidRPr="005A3967">
        <w:t>outlines</w:t>
      </w:r>
      <w:r w:rsidRPr="005A3967">
        <w:t xml:space="preserve"> the research methodology for investigating </w:t>
      </w:r>
      <w:r w:rsidR="008F1FC7" w:rsidRPr="005A3967">
        <w:t xml:space="preserve">the integration of </w:t>
      </w:r>
      <w:r w:rsidRPr="005A3967">
        <w:t xml:space="preserve">predictive analytics at SSE PLC. Adopting a pragmatic stance, the study </w:t>
      </w:r>
      <w:r w:rsidR="008F1FC7" w:rsidRPr="005A3967">
        <w:t>employs</w:t>
      </w:r>
      <w:r w:rsidRPr="005A3967">
        <w:t xml:space="preserve"> a mixed-methods design </w:t>
      </w:r>
      <w:r w:rsidR="008F1FC7" w:rsidRPr="005A3967">
        <w:t>that combines</w:t>
      </w:r>
      <w:r w:rsidRPr="005A3967">
        <w:t xml:space="preserve"> quantitative and qualitative data</w:t>
      </w:r>
      <w:r w:rsidR="00074FBB" w:rsidRPr="005A3967">
        <w:t xml:space="preserve"> collection methods</w:t>
      </w:r>
      <w:r w:rsidRPr="005A3967">
        <w:t>. It outlines the research philosophy, approach, strategy, sampling, data collection and analysis procedures, ethical considerations, and potential methodological limitations.</w:t>
      </w:r>
    </w:p>
    <w:p w14:paraId="06301AF1" w14:textId="19DF4538" w:rsidR="004A7483" w:rsidRPr="005A3967" w:rsidRDefault="00544E6D" w:rsidP="000A101D">
      <w:pPr>
        <w:pStyle w:val="Heading2"/>
        <w:rPr>
          <w:rFonts w:ascii="Times New Roman" w:hAnsi="Times New Roman" w:cs="Times New Roman"/>
        </w:rPr>
      </w:pPr>
      <w:bookmarkStart w:id="45" w:name="_Toc202544506"/>
      <w:r w:rsidRPr="005A3967">
        <w:rPr>
          <w:rFonts w:ascii="Times New Roman" w:hAnsi="Times New Roman" w:cs="Times New Roman"/>
        </w:rPr>
        <w:t>5</w:t>
      </w:r>
      <w:r w:rsidR="004A7483" w:rsidRPr="005A3967">
        <w:rPr>
          <w:rFonts w:ascii="Times New Roman" w:hAnsi="Times New Roman" w:cs="Times New Roman"/>
        </w:rPr>
        <w:t>.1 Research Philosophy</w:t>
      </w:r>
      <w:bookmarkEnd w:id="45"/>
    </w:p>
    <w:p w14:paraId="3EB71E81" w14:textId="46646C0A" w:rsidR="00DA5904" w:rsidRPr="005A3967" w:rsidRDefault="00DA5904" w:rsidP="00C43C96">
      <w:pPr>
        <w:spacing w:before="100" w:beforeAutospacing="1" w:after="100" w:afterAutospacing="1" w:line="360" w:lineRule="auto"/>
        <w:jc w:val="both"/>
      </w:pPr>
      <w:r w:rsidRPr="005A3967">
        <w:t xml:space="preserve">This study takes a </w:t>
      </w:r>
      <w:r w:rsidRPr="005A3967">
        <w:rPr>
          <w:b/>
          <w:bCs/>
        </w:rPr>
        <w:t>pragmatic approach</w:t>
      </w:r>
      <w:r w:rsidRPr="005A3967">
        <w:t>, valuing both objective data and subjective insights to explore SSE’s analytics maturity (Saunders, Lewis, &amp; Thornhill, 2019). Pragmatism focuses on what works best to answer the research questions, rather than following a single philosophical stance (Tashakkori &amp; Teddlie, 2010).</w:t>
      </w:r>
      <w:r w:rsidR="00905EFD" w:rsidRPr="005A3967">
        <w:t xml:space="preserve"> </w:t>
      </w:r>
      <w:r w:rsidRPr="005A3967">
        <w:t xml:space="preserve">Given the mix of quantitative data and qualitative context, pragmatism supports the use of </w:t>
      </w:r>
      <w:r w:rsidRPr="005A3967">
        <w:rPr>
          <w:b/>
          <w:bCs/>
        </w:rPr>
        <w:t>mixed methods</w:t>
      </w:r>
      <w:r w:rsidRPr="005A3967">
        <w:t>—combining evidence to build a richer understanding of organisational readiness (Creswell &amp; Plano Clark, 2018).</w:t>
      </w:r>
    </w:p>
    <w:p w14:paraId="1AE69750" w14:textId="353B896D" w:rsidR="004A7483" w:rsidRPr="005A3967" w:rsidRDefault="00544E6D" w:rsidP="000A101D">
      <w:pPr>
        <w:pStyle w:val="Heading2"/>
        <w:rPr>
          <w:rFonts w:ascii="Times New Roman" w:hAnsi="Times New Roman" w:cs="Times New Roman"/>
        </w:rPr>
      </w:pPr>
      <w:bookmarkStart w:id="46" w:name="_Toc202544507"/>
      <w:r w:rsidRPr="005A3967">
        <w:rPr>
          <w:rFonts w:ascii="Times New Roman" w:hAnsi="Times New Roman" w:cs="Times New Roman"/>
        </w:rPr>
        <w:t>5</w:t>
      </w:r>
      <w:r w:rsidR="004A7483" w:rsidRPr="005A3967">
        <w:rPr>
          <w:rFonts w:ascii="Times New Roman" w:hAnsi="Times New Roman" w:cs="Times New Roman"/>
        </w:rPr>
        <w:t>.2 Research Approach</w:t>
      </w:r>
      <w:bookmarkEnd w:id="46"/>
    </w:p>
    <w:p w14:paraId="1E85BEBC" w14:textId="433AFEB6" w:rsidR="00AF39BB" w:rsidRPr="005A3967" w:rsidRDefault="00AF39BB" w:rsidP="00C43C96">
      <w:pPr>
        <w:spacing w:before="100" w:beforeAutospacing="1" w:after="100" w:afterAutospacing="1" w:line="360" w:lineRule="auto"/>
        <w:jc w:val="both"/>
      </w:pPr>
      <w:r w:rsidRPr="005A3967">
        <w:t xml:space="preserve">This </w:t>
      </w:r>
      <w:r w:rsidR="008F1FC7" w:rsidRPr="005A3967">
        <w:t>section</w:t>
      </w:r>
      <w:r w:rsidRPr="005A3967">
        <w:t xml:space="preserve"> outlines a </w:t>
      </w:r>
      <w:r w:rsidRPr="005A3967">
        <w:rPr>
          <w:rStyle w:val="Strong"/>
          <w:rFonts w:eastAsiaTheme="majorEastAsia"/>
        </w:rPr>
        <w:t>pragmatic mixed-methods</w:t>
      </w:r>
      <w:r w:rsidRPr="005A3967">
        <w:t xml:space="preserve"> approach to explore predictive analytics at SSE PLC, covering </w:t>
      </w:r>
      <w:r w:rsidRPr="005A3967">
        <w:rPr>
          <w:rStyle w:val="Strong"/>
          <w:rFonts w:eastAsiaTheme="majorEastAsia"/>
        </w:rPr>
        <w:t>sampling, data collection, analysis, ethics</w:t>
      </w:r>
      <w:r w:rsidRPr="005A3967">
        <w:t xml:space="preserve">, and </w:t>
      </w:r>
      <w:r w:rsidRPr="005A3967">
        <w:rPr>
          <w:rStyle w:val="Strong"/>
          <w:rFonts w:eastAsiaTheme="majorEastAsia"/>
        </w:rPr>
        <w:t>limitations</w:t>
      </w:r>
      <w:r w:rsidRPr="005A3967">
        <w:t xml:space="preserve">. An </w:t>
      </w:r>
      <w:r w:rsidRPr="005A3967">
        <w:rPr>
          <w:rStyle w:val="Strong"/>
          <w:rFonts w:eastAsiaTheme="majorEastAsia"/>
        </w:rPr>
        <w:t>abductive reasoning process</w:t>
      </w:r>
      <w:r w:rsidRPr="005A3967">
        <w:t xml:space="preserve"> (</w:t>
      </w:r>
      <w:r w:rsidRPr="005A3967">
        <w:rPr>
          <w:b/>
          <w:bCs/>
        </w:rPr>
        <w:t xml:space="preserve">Table </w:t>
      </w:r>
      <w:r w:rsidR="004C5EE0" w:rsidRPr="005A3967">
        <w:rPr>
          <w:b/>
          <w:bCs/>
        </w:rPr>
        <w:t>1</w:t>
      </w:r>
      <w:r w:rsidR="00A50FDD" w:rsidRPr="005A3967">
        <w:rPr>
          <w:b/>
          <w:bCs/>
        </w:rPr>
        <w:t>1</w:t>
      </w:r>
      <w:r w:rsidRPr="005A3967">
        <w:t xml:space="preserve">) is </w:t>
      </w:r>
      <w:r w:rsidR="00F80B4E" w:rsidRPr="005A3967">
        <w:t>employed</w:t>
      </w:r>
      <w:r w:rsidRPr="005A3967">
        <w:t>, well-suited to capturing the complex</w:t>
      </w:r>
      <w:r w:rsidR="00F80B4E" w:rsidRPr="005A3967">
        <w:t xml:space="preserve"> and</w:t>
      </w:r>
      <w:r w:rsidRPr="005A3967">
        <w:t xml:space="preserve"> nuanced dynamics of organisational change</w:t>
      </w:r>
      <w:r w:rsidR="00F80B4E" w:rsidRPr="005A3967">
        <w:t>,</w:t>
      </w:r>
      <w:r w:rsidRPr="005A3967">
        <w:t xml:space="preserve"> </w:t>
      </w:r>
      <w:r w:rsidR="00F80B4E" w:rsidRPr="005A3967">
        <w:t>which surpasses</w:t>
      </w:r>
      <w:r w:rsidRPr="005A3967">
        <w:t xml:space="preserve"> purely inductive or deductive methods.</w:t>
      </w:r>
    </w:p>
    <w:p w14:paraId="25AF3D0D" w14:textId="196EE780" w:rsidR="004A7483" w:rsidRPr="005A3967" w:rsidRDefault="00A50FDD" w:rsidP="00A50FDD">
      <w:pPr>
        <w:pStyle w:val="Caption"/>
        <w:rPr>
          <w:b/>
          <w:bCs/>
        </w:rPr>
      </w:pPr>
      <w:bookmarkStart w:id="47" w:name="_Toc196559537"/>
      <w:bookmarkStart w:id="48" w:name="_Toc201942901"/>
      <w:r w:rsidRPr="005A3967">
        <w:rPr>
          <w:b/>
          <w:bCs/>
        </w:rPr>
        <w:t xml:space="preserve">Table </w:t>
      </w:r>
      <w:r w:rsidRPr="005A3967">
        <w:rPr>
          <w:b/>
          <w:bCs/>
        </w:rPr>
        <w:fldChar w:fldCharType="begin"/>
      </w:r>
      <w:r w:rsidRPr="005A3967">
        <w:rPr>
          <w:b/>
          <w:bCs/>
        </w:rPr>
        <w:instrText xml:space="preserve"> SEQ Table \* ARABIC </w:instrText>
      </w:r>
      <w:r w:rsidRPr="005A3967">
        <w:rPr>
          <w:b/>
          <w:bCs/>
        </w:rPr>
        <w:fldChar w:fldCharType="separate"/>
      </w:r>
      <w:r w:rsidRPr="005A3967">
        <w:rPr>
          <w:b/>
          <w:bCs/>
          <w:noProof/>
        </w:rPr>
        <w:t>11</w:t>
      </w:r>
      <w:r w:rsidRPr="005A3967">
        <w:rPr>
          <w:b/>
          <w:bCs/>
        </w:rPr>
        <w:fldChar w:fldCharType="end"/>
      </w:r>
      <w:r w:rsidR="00D12263" w:rsidRPr="005A3967">
        <w:rPr>
          <w:b/>
          <w:bCs/>
        </w:rPr>
        <w:t xml:space="preserve">: Abductive Reasoning Process </w:t>
      </w:r>
      <w:bookmarkEnd w:id="47"/>
      <w:r w:rsidR="00DA5393" w:rsidRPr="005A3967">
        <w:rPr>
          <w:b/>
          <w:bCs/>
        </w:rPr>
        <w:t>(Adapted from Dubois and Gadde (2002))</w:t>
      </w:r>
      <w:r w:rsidR="006B2945" w:rsidRPr="005A3967">
        <w:rPr>
          <w:rStyle w:val="FootnoteReference"/>
          <w:b/>
          <w:bCs/>
        </w:rPr>
        <w:footnoteReference w:id="12"/>
      </w:r>
      <w:bookmarkEnd w:id="48"/>
    </w:p>
    <w:p w14:paraId="294F7370" w14:textId="6E945667" w:rsidR="006A1BB4" w:rsidRPr="005A3967" w:rsidRDefault="006A1BB4" w:rsidP="004C5CA0">
      <w:pPr>
        <w:jc w:val="center"/>
      </w:pPr>
      <w:r w:rsidRPr="005A3967">
        <w:rPr>
          <w:noProof/>
          <w14:ligatures w14:val="standardContextual"/>
        </w:rPr>
        <w:drawing>
          <wp:inline distT="0" distB="0" distL="0" distR="0" wp14:anchorId="4BC3A288" wp14:editId="77F0C78D">
            <wp:extent cx="5850048" cy="1443392"/>
            <wp:effectExtent l="0" t="0" r="5080" b="4445"/>
            <wp:docPr id="1934539814" name="Picture 36" descr="A close-up of a descri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539814" name="Picture 36" descr="A close-up of a description&#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10972" cy="1458424"/>
                    </a:xfrm>
                    <a:prstGeom prst="rect">
                      <a:avLst/>
                    </a:prstGeom>
                  </pic:spPr>
                </pic:pic>
              </a:graphicData>
            </a:graphic>
          </wp:inline>
        </w:drawing>
      </w:r>
    </w:p>
    <w:p w14:paraId="0ACC56CC" w14:textId="77777777" w:rsidR="000924F4" w:rsidRPr="005A3967" w:rsidRDefault="000924F4" w:rsidP="000924F4"/>
    <w:p w14:paraId="747E8592" w14:textId="4BA2AD41" w:rsidR="005246F4" w:rsidRPr="005A3967" w:rsidRDefault="00544E6D" w:rsidP="00846E7F">
      <w:pPr>
        <w:pStyle w:val="Heading2"/>
        <w:spacing w:line="360" w:lineRule="auto"/>
        <w:rPr>
          <w:rFonts w:ascii="Times New Roman" w:hAnsi="Times New Roman" w:cs="Times New Roman"/>
        </w:rPr>
      </w:pPr>
      <w:bookmarkStart w:id="49" w:name="_Toc202544508"/>
      <w:r w:rsidRPr="005A3967">
        <w:rPr>
          <w:rFonts w:ascii="Times New Roman" w:hAnsi="Times New Roman" w:cs="Times New Roman"/>
        </w:rPr>
        <w:lastRenderedPageBreak/>
        <w:t>5.</w:t>
      </w:r>
      <w:r w:rsidR="004A7483" w:rsidRPr="005A3967">
        <w:rPr>
          <w:rFonts w:ascii="Times New Roman" w:hAnsi="Times New Roman" w:cs="Times New Roman"/>
        </w:rPr>
        <w:t>3 Research Strategy</w:t>
      </w:r>
      <w:bookmarkEnd w:id="49"/>
    </w:p>
    <w:p w14:paraId="31888B5E" w14:textId="42CE56F1" w:rsidR="00E6553F" w:rsidRPr="005A3967" w:rsidRDefault="00E6553F" w:rsidP="00C43C96">
      <w:pPr>
        <w:spacing w:line="360" w:lineRule="auto"/>
        <w:jc w:val="both"/>
      </w:pPr>
      <w:r w:rsidRPr="005A3967">
        <w:t xml:space="preserve">A </w:t>
      </w:r>
      <w:r w:rsidR="00F80B4E" w:rsidRPr="005A3967">
        <w:t>single-case</w:t>
      </w:r>
      <w:r w:rsidRPr="005A3967">
        <w:t xml:space="preserve"> study approach focuses on SSE PLC to explore </w:t>
      </w:r>
      <w:r w:rsidR="00F80B4E" w:rsidRPr="005A3967">
        <w:t xml:space="preserve">the integration of </w:t>
      </w:r>
      <w:r w:rsidRPr="005A3967">
        <w:t xml:space="preserve">predictive analytics in a regulated environment, aligning with Yin’s (2018) recommendation for answering "how" and "why" questions. SSE was chosen due to its strategic relevance in the energy sector, Ofgem oversight, and </w:t>
      </w:r>
      <w:r w:rsidR="00FD2726" w:rsidRPr="005A3967">
        <w:t xml:space="preserve">ambitions for </w:t>
      </w:r>
      <w:r w:rsidRPr="005A3967">
        <w:t>digital transformation.</w:t>
      </w:r>
    </w:p>
    <w:p w14:paraId="33F60BE4" w14:textId="45C61EB8" w:rsidR="006A1BB4" w:rsidRPr="005A3967" w:rsidRDefault="00FD2726" w:rsidP="00C43C96">
      <w:pPr>
        <w:spacing w:line="360" w:lineRule="auto"/>
        <w:jc w:val="both"/>
      </w:pPr>
      <w:r w:rsidRPr="005A3967">
        <w:t>To contextualise the findings, secondary data will be compared</w:t>
      </w:r>
      <w:r w:rsidR="00E6553F" w:rsidRPr="005A3967">
        <w:t xml:space="preserve"> against five major UK utilities (National Grid, Centrica, Scottish Power, E.ON UK, </w:t>
      </w:r>
      <w:r w:rsidRPr="005A3967">
        <w:t xml:space="preserve">and </w:t>
      </w:r>
      <w:r w:rsidR="00E6553F" w:rsidRPr="005A3967">
        <w:t xml:space="preserve">EDF Energy). </w:t>
      </w:r>
      <w:r w:rsidR="00E6553F" w:rsidRPr="005A3967">
        <w:rPr>
          <w:b/>
          <w:bCs/>
        </w:rPr>
        <w:t>Table 1</w:t>
      </w:r>
      <w:r w:rsidR="00A50FDD" w:rsidRPr="005A3967">
        <w:rPr>
          <w:b/>
          <w:bCs/>
        </w:rPr>
        <w:t>2</w:t>
      </w:r>
      <w:r w:rsidR="00E6553F" w:rsidRPr="005A3967">
        <w:t xml:space="preserve"> summarises the benchmarking areas comparing SSE with its competitors.</w:t>
      </w:r>
    </w:p>
    <w:p w14:paraId="0628811B" w14:textId="57DDB994" w:rsidR="008A2866" w:rsidRPr="005A3967" w:rsidRDefault="00D12263" w:rsidP="008A2866">
      <w:pPr>
        <w:pStyle w:val="Caption"/>
        <w:spacing w:line="360" w:lineRule="auto"/>
        <w:rPr>
          <w:b/>
          <w:bCs/>
        </w:rPr>
      </w:pPr>
      <w:bookmarkStart w:id="50" w:name="_Toc196559538"/>
      <w:bookmarkStart w:id="51" w:name="_Toc201942902"/>
      <w:r w:rsidRPr="005A3967">
        <w:rPr>
          <w:b/>
          <w:bCs/>
        </w:rPr>
        <w:t xml:space="preserve">Table </w:t>
      </w:r>
      <w:r w:rsidR="003831A5" w:rsidRPr="005A3967">
        <w:rPr>
          <w:b/>
          <w:bCs/>
        </w:rPr>
        <w:fldChar w:fldCharType="begin"/>
      </w:r>
      <w:r w:rsidR="003831A5" w:rsidRPr="005A3967">
        <w:rPr>
          <w:b/>
          <w:bCs/>
        </w:rPr>
        <w:instrText xml:space="preserve"> SEQ Table \* ARABIC </w:instrText>
      </w:r>
      <w:r w:rsidR="003831A5" w:rsidRPr="005A3967">
        <w:rPr>
          <w:b/>
          <w:bCs/>
        </w:rPr>
        <w:fldChar w:fldCharType="separate"/>
      </w:r>
      <w:r w:rsidR="00A50FDD" w:rsidRPr="005A3967">
        <w:rPr>
          <w:b/>
          <w:bCs/>
          <w:noProof/>
        </w:rPr>
        <w:t>12</w:t>
      </w:r>
      <w:r w:rsidR="003831A5" w:rsidRPr="005A3967">
        <w:rPr>
          <w:b/>
          <w:bCs/>
          <w:noProof/>
        </w:rPr>
        <w:fldChar w:fldCharType="end"/>
      </w:r>
      <w:r w:rsidRPr="005A3967">
        <w:rPr>
          <w:b/>
          <w:bCs/>
        </w:rPr>
        <w:t>: Areas of Benchmarking Comparison with Top 5 UK Energy Utilities</w:t>
      </w:r>
      <w:bookmarkEnd w:id="50"/>
      <w:r w:rsidR="00DA5393" w:rsidRPr="005A3967">
        <w:rPr>
          <w:b/>
          <w:bCs/>
        </w:rPr>
        <w:t xml:space="preserve"> (Author’s conceptualisation)</w:t>
      </w:r>
      <w:r w:rsidR="006B2945" w:rsidRPr="005A3967">
        <w:rPr>
          <w:rStyle w:val="FootnoteReference"/>
          <w:b/>
          <w:bCs/>
        </w:rPr>
        <w:footnoteReference w:id="13"/>
      </w:r>
      <w:bookmarkEnd w:id="51"/>
    </w:p>
    <w:p w14:paraId="4447A61C" w14:textId="418E1925" w:rsidR="008A2866" w:rsidRPr="005A3967" w:rsidRDefault="006A1BB4" w:rsidP="00A50FDD">
      <w:pPr>
        <w:jc w:val="center"/>
      </w:pPr>
      <w:r w:rsidRPr="005A3967">
        <w:rPr>
          <w:noProof/>
          <w14:ligatures w14:val="standardContextual"/>
        </w:rPr>
        <w:drawing>
          <wp:inline distT="0" distB="0" distL="0" distR="0" wp14:anchorId="5E2B3690" wp14:editId="5F5C6DE5">
            <wp:extent cx="5795959" cy="2350234"/>
            <wp:effectExtent l="0" t="0" r="0" b="0"/>
            <wp:docPr id="1023972573" name="Picture 37"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72573" name="Picture 37" descr="A table of information&#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811162" cy="2356399"/>
                    </a:xfrm>
                    <a:prstGeom prst="rect">
                      <a:avLst/>
                    </a:prstGeom>
                  </pic:spPr>
                </pic:pic>
              </a:graphicData>
            </a:graphic>
          </wp:inline>
        </w:drawing>
      </w:r>
    </w:p>
    <w:p w14:paraId="79DF477F" w14:textId="54D2AA97" w:rsidR="004A7483" w:rsidRPr="005A3967" w:rsidRDefault="00544E6D" w:rsidP="000A101D">
      <w:pPr>
        <w:pStyle w:val="Heading2"/>
        <w:rPr>
          <w:rFonts w:ascii="Times New Roman" w:hAnsi="Times New Roman" w:cs="Times New Roman"/>
        </w:rPr>
      </w:pPr>
      <w:bookmarkStart w:id="52" w:name="_Toc202544509"/>
      <w:r w:rsidRPr="005A3967">
        <w:rPr>
          <w:rFonts w:ascii="Times New Roman" w:hAnsi="Times New Roman" w:cs="Times New Roman"/>
        </w:rPr>
        <w:t>5</w:t>
      </w:r>
      <w:r w:rsidR="004A7483" w:rsidRPr="005A3967">
        <w:rPr>
          <w:rFonts w:ascii="Times New Roman" w:hAnsi="Times New Roman" w:cs="Times New Roman"/>
        </w:rPr>
        <w:t>.4 Research Methods (Mixed-Methods)</w:t>
      </w:r>
      <w:bookmarkEnd w:id="52"/>
    </w:p>
    <w:p w14:paraId="282AC4A9" w14:textId="484FD35B" w:rsidR="00016C75" w:rsidRDefault="00016C75" w:rsidP="00C43C96">
      <w:pPr>
        <w:spacing w:before="100" w:beforeAutospacing="1" w:after="100" w:afterAutospacing="1" w:line="360" w:lineRule="auto"/>
        <w:jc w:val="both"/>
      </w:pPr>
      <w:r w:rsidRPr="005A3967">
        <w:t xml:space="preserve">This study adopts a </w:t>
      </w:r>
      <w:r w:rsidRPr="005A3967">
        <w:rPr>
          <w:rStyle w:val="Strong"/>
          <w:rFonts w:eastAsiaTheme="majorEastAsia"/>
        </w:rPr>
        <w:t>mixed-methods design</w:t>
      </w:r>
      <w:r w:rsidRPr="005A3967">
        <w:t xml:space="preserve"> to enhance validity through </w:t>
      </w:r>
      <w:r w:rsidRPr="005A3967">
        <w:rPr>
          <w:rStyle w:val="Strong"/>
          <w:rFonts w:eastAsiaTheme="majorEastAsia"/>
        </w:rPr>
        <w:t>triangulation</w:t>
      </w:r>
      <w:r w:rsidRPr="005A3967">
        <w:t xml:space="preserve"> (Creswell &amp; Plano Clark, 2018), combining </w:t>
      </w:r>
      <w:r w:rsidRPr="005A3967">
        <w:rPr>
          <w:rStyle w:val="Strong"/>
          <w:rFonts w:eastAsiaTheme="majorEastAsia"/>
        </w:rPr>
        <w:t>quantitative surveys</w:t>
      </w:r>
      <w:r w:rsidRPr="005A3967">
        <w:t xml:space="preserve"> for broad maturity metrics with </w:t>
      </w:r>
      <w:r w:rsidRPr="005A3967">
        <w:rPr>
          <w:rStyle w:val="Strong"/>
          <w:rFonts w:eastAsiaTheme="majorEastAsia"/>
        </w:rPr>
        <w:t>qualitative interviews</w:t>
      </w:r>
      <w:r w:rsidRPr="005A3967">
        <w:t xml:space="preserve"> that uncover deeper insights into </w:t>
      </w:r>
      <w:r w:rsidRPr="005A3967">
        <w:rPr>
          <w:rStyle w:val="Strong"/>
          <w:rFonts w:eastAsiaTheme="majorEastAsia"/>
        </w:rPr>
        <w:t>culture, governance</w:t>
      </w:r>
      <w:r w:rsidRPr="005A3967">
        <w:t xml:space="preserve">, and </w:t>
      </w:r>
      <w:r w:rsidRPr="005A3967">
        <w:rPr>
          <w:rStyle w:val="Strong"/>
          <w:rFonts w:eastAsiaTheme="majorEastAsia"/>
        </w:rPr>
        <w:t>readiness</w:t>
      </w:r>
      <w:r w:rsidRPr="005A3967">
        <w:t xml:space="preserve">. This dual approach offers both </w:t>
      </w:r>
      <w:r w:rsidRPr="005A3967">
        <w:rPr>
          <w:rStyle w:val="Strong"/>
          <w:rFonts w:eastAsiaTheme="majorEastAsia"/>
        </w:rPr>
        <w:t>breadth and depth</w:t>
      </w:r>
      <w:r w:rsidRPr="005A3967">
        <w:t xml:space="preserve">, contextualising data within SSE’s organisational realities. </w:t>
      </w:r>
      <w:r w:rsidRPr="005A3967">
        <w:rPr>
          <w:rStyle w:val="Strong"/>
          <w:rFonts w:eastAsiaTheme="majorEastAsia"/>
        </w:rPr>
        <w:t>Table 1</w:t>
      </w:r>
      <w:r w:rsidR="00A50FDD" w:rsidRPr="005A3967">
        <w:rPr>
          <w:rStyle w:val="Strong"/>
          <w:rFonts w:eastAsiaTheme="majorEastAsia"/>
        </w:rPr>
        <w:t>3</w:t>
      </w:r>
      <w:r w:rsidRPr="005A3967">
        <w:t xml:space="preserve"> summarises </w:t>
      </w:r>
      <w:r w:rsidR="00F80B4E" w:rsidRPr="005A3967">
        <w:t xml:space="preserve">the </w:t>
      </w:r>
      <w:r w:rsidRPr="005A3967">
        <w:t>methods, purposes, and tools used.</w:t>
      </w:r>
    </w:p>
    <w:p w14:paraId="128666DF" w14:textId="77777777" w:rsidR="00B9205A" w:rsidRDefault="00B9205A" w:rsidP="00C43C96">
      <w:pPr>
        <w:spacing w:before="100" w:beforeAutospacing="1" w:after="100" w:afterAutospacing="1" w:line="360" w:lineRule="auto"/>
        <w:jc w:val="both"/>
      </w:pPr>
    </w:p>
    <w:p w14:paraId="0A4F5C53" w14:textId="77777777" w:rsidR="00B9205A" w:rsidRPr="005A3967" w:rsidRDefault="00B9205A" w:rsidP="00C43C96">
      <w:pPr>
        <w:spacing w:before="100" w:beforeAutospacing="1" w:after="100" w:afterAutospacing="1" w:line="360" w:lineRule="auto"/>
        <w:jc w:val="both"/>
      </w:pPr>
    </w:p>
    <w:p w14:paraId="350300AB" w14:textId="4A8890BF" w:rsidR="004A7483" w:rsidRPr="005A3967" w:rsidRDefault="00D12263" w:rsidP="00462E03">
      <w:pPr>
        <w:pStyle w:val="Caption"/>
        <w:spacing w:line="360" w:lineRule="auto"/>
        <w:rPr>
          <w:b/>
          <w:bCs/>
        </w:rPr>
      </w:pPr>
      <w:bookmarkStart w:id="53" w:name="_Toc196559539"/>
      <w:bookmarkStart w:id="54" w:name="_Toc201942903"/>
      <w:r w:rsidRPr="005A3967">
        <w:rPr>
          <w:b/>
          <w:bCs/>
        </w:rPr>
        <w:lastRenderedPageBreak/>
        <w:t xml:space="preserve">Table </w:t>
      </w:r>
      <w:r w:rsidR="003831A5" w:rsidRPr="005A3967">
        <w:rPr>
          <w:b/>
          <w:bCs/>
        </w:rPr>
        <w:fldChar w:fldCharType="begin"/>
      </w:r>
      <w:r w:rsidR="003831A5" w:rsidRPr="005A3967">
        <w:rPr>
          <w:b/>
          <w:bCs/>
        </w:rPr>
        <w:instrText xml:space="preserve"> SEQ Table \* ARABIC </w:instrText>
      </w:r>
      <w:r w:rsidR="003831A5" w:rsidRPr="005A3967">
        <w:rPr>
          <w:b/>
          <w:bCs/>
        </w:rPr>
        <w:fldChar w:fldCharType="separate"/>
      </w:r>
      <w:r w:rsidR="00A50FDD" w:rsidRPr="005A3967">
        <w:rPr>
          <w:b/>
          <w:bCs/>
          <w:noProof/>
        </w:rPr>
        <w:t>13</w:t>
      </w:r>
      <w:r w:rsidR="003831A5" w:rsidRPr="005A3967">
        <w:rPr>
          <w:b/>
          <w:bCs/>
          <w:noProof/>
        </w:rPr>
        <w:fldChar w:fldCharType="end"/>
      </w:r>
      <w:r w:rsidRPr="005A3967">
        <w:rPr>
          <w:b/>
          <w:bCs/>
        </w:rPr>
        <w:t>: Mixed-Methods Structure</w:t>
      </w:r>
      <w:bookmarkEnd w:id="53"/>
      <w:r w:rsidR="00DA5393" w:rsidRPr="005A3967">
        <w:rPr>
          <w:b/>
          <w:bCs/>
        </w:rPr>
        <w:t xml:space="preserve"> (Author’s conceptualisation)</w:t>
      </w:r>
      <w:r w:rsidR="006B2945" w:rsidRPr="005A3967">
        <w:rPr>
          <w:rStyle w:val="FootnoteReference"/>
          <w:b/>
          <w:bCs/>
        </w:rPr>
        <w:footnoteReference w:id="14"/>
      </w:r>
      <w:bookmarkEnd w:id="54"/>
    </w:p>
    <w:p w14:paraId="03D5E514" w14:textId="715DB7F8" w:rsidR="006A1BB4" w:rsidRPr="005A3967" w:rsidRDefault="006A1BB4" w:rsidP="00A50FDD">
      <w:pPr>
        <w:jc w:val="center"/>
      </w:pPr>
      <w:r w:rsidRPr="005A3967">
        <w:rPr>
          <w:noProof/>
          <w14:ligatures w14:val="standardContextual"/>
        </w:rPr>
        <w:drawing>
          <wp:inline distT="0" distB="0" distL="0" distR="0" wp14:anchorId="33679D34" wp14:editId="27259AF6">
            <wp:extent cx="5882477" cy="1913467"/>
            <wp:effectExtent l="0" t="0" r="0" b="4445"/>
            <wp:docPr id="485034199"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034199" name="Picture 38"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52045" cy="2001153"/>
                    </a:xfrm>
                    <a:prstGeom prst="rect">
                      <a:avLst/>
                    </a:prstGeom>
                  </pic:spPr>
                </pic:pic>
              </a:graphicData>
            </a:graphic>
          </wp:inline>
        </w:drawing>
      </w:r>
    </w:p>
    <w:p w14:paraId="4997263C" w14:textId="3529A6A5" w:rsidR="004A7483" w:rsidRPr="005A3967" w:rsidRDefault="00544E6D" w:rsidP="000A101D">
      <w:pPr>
        <w:pStyle w:val="Heading2"/>
        <w:rPr>
          <w:rFonts w:ascii="Times New Roman" w:hAnsi="Times New Roman" w:cs="Times New Roman"/>
        </w:rPr>
      </w:pPr>
      <w:bookmarkStart w:id="55" w:name="_Toc202544510"/>
      <w:r w:rsidRPr="005A3967">
        <w:rPr>
          <w:rFonts w:ascii="Times New Roman" w:hAnsi="Times New Roman" w:cs="Times New Roman"/>
        </w:rPr>
        <w:t>5</w:t>
      </w:r>
      <w:r w:rsidR="004A7483" w:rsidRPr="005A3967">
        <w:rPr>
          <w:rFonts w:ascii="Times New Roman" w:hAnsi="Times New Roman" w:cs="Times New Roman"/>
        </w:rPr>
        <w:t>.5 Data Collection Methods</w:t>
      </w:r>
      <w:bookmarkEnd w:id="55"/>
    </w:p>
    <w:p w14:paraId="113109EA" w14:textId="77777777" w:rsidR="00DA5904" w:rsidRPr="005A3967" w:rsidRDefault="00DA5904" w:rsidP="00C43C96">
      <w:pPr>
        <w:spacing w:before="100" w:beforeAutospacing="1" w:after="100" w:afterAutospacing="1" w:line="360" w:lineRule="auto"/>
      </w:pPr>
      <w:r w:rsidRPr="005A3967">
        <w:t>This study used three complementary methods to ensure a well-rounded view of SSE’s analytics readiness:</w:t>
      </w:r>
    </w:p>
    <w:p w14:paraId="21560B0F" w14:textId="77777777" w:rsidR="00DA5904" w:rsidRPr="005A3967" w:rsidRDefault="00DA5904" w:rsidP="008824B8">
      <w:pPr>
        <w:numPr>
          <w:ilvl w:val="0"/>
          <w:numId w:val="16"/>
        </w:numPr>
        <w:spacing w:before="100" w:beforeAutospacing="1" w:after="100" w:afterAutospacing="1" w:line="360" w:lineRule="auto"/>
      </w:pPr>
      <w:r w:rsidRPr="005A3967">
        <w:rPr>
          <w:b/>
          <w:bCs/>
        </w:rPr>
        <w:t>Surveys</w:t>
      </w:r>
      <w:r w:rsidRPr="005A3967">
        <w:t>:</w:t>
      </w:r>
      <w:r w:rsidRPr="005A3967">
        <w:br/>
        <w:t>Distributed online to employees across Marketing, Networks, and Corporate Services. Questions assessed perceptions of maturity across DELTA and DCAM, using a 1–5 Likert scale for analysis.</w:t>
      </w:r>
    </w:p>
    <w:p w14:paraId="7CF30900" w14:textId="77777777" w:rsidR="00DA5904" w:rsidRPr="005A3967" w:rsidRDefault="00DA5904" w:rsidP="008824B8">
      <w:pPr>
        <w:numPr>
          <w:ilvl w:val="0"/>
          <w:numId w:val="16"/>
        </w:numPr>
        <w:spacing w:before="100" w:beforeAutospacing="1" w:after="100" w:afterAutospacing="1" w:line="360" w:lineRule="auto"/>
      </w:pPr>
      <w:r w:rsidRPr="005A3967">
        <w:rPr>
          <w:b/>
          <w:bCs/>
        </w:rPr>
        <w:t>Semi-Structured Interviews</w:t>
      </w:r>
      <w:r w:rsidRPr="005A3967">
        <w:t>:</w:t>
      </w:r>
      <w:r w:rsidRPr="005A3967">
        <w:br/>
        <w:t>Conducted with 12 key stakeholders—senior managers, governance leads, and operational heads. Interviews followed an open-ended guide and were recorded, transcribed, and anonymised (Bryman, 2016).</w:t>
      </w:r>
    </w:p>
    <w:p w14:paraId="12AD3AF1" w14:textId="1787793D" w:rsidR="00DA5904" w:rsidRPr="005A3967" w:rsidRDefault="00DA5904" w:rsidP="008824B8">
      <w:pPr>
        <w:numPr>
          <w:ilvl w:val="0"/>
          <w:numId w:val="16"/>
        </w:numPr>
        <w:spacing w:before="100" w:beforeAutospacing="1" w:after="100" w:afterAutospacing="1" w:line="360" w:lineRule="auto"/>
      </w:pPr>
      <w:r w:rsidRPr="005A3967">
        <w:rPr>
          <w:b/>
          <w:bCs/>
        </w:rPr>
        <w:t>Document Analysis</w:t>
      </w:r>
      <w:r w:rsidRPr="005A3967">
        <w:t>:</w:t>
      </w:r>
      <w:r w:rsidRPr="005A3967">
        <w:br/>
        <w:t>Reviewed internal documents</w:t>
      </w:r>
      <w:r w:rsidR="00F80B4E" w:rsidRPr="005A3967">
        <w:t>,</w:t>
      </w:r>
      <w:r w:rsidRPr="005A3967">
        <w:t xml:space="preserve"> including SSE’s 2024 Data Strategy and governance frameworks</w:t>
      </w:r>
      <w:r w:rsidR="00F80B4E" w:rsidRPr="005A3967">
        <w:t>,</w:t>
      </w:r>
      <w:r w:rsidRPr="005A3967">
        <w:t xml:space="preserve"> to validate survey and interview findings.</w:t>
      </w:r>
    </w:p>
    <w:p w14:paraId="44D197E2" w14:textId="0290786A" w:rsidR="00DA5904" w:rsidRDefault="00DA5904" w:rsidP="00C43C96">
      <w:pPr>
        <w:spacing w:before="100" w:beforeAutospacing="1" w:after="100" w:afterAutospacing="1" w:line="360" w:lineRule="auto"/>
      </w:pPr>
      <w:r w:rsidRPr="005A3967">
        <w:rPr>
          <w:b/>
          <w:bCs/>
        </w:rPr>
        <w:t>Table 1</w:t>
      </w:r>
      <w:r w:rsidR="00A50FDD" w:rsidRPr="005A3967">
        <w:rPr>
          <w:b/>
          <w:bCs/>
        </w:rPr>
        <w:t>4</w:t>
      </w:r>
      <w:r w:rsidRPr="005A3967">
        <w:t xml:space="preserve"> outlines the sample groups, sizes, and reasons for inclusion, ensuring the data collection process aligns with the study’s aims.</w:t>
      </w:r>
    </w:p>
    <w:p w14:paraId="04E255C4" w14:textId="77777777" w:rsidR="00B9205A" w:rsidRDefault="00B9205A" w:rsidP="00C43C96">
      <w:pPr>
        <w:spacing w:before="100" w:beforeAutospacing="1" w:after="100" w:afterAutospacing="1" w:line="360" w:lineRule="auto"/>
      </w:pPr>
    </w:p>
    <w:p w14:paraId="2086E59A" w14:textId="77777777" w:rsidR="00B9205A" w:rsidRPr="005A3967" w:rsidRDefault="00B9205A" w:rsidP="00C43C96">
      <w:pPr>
        <w:spacing w:before="100" w:beforeAutospacing="1" w:after="100" w:afterAutospacing="1" w:line="360" w:lineRule="auto"/>
      </w:pPr>
    </w:p>
    <w:p w14:paraId="412242AE" w14:textId="77649D6B" w:rsidR="002B7A2A" w:rsidRPr="005A3967" w:rsidRDefault="002B7A2A" w:rsidP="002B7A2A">
      <w:pPr>
        <w:pStyle w:val="Caption"/>
        <w:rPr>
          <w:b/>
          <w:bCs/>
        </w:rPr>
      </w:pPr>
      <w:bookmarkStart w:id="56" w:name="_Toc201942904"/>
      <w:r w:rsidRPr="005A3967">
        <w:rPr>
          <w:b/>
          <w:bCs/>
        </w:rPr>
        <w:lastRenderedPageBreak/>
        <w:t xml:space="preserve">Table </w:t>
      </w:r>
      <w:r w:rsidR="003831A5" w:rsidRPr="005A3967">
        <w:rPr>
          <w:b/>
          <w:bCs/>
        </w:rPr>
        <w:fldChar w:fldCharType="begin"/>
      </w:r>
      <w:r w:rsidR="003831A5" w:rsidRPr="005A3967">
        <w:rPr>
          <w:b/>
          <w:bCs/>
        </w:rPr>
        <w:instrText xml:space="preserve"> SEQ Table \* ARABIC </w:instrText>
      </w:r>
      <w:r w:rsidR="003831A5" w:rsidRPr="005A3967">
        <w:rPr>
          <w:b/>
          <w:bCs/>
        </w:rPr>
        <w:fldChar w:fldCharType="separate"/>
      </w:r>
      <w:r w:rsidR="00A50FDD" w:rsidRPr="005A3967">
        <w:rPr>
          <w:b/>
          <w:bCs/>
          <w:noProof/>
        </w:rPr>
        <w:t>14</w:t>
      </w:r>
      <w:r w:rsidR="003831A5" w:rsidRPr="005A3967">
        <w:rPr>
          <w:b/>
          <w:bCs/>
          <w:noProof/>
        </w:rPr>
        <w:fldChar w:fldCharType="end"/>
      </w:r>
      <w:r w:rsidRPr="005A3967">
        <w:rPr>
          <w:b/>
          <w:bCs/>
        </w:rPr>
        <w:t>: Example joint display linking survey and interview evidence</w:t>
      </w:r>
      <w:r w:rsidR="00DA5393" w:rsidRPr="005A3967">
        <w:rPr>
          <w:b/>
          <w:bCs/>
        </w:rPr>
        <w:t xml:space="preserve"> (Author’s conceptualisation)</w:t>
      </w:r>
      <w:r w:rsidRPr="005A3967">
        <w:rPr>
          <w:b/>
          <w:bCs/>
        </w:rPr>
        <w:t xml:space="preserve"> </w:t>
      </w:r>
      <w:r w:rsidR="006B2945" w:rsidRPr="005A3967">
        <w:rPr>
          <w:rStyle w:val="FootnoteReference"/>
          <w:b/>
          <w:bCs/>
        </w:rPr>
        <w:footnoteReference w:id="15"/>
      </w:r>
      <w:bookmarkEnd w:id="56"/>
    </w:p>
    <w:p w14:paraId="64B8F80D" w14:textId="11984228" w:rsidR="006A1BB4" w:rsidRPr="005A3967" w:rsidRDefault="006A1BB4" w:rsidP="004C5CA0">
      <w:pPr>
        <w:jc w:val="center"/>
      </w:pPr>
      <w:r w:rsidRPr="005A3967">
        <w:rPr>
          <w:noProof/>
          <w14:ligatures w14:val="standardContextual"/>
        </w:rPr>
        <w:drawing>
          <wp:inline distT="0" distB="0" distL="0" distR="0" wp14:anchorId="192EA950" wp14:editId="40B996A9">
            <wp:extent cx="5841162" cy="1874142"/>
            <wp:effectExtent l="0" t="0" r="1270" b="5715"/>
            <wp:docPr id="1557303830" name="Picture 39"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03830" name="Picture 39" descr="A screen shot of a chart&#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897168" cy="1892111"/>
                    </a:xfrm>
                    <a:prstGeom prst="rect">
                      <a:avLst/>
                    </a:prstGeom>
                  </pic:spPr>
                </pic:pic>
              </a:graphicData>
            </a:graphic>
          </wp:inline>
        </w:drawing>
      </w:r>
    </w:p>
    <w:p w14:paraId="781D9DBA" w14:textId="5F18F30A" w:rsidR="004755F5" w:rsidRPr="005A3967" w:rsidRDefault="00544E6D" w:rsidP="000A101D">
      <w:pPr>
        <w:pStyle w:val="Heading3"/>
        <w:rPr>
          <w:rFonts w:cs="Times New Roman"/>
        </w:rPr>
      </w:pPr>
      <w:bookmarkStart w:id="57" w:name="_Toc202544511"/>
      <w:r w:rsidRPr="005A3967">
        <w:rPr>
          <w:rFonts w:cs="Times New Roman"/>
        </w:rPr>
        <w:t>5</w:t>
      </w:r>
      <w:r w:rsidR="004755F5" w:rsidRPr="005A3967">
        <w:rPr>
          <w:rFonts w:cs="Times New Roman"/>
        </w:rPr>
        <w:t>.5.1 Secondary Data Analysis Approach</w:t>
      </w:r>
      <w:bookmarkEnd w:id="57"/>
    </w:p>
    <w:p w14:paraId="0FA28C4F" w14:textId="42E1A6CB" w:rsidR="00E6553F" w:rsidRPr="005A3967" w:rsidRDefault="008E6F4D" w:rsidP="00C43C96">
      <w:pPr>
        <w:spacing w:before="100" w:beforeAutospacing="1" w:after="100" w:afterAutospacing="1" w:line="360" w:lineRule="auto"/>
        <w:jc w:val="both"/>
      </w:pPr>
      <w:r w:rsidRPr="005A3967">
        <w:t>Secondary</w:t>
      </w:r>
      <w:r w:rsidR="00E6553F" w:rsidRPr="005A3967">
        <w:t xml:space="preserve"> data will benchmark SSE PLC against five major UK utilities (National Grid, Centrica, Scottish Power, E.ON UK, EDF Energy) by reviewing annual reports, sustainability disclosures, Ofgem publications, and digital maturity studies.</w:t>
      </w:r>
      <w:r w:rsidR="00D331C6" w:rsidRPr="005A3967">
        <w:t xml:space="preserve"> </w:t>
      </w:r>
      <w:r w:rsidR="00E6553F" w:rsidRPr="005A3967">
        <w:rPr>
          <w:b/>
          <w:bCs/>
        </w:rPr>
        <w:t>Table 1</w:t>
      </w:r>
      <w:r w:rsidR="003C5C48" w:rsidRPr="005A3967">
        <w:rPr>
          <w:b/>
          <w:bCs/>
        </w:rPr>
        <w:t>3</w:t>
      </w:r>
      <w:r w:rsidR="00E6553F" w:rsidRPr="005A3967">
        <w:t xml:space="preserve"> outlines key benchmarking areas: predictive analytics adoption, data governance, digital transformation, and leadership commitment. Credibility, relevance, and currency will guide </w:t>
      </w:r>
      <w:r w:rsidR="00F80B4E" w:rsidRPr="005A3967">
        <w:t>the selection of data sources</w:t>
      </w:r>
      <w:r w:rsidR="00E6553F" w:rsidRPr="005A3967">
        <w:t xml:space="preserve"> (Saunders et al., 2019). </w:t>
      </w:r>
      <w:r w:rsidR="00E6553F" w:rsidRPr="005A3967">
        <w:rPr>
          <w:b/>
          <w:bCs/>
        </w:rPr>
        <w:t>Figure 6</w:t>
      </w:r>
      <w:r w:rsidR="00E6553F" w:rsidRPr="005A3967">
        <w:t xml:space="preserve"> illustrates the integrated data collection approach, with the full survey instrument provided in </w:t>
      </w:r>
      <w:r w:rsidR="00E6553F" w:rsidRPr="005A3967">
        <w:rPr>
          <w:b/>
          <w:bCs/>
        </w:rPr>
        <w:t>Appendix A</w:t>
      </w:r>
      <w:r w:rsidR="00E6553F" w:rsidRPr="005A3967">
        <w:t>.</w:t>
      </w:r>
    </w:p>
    <w:p w14:paraId="43EA0DCB" w14:textId="78ADFBED" w:rsidR="004755F5" w:rsidRPr="005A3967" w:rsidRDefault="004755F5" w:rsidP="00462E03">
      <w:pPr>
        <w:spacing w:before="100" w:beforeAutospacing="1" w:after="100" w:afterAutospacing="1" w:line="360" w:lineRule="auto"/>
        <w:jc w:val="center"/>
      </w:pPr>
      <w:r w:rsidRPr="005A3967">
        <w:fldChar w:fldCharType="begin"/>
      </w:r>
      <w:r w:rsidRPr="005A3967">
        <w:instrText xml:space="preserve"> INCLUDEPICTURE "https://sdmntprukwest.oaiusercontent.com/files/00000000-0208-6243-83d8-e1526e458d5b/raw?se=2025-04-26T06%3A40%3A40Z&amp;sp=r&amp;sv=2024-08-04&amp;sr=b&amp;scid=5b6d9f41-c000-5047-af14-71a75590d181&amp;skoid=54ae6e2b-352e-4235-bc96-afa2512cc978&amp;sktid=a48cca56-e6da-484e-a814-9c849652bcb3&amp;skt=2025-04-26T06%3A31%3A39Z&amp;ske=2025-04-27T06%3A31%3A39Z&amp;sks=b&amp;skv=2024-08-04&amp;sig=cDhorg%2B5pA6Wgdbm3SysCCD%2Bul2KHvpsYpm%2BfxU2v5E%3D" \* MERGEFORMATINET </w:instrText>
      </w:r>
      <w:r w:rsidRPr="005A3967">
        <w:fldChar w:fldCharType="separate"/>
      </w:r>
      <w:r w:rsidRPr="005A3967">
        <w:rPr>
          <w:noProof/>
        </w:rPr>
        <w:drawing>
          <wp:inline distT="0" distB="0" distL="0" distR="0" wp14:anchorId="18B36F6B" wp14:editId="470BB4D8">
            <wp:extent cx="2392417" cy="2700867"/>
            <wp:effectExtent l="0" t="0" r="0" b="4445"/>
            <wp:docPr id="891422482" name="Picture 9"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Generated image"/>
                    <pic:cNvPicPr>
                      <a:picLocks noChangeAspect="1" noChangeArrowheads="1"/>
                    </pic:cNvPicPr>
                  </pic:nvPicPr>
                  <pic:blipFill rotWithShape="1">
                    <a:blip r:embed="rId32">
                      <a:extLst>
                        <a:ext uri="{28A0092B-C50C-407E-A947-70E740481C1C}">
                          <a14:useLocalDpi xmlns:a14="http://schemas.microsoft.com/office/drawing/2010/main" val="0"/>
                        </a:ext>
                      </a:extLst>
                    </a:blip>
                    <a:srcRect t="10529" r="8665" b="20731"/>
                    <a:stretch/>
                  </pic:blipFill>
                  <pic:spPr bwMode="auto">
                    <a:xfrm>
                      <a:off x="0" y="0"/>
                      <a:ext cx="2543181" cy="2871069"/>
                    </a:xfrm>
                    <a:prstGeom prst="rect">
                      <a:avLst/>
                    </a:prstGeom>
                    <a:noFill/>
                    <a:ln>
                      <a:noFill/>
                    </a:ln>
                    <a:extLst>
                      <a:ext uri="{53640926-AAD7-44D8-BBD7-CCE9431645EC}">
                        <a14:shadowObscured xmlns:a14="http://schemas.microsoft.com/office/drawing/2010/main"/>
                      </a:ext>
                    </a:extLst>
                  </pic:spPr>
                </pic:pic>
              </a:graphicData>
            </a:graphic>
          </wp:inline>
        </w:drawing>
      </w:r>
      <w:r w:rsidR="00ED4C02" w:rsidRPr="005A3967">
        <w:rPr>
          <w:rStyle w:val="FootnoteReference"/>
        </w:rPr>
        <w:footnoteReference w:id="16"/>
      </w:r>
      <w:r w:rsidRPr="005A3967">
        <w:fldChar w:fldCharType="end"/>
      </w:r>
    </w:p>
    <w:p w14:paraId="5C2997F0" w14:textId="1D4D4F5A" w:rsidR="00603CE8" w:rsidRPr="005A3967" w:rsidRDefault="00603CE8" w:rsidP="00462E03">
      <w:pPr>
        <w:pStyle w:val="Caption"/>
        <w:spacing w:line="360" w:lineRule="auto"/>
        <w:jc w:val="center"/>
        <w:rPr>
          <w:b/>
          <w:bCs/>
        </w:rPr>
      </w:pPr>
      <w:bookmarkStart w:id="58" w:name="_Toc201942916"/>
      <w:r w:rsidRPr="005A3967">
        <w:rPr>
          <w:b/>
          <w:bCs/>
        </w:rPr>
        <w:t xml:space="preserve">Figure </w:t>
      </w:r>
      <w:r w:rsidR="00747E01" w:rsidRPr="005A3967">
        <w:rPr>
          <w:b/>
          <w:bCs/>
        </w:rPr>
        <w:fldChar w:fldCharType="begin"/>
      </w:r>
      <w:r w:rsidR="00747E01" w:rsidRPr="005A3967">
        <w:rPr>
          <w:b/>
          <w:bCs/>
        </w:rPr>
        <w:instrText xml:space="preserve"> SEQ Figure \* ARABIC </w:instrText>
      </w:r>
      <w:r w:rsidR="00747E01" w:rsidRPr="005A3967">
        <w:rPr>
          <w:b/>
          <w:bCs/>
        </w:rPr>
        <w:fldChar w:fldCharType="separate"/>
      </w:r>
      <w:r w:rsidR="00747E01" w:rsidRPr="005A3967">
        <w:rPr>
          <w:b/>
          <w:bCs/>
          <w:noProof/>
        </w:rPr>
        <w:t>6</w:t>
      </w:r>
      <w:r w:rsidR="00747E01" w:rsidRPr="005A3967">
        <w:rPr>
          <w:b/>
          <w:bCs/>
          <w:noProof/>
        </w:rPr>
        <w:fldChar w:fldCharType="end"/>
      </w:r>
      <w:r w:rsidRPr="005A3967">
        <w:rPr>
          <w:b/>
          <w:bCs/>
        </w:rPr>
        <w:t>: Overview of Primary and Secondary Data Collection for the Study</w:t>
      </w:r>
      <w:r w:rsidR="00D51EA0" w:rsidRPr="005A3967">
        <w:rPr>
          <w:b/>
          <w:bCs/>
        </w:rPr>
        <w:t xml:space="preserve"> (Author’s conceptualisation.)</w:t>
      </w:r>
      <w:bookmarkEnd w:id="58"/>
    </w:p>
    <w:p w14:paraId="0CE6102E" w14:textId="753DFFF8" w:rsidR="004A7483" w:rsidRPr="005A3967" w:rsidRDefault="00544E6D" w:rsidP="000A101D">
      <w:pPr>
        <w:pStyle w:val="Heading2"/>
        <w:rPr>
          <w:rFonts w:ascii="Times New Roman" w:hAnsi="Times New Roman" w:cs="Times New Roman"/>
        </w:rPr>
      </w:pPr>
      <w:bookmarkStart w:id="59" w:name="_Toc202544512"/>
      <w:r w:rsidRPr="005A3967">
        <w:rPr>
          <w:rFonts w:ascii="Times New Roman" w:hAnsi="Times New Roman" w:cs="Times New Roman"/>
        </w:rPr>
        <w:lastRenderedPageBreak/>
        <w:t>5</w:t>
      </w:r>
      <w:r w:rsidR="004A7483" w:rsidRPr="005A3967">
        <w:rPr>
          <w:rFonts w:ascii="Times New Roman" w:hAnsi="Times New Roman" w:cs="Times New Roman"/>
        </w:rPr>
        <w:t>.6 Sampling Strategy</w:t>
      </w:r>
      <w:bookmarkEnd w:id="59"/>
    </w:p>
    <w:p w14:paraId="68CFF90A" w14:textId="77777777" w:rsidR="00E6553F" w:rsidRPr="005A3967" w:rsidRDefault="00E6553F" w:rsidP="00E6553F">
      <w:pPr>
        <w:spacing w:before="100" w:beforeAutospacing="1" w:after="100" w:afterAutospacing="1" w:line="360" w:lineRule="auto"/>
      </w:pPr>
      <w:r w:rsidRPr="005A3967">
        <w:t>A purposive sampling strategy was adopted to select participants directly involved in predictive analytics at SSE (Etikan, Musa, &amp; Alkassim, 2016).</w:t>
      </w:r>
    </w:p>
    <w:p w14:paraId="0D91EBB3" w14:textId="77777777" w:rsidR="00E6553F" w:rsidRPr="005A3967" w:rsidRDefault="00E6553F" w:rsidP="008824B8">
      <w:pPr>
        <w:numPr>
          <w:ilvl w:val="0"/>
          <w:numId w:val="7"/>
        </w:numPr>
        <w:spacing w:before="100" w:beforeAutospacing="1" w:after="100" w:afterAutospacing="1" w:line="360" w:lineRule="auto"/>
      </w:pPr>
      <w:r w:rsidRPr="005A3967">
        <w:rPr>
          <w:b/>
          <w:bCs/>
        </w:rPr>
        <w:t>Survey Sample</w:t>
      </w:r>
      <w:r w:rsidRPr="005A3967">
        <w:t>: Stratified across key business units for representative coverage.</w:t>
      </w:r>
    </w:p>
    <w:p w14:paraId="320BD731" w14:textId="77777777" w:rsidR="00E6553F" w:rsidRPr="005A3967" w:rsidRDefault="00E6553F" w:rsidP="008824B8">
      <w:pPr>
        <w:numPr>
          <w:ilvl w:val="0"/>
          <w:numId w:val="7"/>
        </w:numPr>
        <w:spacing w:before="100" w:beforeAutospacing="1" w:after="100" w:afterAutospacing="1" w:line="360" w:lineRule="auto"/>
      </w:pPr>
      <w:r w:rsidRPr="005A3967">
        <w:rPr>
          <w:b/>
          <w:bCs/>
        </w:rPr>
        <w:t>Interview Sample</w:t>
      </w:r>
      <w:r w:rsidRPr="005A3967">
        <w:t>: Targeted roles such as CDO office staff, business leads, and IT governance heads to capture diverse perspectives.</w:t>
      </w:r>
    </w:p>
    <w:p w14:paraId="47D27066" w14:textId="513B8F87" w:rsidR="00052070" w:rsidRPr="005A3967" w:rsidRDefault="00E6553F" w:rsidP="00462E03">
      <w:pPr>
        <w:spacing w:before="100" w:beforeAutospacing="1" w:after="100" w:afterAutospacing="1" w:line="360" w:lineRule="auto"/>
      </w:pPr>
      <w:r w:rsidRPr="005A3967">
        <w:rPr>
          <w:b/>
          <w:bCs/>
        </w:rPr>
        <w:t>Table 1</w:t>
      </w:r>
      <w:r w:rsidR="00A50FDD" w:rsidRPr="005A3967">
        <w:rPr>
          <w:b/>
          <w:bCs/>
        </w:rPr>
        <w:t>5</w:t>
      </w:r>
      <w:r w:rsidRPr="005A3967">
        <w:t xml:space="preserve"> summarises the sampling techniques and target sample sizes for </w:t>
      </w:r>
      <w:r w:rsidR="008E6F4D" w:rsidRPr="005A3967">
        <w:t xml:space="preserve">the </w:t>
      </w:r>
      <w:r w:rsidRPr="005A3967">
        <w:t>survey and interview phases.</w:t>
      </w:r>
    </w:p>
    <w:p w14:paraId="026DB295" w14:textId="4A5A7410" w:rsidR="004A7483" w:rsidRPr="005A3967" w:rsidRDefault="00D12263" w:rsidP="008A0038">
      <w:pPr>
        <w:pStyle w:val="Caption"/>
        <w:rPr>
          <w:b/>
          <w:bCs/>
        </w:rPr>
      </w:pPr>
      <w:bookmarkStart w:id="60" w:name="_Toc196559540"/>
      <w:bookmarkStart w:id="61" w:name="_Toc201942905"/>
      <w:r w:rsidRPr="005A3967">
        <w:rPr>
          <w:b/>
          <w:bCs/>
        </w:rPr>
        <w:t xml:space="preserve">Table </w:t>
      </w:r>
      <w:r w:rsidR="003831A5" w:rsidRPr="005A3967">
        <w:rPr>
          <w:b/>
          <w:bCs/>
        </w:rPr>
        <w:fldChar w:fldCharType="begin"/>
      </w:r>
      <w:r w:rsidR="003831A5" w:rsidRPr="005A3967">
        <w:rPr>
          <w:b/>
          <w:bCs/>
        </w:rPr>
        <w:instrText xml:space="preserve"> SEQ Table \* ARABIC </w:instrText>
      </w:r>
      <w:r w:rsidR="003831A5" w:rsidRPr="005A3967">
        <w:rPr>
          <w:b/>
          <w:bCs/>
        </w:rPr>
        <w:fldChar w:fldCharType="separate"/>
      </w:r>
      <w:r w:rsidR="00A50FDD" w:rsidRPr="005A3967">
        <w:rPr>
          <w:b/>
          <w:bCs/>
          <w:noProof/>
        </w:rPr>
        <w:t>15</w:t>
      </w:r>
      <w:r w:rsidR="003831A5" w:rsidRPr="005A3967">
        <w:rPr>
          <w:b/>
          <w:bCs/>
          <w:noProof/>
        </w:rPr>
        <w:fldChar w:fldCharType="end"/>
      </w:r>
      <w:r w:rsidRPr="005A3967">
        <w:rPr>
          <w:b/>
          <w:bCs/>
        </w:rPr>
        <w:t>: Sampling Overview</w:t>
      </w:r>
      <w:bookmarkEnd w:id="60"/>
      <w:r w:rsidR="00DA5393" w:rsidRPr="005A3967">
        <w:rPr>
          <w:b/>
          <w:bCs/>
        </w:rPr>
        <w:t xml:space="preserve"> (Author’s conceptualisation)</w:t>
      </w:r>
      <w:r w:rsidR="00ED4C02" w:rsidRPr="005A3967">
        <w:rPr>
          <w:rStyle w:val="FootnoteReference"/>
          <w:b/>
          <w:bCs/>
        </w:rPr>
        <w:footnoteReference w:id="17"/>
      </w:r>
      <w:bookmarkEnd w:id="61"/>
    </w:p>
    <w:p w14:paraId="5ED6BBB6" w14:textId="51117008" w:rsidR="006A1BB4" w:rsidRPr="005A3967" w:rsidRDefault="006A1BB4" w:rsidP="00861550">
      <w:pPr>
        <w:jc w:val="center"/>
      </w:pPr>
      <w:r w:rsidRPr="005A3967">
        <w:rPr>
          <w:noProof/>
          <w14:ligatures w14:val="standardContextual"/>
        </w:rPr>
        <w:drawing>
          <wp:inline distT="0" distB="0" distL="0" distR="0" wp14:anchorId="2503BB06" wp14:editId="5485998D">
            <wp:extent cx="6150436" cy="1005084"/>
            <wp:effectExtent l="0" t="0" r="0" b="0"/>
            <wp:docPr id="490296298" name="Picture 40"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96298" name="Picture 40" descr="A close-up of a sign&#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428077" cy="1050455"/>
                    </a:xfrm>
                    <a:prstGeom prst="rect">
                      <a:avLst/>
                    </a:prstGeom>
                  </pic:spPr>
                </pic:pic>
              </a:graphicData>
            </a:graphic>
          </wp:inline>
        </w:drawing>
      </w:r>
    </w:p>
    <w:p w14:paraId="4568A7DD" w14:textId="008984DD" w:rsidR="004A7483" w:rsidRPr="005A3967" w:rsidRDefault="00544E6D" w:rsidP="000A101D">
      <w:pPr>
        <w:pStyle w:val="Heading2"/>
        <w:rPr>
          <w:rFonts w:ascii="Times New Roman" w:hAnsi="Times New Roman" w:cs="Times New Roman"/>
        </w:rPr>
      </w:pPr>
      <w:bookmarkStart w:id="62" w:name="_Toc202544513"/>
      <w:r w:rsidRPr="005A3967">
        <w:rPr>
          <w:rFonts w:ascii="Times New Roman" w:hAnsi="Times New Roman" w:cs="Times New Roman"/>
        </w:rPr>
        <w:t>5</w:t>
      </w:r>
      <w:r w:rsidR="004A7483" w:rsidRPr="005A3967">
        <w:rPr>
          <w:rFonts w:ascii="Times New Roman" w:hAnsi="Times New Roman" w:cs="Times New Roman"/>
        </w:rPr>
        <w:t>.7 Data Analysis Methods</w:t>
      </w:r>
      <w:bookmarkEnd w:id="62"/>
    </w:p>
    <w:p w14:paraId="0C7CD570" w14:textId="77777777" w:rsidR="0047458E" w:rsidRPr="005A3967" w:rsidRDefault="0047458E" w:rsidP="007F4C04">
      <w:pPr>
        <w:spacing w:before="100" w:beforeAutospacing="1" w:after="100" w:afterAutospacing="1"/>
      </w:pPr>
      <w:r w:rsidRPr="005A3967">
        <w:rPr>
          <w:b/>
          <w:bCs/>
        </w:rPr>
        <w:t>Quantitative Survey Data</w:t>
      </w:r>
      <w:r w:rsidRPr="005A3967">
        <w:t>:</w:t>
      </w:r>
    </w:p>
    <w:p w14:paraId="2C14F272" w14:textId="1E616796" w:rsidR="0047458E" w:rsidRPr="005A3967" w:rsidRDefault="0047458E" w:rsidP="001D2D22">
      <w:pPr>
        <w:numPr>
          <w:ilvl w:val="0"/>
          <w:numId w:val="4"/>
        </w:numPr>
        <w:spacing w:before="100" w:beforeAutospacing="1" w:after="100" w:afterAutospacing="1" w:line="360" w:lineRule="auto"/>
      </w:pPr>
      <w:r w:rsidRPr="005A3967">
        <w:t>Descriptive statistics (means</w:t>
      </w:r>
      <w:r w:rsidR="00F80B4E" w:rsidRPr="005A3967">
        <w:t xml:space="preserve"> and</w:t>
      </w:r>
      <w:r w:rsidRPr="005A3967">
        <w:t xml:space="preserve"> standard deviations) </w:t>
      </w:r>
      <w:r w:rsidR="00F80B4E" w:rsidRPr="005A3967">
        <w:t>were used to assess</w:t>
      </w:r>
      <w:r w:rsidRPr="005A3967">
        <w:t xml:space="preserve"> maturity scores across DELTA and DCAM dimensions.</w:t>
      </w:r>
    </w:p>
    <w:p w14:paraId="3AA5C134" w14:textId="77777777" w:rsidR="0047458E" w:rsidRPr="005A3967" w:rsidRDefault="0047458E" w:rsidP="001D2D22">
      <w:pPr>
        <w:numPr>
          <w:ilvl w:val="0"/>
          <w:numId w:val="4"/>
        </w:numPr>
        <w:spacing w:before="100" w:beforeAutospacing="1" w:after="100" w:afterAutospacing="1" w:line="360" w:lineRule="auto"/>
      </w:pPr>
      <w:r w:rsidRPr="005A3967">
        <w:t>Cross-tabulations examined variations across departments.</w:t>
      </w:r>
    </w:p>
    <w:p w14:paraId="03F1ADCD" w14:textId="77777777" w:rsidR="0047458E" w:rsidRPr="005A3967" w:rsidRDefault="0047458E" w:rsidP="007F4C04">
      <w:pPr>
        <w:spacing w:before="100" w:beforeAutospacing="1" w:after="100" w:afterAutospacing="1"/>
      </w:pPr>
      <w:r w:rsidRPr="005A3967">
        <w:rPr>
          <w:b/>
          <w:bCs/>
        </w:rPr>
        <w:t>Qualitative Interview Data</w:t>
      </w:r>
      <w:r w:rsidRPr="005A3967">
        <w:t>:</w:t>
      </w:r>
    </w:p>
    <w:p w14:paraId="69A55701" w14:textId="5048446F" w:rsidR="0047458E" w:rsidRPr="005A3967" w:rsidRDefault="0047458E" w:rsidP="001D2D22">
      <w:pPr>
        <w:numPr>
          <w:ilvl w:val="0"/>
          <w:numId w:val="5"/>
        </w:numPr>
        <w:spacing w:before="100" w:beforeAutospacing="1" w:after="100" w:afterAutospacing="1" w:line="360" w:lineRule="auto"/>
      </w:pPr>
      <w:r w:rsidRPr="005A3967">
        <w:t xml:space="preserve">Thematic analysis, </w:t>
      </w:r>
      <w:r w:rsidR="00F80B4E" w:rsidRPr="005A3967">
        <w:t>as described by</w:t>
      </w:r>
      <w:r w:rsidRPr="005A3967">
        <w:t xml:space="preserve"> Braun and Clarke (2006).</w:t>
      </w:r>
    </w:p>
    <w:p w14:paraId="0707B0C9" w14:textId="77777777" w:rsidR="0047458E" w:rsidRPr="005A3967" w:rsidRDefault="0047458E" w:rsidP="001D2D22">
      <w:pPr>
        <w:numPr>
          <w:ilvl w:val="0"/>
          <w:numId w:val="5"/>
        </w:numPr>
        <w:spacing w:before="100" w:beforeAutospacing="1" w:after="100" w:afterAutospacing="1" w:line="360" w:lineRule="auto"/>
      </w:pPr>
      <w:r w:rsidRPr="005A3967">
        <w:t>Coding based on DELTA (Data, Enterprise, Leadership, Targets, Analysts) and DCAM (Governance, Quality, Architecture, Analytics) categories.</w:t>
      </w:r>
    </w:p>
    <w:p w14:paraId="4D15C651" w14:textId="77777777" w:rsidR="0047458E" w:rsidRPr="005A3967" w:rsidRDefault="0047458E" w:rsidP="001D2D22">
      <w:pPr>
        <w:numPr>
          <w:ilvl w:val="0"/>
          <w:numId w:val="5"/>
        </w:numPr>
        <w:spacing w:before="100" w:beforeAutospacing="1" w:after="100" w:afterAutospacing="1" w:line="360" w:lineRule="auto"/>
      </w:pPr>
      <w:r w:rsidRPr="005A3967">
        <w:t>NVivo software ensured coding consistency.</w:t>
      </w:r>
    </w:p>
    <w:p w14:paraId="20400AE8" w14:textId="48A65009" w:rsidR="0047458E" w:rsidRPr="005A3967" w:rsidRDefault="0047458E" w:rsidP="00C43C96">
      <w:pPr>
        <w:spacing w:before="100" w:beforeAutospacing="1" w:after="100" w:afterAutospacing="1" w:line="360" w:lineRule="auto"/>
        <w:jc w:val="both"/>
      </w:pPr>
      <w:r w:rsidRPr="005A3967">
        <w:t xml:space="preserve">The data analysis process, illustrated in </w:t>
      </w:r>
      <w:r w:rsidRPr="005A3967">
        <w:rPr>
          <w:b/>
          <w:bCs/>
        </w:rPr>
        <w:t>Figure 7</w:t>
      </w:r>
      <w:r w:rsidRPr="005A3967">
        <w:t xml:space="preserve">, integrates quantitative and qualitative data. It begins with data collection, followed by transcription and thematic coding, ensuring </w:t>
      </w:r>
      <w:r w:rsidRPr="005A3967">
        <w:lastRenderedPageBreak/>
        <w:t xml:space="preserve">analytical rigour and triangulation across data types. The semi-structured interview protocol is in </w:t>
      </w:r>
      <w:r w:rsidRPr="005A3967">
        <w:rPr>
          <w:b/>
          <w:bCs/>
        </w:rPr>
        <w:t>Appendix B</w:t>
      </w:r>
      <w:r w:rsidRPr="005A3967">
        <w:t>.</w:t>
      </w:r>
    </w:p>
    <w:p w14:paraId="38366C65" w14:textId="414B86EC" w:rsidR="00D12263" w:rsidRPr="005A3967" w:rsidRDefault="00E05D4E" w:rsidP="00E05D4E">
      <w:pPr>
        <w:spacing w:before="100" w:beforeAutospacing="1" w:after="100" w:afterAutospacing="1" w:line="360" w:lineRule="auto"/>
        <w:jc w:val="center"/>
      </w:pPr>
      <w:r w:rsidRPr="005A3967">
        <w:fldChar w:fldCharType="begin"/>
      </w:r>
      <w:r w:rsidRPr="005A3967">
        <w:instrText xml:space="preserve"> INCLUDEPICTURE "https://sdmntprsouthcentralus.oaiusercontent.com/files/00000000-b304-61f7-9a9b-17658d384c42/raw?se=2025-04-28T11%3A56%3A06Z&amp;sp=r&amp;sv=2024-08-04&amp;sr=b&amp;scid=f1ad976c-9b4d-5b98-b889-5af93afb5a92&amp;skoid=cbbaa726-4a2e-4147-932c-56e6e553f073&amp;sktid=a48cca56-e6da-484e-a814-9c849652bcb3&amp;skt=2025-04-28T08%3A21%3A08Z&amp;ske=2025-04-29T08%3A21%3A08Z&amp;sks=b&amp;skv=2024-08-04&amp;sig=vzZkaljw7N/g3BNiVS7oU5VnV12%2B1XUXRm/yPQGsTiA%3D" \* MERGEFORMATINET </w:instrText>
      </w:r>
      <w:r w:rsidRPr="005A3967">
        <w:fldChar w:fldCharType="separate"/>
      </w:r>
      <w:r w:rsidRPr="005A3967">
        <w:rPr>
          <w:noProof/>
        </w:rPr>
        <w:drawing>
          <wp:inline distT="0" distB="0" distL="0" distR="0" wp14:anchorId="1E98320E" wp14:editId="33228617">
            <wp:extent cx="1503029" cy="2166613"/>
            <wp:effectExtent l="0" t="0" r="0" b="5715"/>
            <wp:docPr id="1896163807" name="Picture 1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nerated image"/>
                    <pic:cNvPicPr>
                      <a:picLocks noChangeAspect="1" noChangeArrowheads="1"/>
                    </pic:cNvPicPr>
                  </pic:nvPicPr>
                  <pic:blipFill rotWithShape="1">
                    <a:blip r:embed="rId34">
                      <a:extLst>
                        <a:ext uri="{28A0092B-C50C-407E-A947-70E740481C1C}">
                          <a14:useLocalDpi xmlns:a14="http://schemas.microsoft.com/office/drawing/2010/main" val="0"/>
                        </a:ext>
                      </a:extLst>
                    </a:blip>
                    <a:srcRect l="6521" r="7327" b="17190"/>
                    <a:stretch/>
                  </pic:blipFill>
                  <pic:spPr bwMode="auto">
                    <a:xfrm>
                      <a:off x="0" y="0"/>
                      <a:ext cx="1672849" cy="2411408"/>
                    </a:xfrm>
                    <a:prstGeom prst="rect">
                      <a:avLst/>
                    </a:prstGeom>
                    <a:noFill/>
                    <a:ln>
                      <a:noFill/>
                    </a:ln>
                    <a:extLst>
                      <a:ext uri="{53640926-AAD7-44D8-BBD7-CCE9431645EC}">
                        <a14:shadowObscured xmlns:a14="http://schemas.microsoft.com/office/drawing/2010/main"/>
                      </a:ext>
                    </a:extLst>
                  </pic:spPr>
                </pic:pic>
              </a:graphicData>
            </a:graphic>
          </wp:inline>
        </w:drawing>
      </w:r>
      <w:r w:rsidRPr="005A3967">
        <w:rPr>
          <w:rStyle w:val="FootnoteReference"/>
        </w:rPr>
        <w:footnoteReference w:id="18"/>
      </w:r>
      <w:r w:rsidRPr="005A3967">
        <w:fldChar w:fldCharType="end"/>
      </w:r>
    </w:p>
    <w:p w14:paraId="62C89EF2" w14:textId="141BD3CA" w:rsidR="004A7483" w:rsidRPr="005A3967" w:rsidRDefault="00E549F5" w:rsidP="00E05D4E">
      <w:pPr>
        <w:pStyle w:val="Caption"/>
        <w:spacing w:line="360" w:lineRule="auto"/>
        <w:jc w:val="center"/>
        <w:rPr>
          <w:b/>
          <w:bCs/>
        </w:rPr>
      </w:pPr>
      <w:bookmarkStart w:id="63" w:name="_Toc201942917"/>
      <w:r w:rsidRPr="005A3967">
        <w:rPr>
          <w:b/>
          <w:bCs/>
        </w:rPr>
        <w:t xml:space="preserve">Figure </w:t>
      </w:r>
      <w:r w:rsidR="00747E01" w:rsidRPr="005A3967">
        <w:rPr>
          <w:b/>
          <w:bCs/>
        </w:rPr>
        <w:fldChar w:fldCharType="begin"/>
      </w:r>
      <w:r w:rsidR="00747E01" w:rsidRPr="005A3967">
        <w:rPr>
          <w:b/>
          <w:bCs/>
        </w:rPr>
        <w:instrText xml:space="preserve"> SEQ Figure \* ARABIC </w:instrText>
      </w:r>
      <w:r w:rsidR="00747E01" w:rsidRPr="005A3967">
        <w:rPr>
          <w:b/>
          <w:bCs/>
        </w:rPr>
        <w:fldChar w:fldCharType="separate"/>
      </w:r>
      <w:r w:rsidR="00747E01" w:rsidRPr="005A3967">
        <w:rPr>
          <w:b/>
          <w:bCs/>
          <w:noProof/>
        </w:rPr>
        <w:t>7</w:t>
      </w:r>
      <w:r w:rsidR="00747E01" w:rsidRPr="005A3967">
        <w:rPr>
          <w:b/>
          <w:bCs/>
          <w:noProof/>
        </w:rPr>
        <w:fldChar w:fldCharType="end"/>
      </w:r>
      <w:r w:rsidRPr="005A3967">
        <w:rPr>
          <w:b/>
          <w:bCs/>
        </w:rPr>
        <w:t>; Data Analysis Flow</w:t>
      </w:r>
      <w:r w:rsidR="00D51EA0" w:rsidRPr="005A3967">
        <w:rPr>
          <w:b/>
          <w:bCs/>
        </w:rPr>
        <w:t xml:space="preserve"> (Author’s conceptualisation.)</w:t>
      </w:r>
      <w:bookmarkEnd w:id="63"/>
    </w:p>
    <w:p w14:paraId="7F649838" w14:textId="7B56792C" w:rsidR="00E6553F" w:rsidRPr="005A3967" w:rsidRDefault="00E6553F" w:rsidP="00C43C96">
      <w:pPr>
        <w:spacing w:line="360" w:lineRule="auto"/>
        <w:jc w:val="both"/>
      </w:pPr>
      <w:r w:rsidRPr="005A3967">
        <w:t xml:space="preserve">This iterative and integrative approach enhances reliability by aligning qualitative themes with quantitative patterns. Linking data transformation phases—from raw responses to actionable insights—builds a solid foundation for evidence-based conclusions. </w:t>
      </w:r>
      <w:r w:rsidRPr="005A3967">
        <w:rPr>
          <w:b/>
          <w:bCs/>
        </w:rPr>
        <w:t>Figure 8</w:t>
      </w:r>
      <w:r w:rsidRPr="005A3967">
        <w:t xml:space="preserve"> presents a proposed data governance framework for SSE, highlighting key roles, responsibilities, and workflows to sustain data quality, security, and analytics-driven decision-making at scale.</w:t>
      </w:r>
    </w:p>
    <w:p w14:paraId="72655199" w14:textId="471C9777" w:rsidR="008A4374" w:rsidRPr="005A3967" w:rsidRDefault="008A4374" w:rsidP="008A4374">
      <w:pPr>
        <w:spacing w:line="360" w:lineRule="auto"/>
        <w:jc w:val="center"/>
      </w:pPr>
      <w:r w:rsidRPr="005A3967">
        <w:fldChar w:fldCharType="begin"/>
      </w:r>
      <w:r w:rsidRPr="005A3967">
        <w:instrText xml:space="preserve"> INCLUDEPICTURE "https://sdmntprukwest.oaiusercontent.com/files/00000000-8090-6243-bc92-035c2819ff04/raw?se=2025-04-26T20%3A29%3A15Z&amp;sp=r&amp;sv=2024-08-04&amp;sr=b&amp;scid=c5e11153-b356-5dfb-b553-c02695c34083&amp;skoid=06d77cea-897f-49c6-9d78-20f6510f72af&amp;sktid=a48cca56-e6da-484e-a814-9c849652bcb3&amp;skt=2025-04-26T07%3A06%3A55Z&amp;ske=2025-04-27T07%3A06%3A55Z&amp;sks=b&amp;skv=2024-08-04&amp;sig=L1sawWd%2BAnMGi6bDObtdslc8w61OJvjqUeEkDZgmjUA%3D" \* MERGEFORMATINET </w:instrText>
      </w:r>
      <w:r w:rsidRPr="005A3967">
        <w:fldChar w:fldCharType="separate"/>
      </w:r>
      <w:r w:rsidRPr="005A3967">
        <w:rPr>
          <w:noProof/>
        </w:rPr>
        <w:drawing>
          <wp:inline distT="0" distB="0" distL="0" distR="0" wp14:anchorId="4EEA2B45" wp14:editId="7DF50CD8">
            <wp:extent cx="2090884" cy="2697505"/>
            <wp:effectExtent l="0" t="0" r="5080" b="0"/>
            <wp:docPr id="1654915891" name="Picture 7" descr="A diagram of data govern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915891" name="Picture 7" descr="A diagram of data governance&#10;&#10;AI-generated content may be incorrect."/>
                    <pic:cNvPicPr>
                      <a:picLocks noChangeAspect="1" noChangeArrowheads="1"/>
                    </pic:cNvPicPr>
                  </pic:nvPicPr>
                  <pic:blipFill rotWithShape="1">
                    <a:blip r:embed="rId35">
                      <a:extLst>
                        <a:ext uri="{28A0092B-C50C-407E-A947-70E740481C1C}">
                          <a14:useLocalDpi xmlns:a14="http://schemas.microsoft.com/office/drawing/2010/main" val="0"/>
                        </a:ext>
                      </a:extLst>
                    </a:blip>
                    <a:srcRect l="3646" t="1122" r="5494" b="20732"/>
                    <a:stretch/>
                  </pic:blipFill>
                  <pic:spPr bwMode="auto">
                    <a:xfrm>
                      <a:off x="0" y="0"/>
                      <a:ext cx="2235153" cy="2883630"/>
                    </a:xfrm>
                    <a:prstGeom prst="rect">
                      <a:avLst/>
                    </a:prstGeom>
                    <a:noFill/>
                    <a:ln>
                      <a:noFill/>
                    </a:ln>
                    <a:extLst>
                      <a:ext uri="{53640926-AAD7-44D8-BBD7-CCE9431645EC}">
                        <a14:shadowObscured xmlns:a14="http://schemas.microsoft.com/office/drawing/2010/main"/>
                      </a:ext>
                    </a:extLst>
                  </pic:spPr>
                </pic:pic>
              </a:graphicData>
            </a:graphic>
          </wp:inline>
        </w:drawing>
      </w:r>
      <w:r w:rsidR="009239B2" w:rsidRPr="005A3967">
        <w:rPr>
          <w:rStyle w:val="FootnoteReference"/>
        </w:rPr>
        <w:footnoteReference w:id="19"/>
      </w:r>
      <w:r w:rsidRPr="005A3967">
        <w:fldChar w:fldCharType="end"/>
      </w:r>
    </w:p>
    <w:p w14:paraId="57BD19D7" w14:textId="06CAD572" w:rsidR="008A4374" w:rsidRDefault="008A4374" w:rsidP="008A4374">
      <w:pPr>
        <w:pStyle w:val="Caption"/>
        <w:jc w:val="center"/>
        <w:rPr>
          <w:b/>
          <w:bCs/>
        </w:rPr>
      </w:pPr>
      <w:bookmarkStart w:id="64" w:name="_Toc201942918"/>
      <w:r w:rsidRPr="005A3967">
        <w:rPr>
          <w:b/>
          <w:bCs/>
        </w:rPr>
        <w:t xml:space="preserve">Figure </w:t>
      </w:r>
      <w:r w:rsidR="00747E01" w:rsidRPr="005A3967">
        <w:rPr>
          <w:b/>
          <w:bCs/>
        </w:rPr>
        <w:fldChar w:fldCharType="begin"/>
      </w:r>
      <w:r w:rsidR="00747E01" w:rsidRPr="005A3967">
        <w:rPr>
          <w:b/>
          <w:bCs/>
        </w:rPr>
        <w:instrText xml:space="preserve"> SEQ Figure \* ARABIC </w:instrText>
      </w:r>
      <w:r w:rsidR="00747E01" w:rsidRPr="005A3967">
        <w:rPr>
          <w:b/>
          <w:bCs/>
        </w:rPr>
        <w:fldChar w:fldCharType="separate"/>
      </w:r>
      <w:r w:rsidR="00747E01" w:rsidRPr="005A3967">
        <w:rPr>
          <w:b/>
          <w:bCs/>
          <w:noProof/>
        </w:rPr>
        <w:t>8</w:t>
      </w:r>
      <w:r w:rsidR="00747E01" w:rsidRPr="005A3967">
        <w:rPr>
          <w:b/>
          <w:bCs/>
          <w:noProof/>
        </w:rPr>
        <w:fldChar w:fldCharType="end"/>
      </w:r>
      <w:r w:rsidRPr="005A3967">
        <w:rPr>
          <w:b/>
          <w:bCs/>
        </w:rPr>
        <w:t xml:space="preserve">: Proposed Data Governance Framework Structure for SSE PLC </w:t>
      </w:r>
      <w:r w:rsidR="00D51EA0" w:rsidRPr="005A3967">
        <w:rPr>
          <w:b/>
          <w:bCs/>
        </w:rPr>
        <w:t>(Author’s elaboration drawing on EDM Council (2020) guidelines)</w:t>
      </w:r>
      <w:bookmarkEnd w:id="64"/>
    </w:p>
    <w:p w14:paraId="503DBB15" w14:textId="049072A4" w:rsidR="00F352E8" w:rsidRPr="00F352E8" w:rsidRDefault="00F352E8" w:rsidP="00F352E8">
      <w:pPr>
        <w:spacing w:line="360" w:lineRule="auto"/>
      </w:pPr>
      <w:r w:rsidRPr="00F352E8">
        <w:lastRenderedPageBreak/>
        <w:t xml:space="preserve">To enhance the credibility and trustworthiness of findings, a </w:t>
      </w:r>
      <w:r w:rsidRPr="00F352E8">
        <w:rPr>
          <w:i/>
          <w:iCs/>
        </w:rPr>
        <w:t>member checking</w:t>
      </w:r>
      <w:r w:rsidRPr="00F352E8">
        <w:t xml:space="preserve"> approach will be employed following initial analysis. Key stakeholders who participated in interviews will be invited to review and comment on the thematic summaries to confirm accuracy and resonance with their perspectives. This process will </w:t>
      </w:r>
      <w:r w:rsidR="0002751E">
        <w:t>serve</w:t>
      </w:r>
      <w:r w:rsidRPr="00F352E8">
        <w:t xml:space="preserve"> as a validation mechanism, ensuring that interpretations </w:t>
      </w:r>
      <w:r w:rsidR="0002751E">
        <w:t xml:space="preserve">accurately </w:t>
      </w:r>
      <w:r w:rsidRPr="00F352E8">
        <w:t xml:space="preserve">reflect authentic organisational realities and </w:t>
      </w:r>
      <w:r w:rsidR="0002751E">
        <w:t>support</w:t>
      </w:r>
      <w:r w:rsidRPr="00F352E8">
        <w:t xml:space="preserve"> the refinement of final recommendations.</w:t>
      </w:r>
    </w:p>
    <w:p w14:paraId="3ED2874B" w14:textId="1439F818" w:rsidR="00F927CA" w:rsidRPr="005A3967" w:rsidRDefault="00544E6D" w:rsidP="00F927CA">
      <w:pPr>
        <w:pStyle w:val="Heading2"/>
        <w:rPr>
          <w:rFonts w:ascii="Times New Roman" w:hAnsi="Times New Roman" w:cs="Times New Roman"/>
        </w:rPr>
      </w:pPr>
      <w:bookmarkStart w:id="65" w:name="_Toc202544514"/>
      <w:r w:rsidRPr="005A3967">
        <w:rPr>
          <w:rFonts w:ascii="Times New Roman" w:hAnsi="Times New Roman" w:cs="Times New Roman"/>
        </w:rPr>
        <w:t>5</w:t>
      </w:r>
      <w:r w:rsidR="004A7483" w:rsidRPr="005A3967">
        <w:rPr>
          <w:rFonts w:ascii="Times New Roman" w:hAnsi="Times New Roman" w:cs="Times New Roman"/>
        </w:rPr>
        <w:t>.8 Research Ethics</w:t>
      </w:r>
      <w:bookmarkEnd w:id="65"/>
    </w:p>
    <w:p w14:paraId="124B46A8" w14:textId="45C30E43" w:rsidR="00F927CA" w:rsidRPr="005A3967" w:rsidRDefault="00F927CA" w:rsidP="00F927CA">
      <w:pPr>
        <w:spacing w:before="100" w:beforeAutospacing="1" w:after="100" w:afterAutospacing="1" w:line="360" w:lineRule="auto"/>
        <w:jc w:val="both"/>
      </w:pPr>
      <w:r w:rsidRPr="005A3967">
        <w:t xml:space="preserve">This study </w:t>
      </w:r>
      <w:r w:rsidR="0002751E">
        <w:t>adheres to the</w:t>
      </w:r>
      <w:r w:rsidRPr="005A3967">
        <w:t xml:space="preserve"> </w:t>
      </w:r>
      <w:r w:rsidRPr="005A3967">
        <w:rPr>
          <w:b/>
          <w:bCs/>
        </w:rPr>
        <w:t>BERA (2018)</w:t>
      </w:r>
      <w:r w:rsidRPr="005A3967">
        <w:t xml:space="preserve"> ethical guidelines. Participant access at </w:t>
      </w:r>
      <w:r w:rsidRPr="005A3967">
        <w:rPr>
          <w:b/>
          <w:bCs/>
        </w:rPr>
        <w:t>SSE PLC</w:t>
      </w:r>
      <w:r w:rsidRPr="005A3967">
        <w:t xml:space="preserve"> will be secured through internal approvals, with a </w:t>
      </w:r>
      <w:r w:rsidRPr="005A3967">
        <w:rPr>
          <w:b/>
          <w:bCs/>
        </w:rPr>
        <w:t>senior sponsor</w:t>
      </w:r>
      <w:r w:rsidRPr="005A3967">
        <w:t xml:space="preserve"> distributing information about the study’s </w:t>
      </w:r>
      <w:r w:rsidRPr="005A3967">
        <w:rPr>
          <w:i/>
          <w:iCs/>
        </w:rPr>
        <w:t>purpose</w:t>
      </w:r>
      <w:r w:rsidRPr="005A3967">
        <w:t xml:space="preserve">, </w:t>
      </w:r>
      <w:r w:rsidRPr="005A3967">
        <w:rPr>
          <w:i/>
          <w:iCs/>
        </w:rPr>
        <w:t>confidentiality</w:t>
      </w:r>
      <w:r w:rsidRPr="005A3967">
        <w:t xml:space="preserve">, and </w:t>
      </w:r>
      <w:r w:rsidRPr="005A3967">
        <w:rPr>
          <w:i/>
          <w:iCs/>
        </w:rPr>
        <w:t>voluntary nature</w:t>
      </w:r>
      <w:r w:rsidRPr="005A3967">
        <w:t>.</w:t>
      </w:r>
    </w:p>
    <w:p w14:paraId="6CE25E3D" w14:textId="0FE11D98" w:rsidR="00F927CA" w:rsidRPr="005A3967" w:rsidRDefault="00F927CA" w:rsidP="00F927CA">
      <w:pPr>
        <w:spacing w:before="100" w:beforeAutospacing="1" w:after="100" w:afterAutospacing="1" w:line="360" w:lineRule="auto"/>
        <w:jc w:val="both"/>
      </w:pPr>
      <w:r w:rsidRPr="005A3967">
        <w:t xml:space="preserve">If delays occur, approved </w:t>
      </w:r>
      <w:r w:rsidRPr="005A3967">
        <w:rPr>
          <w:b/>
          <w:bCs/>
        </w:rPr>
        <w:t>contingency access</w:t>
      </w:r>
      <w:r w:rsidRPr="005A3967">
        <w:t xml:space="preserve"> </w:t>
      </w:r>
      <w:r w:rsidR="0002751E">
        <w:t xml:space="preserve">will be provided </w:t>
      </w:r>
      <w:r w:rsidRPr="005A3967">
        <w:t xml:space="preserve">via SSE’s internal directory. Any major change in access will trigger an </w:t>
      </w:r>
      <w:r w:rsidRPr="005A3967">
        <w:rPr>
          <w:b/>
          <w:bCs/>
        </w:rPr>
        <w:t>ethics amendment</w:t>
      </w:r>
      <w:r w:rsidRPr="005A3967">
        <w:t>.</w:t>
      </w:r>
    </w:p>
    <w:p w14:paraId="434647BD" w14:textId="77777777" w:rsidR="00F927CA" w:rsidRPr="005A3967" w:rsidRDefault="00F927CA" w:rsidP="00F927CA">
      <w:pPr>
        <w:spacing w:before="100" w:beforeAutospacing="1" w:after="100" w:afterAutospacing="1" w:line="360" w:lineRule="auto"/>
        <w:jc w:val="both"/>
      </w:pPr>
      <w:r w:rsidRPr="005A3967">
        <w:rPr>
          <w:b/>
          <w:bCs/>
        </w:rPr>
        <w:t>Ethical safeguards</w:t>
      </w:r>
      <w:r w:rsidRPr="005A3967">
        <w:t xml:space="preserve"> include:</w:t>
      </w:r>
    </w:p>
    <w:p w14:paraId="7A3B07FB" w14:textId="77777777" w:rsidR="00F927CA" w:rsidRPr="005A3967" w:rsidRDefault="00F927CA" w:rsidP="008824B8">
      <w:pPr>
        <w:numPr>
          <w:ilvl w:val="0"/>
          <w:numId w:val="45"/>
        </w:numPr>
        <w:spacing w:before="100" w:beforeAutospacing="1" w:after="100" w:afterAutospacing="1" w:line="360" w:lineRule="auto"/>
        <w:jc w:val="both"/>
      </w:pPr>
      <w:r w:rsidRPr="005A3967">
        <w:rPr>
          <w:i/>
          <w:iCs/>
        </w:rPr>
        <w:t>Informed consent</w:t>
      </w:r>
    </w:p>
    <w:p w14:paraId="45AE1EB8" w14:textId="77777777" w:rsidR="00F927CA" w:rsidRPr="005A3967" w:rsidRDefault="00F927CA" w:rsidP="008824B8">
      <w:pPr>
        <w:numPr>
          <w:ilvl w:val="0"/>
          <w:numId w:val="45"/>
        </w:numPr>
        <w:spacing w:before="100" w:beforeAutospacing="1" w:after="100" w:afterAutospacing="1" w:line="360" w:lineRule="auto"/>
        <w:jc w:val="both"/>
      </w:pPr>
      <w:r w:rsidRPr="005A3967">
        <w:rPr>
          <w:i/>
          <w:iCs/>
        </w:rPr>
        <w:t>Anonymised data</w:t>
      </w:r>
    </w:p>
    <w:p w14:paraId="43DD6052" w14:textId="77777777" w:rsidR="00F927CA" w:rsidRPr="005A3967" w:rsidRDefault="00F927CA" w:rsidP="008824B8">
      <w:pPr>
        <w:numPr>
          <w:ilvl w:val="0"/>
          <w:numId w:val="45"/>
        </w:numPr>
        <w:spacing w:before="100" w:beforeAutospacing="1" w:after="100" w:afterAutospacing="1" w:line="360" w:lineRule="auto"/>
        <w:jc w:val="both"/>
      </w:pPr>
      <w:r w:rsidRPr="005A3967">
        <w:rPr>
          <w:i/>
          <w:iCs/>
        </w:rPr>
        <w:t>GDPR-compliant storage</w:t>
      </w:r>
      <w:r w:rsidRPr="005A3967">
        <w:t xml:space="preserve"> </w:t>
      </w:r>
      <w:r w:rsidRPr="005A3967">
        <w:rPr>
          <w:i/>
          <w:iCs/>
        </w:rPr>
        <w:t>(ICO, 2021)</w:t>
      </w:r>
    </w:p>
    <w:p w14:paraId="1EC4FDB6" w14:textId="77777777" w:rsidR="00F927CA" w:rsidRPr="005A3967" w:rsidRDefault="00F927CA" w:rsidP="008824B8">
      <w:pPr>
        <w:numPr>
          <w:ilvl w:val="0"/>
          <w:numId w:val="45"/>
        </w:numPr>
        <w:spacing w:before="100" w:beforeAutospacing="1" w:after="100" w:afterAutospacing="1" w:line="360" w:lineRule="auto"/>
        <w:jc w:val="both"/>
      </w:pPr>
      <w:r w:rsidRPr="005A3967">
        <w:rPr>
          <w:i/>
          <w:iCs/>
        </w:rPr>
        <w:t>Right to withdraw</w:t>
      </w:r>
      <w:r w:rsidRPr="005A3967">
        <w:t xml:space="preserve"> at any stage</w:t>
      </w:r>
    </w:p>
    <w:p w14:paraId="01FC59C9" w14:textId="77777777" w:rsidR="00BC0081" w:rsidRPr="005A3967" w:rsidRDefault="00BC0081" w:rsidP="00BC0081">
      <w:pPr>
        <w:spacing w:before="100" w:beforeAutospacing="1" w:after="100" w:afterAutospacing="1" w:line="360" w:lineRule="auto"/>
        <w:jc w:val="both"/>
      </w:pPr>
      <w:r w:rsidRPr="005A3967">
        <w:rPr>
          <w:b/>
          <w:bCs/>
        </w:rPr>
        <w:t>Ethical approval</w:t>
      </w:r>
      <w:r w:rsidRPr="005A3967">
        <w:t xml:space="preserve"> will be sought from the University’s </w:t>
      </w:r>
      <w:r w:rsidRPr="005A3967">
        <w:rPr>
          <w:b/>
          <w:bCs/>
        </w:rPr>
        <w:t>Ethics Committee</w:t>
      </w:r>
      <w:r w:rsidRPr="005A3967">
        <w:t xml:space="preserve"> prior to any data collection. </w:t>
      </w:r>
      <w:r w:rsidRPr="005A3967">
        <w:rPr>
          <w:b/>
          <w:bCs/>
        </w:rPr>
        <w:t>Table 16</w:t>
      </w:r>
      <w:r w:rsidRPr="005A3967">
        <w:t xml:space="preserve"> summarises key ethical principles and protections. Supporting materials, including the </w:t>
      </w:r>
      <w:r w:rsidRPr="005A3967">
        <w:rPr>
          <w:i/>
          <w:iCs/>
        </w:rPr>
        <w:t>Participant Information Sheet</w:t>
      </w:r>
      <w:r w:rsidRPr="005A3967">
        <w:t xml:space="preserve"> and </w:t>
      </w:r>
      <w:r w:rsidRPr="005A3967">
        <w:rPr>
          <w:i/>
          <w:iCs/>
        </w:rPr>
        <w:t>Consent Form</w:t>
      </w:r>
      <w:r w:rsidRPr="005A3967">
        <w:t xml:space="preserve">, are included in </w:t>
      </w:r>
      <w:r w:rsidRPr="005A3967">
        <w:rPr>
          <w:b/>
          <w:bCs/>
        </w:rPr>
        <w:t>Appendix D</w:t>
      </w:r>
      <w:r w:rsidRPr="005A3967">
        <w:t>.</w:t>
      </w:r>
    </w:p>
    <w:p w14:paraId="5D37B1F0" w14:textId="32D6EDFE" w:rsidR="00F05DD1" w:rsidRPr="005A3967" w:rsidRDefault="00CD5EAC" w:rsidP="0098243C">
      <w:pPr>
        <w:pStyle w:val="Caption"/>
        <w:keepNext/>
        <w:rPr>
          <w:b/>
          <w:bCs/>
        </w:rPr>
      </w:pPr>
      <w:bookmarkStart w:id="66" w:name="_Toc196559541"/>
      <w:bookmarkStart w:id="67" w:name="_Toc201942906"/>
      <w:r w:rsidRPr="005A3967">
        <w:rPr>
          <w:b/>
          <w:bCs/>
        </w:rPr>
        <w:t xml:space="preserve">Table </w:t>
      </w:r>
      <w:r w:rsidR="003831A5" w:rsidRPr="005A3967">
        <w:rPr>
          <w:b/>
          <w:bCs/>
        </w:rPr>
        <w:fldChar w:fldCharType="begin"/>
      </w:r>
      <w:r w:rsidR="003831A5" w:rsidRPr="005A3967">
        <w:rPr>
          <w:b/>
          <w:bCs/>
        </w:rPr>
        <w:instrText xml:space="preserve"> SEQ Table \* ARABIC </w:instrText>
      </w:r>
      <w:r w:rsidR="003831A5" w:rsidRPr="005A3967">
        <w:rPr>
          <w:b/>
          <w:bCs/>
        </w:rPr>
        <w:fldChar w:fldCharType="separate"/>
      </w:r>
      <w:r w:rsidR="00A50FDD" w:rsidRPr="005A3967">
        <w:rPr>
          <w:b/>
          <w:bCs/>
          <w:noProof/>
        </w:rPr>
        <w:t>16</w:t>
      </w:r>
      <w:r w:rsidR="003831A5" w:rsidRPr="005A3967">
        <w:rPr>
          <w:b/>
          <w:bCs/>
          <w:noProof/>
        </w:rPr>
        <w:fldChar w:fldCharType="end"/>
      </w:r>
      <w:r w:rsidRPr="005A3967">
        <w:rPr>
          <w:b/>
          <w:bCs/>
        </w:rPr>
        <w:t>: Summary of Ethical Safeguards</w:t>
      </w:r>
      <w:bookmarkEnd w:id="66"/>
      <w:r w:rsidR="00DA5393" w:rsidRPr="005A3967">
        <w:rPr>
          <w:b/>
          <w:bCs/>
        </w:rPr>
        <w:t xml:space="preserve"> (Adapted from BERA (2018) and author’s elaboration)</w:t>
      </w:r>
      <w:r w:rsidR="009239B2" w:rsidRPr="005A3967">
        <w:rPr>
          <w:rStyle w:val="FootnoteReference"/>
          <w:b/>
          <w:bCs/>
        </w:rPr>
        <w:footnoteReference w:id="20"/>
      </w:r>
      <w:bookmarkEnd w:id="67"/>
    </w:p>
    <w:p w14:paraId="5139549D" w14:textId="066649F0" w:rsidR="000D2B2E" w:rsidRPr="005A3967" w:rsidRDefault="000D2B2E" w:rsidP="004C5CA0">
      <w:pPr>
        <w:jc w:val="center"/>
      </w:pPr>
      <w:r w:rsidRPr="005A3967">
        <w:rPr>
          <w:noProof/>
          <w14:ligatures w14:val="standardContextual"/>
        </w:rPr>
        <w:drawing>
          <wp:inline distT="0" distB="0" distL="0" distR="0" wp14:anchorId="1D2F1E35" wp14:editId="4FEFE1E3">
            <wp:extent cx="5913713" cy="1216681"/>
            <wp:effectExtent l="0" t="0" r="5080" b="2540"/>
            <wp:docPr id="9702352" name="Picture 42"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2352" name="Picture 42" descr="A close-up of a paper&#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013453" cy="1237201"/>
                    </a:xfrm>
                    <a:prstGeom prst="rect">
                      <a:avLst/>
                    </a:prstGeom>
                  </pic:spPr>
                </pic:pic>
              </a:graphicData>
            </a:graphic>
          </wp:inline>
        </w:drawing>
      </w:r>
    </w:p>
    <w:p w14:paraId="3C002355" w14:textId="0D99FE3B" w:rsidR="004A7483" w:rsidRPr="005A3967" w:rsidRDefault="00544E6D" w:rsidP="000A101D">
      <w:pPr>
        <w:pStyle w:val="Heading2"/>
        <w:rPr>
          <w:rFonts w:ascii="Times New Roman" w:hAnsi="Times New Roman" w:cs="Times New Roman"/>
        </w:rPr>
      </w:pPr>
      <w:bookmarkStart w:id="68" w:name="_Toc202544515"/>
      <w:r w:rsidRPr="005A3967">
        <w:rPr>
          <w:rFonts w:ascii="Times New Roman" w:hAnsi="Times New Roman" w:cs="Times New Roman"/>
        </w:rPr>
        <w:lastRenderedPageBreak/>
        <w:t>5</w:t>
      </w:r>
      <w:r w:rsidR="004A7483" w:rsidRPr="005A3967">
        <w:rPr>
          <w:rFonts w:ascii="Times New Roman" w:hAnsi="Times New Roman" w:cs="Times New Roman"/>
        </w:rPr>
        <w:t>.9 Limitations of the Research Design</w:t>
      </w:r>
      <w:bookmarkEnd w:id="68"/>
    </w:p>
    <w:p w14:paraId="3217F5CD" w14:textId="364C7CEF" w:rsidR="00AC4E10" w:rsidRPr="005A3967" w:rsidRDefault="00AC4E10" w:rsidP="00AC4E10">
      <w:pPr>
        <w:spacing w:before="100" w:beforeAutospacing="1" w:after="100" w:afterAutospacing="1" w:line="360" w:lineRule="auto"/>
        <w:jc w:val="both"/>
      </w:pPr>
      <w:r w:rsidRPr="005A3967">
        <w:t xml:space="preserve">While </w:t>
      </w:r>
      <w:r w:rsidRPr="005A3967">
        <w:rPr>
          <w:b/>
          <w:bCs/>
        </w:rPr>
        <w:t>methodologically sound</w:t>
      </w:r>
      <w:r w:rsidRPr="005A3967">
        <w:t xml:space="preserve">, this </w:t>
      </w:r>
      <w:r w:rsidRPr="005A3967">
        <w:rPr>
          <w:b/>
          <w:bCs/>
        </w:rPr>
        <w:t>single-case study</w:t>
      </w:r>
      <w:r w:rsidRPr="005A3967">
        <w:t xml:space="preserve"> limits </w:t>
      </w:r>
      <w:r w:rsidRPr="005A3967">
        <w:rPr>
          <w:i/>
          <w:iCs/>
        </w:rPr>
        <w:t>generalisability</w:t>
      </w:r>
      <w:r w:rsidRPr="005A3967">
        <w:t xml:space="preserve"> due to SSE’s unique context. Findings may reflect </w:t>
      </w:r>
      <w:r w:rsidRPr="005A3967">
        <w:rPr>
          <w:i/>
          <w:iCs/>
        </w:rPr>
        <w:t>respondent bias</w:t>
      </w:r>
      <w:r w:rsidRPr="005A3967">
        <w:t xml:space="preserve">, and the </w:t>
      </w:r>
      <w:r w:rsidRPr="005A3967">
        <w:rPr>
          <w:b/>
          <w:bCs/>
        </w:rPr>
        <w:t>cross-sectional design</w:t>
      </w:r>
      <w:r w:rsidRPr="005A3967">
        <w:t xml:space="preserve"> captures only a snapshot of analytics maturity. </w:t>
      </w:r>
      <w:r w:rsidRPr="005A3967">
        <w:rPr>
          <w:b/>
          <w:bCs/>
        </w:rPr>
        <w:t>Benchmarking models</w:t>
      </w:r>
      <w:r w:rsidRPr="005A3967">
        <w:t xml:space="preserve"> (e.g., </w:t>
      </w:r>
      <w:r w:rsidRPr="005A3967">
        <w:rPr>
          <w:i/>
          <w:iCs/>
        </w:rPr>
        <w:t>Gartner</w:t>
      </w:r>
      <w:r w:rsidRPr="005A3967">
        <w:t xml:space="preserve">) may not fully </w:t>
      </w:r>
      <w:r w:rsidR="0002751E">
        <w:t>align with</w:t>
      </w:r>
      <w:r w:rsidRPr="005A3967">
        <w:t xml:space="preserve"> the </w:t>
      </w:r>
      <w:r w:rsidRPr="005A3967">
        <w:rPr>
          <w:b/>
          <w:bCs/>
        </w:rPr>
        <w:t>energy sector</w:t>
      </w:r>
      <w:r w:rsidRPr="005A3967">
        <w:t xml:space="preserve">, and </w:t>
      </w:r>
      <w:r w:rsidRPr="005A3967">
        <w:rPr>
          <w:b/>
          <w:bCs/>
        </w:rPr>
        <w:t>public data gaps</w:t>
      </w:r>
      <w:r w:rsidRPr="005A3967">
        <w:t xml:space="preserve"> </w:t>
      </w:r>
      <w:r w:rsidR="0002751E">
        <w:t>impact</w:t>
      </w:r>
      <w:r w:rsidRPr="005A3967">
        <w:t xml:space="preserve"> comparability.</w:t>
      </w:r>
    </w:p>
    <w:p w14:paraId="5C3D982E" w14:textId="77777777" w:rsidR="00AC4E10" w:rsidRPr="005A3967" w:rsidRDefault="00AC4E10" w:rsidP="00AC4E10">
      <w:pPr>
        <w:spacing w:before="100" w:beforeAutospacing="1" w:after="100" w:afterAutospacing="1" w:line="360" w:lineRule="auto"/>
        <w:jc w:val="both"/>
      </w:pPr>
      <w:r w:rsidRPr="005A3967">
        <w:rPr>
          <w:b/>
          <w:bCs/>
        </w:rPr>
        <w:t>Mitigation strategies</w:t>
      </w:r>
      <w:r w:rsidRPr="005A3967">
        <w:t>:</w:t>
      </w:r>
    </w:p>
    <w:p w14:paraId="42040D54" w14:textId="77777777" w:rsidR="00AC4E10" w:rsidRPr="005A3967" w:rsidRDefault="00AC4E10" w:rsidP="008824B8">
      <w:pPr>
        <w:numPr>
          <w:ilvl w:val="0"/>
          <w:numId w:val="47"/>
        </w:numPr>
        <w:spacing w:before="100" w:beforeAutospacing="1" w:after="100" w:afterAutospacing="1" w:line="360" w:lineRule="auto"/>
        <w:jc w:val="both"/>
      </w:pPr>
      <w:r w:rsidRPr="005A3967">
        <w:rPr>
          <w:i/>
          <w:iCs/>
        </w:rPr>
        <w:t>Triangulation</w:t>
      </w:r>
      <w:r w:rsidRPr="005A3967">
        <w:t xml:space="preserve"> across methods</w:t>
      </w:r>
    </w:p>
    <w:p w14:paraId="30802995" w14:textId="77777777" w:rsidR="00AC4E10" w:rsidRPr="005A3967" w:rsidRDefault="00AC4E10" w:rsidP="008824B8">
      <w:pPr>
        <w:numPr>
          <w:ilvl w:val="0"/>
          <w:numId w:val="47"/>
        </w:numPr>
        <w:spacing w:before="100" w:beforeAutospacing="1" w:after="100" w:afterAutospacing="1" w:line="360" w:lineRule="auto"/>
        <w:jc w:val="both"/>
      </w:pPr>
      <w:r w:rsidRPr="005A3967">
        <w:rPr>
          <w:i/>
          <w:iCs/>
        </w:rPr>
        <w:t>Purposive sampling</w:t>
      </w:r>
      <w:r w:rsidRPr="005A3967">
        <w:t xml:space="preserve"> for relevance</w:t>
      </w:r>
    </w:p>
    <w:p w14:paraId="3FC7F958" w14:textId="77777777" w:rsidR="00AC4E10" w:rsidRPr="005A3967" w:rsidRDefault="00AC4E10" w:rsidP="008824B8">
      <w:pPr>
        <w:numPr>
          <w:ilvl w:val="0"/>
          <w:numId w:val="47"/>
        </w:numPr>
        <w:spacing w:before="100" w:beforeAutospacing="1" w:after="100" w:afterAutospacing="1" w:line="360" w:lineRule="auto"/>
        <w:jc w:val="both"/>
      </w:pPr>
      <w:r w:rsidRPr="005A3967">
        <w:rPr>
          <w:i/>
          <w:iCs/>
        </w:rPr>
        <w:t>Anonymisation</w:t>
      </w:r>
      <w:r w:rsidRPr="005A3967">
        <w:t xml:space="preserve"> and </w:t>
      </w:r>
      <w:r w:rsidRPr="005A3967">
        <w:rPr>
          <w:i/>
          <w:iCs/>
        </w:rPr>
        <w:t>external validation</w:t>
      </w:r>
    </w:p>
    <w:p w14:paraId="75B571FE" w14:textId="77777777" w:rsidR="00AC4E10" w:rsidRPr="005A3967" w:rsidRDefault="00AC4E10" w:rsidP="008824B8">
      <w:pPr>
        <w:numPr>
          <w:ilvl w:val="0"/>
          <w:numId w:val="47"/>
        </w:numPr>
        <w:spacing w:before="100" w:beforeAutospacing="1" w:after="100" w:afterAutospacing="1" w:line="360" w:lineRule="auto"/>
        <w:jc w:val="both"/>
      </w:pPr>
      <w:r w:rsidRPr="005A3967">
        <w:rPr>
          <w:i/>
          <w:iCs/>
        </w:rPr>
        <w:t>Sector-specific interpretation</w:t>
      </w:r>
    </w:p>
    <w:p w14:paraId="4CE312FC" w14:textId="77777777" w:rsidR="00AC4E10" w:rsidRPr="005A3967" w:rsidRDefault="00AC4E10" w:rsidP="008824B8">
      <w:pPr>
        <w:numPr>
          <w:ilvl w:val="0"/>
          <w:numId w:val="47"/>
        </w:numPr>
        <w:spacing w:before="100" w:beforeAutospacing="1" w:after="100" w:afterAutospacing="1" w:line="360" w:lineRule="auto"/>
        <w:jc w:val="both"/>
      </w:pPr>
      <w:r w:rsidRPr="005A3967">
        <w:t xml:space="preserve">Recommend </w:t>
      </w:r>
      <w:r w:rsidRPr="005A3967">
        <w:rPr>
          <w:i/>
          <w:iCs/>
        </w:rPr>
        <w:t>multi-case</w:t>
      </w:r>
      <w:r w:rsidRPr="005A3967">
        <w:t xml:space="preserve">, </w:t>
      </w:r>
      <w:r w:rsidRPr="005A3967">
        <w:rPr>
          <w:i/>
          <w:iCs/>
        </w:rPr>
        <w:t>cross-sector</w:t>
      </w:r>
      <w:r w:rsidRPr="005A3967">
        <w:t xml:space="preserve">, and </w:t>
      </w:r>
      <w:r w:rsidRPr="005A3967">
        <w:rPr>
          <w:i/>
          <w:iCs/>
        </w:rPr>
        <w:t>longitudinal</w:t>
      </w:r>
      <w:r w:rsidRPr="005A3967">
        <w:t xml:space="preserve"> studies</w:t>
      </w:r>
    </w:p>
    <w:p w14:paraId="3E5C352C" w14:textId="77777777" w:rsidR="00AC4E10" w:rsidRPr="005A3967" w:rsidRDefault="00AC4E10" w:rsidP="008824B8">
      <w:pPr>
        <w:numPr>
          <w:ilvl w:val="0"/>
          <w:numId w:val="47"/>
        </w:numPr>
        <w:spacing w:before="100" w:beforeAutospacing="1" w:after="100" w:afterAutospacing="1" w:line="360" w:lineRule="auto"/>
        <w:jc w:val="both"/>
      </w:pPr>
      <w:r w:rsidRPr="005A3967">
        <w:t xml:space="preserve">Compare with </w:t>
      </w:r>
      <w:r w:rsidRPr="005A3967">
        <w:rPr>
          <w:i/>
          <w:iCs/>
        </w:rPr>
        <w:t>digitally native</w:t>
      </w:r>
      <w:r w:rsidRPr="005A3967">
        <w:t xml:space="preserve"> or </w:t>
      </w:r>
      <w:r w:rsidRPr="005A3967">
        <w:rPr>
          <w:i/>
          <w:iCs/>
        </w:rPr>
        <w:t>less-regulated</w:t>
      </w:r>
      <w:r w:rsidRPr="005A3967">
        <w:t xml:space="preserve"> sectors</w:t>
      </w:r>
    </w:p>
    <w:p w14:paraId="4C345CE4" w14:textId="3CFABD85" w:rsidR="00AC4E10" w:rsidRPr="005A3967" w:rsidRDefault="00AC4E10" w:rsidP="00C43C96">
      <w:pPr>
        <w:spacing w:before="100" w:beforeAutospacing="1" w:after="100" w:afterAutospacing="1" w:line="360" w:lineRule="auto"/>
        <w:jc w:val="both"/>
      </w:pPr>
      <w:r w:rsidRPr="005A3967">
        <w:t xml:space="preserve">Despite these limits, the study offers a </w:t>
      </w:r>
      <w:r w:rsidRPr="005A3967">
        <w:rPr>
          <w:b/>
          <w:bCs/>
        </w:rPr>
        <w:t>credible contribution</w:t>
      </w:r>
      <w:r w:rsidRPr="005A3967">
        <w:t xml:space="preserve"> to research and SSE’s </w:t>
      </w:r>
      <w:r w:rsidRPr="005A3967">
        <w:rPr>
          <w:b/>
          <w:bCs/>
        </w:rPr>
        <w:t>data-driven transformation</w:t>
      </w:r>
      <w:r w:rsidRPr="005A3967">
        <w:t xml:space="preserve">. </w:t>
      </w:r>
      <w:r w:rsidRPr="005A3967">
        <w:rPr>
          <w:i/>
          <w:iCs/>
        </w:rPr>
        <w:t>Figure 9 summarises limitations and mitigation strategies.</w:t>
      </w:r>
    </w:p>
    <w:p w14:paraId="3714E60A" w14:textId="441590E4" w:rsidR="00E6553F" w:rsidRPr="005A3967" w:rsidRDefault="00E6553F" w:rsidP="00747E01">
      <w:pPr>
        <w:spacing w:before="100" w:beforeAutospacing="1" w:after="100" w:afterAutospacing="1" w:line="360" w:lineRule="auto"/>
        <w:jc w:val="center"/>
      </w:pPr>
      <w:r w:rsidRPr="005A3967">
        <w:fldChar w:fldCharType="begin"/>
      </w:r>
      <w:r w:rsidRPr="005A3967">
        <w:instrText xml:space="preserve"> INCLUDEPICTURE "https://sdmntprsouthcentralus.oaiusercontent.com/files/00000000-62f4-61f7-99b1-af5f9e517516/raw?se=2025-04-28T10%3A48%3A40Z&amp;sp=r&amp;sv=2024-08-04&amp;sr=b&amp;scid=aa3e9f43-a269-5939-bb73-37f0e3edd2e9&amp;skoid=cbbaa726-4a2e-4147-932c-56e6e553f073&amp;sktid=a48cca56-e6da-484e-a814-9c849652bcb3&amp;skt=2025-04-27T13%3A33%3A09Z&amp;ske=2025-04-28T13%3A33%3A09Z&amp;sks=b&amp;skv=2024-08-04&amp;sig=DUwY67V8VkNEVKAPQZOTqVI/3qIoCOq4oTP/Qtdx9Ps%3D" \* MERGEFORMATINET </w:instrText>
      </w:r>
      <w:r w:rsidRPr="005A3967">
        <w:fldChar w:fldCharType="separate"/>
      </w:r>
      <w:r w:rsidRPr="005A3967">
        <w:rPr>
          <w:noProof/>
        </w:rPr>
        <w:drawing>
          <wp:inline distT="0" distB="0" distL="0" distR="0" wp14:anchorId="4A41C79B" wp14:editId="43355CB4">
            <wp:extent cx="3617983" cy="2213514"/>
            <wp:effectExtent l="0" t="0" r="1905" b="0"/>
            <wp:docPr id="2066196672" name="Picture 1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enerated image"/>
                    <pic:cNvPicPr>
                      <a:picLocks noChangeAspect="1" noChangeArrowheads="1"/>
                    </pic:cNvPicPr>
                  </pic:nvPicPr>
                  <pic:blipFill rotWithShape="1">
                    <a:blip r:embed="rId37">
                      <a:extLst>
                        <a:ext uri="{28A0092B-C50C-407E-A947-70E740481C1C}">
                          <a14:useLocalDpi xmlns:a14="http://schemas.microsoft.com/office/drawing/2010/main" val="0"/>
                        </a:ext>
                      </a:extLst>
                    </a:blip>
                    <a:srcRect l="6161" t="3080" r="5541" b="15910"/>
                    <a:stretch/>
                  </pic:blipFill>
                  <pic:spPr bwMode="auto">
                    <a:xfrm>
                      <a:off x="0" y="0"/>
                      <a:ext cx="3662025" cy="2240460"/>
                    </a:xfrm>
                    <a:prstGeom prst="rect">
                      <a:avLst/>
                    </a:prstGeom>
                    <a:noFill/>
                    <a:ln>
                      <a:noFill/>
                    </a:ln>
                    <a:extLst>
                      <a:ext uri="{53640926-AAD7-44D8-BBD7-CCE9431645EC}">
                        <a14:shadowObscured xmlns:a14="http://schemas.microsoft.com/office/drawing/2010/main"/>
                      </a:ext>
                    </a:extLst>
                  </pic:spPr>
                </pic:pic>
              </a:graphicData>
            </a:graphic>
          </wp:inline>
        </w:drawing>
      </w:r>
      <w:r w:rsidR="009239B2" w:rsidRPr="005A3967">
        <w:rPr>
          <w:rStyle w:val="FootnoteReference"/>
        </w:rPr>
        <w:footnoteReference w:id="21"/>
      </w:r>
      <w:r w:rsidRPr="005A3967">
        <w:fldChar w:fldCharType="end"/>
      </w:r>
    </w:p>
    <w:p w14:paraId="345D1B2E" w14:textId="1A51731F" w:rsidR="00F927CA" w:rsidRPr="005A3967" w:rsidRDefault="00747E01" w:rsidP="00F927CA">
      <w:pPr>
        <w:pStyle w:val="Caption"/>
        <w:jc w:val="center"/>
        <w:rPr>
          <w:b/>
          <w:bCs/>
        </w:rPr>
      </w:pPr>
      <w:bookmarkStart w:id="69" w:name="_Toc201942919"/>
      <w:r w:rsidRPr="005A3967">
        <w:rPr>
          <w:b/>
          <w:bCs/>
        </w:rPr>
        <w:t xml:space="preserve">Figure </w:t>
      </w:r>
      <w:r w:rsidRPr="005A3967">
        <w:rPr>
          <w:b/>
          <w:bCs/>
        </w:rPr>
        <w:fldChar w:fldCharType="begin"/>
      </w:r>
      <w:r w:rsidRPr="005A3967">
        <w:rPr>
          <w:b/>
          <w:bCs/>
        </w:rPr>
        <w:instrText xml:space="preserve"> SEQ Figure \* ARABIC </w:instrText>
      </w:r>
      <w:r w:rsidRPr="005A3967">
        <w:rPr>
          <w:b/>
          <w:bCs/>
        </w:rPr>
        <w:fldChar w:fldCharType="separate"/>
      </w:r>
      <w:r w:rsidRPr="005A3967">
        <w:rPr>
          <w:b/>
          <w:bCs/>
          <w:noProof/>
        </w:rPr>
        <w:t>9</w:t>
      </w:r>
      <w:r w:rsidRPr="005A3967">
        <w:rPr>
          <w:b/>
          <w:bCs/>
          <w:noProof/>
        </w:rPr>
        <w:fldChar w:fldCharType="end"/>
      </w:r>
      <w:r w:rsidRPr="005A3967">
        <w:rPr>
          <w:b/>
          <w:bCs/>
        </w:rPr>
        <w:t>: Summary of Research Design Limitations and Mitigation Measures</w:t>
      </w:r>
      <w:r w:rsidR="00D51EA0" w:rsidRPr="005A3967">
        <w:rPr>
          <w:b/>
          <w:bCs/>
        </w:rPr>
        <w:t xml:space="preserve"> (Author’s conceptualisatio</w:t>
      </w:r>
      <w:r w:rsidR="008A0038" w:rsidRPr="005A3967">
        <w:rPr>
          <w:b/>
          <w:bCs/>
        </w:rPr>
        <w:t>n</w:t>
      </w:r>
      <w:r w:rsidR="00D51EA0" w:rsidRPr="005A3967">
        <w:rPr>
          <w:b/>
          <w:bCs/>
        </w:rPr>
        <w:t>)</w:t>
      </w:r>
      <w:bookmarkEnd w:id="69"/>
    </w:p>
    <w:p w14:paraId="64AA2068" w14:textId="57380376" w:rsidR="00274D04" w:rsidRPr="005A3967" w:rsidRDefault="000B6798" w:rsidP="00274D04">
      <w:pPr>
        <w:pStyle w:val="Heading3"/>
        <w:spacing w:line="360" w:lineRule="auto"/>
        <w:rPr>
          <w:rFonts w:cs="Times New Roman"/>
        </w:rPr>
      </w:pPr>
      <w:bookmarkStart w:id="70" w:name="_Toc202544516"/>
      <w:r w:rsidRPr="005A3967">
        <w:rPr>
          <w:rFonts w:cs="Times New Roman"/>
        </w:rPr>
        <w:t>5.9.1 P</w:t>
      </w:r>
      <w:r w:rsidR="003B7D97" w:rsidRPr="005A3967">
        <w:rPr>
          <w:rFonts w:cs="Times New Roman"/>
        </w:rPr>
        <w:t>otential Challenges and Limitations in Predictive Analytics Adoption</w:t>
      </w:r>
      <w:bookmarkEnd w:id="70"/>
    </w:p>
    <w:p w14:paraId="67A23C7A" w14:textId="77777777" w:rsidR="00274D04" w:rsidRPr="005A3967" w:rsidRDefault="00274D04" w:rsidP="00C43C96">
      <w:pPr>
        <w:spacing w:line="360" w:lineRule="auto"/>
        <w:jc w:val="both"/>
        <w:rPr>
          <w:rFonts w:eastAsiaTheme="majorEastAsia"/>
        </w:rPr>
      </w:pPr>
      <w:r w:rsidRPr="005A3967">
        <w:rPr>
          <w:rFonts w:eastAsiaTheme="majorEastAsia"/>
        </w:rPr>
        <w:t xml:space="preserve">Adopting predictive analytics brings real promise but also several challenges. </w:t>
      </w:r>
      <w:r w:rsidRPr="005A3967">
        <w:rPr>
          <w:rFonts w:eastAsiaTheme="majorEastAsia"/>
          <w:b/>
          <w:bCs/>
        </w:rPr>
        <w:t>Poor data quality</w:t>
      </w:r>
      <w:r w:rsidRPr="005A3967">
        <w:rPr>
          <w:rFonts w:eastAsiaTheme="majorEastAsia"/>
        </w:rPr>
        <w:t xml:space="preserve">, legacy systems, and weak governance can undermine model accuracy (Wamba et al., </w:t>
      </w:r>
      <w:r w:rsidRPr="005A3967">
        <w:rPr>
          <w:rFonts w:eastAsiaTheme="majorEastAsia"/>
        </w:rPr>
        <w:lastRenderedPageBreak/>
        <w:t xml:space="preserve">2015). </w:t>
      </w:r>
      <w:r w:rsidRPr="005A3967">
        <w:rPr>
          <w:rFonts w:eastAsiaTheme="majorEastAsia"/>
          <w:b/>
          <w:bCs/>
        </w:rPr>
        <w:t>Cultural resistance</w:t>
      </w:r>
      <w:r w:rsidRPr="005A3967">
        <w:rPr>
          <w:rFonts w:eastAsiaTheme="majorEastAsia"/>
        </w:rPr>
        <w:t xml:space="preserve"> is another barrier, with concerns about trust in algorithms or fear of losing control (Sharma et al., 2020).</w:t>
      </w:r>
    </w:p>
    <w:p w14:paraId="323FA040" w14:textId="6ECA349D" w:rsidR="00274D04" w:rsidRPr="005A3967" w:rsidRDefault="00274D04" w:rsidP="00C43C96">
      <w:pPr>
        <w:spacing w:line="360" w:lineRule="auto"/>
        <w:jc w:val="both"/>
        <w:rPr>
          <w:rFonts w:eastAsiaTheme="majorEastAsia"/>
        </w:rPr>
      </w:pPr>
      <w:r w:rsidRPr="005A3967">
        <w:rPr>
          <w:rFonts w:eastAsiaTheme="majorEastAsia"/>
        </w:rPr>
        <w:t xml:space="preserve">There are also </w:t>
      </w:r>
      <w:r w:rsidRPr="005A3967">
        <w:rPr>
          <w:rFonts w:eastAsiaTheme="majorEastAsia"/>
          <w:b/>
          <w:bCs/>
        </w:rPr>
        <w:t>ethical risks</w:t>
      </w:r>
      <w:r w:rsidRPr="005A3967">
        <w:rPr>
          <w:rFonts w:eastAsiaTheme="majorEastAsia"/>
        </w:rPr>
        <w:t>, including bias in historical data, which can lead to unfair outcomes if not properly managed (Mehrabi et al., 2021). Without strong leadership, stewardship, and quality controls, analytics risks becoming a siloed tool rather than a source of strategic value.</w:t>
      </w:r>
    </w:p>
    <w:p w14:paraId="6A46E864" w14:textId="7659E532" w:rsidR="00B85C2D" w:rsidRPr="005A3967" w:rsidRDefault="00E6553F" w:rsidP="006534BB">
      <w:pPr>
        <w:pStyle w:val="Heading2"/>
        <w:spacing w:line="360" w:lineRule="auto"/>
        <w:rPr>
          <w:rFonts w:ascii="Times New Roman" w:hAnsi="Times New Roman" w:cs="Times New Roman"/>
        </w:rPr>
      </w:pPr>
      <w:bookmarkStart w:id="71" w:name="_Toc202544517"/>
      <w:r w:rsidRPr="005A3967">
        <w:rPr>
          <w:rFonts w:ascii="Times New Roman" w:hAnsi="Times New Roman" w:cs="Times New Roman"/>
        </w:rPr>
        <w:t>5.10 Methodological Reflection and Resource Considerations</w:t>
      </w:r>
      <w:bookmarkEnd w:id="71"/>
    </w:p>
    <w:p w14:paraId="122074F3" w14:textId="71323496" w:rsidR="006534BB" w:rsidRDefault="003B47CB" w:rsidP="006534BB">
      <w:pPr>
        <w:spacing w:line="360" w:lineRule="auto"/>
        <w:jc w:val="both"/>
      </w:pPr>
      <w:r w:rsidRPr="005A3967">
        <w:t xml:space="preserve">The </w:t>
      </w:r>
      <w:r w:rsidRPr="005A3967">
        <w:rPr>
          <w:rStyle w:val="Strong"/>
          <w:rFonts w:eastAsiaTheme="majorEastAsia"/>
        </w:rPr>
        <w:t>single-case study</w:t>
      </w:r>
      <w:r w:rsidRPr="005A3967">
        <w:t xml:space="preserve"> provided rich, context-specific insights into SSE’s analytics maturity</w:t>
      </w:r>
      <w:r w:rsidR="00F80B4E" w:rsidRPr="005A3967">
        <w:t>,</w:t>
      </w:r>
      <w:r w:rsidRPr="005A3967">
        <w:t xml:space="preserve"> but </w:t>
      </w:r>
      <w:r w:rsidR="00F80B4E" w:rsidRPr="005A3967">
        <w:t>it had limited generalisability</w:t>
      </w:r>
      <w:r w:rsidRPr="005A3967">
        <w:t xml:space="preserve">. Findings are cautiously framed, with relevance to similar regulated firms. The research was </w:t>
      </w:r>
      <w:r w:rsidRPr="005A3967">
        <w:rPr>
          <w:rStyle w:val="Strong"/>
          <w:rFonts w:eastAsiaTheme="majorEastAsia"/>
        </w:rPr>
        <w:t>resource-light</w:t>
      </w:r>
      <w:r w:rsidRPr="005A3967">
        <w:t xml:space="preserve">, relying mainly on the researcher’s time, with minimal costs for tools like </w:t>
      </w:r>
      <w:r w:rsidRPr="005A3967">
        <w:rPr>
          <w:rStyle w:val="Strong"/>
          <w:rFonts w:eastAsiaTheme="majorEastAsia"/>
        </w:rPr>
        <w:t>Otter.ai</w:t>
      </w:r>
      <w:r w:rsidRPr="005A3967">
        <w:t xml:space="preserve"> and </w:t>
      </w:r>
      <w:r w:rsidRPr="005A3967">
        <w:rPr>
          <w:rStyle w:val="Strong"/>
          <w:rFonts w:eastAsiaTheme="majorEastAsia"/>
        </w:rPr>
        <w:t>NVivo</w:t>
      </w:r>
      <w:r w:rsidRPr="005A3967">
        <w:t xml:space="preserve">. Access to SSE staff and supervisor input was key. This chapter covered the </w:t>
      </w:r>
      <w:r w:rsidRPr="005A3967">
        <w:rPr>
          <w:rStyle w:val="Strong"/>
          <w:rFonts w:eastAsiaTheme="majorEastAsia"/>
        </w:rPr>
        <w:t>research design</w:t>
      </w:r>
      <w:r w:rsidRPr="005A3967">
        <w:t xml:space="preserve">, methods, and ethics; the next presents the </w:t>
      </w:r>
      <w:r w:rsidRPr="005A3967">
        <w:rPr>
          <w:rStyle w:val="Strong"/>
          <w:rFonts w:eastAsiaTheme="majorEastAsia"/>
        </w:rPr>
        <w:t>empirical findings</w:t>
      </w:r>
      <w:r w:rsidRPr="005A3967">
        <w:t>.</w:t>
      </w:r>
    </w:p>
    <w:p w14:paraId="6D737154" w14:textId="77777777" w:rsidR="00877D08" w:rsidRPr="005A3967" w:rsidRDefault="00877D08" w:rsidP="006534BB">
      <w:pPr>
        <w:spacing w:line="360" w:lineRule="auto"/>
        <w:jc w:val="both"/>
      </w:pPr>
    </w:p>
    <w:p w14:paraId="184F8E7A" w14:textId="0CFFB483" w:rsidR="00B85C2D" w:rsidRPr="005A3967" w:rsidRDefault="003831A5" w:rsidP="006534BB">
      <w:pPr>
        <w:spacing w:line="360" w:lineRule="auto"/>
      </w:pPr>
      <w:bookmarkStart w:id="72" w:name="_Toc202544518"/>
      <w:r w:rsidRPr="005A3967">
        <w:rPr>
          <w:rStyle w:val="Heading3Char"/>
          <w:rFonts w:cs="Times New Roman"/>
        </w:rPr>
        <w:t>5.10.1 Resource and Budget Considerations</w:t>
      </w:r>
      <w:bookmarkEnd w:id="72"/>
      <w:r w:rsidRPr="005A3967">
        <w:br/>
      </w:r>
      <w:r w:rsidR="00B85C2D" w:rsidRPr="005A3967">
        <w:t xml:space="preserve">This study was designed to be low-cost and manageable within the MBA timeline. </w:t>
      </w:r>
      <w:r w:rsidR="00B85C2D" w:rsidRPr="005A3967">
        <w:rPr>
          <w:rStyle w:val="Strong"/>
          <w:rFonts w:eastAsiaTheme="majorEastAsia"/>
        </w:rPr>
        <w:t>Table 1</w:t>
      </w:r>
      <w:r w:rsidR="00A50FDD" w:rsidRPr="005A3967">
        <w:rPr>
          <w:rStyle w:val="Strong"/>
          <w:rFonts w:eastAsiaTheme="majorEastAsia"/>
        </w:rPr>
        <w:t>7</w:t>
      </w:r>
      <w:r w:rsidR="00B85C2D" w:rsidRPr="005A3967">
        <w:t xml:space="preserve"> outlines the key resources, estimated costs, and funding sources. Most expenses were avoided through </w:t>
      </w:r>
      <w:r w:rsidR="0002751E">
        <w:t>the university's</w:t>
      </w:r>
      <w:r w:rsidR="00B85C2D" w:rsidRPr="005A3967">
        <w:t xml:space="preserve"> access to software, voluntary participation, and </w:t>
      </w:r>
      <w:r w:rsidR="009C7077" w:rsidRPr="005A3967">
        <w:t xml:space="preserve">the use of </w:t>
      </w:r>
      <w:r w:rsidR="00B85C2D" w:rsidRPr="005A3967">
        <w:t>free tools. As a result, the research remained both practical and cost-effective.</w:t>
      </w:r>
    </w:p>
    <w:p w14:paraId="1190A946" w14:textId="266424E7" w:rsidR="003831A5" w:rsidRPr="005A3967" w:rsidRDefault="003831A5" w:rsidP="003831A5">
      <w:pPr>
        <w:pStyle w:val="Caption"/>
        <w:rPr>
          <w:b/>
          <w:bCs/>
        </w:rPr>
      </w:pPr>
      <w:bookmarkStart w:id="73" w:name="_Toc201942907"/>
      <w:r w:rsidRPr="005A3967">
        <w:rPr>
          <w:b/>
          <w:bCs/>
        </w:rPr>
        <w:t xml:space="preserve">Table </w:t>
      </w:r>
      <w:r w:rsidRPr="005A3967">
        <w:rPr>
          <w:b/>
          <w:bCs/>
        </w:rPr>
        <w:fldChar w:fldCharType="begin"/>
      </w:r>
      <w:r w:rsidRPr="005A3967">
        <w:rPr>
          <w:b/>
          <w:bCs/>
        </w:rPr>
        <w:instrText xml:space="preserve"> SEQ Table \* ARABIC </w:instrText>
      </w:r>
      <w:r w:rsidRPr="005A3967">
        <w:rPr>
          <w:b/>
          <w:bCs/>
        </w:rPr>
        <w:fldChar w:fldCharType="separate"/>
      </w:r>
      <w:r w:rsidR="00A50FDD" w:rsidRPr="005A3967">
        <w:rPr>
          <w:b/>
          <w:bCs/>
          <w:noProof/>
        </w:rPr>
        <w:t>17</w:t>
      </w:r>
      <w:r w:rsidRPr="005A3967">
        <w:rPr>
          <w:b/>
          <w:bCs/>
          <w:noProof/>
        </w:rPr>
        <w:fldChar w:fldCharType="end"/>
      </w:r>
      <w:r w:rsidRPr="005A3967">
        <w:rPr>
          <w:b/>
          <w:bCs/>
        </w:rPr>
        <w:t>: Summary of Resource and Budget Requirements</w:t>
      </w:r>
      <w:bookmarkEnd w:id="73"/>
    </w:p>
    <w:p w14:paraId="7EBF3E62" w14:textId="3B912CAE" w:rsidR="000D2B2E" w:rsidRPr="005A3967" w:rsidRDefault="000D2B2E" w:rsidP="007E0E51">
      <w:pPr>
        <w:jc w:val="center"/>
      </w:pPr>
      <w:r w:rsidRPr="005A3967">
        <w:rPr>
          <w:noProof/>
          <w14:ligatures w14:val="standardContextual"/>
        </w:rPr>
        <w:drawing>
          <wp:inline distT="0" distB="0" distL="0" distR="0" wp14:anchorId="4B6BD305" wp14:editId="4FA6685F">
            <wp:extent cx="5619876" cy="2802467"/>
            <wp:effectExtent l="0" t="0" r="0" b="4445"/>
            <wp:docPr id="502186648" name="Picture 43"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186648" name="Picture 43" descr="A table with text on it&#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87950" cy="2986015"/>
                    </a:xfrm>
                    <a:prstGeom prst="rect">
                      <a:avLst/>
                    </a:prstGeom>
                  </pic:spPr>
                </pic:pic>
              </a:graphicData>
            </a:graphic>
          </wp:inline>
        </w:drawing>
      </w:r>
    </w:p>
    <w:p w14:paraId="31B7453E" w14:textId="77777777" w:rsidR="00D4161D" w:rsidRPr="005A3967" w:rsidRDefault="00D4161D" w:rsidP="00D4161D"/>
    <w:p w14:paraId="153F32A1" w14:textId="77B61FCD" w:rsidR="003831A5" w:rsidRPr="005A3967" w:rsidRDefault="003831A5" w:rsidP="00C43C96">
      <w:pPr>
        <w:spacing w:line="360" w:lineRule="auto"/>
        <w:jc w:val="both"/>
      </w:pPr>
      <w:r w:rsidRPr="005A3967">
        <w:rPr>
          <w:b/>
          <w:bCs/>
        </w:rPr>
        <w:t>Total Estimated Cost: £0–£20</w:t>
      </w:r>
      <w:r w:rsidRPr="005A3967">
        <w:t>, depending on software preference and printing needs.</w:t>
      </w:r>
    </w:p>
    <w:p w14:paraId="02685D28" w14:textId="28D8B6B6" w:rsidR="003831A5" w:rsidRPr="005A3967" w:rsidRDefault="003831A5" w:rsidP="00C43C96">
      <w:pPr>
        <w:spacing w:line="360" w:lineRule="auto"/>
        <w:jc w:val="both"/>
      </w:pPr>
      <w:r w:rsidRPr="005A3967">
        <w:t>These minimal resource requirements make the project highly feasible within the academic and professional constraints of an MBA dissertation, ensuring both cost-effectiveness and academic rigour.</w:t>
      </w:r>
    </w:p>
    <w:p w14:paraId="48E2CE22" w14:textId="057C2C27" w:rsidR="001A25A0" w:rsidRPr="005A3967" w:rsidRDefault="001A25A0" w:rsidP="001D2D22">
      <w:pPr>
        <w:pStyle w:val="Heading1"/>
        <w:numPr>
          <w:ilvl w:val="0"/>
          <w:numId w:val="3"/>
        </w:numPr>
        <w:spacing w:line="276" w:lineRule="auto"/>
        <w:rPr>
          <w:rFonts w:ascii="Times New Roman" w:hAnsi="Times New Roman" w:cs="Times New Roman"/>
          <w:b/>
          <w:bCs/>
          <w:color w:val="000000" w:themeColor="text1"/>
        </w:rPr>
      </w:pPr>
      <w:bookmarkStart w:id="74" w:name="_Toc202544519"/>
      <w:r w:rsidRPr="005A3967">
        <w:rPr>
          <w:rFonts w:ascii="Times New Roman" w:hAnsi="Times New Roman" w:cs="Times New Roman"/>
          <w:b/>
          <w:bCs/>
          <w:color w:val="000000" w:themeColor="text1"/>
        </w:rPr>
        <w:lastRenderedPageBreak/>
        <w:t>Proposed Approach for Data Analysis and Presentation</w:t>
      </w:r>
      <w:bookmarkEnd w:id="74"/>
    </w:p>
    <w:p w14:paraId="4D000E35" w14:textId="63192EA7" w:rsidR="00743A2C" w:rsidRPr="005A3967" w:rsidRDefault="00743A2C" w:rsidP="00C43C96">
      <w:pPr>
        <w:spacing w:before="100" w:beforeAutospacing="1" w:after="100" w:afterAutospacing="1" w:line="360" w:lineRule="auto"/>
        <w:jc w:val="both"/>
      </w:pPr>
      <w:r w:rsidRPr="005A3967">
        <w:t xml:space="preserve">This chapter outlines how survey, interview, and benchmarking data will be analysed to assess SSE’s predictive analytics maturity. The approach uses both </w:t>
      </w:r>
      <w:r w:rsidRPr="005A3967">
        <w:rPr>
          <w:b/>
          <w:bCs/>
        </w:rPr>
        <w:t>statistical</w:t>
      </w:r>
      <w:r w:rsidRPr="005A3967">
        <w:t xml:space="preserve"> and </w:t>
      </w:r>
      <w:r w:rsidRPr="005A3967">
        <w:rPr>
          <w:b/>
          <w:bCs/>
        </w:rPr>
        <w:t>thematic techniques</w:t>
      </w:r>
      <w:r w:rsidRPr="005A3967">
        <w:t xml:space="preserve"> to align with the research objectives. Supporting visuals</w:t>
      </w:r>
      <w:r w:rsidR="009C7077" w:rsidRPr="005A3967">
        <w:t xml:space="preserve">, </w:t>
      </w:r>
      <w:r w:rsidRPr="005A3967">
        <w:t>including a heatmap and correlation matrix</w:t>
      </w:r>
      <w:r w:rsidR="009C7077" w:rsidRPr="005A3967">
        <w:t xml:space="preserve">, </w:t>
      </w:r>
      <w:r w:rsidRPr="005A3967">
        <w:t xml:space="preserve">are included in </w:t>
      </w:r>
      <w:r w:rsidRPr="005A3967">
        <w:rPr>
          <w:b/>
          <w:bCs/>
        </w:rPr>
        <w:t>Appendix F</w:t>
      </w:r>
      <w:r w:rsidRPr="005A3967">
        <w:t>.</w:t>
      </w:r>
    </w:p>
    <w:p w14:paraId="162DD28F" w14:textId="77777777" w:rsidR="00743A2C" w:rsidRPr="005A3967" w:rsidRDefault="00743A2C" w:rsidP="00743A2C">
      <w:pPr>
        <w:spacing w:before="100" w:beforeAutospacing="1" w:after="100" w:afterAutospacing="1" w:line="360" w:lineRule="auto"/>
      </w:pPr>
      <w:bookmarkStart w:id="75" w:name="_Toc202544520"/>
      <w:r w:rsidRPr="005A3967">
        <w:rPr>
          <w:rStyle w:val="Heading2Char"/>
          <w:rFonts w:ascii="Times New Roman" w:hAnsi="Times New Roman" w:cs="Times New Roman"/>
        </w:rPr>
        <w:t>6.1 Overview of Data Collection</w:t>
      </w:r>
      <w:bookmarkEnd w:id="75"/>
      <w:r w:rsidRPr="005A3967">
        <w:br/>
        <w:t>To ensure validity through triangulation (Yin, 2018), the study draws on three data sources:</w:t>
      </w:r>
    </w:p>
    <w:p w14:paraId="76F3807A" w14:textId="77777777" w:rsidR="00743A2C" w:rsidRPr="005A3967" w:rsidRDefault="00743A2C" w:rsidP="008824B8">
      <w:pPr>
        <w:numPr>
          <w:ilvl w:val="0"/>
          <w:numId w:val="17"/>
        </w:numPr>
        <w:spacing w:before="100" w:beforeAutospacing="1" w:after="100" w:afterAutospacing="1" w:line="360" w:lineRule="auto"/>
      </w:pPr>
      <w:r w:rsidRPr="005A3967">
        <w:rPr>
          <w:b/>
          <w:bCs/>
        </w:rPr>
        <w:t>Quantitative</w:t>
      </w:r>
      <w:r w:rsidRPr="005A3967">
        <w:t>: Surveys from SSE staff across key business units.</w:t>
      </w:r>
    </w:p>
    <w:p w14:paraId="7694C1ED" w14:textId="77777777" w:rsidR="00743A2C" w:rsidRPr="005A3967" w:rsidRDefault="00743A2C" w:rsidP="008824B8">
      <w:pPr>
        <w:numPr>
          <w:ilvl w:val="0"/>
          <w:numId w:val="17"/>
        </w:numPr>
        <w:spacing w:before="100" w:beforeAutospacing="1" w:after="100" w:afterAutospacing="1" w:line="360" w:lineRule="auto"/>
      </w:pPr>
      <w:r w:rsidRPr="005A3967">
        <w:rPr>
          <w:b/>
          <w:bCs/>
        </w:rPr>
        <w:t>Qualitative</w:t>
      </w:r>
      <w:r w:rsidRPr="005A3967">
        <w:t>: Semi-structured interviews with stakeholders.</w:t>
      </w:r>
    </w:p>
    <w:p w14:paraId="43E099CF" w14:textId="77777777" w:rsidR="00743A2C" w:rsidRPr="005A3967" w:rsidRDefault="00743A2C" w:rsidP="008824B8">
      <w:pPr>
        <w:numPr>
          <w:ilvl w:val="0"/>
          <w:numId w:val="17"/>
        </w:numPr>
        <w:spacing w:before="100" w:beforeAutospacing="1" w:after="100" w:afterAutospacing="1" w:line="360" w:lineRule="auto"/>
      </w:pPr>
      <w:r w:rsidRPr="005A3967">
        <w:rPr>
          <w:b/>
          <w:bCs/>
        </w:rPr>
        <w:t>Supplementary</w:t>
      </w:r>
      <w:r w:rsidRPr="005A3967">
        <w:t>: Internal documents and policies.</w:t>
      </w:r>
    </w:p>
    <w:p w14:paraId="0CA61DB3" w14:textId="382ECBDC" w:rsidR="00743A2C" w:rsidRPr="005A3967" w:rsidRDefault="00743A2C" w:rsidP="00C43C96">
      <w:pPr>
        <w:spacing w:before="100" w:beforeAutospacing="1" w:after="100" w:afterAutospacing="1" w:line="360" w:lineRule="auto"/>
        <w:jc w:val="both"/>
      </w:pPr>
      <w:r w:rsidRPr="005A3967">
        <w:t xml:space="preserve">This </w:t>
      </w:r>
      <w:r w:rsidRPr="005A3967">
        <w:rPr>
          <w:b/>
          <w:bCs/>
        </w:rPr>
        <w:t>mixed-methods approach</w:t>
      </w:r>
      <w:r w:rsidRPr="005A3967">
        <w:t>, supported by Zhang et al. (2023) and Thomas &amp; Liu (2022), helps capture both high-level trends and deeper organisational insights</w:t>
      </w:r>
      <w:r w:rsidR="00622DD9">
        <w:t xml:space="preserve">, </w:t>
      </w:r>
      <w:r w:rsidRPr="005A3967">
        <w:t xml:space="preserve">especially valuable in complex, regulated sectors like energy. Findings will measure SSE’s current analytics maturity, identify key enablers and barriers, and highlight areas for improvement. </w:t>
      </w:r>
      <w:r w:rsidRPr="005A3967">
        <w:rPr>
          <w:b/>
          <w:bCs/>
        </w:rPr>
        <w:t>Figure 10</w:t>
      </w:r>
      <w:r w:rsidRPr="005A3967">
        <w:t xml:space="preserve"> presents a bar chart comparing current and target maturity across DELTA and DCAM dimensions, pointing to gaps in governance, integration, and talent development.</w:t>
      </w:r>
    </w:p>
    <w:p w14:paraId="7217E2CC" w14:textId="1EBE0BA5" w:rsidR="005C0BF4" w:rsidRPr="005A3967" w:rsidRDefault="00982CD1" w:rsidP="00C656B3">
      <w:pPr>
        <w:spacing w:before="100" w:beforeAutospacing="1" w:after="100" w:afterAutospacing="1" w:line="360" w:lineRule="auto"/>
        <w:jc w:val="center"/>
      </w:pPr>
      <w:r w:rsidRPr="005A3967">
        <w:fldChar w:fldCharType="begin"/>
      </w:r>
      <w:r w:rsidRPr="005A3967">
        <w:instrText xml:space="preserve"> INCLUDEPICTURE "https://sdmntprpolandcentral.oaiusercontent.com/files/00000000-869c-620a-8e8b-6c3b91bc4e23/raw?se=2025-04-26T20%3A27%3A01Z&amp;sp=r&amp;sv=2024-08-04&amp;sr=b&amp;scid=41d200fb-e258-5704-817f-232c61110020&amp;skoid=06d77cea-897f-49c6-9d78-20f6510f72af&amp;sktid=a48cca56-e6da-484e-a814-9c849652bcb3&amp;skt=2025-04-26T02%3A10%3A33Z&amp;ske=2025-04-27T02%3A10%3A33Z&amp;sks=b&amp;skv=2024-08-04&amp;sig=6DMBdGgTsDnzDcdEklwXNHHEHzr2HWKBBfw9wWHE3gA%3D" \* MERGEFORMATINET </w:instrText>
      </w:r>
      <w:r w:rsidRPr="005A3967">
        <w:fldChar w:fldCharType="separate"/>
      </w:r>
      <w:r w:rsidRPr="005A3967">
        <w:rPr>
          <w:noProof/>
        </w:rPr>
        <w:drawing>
          <wp:inline distT="0" distB="0" distL="0" distR="0" wp14:anchorId="7BD1763B" wp14:editId="4F2B108B">
            <wp:extent cx="4071508" cy="2192866"/>
            <wp:effectExtent l="0" t="0" r="5715" b="4445"/>
            <wp:docPr id="593822555" name="Picture 6"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nerated image"/>
                    <pic:cNvPicPr>
                      <a:picLocks noChangeAspect="1" noChangeArrowheads="1"/>
                    </pic:cNvPicPr>
                  </pic:nvPicPr>
                  <pic:blipFill rotWithShape="1">
                    <a:blip r:embed="rId39">
                      <a:extLst>
                        <a:ext uri="{28A0092B-C50C-407E-A947-70E740481C1C}">
                          <a14:useLocalDpi xmlns:a14="http://schemas.microsoft.com/office/drawing/2010/main" val="0"/>
                        </a:ext>
                      </a:extLst>
                    </a:blip>
                    <a:srcRect l="4538" t="9883" r="6289" b="18072"/>
                    <a:stretch/>
                  </pic:blipFill>
                  <pic:spPr bwMode="auto">
                    <a:xfrm>
                      <a:off x="0" y="0"/>
                      <a:ext cx="4727773" cy="2546323"/>
                    </a:xfrm>
                    <a:prstGeom prst="rect">
                      <a:avLst/>
                    </a:prstGeom>
                    <a:noFill/>
                    <a:ln>
                      <a:noFill/>
                    </a:ln>
                    <a:extLst>
                      <a:ext uri="{53640926-AAD7-44D8-BBD7-CCE9431645EC}">
                        <a14:shadowObscured xmlns:a14="http://schemas.microsoft.com/office/drawing/2010/main"/>
                      </a:ext>
                    </a:extLst>
                  </pic:spPr>
                </pic:pic>
              </a:graphicData>
            </a:graphic>
          </wp:inline>
        </w:drawing>
      </w:r>
      <w:r w:rsidRPr="005A3967">
        <w:rPr>
          <w:rStyle w:val="FootnoteReference"/>
        </w:rPr>
        <w:footnoteReference w:id="22"/>
      </w:r>
      <w:r w:rsidRPr="005A3967">
        <w:fldChar w:fldCharType="end"/>
      </w:r>
    </w:p>
    <w:p w14:paraId="72AD7813" w14:textId="64C3B68D" w:rsidR="005C0BF4" w:rsidRPr="005A3967" w:rsidRDefault="005C0BF4" w:rsidP="00C656B3">
      <w:pPr>
        <w:pStyle w:val="Caption"/>
        <w:jc w:val="center"/>
        <w:rPr>
          <w:b/>
          <w:bCs/>
        </w:rPr>
      </w:pPr>
      <w:bookmarkStart w:id="76" w:name="_Toc201942920"/>
      <w:r w:rsidRPr="005A3967">
        <w:rPr>
          <w:b/>
          <w:bCs/>
        </w:rPr>
        <w:t xml:space="preserve">Figure </w:t>
      </w:r>
      <w:r w:rsidR="00747E01" w:rsidRPr="005A3967">
        <w:rPr>
          <w:b/>
          <w:bCs/>
        </w:rPr>
        <w:fldChar w:fldCharType="begin"/>
      </w:r>
      <w:r w:rsidR="00747E01" w:rsidRPr="005A3967">
        <w:rPr>
          <w:b/>
          <w:bCs/>
        </w:rPr>
        <w:instrText xml:space="preserve"> SEQ Figure \* ARABIC </w:instrText>
      </w:r>
      <w:r w:rsidR="00747E01" w:rsidRPr="005A3967">
        <w:rPr>
          <w:b/>
          <w:bCs/>
        </w:rPr>
        <w:fldChar w:fldCharType="separate"/>
      </w:r>
      <w:r w:rsidR="00747E01" w:rsidRPr="005A3967">
        <w:rPr>
          <w:b/>
          <w:bCs/>
          <w:noProof/>
        </w:rPr>
        <w:t>10</w:t>
      </w:r>
      <w:r w:rsidR="00747E01" w:rsidRPr="005A3967">
        <w:rPr>
          <w:b/>
          <w:bCs/>
          <w:noProof/>
        </w:rPr>
        <w:fldChar w:fldCharType="end"/>
      </w:r>
      <w:r w:rsidRPr="005A3967">
        <w:rPr>
          <w:b/>
          <w:bCs/>
        </w:rPr>
        <w:t xml:space="preserve">: Current vs Target State Analytics Maturity at SSE PLC </w:t>
      </w:r>
      <w:r w:rsidR="00D51EA0" w:rsidRPr="005A3967">
        <w:rPr>
          <w:b/>
          <w:bCs/>
        </w:rPr>
        <w:t>(Author’s elaboration based on DELTA and DCAM frameworks)</w:t>
      </w:r>
      <w:bookmarkEnd w:id="76"/>
    </w:p>
    <w:p w14:paraId="3BF5EA34" w14:textId="6DCEC6FE" w:rsidR="001A25A0" w:rsidRPr="005A3967" w:rsidRDefault="00544E6D" w:rsidP="000A101D">
      <w:pPr>
        <w:pStyle w:val="Heading2"/>
        <w:rPr>
          <w:rFonts w:ascii="Times New Roman" w:hAnsi="Times New Roman" w:cs="Times New Roman"/>
        </w:rPr>
      </w:pPr>
      <w:bookmarkStart w:id="77" w:name="_Toc202544521"/>
      <w:r w:rsidRPr="005A3967">
        <w:rPr>
          <w:rFonts w:ascii="Times New Roman" w:hAnsi="Times New Roman" w:cs="Times New Roman"/>
        </w:rPr>
        <w:lastRenderedPageBreak/>
        <w:t>6</w:t>
      </w:r>
      <w:r w:rsidR="001A25A0" w:rsidRPr="005A3967">
        <w:rPr>
          <w:rFonts w:ascii="Times New Roman" w:hAnsi="Times New Roman" w:cs="Times New Roman"/>
        </w:rPr>
        <w:t>.2 Quantitative Data Analysis: Survey Results</w:t>
      </w:r>
      <w:bookmarkEnd w:id="77"/>
    </w:p>
    <w:p w14:paraId="3F24C671" w14:textId="0E648CB3" w:rsidR="00743A2C" w:rsidRPr="005A3967" w:rsidRDefault="00743A2C" w:rsidP="00C43C96">
      <w:pPr>
        <w:spacing w:before="100" w:beforeAutospacing="1" w:after="100" w:afterAutospacing="1" w:line="360" w:lineRule="auto"/>
        <w:jc w:val="both"/>
      </w:pPr>
      <w:r w:rsidRPr="005A3967">
        <w:t xml:space="preserve">Survey data will be analysed using </w:t>
      </w:r>
      <w:r w:rsidRPr="005A3967">
        <w:rPr>
          <w:b/>
          <w:bCs/>
        </w:rPr>
        <w:t>descriptive statistics</w:t>
      </w:r>
      <w:r w:rsidRPr="005A3967">
        <w:t xml:space="preserve">, including mean scores and standard deviations for each DELTA and DCAM dimension. This will help assess analytics maturity across business units. </w:t>
      </w:r>
      <w:r w:rsidRPr="005A3967">
        <w:rPr>
          <w:b/>
          <w:bCs/>
        </w:rPr>
        <w:t>Bar and radar charts</w:t>
      </w:r>
      <w:r w:rsidRPr="005A3967">
        <w:t xml:space="preserve"> will visually highlight patterns and gaps. Where relevant, </w:t>
      </w:r>
      <w:r w:rsidRPr="005A3967">
        <w:rPr>
          <w:b/>
          <w:bCs/>
        </w:rPr>
        <w:t>cross-tabulations</w:t>
      </w:r>
      <w:r w:rsidRPr="005A3967">
        <w:t xml:space="preserve"> will explore differences in responses by role, department, or length of service</w:t>
      </w:r>
      <w:r w:rsidR="0002751E">
        <w:t xml:space="preserve">, </w:t>
      </w:r>
      <w:r w:rsidRPr="005A3967">
        <w:t>offering a clearer view of how maturity perceptions vary across the organisation.</w:t>
      </w:r>
    </w:p>
    <w:p w14:paraId="5A124F9C" w14:textId="296B4D50" w:rsidR="001A25A0" w:rsidRPr="005A3967" w:rsidRDefault="00544E6D" w:rsidP="000A101D">
      <w:pPr>
        <w:pStyle w:val="Heading2"/>
        <w:rPr>
          <w:rFonts w:ascii="Times New Roman" w:hAnsi="Times New Roman" w:cs="Times New Roman"/>
        </w:rPr>
      </w:pPr>
      <w:bookmarkStart w:id="78" w:name="_Toc202544522"/>
      <w:r w:rsidRPr="005A3967">
        <w:rPr>
          <w:rFonts w:ascii="Times New Roman" w:hAnsi="Times New Roman" w:cs="Times New Roman"/>
        </w:rPr>
        <w:t>6</w:t>
      </w:r>
      <w:r w:rsidR="001A25A0" w:rsidRPr="005A3967">
        <w:rPr>
          <w:rFonts w:ascii="Times New Roman" w:hAnsi="Times New Roman" w:cs="Times New Roman"/>
        </w:rPr>
        <w:t>.3 Qualitative Data Analysis: Interview Findings</w:t>
      </w:r>
      <w:bookmarkEnd w:id="78"/>
    </w:p>
    <w:p w14:paraId="294F565B" w14:textId="77777777" w:rsidR="00743A2C" w:rsidRPr="005A3967" w:rsidRDefault="00743A2C" w:rsidP="00743A2C">
      <w:pPr>
        <w:spacing w:before="100" w:beforeAutospacing="1" w:after="100" w:afterAutospacing="1" w:line="360" w:lineRule="auto"/>
      </w:pPr>
      <w:r w:rsidRPr="005A3967">
        <w:t xml:space="preserve">Interview data will be analysed using </w:t>
      </w:r>
      <w:r w:rsidRPr="005A3967">
        <w:rPr>
          <w:b/>
          <w:bCs/>
        </w:rPr>
        <w:t>Braun and Clarke’s (2006) six-step thematic method</w:t>
      </w:r>
      <w:r w:rsidRPr="005A3967">
        <w:t>:</w:t>
      </w:r>
    </w:p>
    <w:p w14:paraId="63B0BBF2" w14:textId="77777777" w:rsidR="00743A2C" w:rsidRPr="005A3967" w:rsidRDefault="00743A2C" w:rsidP="008824B8">
      <w:pPr>
        <w:numPr>
          <w:ilvl w:val="0"/>
          <w:numId w:val="18"/>
        </w:numPr>
        <w:spacing w:before="100" w:beforeAutospacing="1" w:after="100" w:afterAutospacing="1" w:line="360" w:lineRule="auto"/>
      </w:pPr>
      <w:r w:rsidRPr="005A3967">
        <w:t>Familiarisation</w:t>
      </w:r>
    </w:p>
    <w:p w14:paraId="0E27196B" w14:textId="77777777" w:rsidR="00743A2C" w:rsidRPr="005A3967" w:rsidRDefault="00743A2C" w:rsidP="008824B8">
      <w:pPr>
        <w:numPr>
          <w:ilvl w:val="0"/>
          <w:numId w:val="18"/>
        </w:numPr>
        <w:spacing w:before="100" w:beforeAutospacing="1" w:after="100" w:afterAutospacing="1" w:line="360" w:lineRule="auto"/>
      </w:pPr>
      <w:r w:rsidRPr="005A3967">
        <w:t>Initial coding</w:t>
      </w:r>
    </w:p>
    <w:p w14:paraId="0D06E3EF" w14:textId="77777777" w:rsidR="00743A2C" w:rsidRPr="005A3967" w:rsidRDefault="00743A2C" w:rsidP="008824B8">
      <w:pPr>
        <w:numPr>
          <w:ilvl w:val="0"/>
          <w:numId w:val="18"/>
        </w:numPr>
        <w:spacing w:before="100" w:beforeAutospacing="1" w:after="100" w:afterAutospacing="1" w:line="360" w:lineRule="auto"/>
      </w:pPr>
      <w:r w:rsidRPr="005A3967">
        <w:t>Theme development</w:t>
      </w:r>
    </w:p>
    <w:p w14:paraId="5C62F4EE" w14:textId="77777777" w:rsidR="00743A2C" w:rsidRPr="005A3967" w:rsidRDefault="00743A2C" w:rsidP="008824B8">
      <w:pPr>
        <w:numPr>
          <w:ilvl w:val="0"/>
          <w:numId w:val="18"/>
        </w:numPr>
        <w:spacing w:before="100" w:beforeAutospacing="1" w:after="100" w:afterAutospacing="1" w:line="360" w:lineRule="auto"/>
      </w:pPr>
      <w:r w:rsidRPr="005A3967">
        <w:t>Theme review</w:t>
      </w:r>
    </w:p>
    <w:p w14:paraId="5B5B35A3" w14:textId="77777777" w:rsidR="00743A2C" w:rsidRPr="005A3967" w:rsidRDefault="00743A2C" w:rsidP="008824B8">
      <w:pPr>
        <w:numPr>
          <w:ilvl w:val="0"/>
          <w:numId w:val="18"/>
        </w:numPr>
        <w:spacing w:before="100" w:beforeAutospacing="1" w:after="100" w:afterAutospacing="1" w:line="360" w:lineRule="auto"/>
      </w:pPr>
      <w:r w:rsidRPr="005A3967">
        <w:t>Defining themes</w:t>
      </w:r>
    </w:p>
    <w:p w14:paraId="55258CA0" w14:textId="77777777" w:rsidR="00743A2C" w:rsidRPr="005A3967" w:rsidRDefault="00743A2C" w:rsidP="008824B8">
      <w:pPr>
        <w:numPr>
          <w:ilvl w:val="0"/>
          <w:numId w:val="18"/>
        </w:numPr>
        <w:spacing w:before="100" w:beforeAutospacing="1" w:after="100" w:afterAutospacing="1" w:line="360" w:lineRule="auto"/>
      </w:pPr>
      <w:r w:rsidRPr="005A3967">
        <w:t>Final analysis</w:t>
      </w:r>
    </w:p>
    <w:p w14:paraId="7BF92B86" w14:textId="69997BB8" w:rsidR="00743A2C" w:rsidRPr="005A3967" w:rsidRDefault="00743A2C" w:rsidP="00C43C96">
      <w:pPr>
        <w:spacing w:before="100" w:beforeAutospacing="1" w:after="100" w:afterAutospacing="1" w:line="360" w:lineRule="auto"/>
        <w:jc w:val="both"/>
      </w:pPr>
      <w:r w:rsidRPr="005A3967">
        <w:t xml:space="preserve">Themes will align with the </w:t>
      </w:r>
      <w:r w:rsidRPr="005A3967">
        <w:rPr>
          <w:b/>
          <w:bCs/>
        </w:rPr>
        <w:t>DELTA and DCAM frameworks</w:t>
      </w:r>
      <w:r w:rsidRPr="005A3967">
        <w:t xml:space="preserve">, while also allowing for new insights to emerge inductively. </w:t>
      </w:r>
      <w:r w:rsidRPr="005A3967">
        <w:rPr>
          <w:b/>
          <w:bCs/>
        </w:rPr>
        <w:t>NVivo</w:t>
      </w:r>
      <w:r w:rsidRPr="005A3967">
        <w:t xml:space="preserve"> may be used for coding and organisation.</w:t>
      </w:r>
      <w:r w:rsidR="00F939BB" w:rsidRPr="005A3967">
        <w:t xml:space="preserve"> </w:t>
      </w:r>
      <w:r w:rsidRPr="005A3967">
        <w:rPr>
          <w:b/>
          <w:bCs/>
        </w:rPr>
        <w:t>Figure 11</w:t>
      </w:r>
      <w:r w:rsidRPr="005A3967">
        <w:t xml:space="preserve"> illustrates how predictive analytics is being integrated into SSE’s strategic decision-making process.</w:t>
      </w:r>
    </w:p>
    <w:p w14:paraId="056D13E1" w14:textId="02F6E3F8" w:rsidR="00963216" w:rsidRPr="005A3967" w:rsidRDefault="00963216" w:rsidP="00D0672A">
      <w:pPr>
        <w:spacing w:before="100" w:beforeAutospacing="1" w:after="100" w:afterAutospacing="1" w:line="360" w:lineRule="auto"/>
        <w:jc w:val="center"/>
      </w:pPr>
      <w:r w:rsidRPr="005A3967">
        <w:fldChar w:fldCharType="begin"/>
      </w:r>
      <w:r w:rsidRPr="005A3967">
        <w:instrText xml:space="preserve"> INCLUDEPICTURE "https://sdmntpritalynorth.oaiusercontent.com/files/00000000-9560-6246-9540-6045d2dd3727/raw?se=2025-04-26T20%3A38%3A06Z&amp;sp=r&amp;sv=2024-08-04&amp;sr=b&amp;scid=e8a54b86-38b3-56d1-9901-3c2c6c877d64&amp;skoid=06d77cea-897f-49c6-9d78-20f6510f72af&amp;sktid=a48cca56-e6da-484e-a814-9c849652bcb3&amp;skt=2025-04-26T06%3A04%3A29Z&amp;ske=2025-04-27T06%3A04%3A29Z&amp;sks=b&amp;skv=2024-08-04&amp;sig=6h7uJ8yN2insHGaEEaZtoFaQ2ql5E%2B20%2BqNEps7/jpk%3D" \* MERGEFORMATINET </w:instrText>
      </w:r>
      <w:r w:rsidRPr="005A3967">
        <w:fldChar w:fldCharType="separate"/>
      </w:r>
      <w:r w:rsidRPr="005A3967">
        <w:rPr>
          <w:noProof/>
        </w:rPr>
        <w:drawing>
          <wp:inline distT="0" distB="0" distL="0" distR="0" wp14:anchorId="55113BE2" wp14:editId="2359DAD7">
            <wp:extent cx="3821935" cy="1862939"/>
            <wp:effectExtent l="0" t="0" r="1270" b="4445"/>
            <wp:docPr id="724580339" name="Picture 9"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nerated image"/>
                    <pic:cNvPicPr>
                      <a:picLocks noChangeAspect="1" noChangeArrowheads="1"/>
                    </pic:cNvPicPr>
                  </pic:nvPicPr>
                  <pic:blipFill rotWithShape="1">
                    <a:blip r:embed="rId40">
                      <a:extLst>
                        <a:ext uri="{28A0092B-C50C-407E-A947-70E740481C1C}">
                          <a14:useLocalDpi xmlns:a14="http://schemas.microsoft.com/office/drawing/2010/main" val="0"/>
                        </a:ext>
                      </a:extLst>
                    </a:blip>
                    <a:srcRect l="2489" t="11419" r="3383" b="19755"/>
                    <a:stretch/>
                  </pic:blipFill>
                  <pic:spPr bwMode="auto">
                    <a:xfrm>
                      <a:off x="0" y="0"/>
                      <a:ext cx="4182228" cy="2038558"/>
                    </a:xfrm>
                    <a:prstGeom prst="rect">
                      <a:avLst/>
                    </a:prstGeom>
                    <a:noFill/>
                    <a:ln>
                      <a:noFill/>
                    </a:ln>
                    <a:extLst>
                      <a:ext uri="{53640926-AAD7-44D8-BBD7-CCE9431645EC}">
                        <a14:shadowObscured xmlns:a14="http://schemas.microsoft.com/office/drawing/2010/main"/>
                      </a:ext>
                    </a:extLst>
                  </pic:spPr>
                </pic:pic>
              </a:graphicData>
            </a:graphic>
          </wp:inline>
        </w:drawing>
      </w:r>
      <w:r w:rsidR="009239B2" w:rsidRPr="005A3967">
        <w:rPr>
          <w:rStyle w:val="FootnoteReference"/>
        </w:rPr>
        <w:footnoteReference w:id="23"/>
      </w:r>
      <w:r w:rsidRPr="005A3967">
        <w:fldChar w:fldCharType="end"/>
      </w:r>
    </w:p>
    <w:p w14:paraId="45DDF9DC" w14:textId="65816F96" w:rsidR="00D51EA0" w:rsidRPr="005A3967" w:rsidRDefault="00963216" w:rsidP="00D51EA0">
      <w:pPr>
        <w:pStyle w:val="Caption"/>
        <w:jc w:val="center"/>
        <w:rPr>
          <w:b/>
          <w:bCs/>
        </w:rPr>
      </w:pPr>
      <w:bookmarkStart w:id="79" w:name="_Toc201942921"/>
      <w:r w:rsidRPr="005A3967">
        <w:rPr>
          <w:b/>
          <w:bCs/>
        </w:rPr>
        <w:t xml:space="preserve">Figure </w:t>
      </w:r>
      <w:r w:rsidR="00747E01" w:rsidRPr="005A3967">
        <w:rPr>
          <w:b/>
          <w:bCs/>
        </w:rPr>
        <w:fldChar w:fldCharType="begin"/>
      </w:r>
      <w:r w:rsidR="00747E01" w:rsidRPr="005A3967">
        <w:rPr>
          <w:b/>
          <w:bCs/>
        </w:rPr>
        <w:instrText xml:space="preserve"> SEQ Figure \* ARABIC </w:instrText>
      </w:r>
      <w:r w:rsidR="00747E01" w:rsidRPr="005A3967">
        <w:rPr>
          <w:b/>
          <w:bCs/>
        </w:rPr>
        <w:fldChar w:fldCharType="separate"/>
      </w:r>
      <w:r w:rsidR="00747E01" w:rsidRPr="005A3967">
        <w:rPr>
          <w:b/>
          <w:bCs/>
          <w:noProof/>
        </w:rPr>
        <w:t>11</w:t>
      </w:r>
      <w:r w:rsidR="00747E01" w:rsidRPr="005A3967">
        <w:rPr>
          <w:b/>
          <w:bCs/>
          <w:noProof/>
        </w:rPr>
        <w:fldChar w:fldCharType="end"/>
      </w:r>
      <w:r w:rsidRPr="005A3967">
        <w:rPr>
          <w:b/>
          <w:bCs/>
        </w:rPr>
        <w:t xml:space="preserve">: Predictive Analytics Integration Process into Strategic Decision-Making at SSE PLC </w:t>
      </w:r>
      <w:r w:rsidR="00D51EA0" w:rsidRPr="005A3967">
        <w:rPr>
          <w:b/>
          <w:bCs/>
        </w:rPr>
        <w:t>(Author’s conceptualisatio</w:t>
      </w:r>
      <w:r w:rsidR="008A0038" w:rsidRPr="005A3967">
        <w:rPr>
          <w:b/>
          <w:bCs/>
        </w:rPr>
        <w:t>n</w:t>
      </w:r>
      <w:r w:rsidR="00D51EA0" w:rsidRPr="005A3967">
        <w:rPr>
          <w:b/>
          <w:bCs/>
        </w:rPr>
        <w:t>)</w:t>
      </w:r>
      <w:bookmarkEnd w:id="79"/>
    </w:p>
    <w:p w14:paraId="275EDBB8" w14:textId="535F3F19" w:rsidR="001A25A0" w:rsidRPr="005A3967" w:rsidRDefault="00544E6D" w:rsidP="000A101D">
      <w:pPr>
        <w:pStyle w:val="Heading2"/>
        <w:rPr>
          <w:rFonts w:ascii="Times New Roman" w:hAnsi="Times New Roman" w:cs="Times New Roman"/>
        </w:rPr>
      </w:pPr>
      <w:bookmarkStart w:id="80" w:name="_Toc202544523"/>
      <w:r w:rsidRPr="005A3967">
        <w:rPr>
          <w:rFonts w:ascii="Times New Roman" w:hAnsi="Times New Roman" w:cs="Times New Roman"/>
        </w:rPr>
        <w:lastRenderedPageBreak/>
        <w:t>6</w:t>
      </w:r>
      <w:r w:rsidR="001A25A0" w:rsidRPr="005A3967">
        <w:rPr>
          <w:rFonts w:ascii="Times New Roman" w:hAnsi="Times New Roman" w:cs="Times New Roman"/>
        </w:rPr>
        <w:t>.4 Triangulation Strategy</w:t>
      </w:r>
      <w:bookmarkEnd w:id="80"/>
    </w:p>
    <w:p w14:paraId="4949B6CF" w14:textId="61D74E79" w:rsidR="00A25EEC" w:rsidRPr="005A3967" w:rsidRDefault="00A25EEC" w:rsidP="00A25EEC">
      <w:pPr>
        <w:spacing w:before="100" w:beforeAutospacing="1" w:after="100" w:afterAutospacing="1" w:line="360" w:lineRule="auto"/>
        <w:jc w:val="both"/>
      </w:pPr>
      <w:r w:rsidRPr="005A3967">
        <w:t xml:space="preserve">This study will </w:t>
      </w:r>
      <w:r w:rsidRPr="005A3967">
        <w:rPr>
          <w:b/>
          <w:bCs/>
        </w:rPr>
        <w:t>integrate quantitative and qualitative findings</w:t>
      </w:r>
      <w:r w:rsidRPr="005A3967">
        <w:t xml:space="preserve"> through a structured </w:t>
      </w:r>
      <w:r w:rsidRPr="005A3967">
        <w:rPr>
          <w:b/>
          <w:bCs/>
        </w:rPr>
        <w:t>triangulation approach</w:t>
      </w:r>
      <w:r w:rsidRPr="005A3967">
        <w:t xml:space="preserve">. </w:t>
      </w:r>
      <w:r w:rsidRPr="005A3967">
        <w:rPr>
          <w:i/>
          <w:iCs/>
        </w:rPr>
        <w:t>Convergence</w:t>
      </w:r>
      <w:r w:rsidRPr="005A3967">
        <w:t xml:space="preserve">, </w:t>
      </w:r>
      <w:r w:rsidRPr="005A3967">
        <w:rPr>
          <w:i/>
          <w:iCs/>
        </w:rPr>
        <w:t>divergence</w:t>
      </w:r>
      <w:r w:rsidRPr="005A3967">
        <w:t xml:space="preserve">, and </w:t>
      </w:r>
      <w:r w:rsidRPr="005A3967">
        <w:rPr>
          <w:i/>
          <w:iCs/>
        </w:rPr>
        <w:t>complementarity</w:t>
      </w:r>
      <w:r w:rsidRPr="005A3967">
        <w:t xml:space="preserve"> between </w:t>
      </w:r>
      <w:r w:rsidRPr="005A3967">
        <w:rPr>
          <w:b/>
          <w:bCs/>
        </w:rPr>
        <w:t>survey data</w:t>
      </w:r>
      <w:r w:rsidRPr="005A3967">
        <w:t xml:space="preserve"> and </w:t>
      </w:r>
      <w:r w:rsidRPr="005A3967">
        <w:rPr>
          <w:b/>
          <w:bCs/>
        </w:rPr>
        <w:t>interview insights</w:t>
      </w:r>
      <w:r w:rsidRPr="005A3967">
        <w:t xml:space="preserve"> will be examined to enhance </w:t>
      </w:r>
      <w:r w:rsidR="0002751E">
        <w:rPr>
          <w:b/>
          <w:bCs/>
        </w:rPr>
        <w:t>the</w:t>
      </w:r>
      <w:r w:rsidRPr="005A3967">
        <w:rPr>
          <w:b/>
          <w:bCs/>
        </w:rPr>
        <w:t xml:space="preserve"> robustness</w:t>
      </w:r>
      <w:r w:rsidRPr="005A3967">
        <w:t xml:space="preserve"> </w:t>
      </w:r>
      <w:r w:rsidR="0002751E">
        <w:t xml:space="preserve">of conclusions </w:t>
      </w:r>
      <w:r w:rsidRPr="005A3967">
        <w:rPr>
          <w:i/>
          <w:iCs/>
        </w:rPr>
        <w:t>(Creswell &amp; Plano Clark, 2018)</w:t>
      </w:r>
      <w:r w:rsidRPr="005A3967">
        <w:t>.</w:t>
      </w:r>
      <w:r w:rsidR="00172F12" w:rsidRPr="005A3967">
        <w:t xml:space="preserve"> </w:t>
      </w:r>
      <w:r w:rsidRPr="005A3967">
        <w:t xml:space="preserve">An </w:t>
      </w:r>
      <w:r w:rsidRPr="005A3967">
        <w:rPr>
          <w:b/>
          <w:bCs/>
        </w:rPr>
        <w:t>integration matrix</w:t>
      </w:r>
      <w:r w:rsidRPr="005A3967">
        <w:t xml:space="preserve"> will map alignment and contradiction across data strands. To improve synthesis, a </w:t>
      </w:r>
      <w:r w:rsidRPr="005A3967">
        <w:rPr>
          <w:b/>
          <w:bCs/>
        </w:rPr>
        <w:t>joint display</w:t>
      </w:r>
      <w:r w:rsidRPr="005A3967">
        <w:t xml:space="preserve"> will visually highlight areas where survey results and interview themes </w:t>
      </w:r>
      <w:r w:rsidRPr="005A3967">
        <w:rPr>
          <w:b/>
          <w:bCs/>
        </w:rPr>
        <w:t>reinforce or diverge</w:t>
      </w:r>
      <w:r w:rsidRPr="005A3967">
        <w:t xml:space="preserve">, </w:t>
      </w:r>
      <w:r w:rsidR="0002751E">
        <w:t xml:space="preserve">thereby </w:t>
      </w:r>
      <w:r w:rsidRPr="005A3967">
        <w:t xml:space="preserve">strengthening </w:t>
      </w:r>
      <w:r w:rsidR="0002751E">
        <w:rPr>
          <w:b/>
          <w:bCs/>
        </w:rPr>
        <w:t>the</w:t>
      </w:r>
      <w:r w:rsidRPr="005A3967">
        <w:rPr>
          <w:b/>
          <w:bCs/>
        </w:rPr>
        <w:t xml:space="preserve"> clarity</w:t>
      </w:r>
      <w:r w:rsidRPr="005A3967">
        <w:t xml:space="preserve"> </w:t>
      </w:r>
      <w:r w:rsidR="0002751E">
        <w:t xml:space="preserve">of evidence </w:t>
      </w:r>
      <w:r w:rsidRPr="005A3967">
        <w:t>in the final dissertation.</w:t>
      </w:r>
    </w:p>
    <w:p w14:paraId="3DE3ACC4" w14:textId="2F943896" w:rsidR="001A25A0" w:rsidRPr="005A3967" w:rsidRDefault="00544E6D" w:rsidP="000A101D">
      <w:pPr>
        <w:pStyle w:val="Heading2"/>
        <w:rPr>
          <w:rFonts w:ascii="Times New Roman" w:hAnsi="Times New Roman" w:cs="Times New Roman"/>
        </w:rPr>
      </w:pPr>
      <w:bookmarkStart w:id="81" w:name="_Toc202544524"/>
      <w:r w:rsidRPr="005A3967">
        <w:rPr>
          <w:rFonts w:ascii="Times New Roman" w:hAnsi="Times New Roman" w:cs="Times New Roman"/>
        </w:rPr>
        <w:t>6</w:t>
      </w:r>
      <w:r w:rsidR="001A25A0" w:rsidRPr="005A3967">
        <w:rPr>
          <w:rFonts w:ascii="Times New Roman" w:hAnsi="Times New Roman" w:cs="Times New Roman"/>
        </w:rPr>
        <w:t>.5 Summary of Planned Data Analysis</w:t>
      </w:r>
      <w:bookmarkEnd w:id="81"/>
    </w:p>
    <w:p w14:paraId="2708CB1F" w14:textId="77777777" w:rsidR="00154A3B" w:rsidRPr="005A3967" w:rsidRDefault="00154A3B" w:rsidP="00154A3B">
      <w:pPr>
        <w:spacing w:before="100" w:beforeAutospacing="1" w:after="100" w:afterAutospacing="1" w:line="360" w:lineRule="auto"/>
        <w:jc w:val="both"/>
      </w:pPr>
      <w:r w:rsidRPr="005A3967">
        <w:t xml:space="preserve">This study uses a </w:t>
      </w:r>
      <w:r w:rsidRPr="005A3967">
        <w:rPr>
          <w:b/>
          <w:bCs/>
        </w:rPr>
        <w:t>structured mixed-methods approach</w:t>
      </w:r>
      <w:r w:rsidRPr="005A3967">
        <w:t xml:space="preserve"> to assess </w:t>
      </w:r>
      <w:r w:rsidRPr="005A3967">
        <w:rPr>
          <w:b/>
          <w:bCs/>
        </w:rPr>
        <w:t>SSE’s readiness</w:t>
      </w:r>
      <w:r w:rsidRPr="005A3967">
        <w:t xml:space="preserve"> for predictive analytics, combining </w:t>
      </w:r>
      <w:r w:rsidRPr="005A3967">
        <w:rPr>
          <w:i/>
          <w:iCs/>
        </w:rPr>
        <w:t>quantitative surveys</w:t>
      </w:r>
      <w:r w:rsidRPr="005A3967">
        <w:t xml:space="preserve"> and </w:t>
      </w:r>
      <w:r w:rsidRPr="005A3967">
        <w:rPr>
          <w:i/>
          <w:iCs/>
        </w:rPr>
        <w:t>qualitative interviews</w:t>
      </w:r>
      <w:r w:rsidRPr="005A3967">
        <w:t>.</w:t>
      </w:r>
    </w:p>
    <w:p w14:paraId="176521DB" w14:textId="77777777" w:rsidR="00154A3B" w:rsidRPr="005A3967" w:rsidRDefault="00154A3B" w:rsidP="00154A3B">
      <w:pPr>
        <w:spacing w:before="100" w:beforeAutospacing="1" w:after="100" w:afterAutospacing="1" w:line="360" w:lineRule="auto"/>
        <w:jc w:val="both"/>
      </w:pPr>
      <w:r w:rsidRPr="005A3967">
        <w:t>The analysis will:</w:t>
      </w:r>
    </w:p>
    <w:p w14:paraId="1DD08DE0" w14:textId="77777777" w:rsidR="00154A3B" w:rsidRPr="005A3967" w:rsidRDefault="00154A3B" w:rsidP="008824B8">
      <w:pPr>
        <w:numPr>
          <w:ilvl w:val="0"/>
          <w:numId w:val="46"/>
        </w:numPr>
        <w:spacing w:before="100" w:beforeAutospacing="1" w:after="100" w:afterAutospacing="1" w:line="360" w:lineRule="auto"/>
        <w:jc w:val="both"/>
      </w:pPr>
      <w:r w:rsidRPr="005A3967">
        <w:rPr>
          <w:b/>
          <w:bCs/>
        </w:rPr>
        <w:t>Map analytics maturity</w:t>
      </w:r>
      <w:r w:rsidRPr="005A3967">
        <w:t xml:space="preserve"> using survey data aligned with </w:t>
      </w:r>
      <w:r w:rsidRPr="005A3967">
        <w:rPr>
          <w:i/>
          <w:iCs/>
        </w:rPr>
        <w:t>DELTA</w:t>
      </w:r>
      <w:r w:rsidRPr="005A3967">
        <w:t xml:space="preserve"> and </w:t>
      </w:r>
      <w:r w:rsidRPr="005A3967">
        <w:rPr>
          <w:i/>
          <w:iCs/>
        </w:rPr>
        <w:t>DCAM</w:t>
      </w:r>
    </w:p>
    <w:p w14:paraId="64DF9082" w14:textId="77777777" w:rsidR="00154A3B" w:rsidRPr="005A3967" w:rsidRDefault="00154A3B" w:rsidP="008824B8">
      <w:pPr>
        <w:numPr>
          <w:ilvl w:val="0"/>
          <w:numId w:val="46"/>
        </w:numPr>
        <w:spacing w:before="100" w:beforeAutospacing="1" w:after="100" w:afterAutospacing="1" w:line="360" w:lineRule="auto"/>
        <w:jc w:val="both"/>
      </w:pPr>
      <w:r w:rsidRPr="005A3967">
        <w:rPr>
          <w:b/>
          <w:bCs/>
        </w:rPr>
        <w:t>Identify enablers and barriers</w:t>
      </w:r>
      <w:r w:rsidRPr="005A3967">
        <w:t xml:space="preserve"> through </w:t>
      </w:r>
      <w:r w:rsidRPr="005A3967">
        <w:rPr>
          <w:i/>
          <w:iCs/>
        </w:rPr>
        <w:t>thematic interview analysis</w:t>
      </w:r>
    </w:p>
    <w:p w14:paraId="6FB7A5AA" w14:textId="77777777" w:rsidR="00154A3B" w:rsidRPr="005A3967" w:rsidRDefault="00154A3B" w:rsidP="008824B8">
      <w:pPr>
        <w:numPr>
          <w:ilvl w:val="0"/>
          <w:numId w:val="46"/>
        </w:numPr>
        <w:spacing w:before="100" w:beforeAutospacing="1" w:after="100" w:afterAutospacing="1" w:line="360" w:lineRule="auto"/>
        <w:jc w:val="both"/>
      </w:pPr>
      <w:r w:rsidRPr="005A3967">
        <w:rPr>
          <w:b/>
          <w:bCs/>
        </w:rPr>
        <w:t>Triangulate findings</w:t>
      </w:r>
      <w:r w:rsidRPr="005A3967">
        <w:t xml:space="preserve"> for a comprehensive, </w:t>
      </w:r>
      <w:r w:rsidRPr="005A3967">
        <w:rPr>
          <w:i/>
          <w:iCs/>
        </w:rPr>
        <w:t>evidence-based view</w:t>
      </w:r>
    </w:p>
    <w:p w14:paraId="735B4DCF" w14:textId="77777777" w:rsidR="00154A3B" w:rsidRPr="005A3967" w:rsidRDefault="00154A3B" w:rsidP="008824B8">
      <w:pPr>
        <w:numPr>
          <w:ilvl w:val="0"/>
          <w:numId w:val="46"/>
        </w:numPr>
        <w:spacing w:before="100" w:beforeAutospacing="1" w:after="100" w:afterAutospacing="1" w:line="360" w:lineRule="auto"/>
        <w:jc w:val="both"/>
      </w:pPr>
      <w:r w:rsidRPr="005A3967">
        <w:t xml:space="preserve">Highlight </w:t>
      </w:r>
      <w:r w:rsidRPr="005A3967">
        <w:rPr>
          <w:b/>
          <w:bCs/>
        </w:rPr>
        <w:t>strengths</w:t>
      </w:r>
      <w:r w:rsidRPr="005A3967">
        <w:t xml:space="preserve">, </w:t>
      </w:r>
      <w:r w:rsidRPr="005A3967">
        <w:rPr>
          <w:b/>
          <w:bCs/>
        </w:rPr>
        <w:t>gaps</w:t>
      </w:r>
      <w:r w:rsidRPr="005A3967">
        <w:t xml:space="preserve">, and deliver </w:t>
      </w:r>
      <w:r w:rsidRPr="005A3967">
        <w:rPr>
          <w:b/>
          <w:bCs/>
        </w:rPr>
        <w:t>practical recommendations</w:t>
      </w:r>
    </w:p>
    <w:p w14:paraId="10C5035A" w14:textId="77777777" w:rsidR="00154A3B" w:rsidRPr="005A3967" w:rsidRDefault="00154A3B" w:rsidP="00154A3B">
      <w:pPr>
        <w:spacing w:before="100" w:beforeAutospacing="1" w:after="100" w:afterAutospacing="1" w:line="360" w:lineRule="auto"/>
        <w:jc w:val="both"/>
      </w:pPr>
      <w:r w:rsidRPr="005A3967">
        <w:t xml:space="preserve">A </w:t>
      </w:r>
      <w:r w:rsidRPr="005A3967">
        <w:rPr>
          <w:b/>
          <w:bCs/>
        </w:rPr>
        <w:t>crosswalk table</w:t>
      </w:r>
      <w:r w:rsidRPr="005A3967">
        <w:t xml:space="preserve"> will link specific </w:t>
      </w:r>
      <w:r w:rsidRPr="005A3967">
        <w:rPr>
          <w:i/>
          <w:iCs/>
        </w:rPr>
        <w:t>survey and interview insights</w:t>
      </w:r>
      <w:r w:rsidRPr="005A3967">
        <w:t xml:space="preserve"> to each roadmap recommendation. Additionally, the </w:t>
      </w:r>
      <w:r w:rsidRPr="005A3967">
        <w:rPr>
          <w:b/>
          <w:bCs/>
        </w:rPr>
        <w:t>SOAR framework</w:t>
      </w:r>
      <w:r w:rsidRPr="005A3967">
        <w:t xml:space="preserve"> (</w:t>
      </w:r>
      <w:r w:rsidRPr="005A3967">
        <w:rPr>
          <w:i/>
          <w:iCs/>
        </w:rPr>
        <w:t>Appendix E.3</w:t>
      </w:r>
      <w:r w:rsidRPr="005A3967">
        <w:t xml:space="preserve">) outlines </w:t>
      </w:r>
      <w:r w:rsidRPr="005A3967">
        <w:rPr>
          <w:b/>
          <w:bCs/>
        </w:rPr>
        <w:t>aspirational goals</w:t>
      </w:r>
      <w:r w:rsidRPr="005A3967">
        <w:t xml:space="preserve">, complementing earlier </w:t>
      </w:r>
      <w:r w:rsidRPr="005A3967">
        <w:rPr>
          <w:i/>
          <w:iCs/>
        </w:rPr>
        <w:t>SWOT</w:t>
      </w:r>
      <w:r w:rsidRPr="005A3967">
        <w:t xml:space="preserve"> and </w:t>
      </w:r>
      <w:r w:rsidRPr="005A3967">
        <w:rPr>
          <w:i/>
          <w:iCs/>
        </w:rPr>
        <w:t>PESTEL</w:t>
      </w:r>
      <w:r w:rsidRPr="005A3967">
        <w:t xml:space="preserve"> analyses to guide </w:t>
      </w:r>
      <w:r w:rsidRPr="005A3967">
        <w:rPr>
          <w:b/>
          <w:bCs/>
        </w:rPr>
        <w:t>strategic transformation</w:t>
      </w:r>
      <w:r w:rsidRPr="005A3967">
        <w:t>.</w:t>
      </w:r>
    </w:p>
    <w:p w14:paraId="58D2CBE2" w14:textId="6A501E1F" w:rsidR="005E0979" w:rsidRPr="005A3967" w:rsidRDefault="0082472D" w:rsidP="0082472D">
      <w:pPr>
        <w:pStyle w:val="Heading3"/>
        <w:rPr>
          <w:rFonts w:cs="Times New Roman"/>
        </w:rPr>
      </w:pPr>
      <w:bookmarkStart w:id="82" w:name="_Toc202544525"/>
      <w:r w:rsidRPr="005A3967">
        <w:rPr>
          <w:rFonts w:cs="Times New Roman"/>
        </w:rPr>
        <w:t xml:space="preserve">6.5.1 </w:t>
      </w:r>
      <w:r w:rsidR="005E0979" w:rsidRPr="005A3967">
        <w:rPr>
          <w:rFonts w:eastAsia="Times New Roman" w:cs="Times New Roman"/>
        </w:rPr>
        <w:t>Integration Across Data Sources</w:t>
      </w:r>
      <w:bookmarkEnd w:id="82"/>
    </w:p>
    <w:p w14:paraId="29E49224" w14:textId="1FFA56B0" w:rsidR="005E0979" w:rsidRDefault="005E0979" w:rsidP="005E0979">
      <w:pPr>
        <w:spacing w:before="100" w:beforeAutospacing="1" w:after="100" w:afterAutospacing="1" w:line="360" w:lineRule="auto"/>
        <w:jc w:val="both"/>
      </w:pPr>
      <w:r w:rsidRPr="005A3967">
        <w:t xml:space="preserve">To ensure </w:t>
      </w:r>
      <w:r w:rsidRPr="005A3967">
        <w:rPr>
          <w:i/>
          <w:iCs/>
        </w:rPr>
        <w:t>transparency</w:t>
      </w:r>
      <w:r w:rsidRPr="005A3967">
        <w:t xml:space="preserve"> and </w:t>
      </w:r>
      <w:r w:rsidRPr="005A3967">
        <w:rPr>
          <w:i/>
          <w:iCs/>
        </w:rPr>
        <w:t>coherence</w:t>
      </w:r>
      <w:r w:rsidRPr="005A3967">
        <w:t xml:space="preserve">, a </w:t>
      </w:r>
      <w:r w:rsidRPr="005A3967">
        <w:rPr>
          <w:b/>
          <w:bCs/>
        </w:rPr>
        <w:t>visual matrix</w:t>
      </w:r>
      <w:r w:rsidRPr="005A3967">
        <w:t xml:space="preserve"> (see </w:t>
      </w:r>
      <w:r w:rsidRPr="005A3967">
        <w:rPr>
          <w:i/>
          <w:iCs/>
        </w:rPr>
        <w:t>Table 18</w:t>
      </w:r>
      <w:r w:rsidRPr="005A3967">
        <w:t xml:space="preserve">) will </w:t>
      </w:r>
      <w:r w:rsidR="0002751E">
        <w:t xml:space="preserve">be used to </w:t>
      </w:r>
      <w:r w:rsidRPr="005A3967">
        <w:t xml:space="preserve">link </w:t>
      </w:r>
      <w:r w:rsidRPr="005A3967">
        <w:rPr>
          <w:b/>
          <w:bCs/>
        </w:rPr>
        <w:t>key survey and interview findings</w:t>
      </w:r>
      <w:r w:rsidRPr="005A3967">
        <w:t xml:space="preserve"> to each </w:t>
      </w:r>
      <w:r w:rsidRPr="005A3967">
        <w:rPr>
          <w:b/>
          <w:bCs/>
        </w:rPr>
        <w:t>strategic theme</w:t>
      </w:r>
      <w:r w:rsidRPr="005A3967">
        <w:t xml:space="preserve">. This will </w:t>
      </w:r>
      <w:r w:rsidR="0002751E">
        <w:t>illustrate</w:t>
      </w:r>
      <w:r w:rsidRPr="005A3967">
        <w:t xml:space="preserve"> where insights </w:t>
      </w:r>
      <w:r w:rsidRPr="005A3967">
        <w:rPr>
          <w:b/>
          <w:bCs/>
        </w:rPr>
        <w:t>converge</w:t>
      </w:r>
      <w:r w:rsidRPr="005A3967">
        <w:t xml:space="preserve">, </w:t>
      </w:r>
      <w:r w:rsidRPr="005A3967">
        <w:rPr>
          <w:b/>
          <w:bCs/>
        </w:rPr>
        <w:t>diverge</w:t>
      </w:r>
      <w:r w:rsidRPr="005A3967">
        <w:t xml:space="preserve">, or </w:t>
      </w:r>
      <w:r w:rsidRPr="005A3967">
        <w:rPr>
          <w:b/>
          <w:bCs/>
        </w:rPr>
        <w:t>complement</w:t>
      </w:r>
      <w:r w:rsidR="0002751E">
        <w:rPr>
          <w:b/>
          <w:bCs/>
        </w:rPr>
        <w:t xml:space="preserve"> each other</w:t>
      </w:r>
      <w:r w:rsidRPr="005A3967">
        <w:t xml:space="preserve">, thereby reinforcing the </w:t>
      </w:r>
      <w:r w:rsidRPr="005A3967">
        <w:rPr>
          <w:b/>
          <w:bCs/>
        </w:rPr>
        <w:t>validity</w:t>
      </w:r>
      <w:r w:rsidRPr="005A3967">
        <w:t xml:space="preserve"> of the proposed roadmap.</w:t>
      </w:r>
    </w:p>
    <w:p w14:paraId="67F93391" w14:textId="77777777" w:rsidR="00B9205A" w:rsidRDefault="00B9205A" w:rsidP="005E0979">
      <w:pPr>
        <w:spacing w:before="100" w:beforeAutospacing="1" w:after="100" w:afterAutospacing="1" w:line="360" w:lineRule="auto"/>
        <w:jc w:val="both"/>
      </w:pPr>
    </w:p>
    <w:p w14:paraId="4781B461" w14:textId="77777777" w:rsidR="00B9205A" w:rsidRPr="005A3967" w:rsidRDefault="00B9205A" w:rsidP="005E0979">
      <w:pPr>
        <w:spacing w:before="100" w:beforeAutospacing="1" w:after="100" w:afterAutospacing="1" w:line="360" w:lineRule="auto"/>
        <w:jc w:val="both"/>
      </w:pPr>
    </w:p>
    <w:p w14:paraId="540E79EE" w14:textId="53E9B676" w:rsidR="00D04DEA" w:rsidRPr="005A3967" w:rsidRDefault="00D04DEA" w:rsidP="00D04DEA">
      <w:pPr>
        <w:pStyle w:val="Caption"/>
        <w:rPr>
          <w:b/>
          <w:bCs/>
        </w:rPr>
      </w:pPr>
      <w:bookmarkStart w:id="83" w:name="_Toc201942908"/>
      <w:r w:rsidRPr="005A3967">
        <w:rPr>
          <w:b/>
          <w:bCs/>
        </w:rPr>
        <w:lastRenderedPageBreak/>
        <w:t xml:space="preserve">Table </w:t>
      </w:r>
      <w:r w:rsidRPr="005A3967">
        <w:rPr>
          <w:b/>
          <w:bCs/>
        </w:rPr>
        <w:fldChar w:fldCharType="begin"/>
      </w:r>
      <w:r w:rsidRPr="005A3967">
        <w:rPr>
          <w:b/>
          <w:bCs/>
        </w:rPr>
        <w:instrText xml:space="preserve"> SEQ Table \* ARABIC </w:instrText>
      </w:r>
      <w:r w:rsidRPr="005A3967">
        <w:rPr>
          <w:b/>
          <w:bCs/>
        </w:rPr>
        <w:fldChar w:fldCharType="separate"/>
      </w:r>
      <w:r w:rsidR="00A50FDD" w:rsidRPr="005A3967">
        <w:rPr>
          <w:b/>
          <w:bCs/>
          <w:noProof/>
        </w:rPr>
        <w:t>18</w:t>
      </w:r>
      <w:r w:rsidRPr="005A3967">
        <w:rPr>
          <w:b/>
          <w:bCs/>
        </w:rPr>
        <w:fldChar w:fldCharType="end"/>
      </w:r>
      <w:r w:rsidRPr="005A3967">
        <w:rPr>
          <w:b/>
          <w:bCs/>
        </w:rPr>
        <w:t>: Integration of Quantitative and Qualitative Insights Across Key Strategic Themes (Author’s synthesis, 2025)</w:t>
      </w:r>
      <w:r w:rsidRPr="005A3967">
        <w:rPr>
          <w:rStyle w:val="FootnoteReference"/>
          <w:b/>
          <w:bCs/>
        </w:rPr>
        <w:footnoteReference w:id="24"/>
      </w:r>
      <w:bookmarkEnd w:id="83"/>
    </w:p>
    <w:p w14:paraId="379026A8" w14:textId="52085F93" w:rsidR="00D04DEA" w:rsidRPr="005A3967" w:rsidRDefault="00D04DEA" w:rsidP="00D04DEA">
      <w:pPr>
        <w:jc w:val="center"/>
      </w:pPr>
      <w:r w:rsidRPr="005A3967">
        <w:rPr>
          <w:noProof/>
          <w14:ligatures w14:val="standardContextual"/>
        </w:rPr>
        <w:drawing>
          <wp:inline distT="0" distB="0" distL="0" distR="0" wp14:anchorId="264762AB" wp14:editId="56B3ED60">
            <wp:extent cx="5824042" cy="3623733"/>
            <wp:effectExtent l="0" t="0" r="5715" b="0"/>
            <wp:docPr id="1235880815" name="Picture 48" descr="A table of survey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880815" name="Picture 48" descr="A table of survey results&#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861192" cy="3646848"/>
                    </a:xfrm>
                    <a:prstGeom prst="rect">
                      <a:avLst/>
                    </a:prstGeom>
                  </pic:spPr>
                </pic:pic>
              </a:graphicData>
            </a:graphic>
          </wp:inline>
        </w:drawing>
      </w:r>
    </w:p>
    <w:p w14:paraId="2A8C043E" w14:textId="13937786" w:rsidR="00390ED1" w:rsidRPr="005A3967" w:rsidRDefault="00390ED1" w:rsidP="00D04DEA">
      <w:pPr>
        <w:spacing w:before="100" w:beforeAutospacing="1" w:after="100" w:afterAutospacing="1" w:line="360" w:lineRule="auto"/>
        <w:jc w:val="both"/>
      </w:pPr>
      <w:r w:rsidRPr="005A3967">
        <w:rPr>
          <w:rStyle w:val="Emphasis"/>
          <w:rFonts w:eastAsiaTheme="majorEastAsia"/>
        </w:rPr>
        <w:t>This table will be finalised post–primary research.</w:t>
      </w:r>
      <w:r w:rsidRPr="005A3967">
        <w:t xml:space="preserve"> </w:t>
      </w:r>
      <w:r w:rsidRPr="005A3967">
        <w:rPr>
          <w:rStyle w:val="Strong"/>
          <w:rFonts w:eastAsiaTheme="majorEastAsia"/>
        </w:rPr>
        <w:t>Alignment categories</w:t>
      </w:r>
      <w:r w:rsidRPr="005A3967">
        <w:t xml:space="preserve"> are currently </w:t>
      </w:r>
      <w:r w:rsidRPr="005A3967">
        <w:rPr>
          <w:rStyle w:val="Emphasis"/>
          <w:rFonts w:eastAsiaTheme="majorEastAsia"/>
        </w:rPr>
        <w:t>indicative</w:t>
      </w:r>
      <w:r w:rsidRPr="005A3967">
        <w:t xml:space="preserve">, drawn from the </w:t>
      </w:r>
      <w:r w:rsidRPr="005A3967">
        <w:rPr>
          <w:rStyle w:val="Strong"/>
          <w:rFonts w:eastAsiaTheme="majorEastAsia"/>
        </w:rPr>
        <w:t>literature review</w:t>
      </w:r>
      <w:r w:rsidRPr="005A3967">
        <w:t xml:space="preserve"> and early </w:t>
      </w:r>
      <w:r w:rsidRPr="005A3967">
        <w:rPr>
          <w:rStyle w:val="Strong"/>
          <w:rFonts w:eastAsiaTheme="majorEastAsia"/>
        </w:rPr>
        <w:t>scoping insights</w:t>
      </w:r>
      <w:r w:rsidRPr="005A3967">
        <w:t xml:space="preserve">. Once populated with field data, the </w:t>
      </w:r>
      <w:r w:rsidRPr="005A3967">
        <w:rPr>
          <w:rStyle w:val="Strong"/>
          <w:rFonts w:eastAsiaTheme="majorEastAsia"/>
        </w:rPr>
        <w:t>joint display</w:t>
      </w:r>
      <w:r w:rsidRPr="005A3967">
        <w:t xml:space="preserve"> will serve as a </w:t>
      </w:r>
      <w:r w:rsidRPr="005A3967">
        <w:rPr>
          <w:rStyle w:val="Strong"/>
          <w:rFonts w:eastAsiaTheme="majorEastAsia"/>
        </w:rPr>
        <w:t>core validation tool</w:t>
      </w:r>
      <w:r w:rsidR="0002751E">
        <w:t xml:space="preserve">, </w:t>
      </w:r>
      <w:r w:rsidRPr="005A3967">
        <w:t xml:space="preserve">linking </w:t>
      </w:r>
      <w:r w:rsidRPr="005A3967">
        <w:rPr>
          <w:rStyle w:val="Strong"/>
          <w:rFonts w:eastAsiaTheme="majorEastAsia"/>
        </w:rPr>
        <w:t>organisational priorities</w:t>
      </w:r>
      <w:r w:rsidRPr="005A3967">
        <w:t xml:space="preserve"> to </w:t>
      </w:r>
      <w:r w:rsidRPr="005A3967">
        <w:rPr>
          <w:rStyle w:val="Strong"/>
          <w:rFonts w:eastAsiaTheme="majorEastAsia"/>
        </w:rPr>
        <w:t>data governance challenges</w:t>
      </w:r>
      <w:r w:rsidRPr="005A3967">
        <w:t xml:space="preserve"> in </w:t>
      </w:r>
      <w:r w:rsidRPr="005A3967">
        <w:rPr>
          <w:rStyle w:val="Strong"/>
          <w:rFonts w:eastAsiaTheme="majorEastAsia"/>
        </w:rPr>
        <w:t>SSE PLC’s predictive analytics journey</w:t>
      </w:r>
      <w:r w:rsidRPr="005A3967">
        <w:t xml:space="preserve"> and guiding </w:t>
      </w:r>
      <w:r w:rsidRPr="005A3967">
        <w:rPr>
          <w:rStyle w:val="Strong"/>
          <w:rFonts w:eastAsiaTheme="majorEastAsia"/>
        </w:rPr>
        <w:t>evidence-based recommendations</w:t>
      </w:r>
      <w:r w:rsidRPr="005A3967">
        <w:t>.</w:t>
      </w:r>
    </w:p>
    <w:p w14:paraId="708E3A18" w14:textId="5E4403B7" w:rsidR="001A25A0" w:rsidRPr="005A3967" w:rsidRDefault="003275CF" w:rsidP="000A101D">
      <w:pPr>
        <w:pStyle w:val="Heading1"/>
        <w:rPr>
          <w:rFonts w:ascii="Times New Roman" w:hAnsi="Times New Roman" w:cs="Times New Roman"/>
          <w:b/>
          <w:bCs/>
          <w:color w:val="000000" w:themeColor="text1"/>
        </w:rPr>
      </w:pPr>
      <w:bookmarkStart w:id="84" w:name="_Toc202544526"/>
      <w:r w:rsidRPr="005A3967">
        <w:rPr>
          <w:rFonts w:ascii="Times New Roman" w:hAnsi="Times New Roman" w:cs="Times New Roman"/>
          <w:b/>
          <w:bCs/>
          <w:color w:val="000000" w:themeColor="text1"/>
        </w:rPr>
        <w:t xml:space="preserve">7. </w:t>
      </w:r>
      <w:r w:rsidR="001A25A0" w:rsidRPr="005A3967">
        <w:rPr>
          <w:rFonts w:ascii="Times New Roman" w:hAnsi="Times New Roman" w:cs="Times New Roman"/>
          <w:b/>
          <w:bCs/>
          <w:color w:val="000000" w:themeColor="text1"/>
        </w:rPr>
        <w:t>Project Plan and Timeline</w:t>
      </w:r>
      <w:bookmarkEnd w:id="84"/>
    </w:p>
    <w:p w14:paraId="00557AED" w14:textId="3E7D2AB4" w:rsidR="00571B14" w:rsidRDefault="00571B14" w:rsidP="00C43C96">
      <w:pPr>
        <w:spacing w:before="100" w:beforeAutospacing="1" w:after="100" w:afterAutospacing="1" w:line="360" w:lineRule="auto"/>
        <w:jc w:val="both"/>
      </w:pPr>
      <w:r w:rsidRPr="005A3967">
        <w:t xml:space="preserve">A structured twelve-month plan has been developed to complete the research, covering literature development, data collection, analysis, and writing. A Gantt chart illustrates key milestones to maintain progress. </w:t>
      </w:r>
      <w:r w:rsidRPr="005A3967">
        <w:rPr>
          <w:b/>
          <w:bCs/>
        </w:rPr>
        <w:t>Table 1</w:t>
      </w:r>
      <w:r w:rsidR="00A50FDD" w:rsidRPr="005A3967">
        <w:rPr>
          <w:b/>
          <w:bCs/>
        </w:rPr>
        <w:t>9</w:t>
      </w:r>
      <w:r w:rsidRPr="005A3967">
        <w:t xml:space="preserve"> summarises the monthly activities, with a detailed phase breakdown provided in </w:t>
      </w:r>
      <w:r w:rsidRPr="005A3967">
        <w:rPr>
          <w:b/>
          <w:bCs/>
        </w:rPr>
        <w:t>Appendix C</w:t>
      </w:r>
      <w:r w:rsidRPr="005A3967">
        <w:t>.</w:t>
      </w:r>
    </w:p>
    <w:p w14:paraId="061A1BBE" w14:textId="77777777" w:rsidR="00B9205A" w:rsidRDefault="00B9205A" w:rsidP="00C43C96">
      <w:pPr>
        <w:spacing w:before="100" w:beforeAutospacing="1" w:after="100" w:afterAutospacing="1" w:line="360" w:lineRule="auto"/>
        <w:jc w:val="both"/>
      </w:pPr>
    </w:p>
    <w:p w14:paraId="19DF479C" w14:textId="77777777" w:rsidR="00B9205A" w:rsidRPr="005A3967" w:rsidRDefault="00B9205A" w:rsidP="00C43C96">
      <w:pPr>
        <w:spacing w:before="100" w:beforeAutospacing="1" w:after="100" w:afterAutospacing="1" w:line="360" w:lineRule="auto"/>
        <w:jc w:val="both"/>
      </w:pPr>
    </w:p>
    <w:p w14:paraId="16AE5450" w14:textId="47E1D5D1" w:rsidR="00233484" w:rsidRPr="005A3967" w:rsidRDefault="00CD5EAC" w:rsidP="00233484">
      <w:pPr>
        <w:pStyle w:val="Caption"/>
        <w:rPr>
          <w:b/>
          <w:bCs/>
        </w:rPr>
      </w:pPr>
      <w:bookmarkStart w:id="85" w:name="_Toc196559542"/>
      <w:bookmarkStart w:id="86" w:name="_Toc201942909"/>
      <w:r w:rsidRPr="005A3967">
        <w:rPr>
          <w:b/>
          <w:bCs/>
        </w:rPr>
        <w:lastRenderedPageBreak/>
        <w:t xml:space="preserve">Table </w:t>
      </w:r>
      <w:r w:rsidR="003831A5" w:rsidRPr="005A3967">
        <w:rPr>
          <w:b/>
          <w:bCs/>
        </w:rPr>
        <w:fldChar w:fldCharType="begin"/>
      </w:r>
      <w:r w:rsidR="003831A5" w:rsidRPr="005A3967">
        <w:rPr>
          <w:b/>
          <w:bCs/>
        </w:rPr>
        <w:instrText xml:space="preserve"> SEQ Table \* ARABIC </w:instrText>
      </w:r>
      <w:r w:rsidR="003831A5" w:rsidRPr="005A3967">
        <w:rPr>
          <w:b/>
          <w:bCs/>
        </w:rPr>
        <w:fldChar w:fldCharType="separate"/>
      </w:r>
      <w:r w:rsidR="00A50FDD" w:rsidRPr="005A3967">
        <w:rPr>
          <w:b/>
          <w:bCs/>
          <w:noProof/>
        </w:rPr>
        <w:t>19</w:t>
      </w:r>
      <w:r w:rsidR="003831A5" w:rsidRPr="005A3967">
        <w:rPr>
          <w:b/>
          <w:bCs/>
          <w:noProof/>
        </w:rPr>
        <w:fldChar w:fldCharType="end"/>
      </w:r>
      <w:r w:rsidRPr="005A3967">
        <w:rPr>
          <w:b/>
          <w:bCs/>
        </w:rPr>
        <w:t>: Proposed Project Timeline</w:t>
      </w:r>
      <w:bookmarkEnd w:id="85"/>
      <w:r w:rsidR="00DA5393" w:rsidRPr="005A3967">
        <w:rPr>
          <w:b/>
          <w:bCs/>
        </w:rPr>
        <w:t xml:space="preserve"> (Author’s conceptualisation)</w:t>
      </w:r>
      <w:r w:rsidR="009239B2" w:rsidRPr="005A3967">
        <w:rPr>
          <w:rStyle w:val="FootnoteReference"/>
          <w:b/>
          <w:bCs/>
        </w:rPr>
        <w:footnoteReference w:id="25"/>
      </w:r>
      <w:bookmarkEnd w:id="86"/>
    </w:p>
    <w:p w14:paraId="2FDF3D73" w14:textId="385D147C" w:rsidR="00637273" w:rsidRPr="005A3967" w:rsidRDefault="00637273" w:rsidP="008E3EBC">
      <w:pPr>
        <w:jc w:val="center"/>
      </w:pPr>
      <w:r w:rsidRPr="005A3967">
        <w:rPr>
          <w:noProof/>
          <w14:ligatures w14:val="standardContextual"/>
        </w:rPr>
        <w:drawing>
          <wp:inline distT="0" distB="0" distL="0" distR="0" wp14:anchorId="65E7B73B" wp14:editId="77EC3BE2">
            <wp:extent cx="5729037" cy="3294863"/>
            <wp:effectExtent l="0" t="0" r="0" b="0"/>
            <wp:docPr id="2005363584"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363584" name="Picture 34" descr="A screenshot of a computer&#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64131" cy="3315046"/>
                    </a:xfrm>
                    <a:prstGeom prst="rect">
                      <a:avLst/>
                    </a:prstGeom>
                  </pic:spPr>
                </pic:pic>
              </a:graphicData>
            </a:graphic>
          </wp:inline>
        </w:drawing>
      </w:r>
    </w:p>
    <w:p w14:paraId="79BB0D20" w14:textId="0BE6D384" w:rsidR="00390ED1" w:rsidRPr="005A3967" w:rsidRDefault="00390ED1" w:rsidP="00C43C96">
      <w:pPr>
        <w:spacing w:before="100" w:beforeAutospacing="1" w:after="100" w:afterAutospacing="1" w:line="360" w:lineRule="auto"/>
        <w:jc w:val="both"/>
      </w:pPr>
      <w:r w:rsidRPr="005A3967">
        <w:rPr>
          <w:rStyle w:val="Strong"/>
          <w:rFonts w:eastAsiaTheme="majorEastAsia"/>
        </w:rPr>
        <w:t>Figure 12</w:t>
      </w:r>
      <w:r w:rsidRPr="005A3967">
        <w:t xml:space="preserve"> presents a </w:t>
      </w:r>
      <w:r w:rsidRPr="005A3967">
        <w:rPr>
          <w:rStyle w:val="Emphasis"/>
          <w:rFonts w:eastAsiaTheme="majorEastAsia"/>
        </w:rPr>
        <w:t>visual timeline</w:t>
      </w:r>
      <w:r w:rsidRPr="005A3967">
        <w:t xml:space="preserve"> of </w:t>
      </w:r>
      <w:r w:rsidRPr="005A3967">
        <w:rPr>
          <w:rStyle w:val="Strong"/>
          <w:rFonts w:eastAsiaTheme="majorEastAsia"/>
        </w:rPr>
        <w:t>dissertation activities</w:t>
      </w:r>
      <w:r w:rsidRPr="005A3967">
        <w:t xml:space="preserve"> from </w:t>
      </w:r>
      <w:r w:rsidRPr="005A3967">
        <w:rPr>
          <w:rStyle w:val="Emphasis"/>
          <w:rFonts w:eastAsiaTheme="majorEastAsia"/>
        </w:rPr>
        <w:t>October 2025 to September 2026</w:t>
      </w:r>
      <w:r w:rsidRPr="005A3967">
        <w:t xml:space="preserve">. It begins with </w:t>
      </w:r>
      <w:r w:rsidRPr="005A3967">
        <w:rPr>
          <w:rStyle w:val="Strong"/>
          <w:rFonts w:eastAsiaTheme="majorEastAsia"/>
        </w:rPr>
        <w:t>proposal finalisation</w:t>
      </w:r>
      <w:r w:rsidRPr="005A3967">
        <w:t xml:space="preserve"> and </w:t>
      </w:r>
      <w:r w:rsidRPr="005A3967">
        <w:rPr>
          <w:rStyle w:val="Strong"/>
          <w:rFonts w:eastAsiaTheme="majorEastAsia"/>
        </w:rPr>
        <w:t>ethics approval</w:t>
      </w:r>
      <w:r w:rsidRPr="005A3967">
        <w:t xml:space="preserve">, followed by </w:t>
      </w:r>
      <w:r w:rsidRPr="005A3967">
        <w:rPr>
          <w:rStyle w:val="Emphasis"/>
          <w:rFonts w:eastAsiaTheme="majorEastAsia"/>
        </w:rPr>
        <w:t>literature refinement</w:t>
      </w:r>
      <w:r w:rsidRPr="005A3967">
        <w:t xml:space="preserve"> and </w:t>
      </w:r>
      <w:r w:rsidRPr="005A3967">
        <w:rPr>
          <w:rStyle w:val="Emphasis"/>
          <w:rFonts w:eastAsiaTheme="majorEastAsia"/>
        </w:rPr>
        <w:t>instrument design</w:t>
      </w:r>
      <w:r w:rsidRPr="005A3967">
        <w:t xml:space="preserve">. </w:t>
      </w:r>
      <w:r w:rsidRPr="005A3967">
        <w:rPr>
          <w:rStyle w:val="Strong"/>
          <w:rFonts w:eastAsiaTheme="majorEastAsia"/>
        </w:rPr>
        <w:t>Early 2026</w:t>
      </w:r>
      <w:r w:rsidRPr="005A3967">
        <w:t xml:space="preserve"> focuses on </w:t>
      </w:r>
      <w:r w:rsidRPr="005A3967">
        <w:rPr>
          <w:rStyle w:val="Strong"/>
          <w:rFonts w:eastAsiaTheme="majorEastAsia"/>
        </w:rPr>
        <w:t>data collection</w:t>
      </w:r>
      <w:r w:rsidRPr="005A3967">
        <w:t xml:space="preserve">, with later stages covering </w:t>
      </w:r>
      <w:r w:rsidRPr="005A3967">
        <w:rPr>
          <w:rStyle w:val="Strong"/>
          <w:rFonts w:eastAsiaTheme="majorEastAsia"/>
        </w:rPr>
        <w:t>data analysis</w:t>
      </w:r>
      <w:r w:rsidRPr="005A3967">
        <w:t xml:space="preserve">, </w:t>
      </w:r>
      <w:r w:rsidR="0002751E">
        <w:rPr>
          <w:rStyle w:val="Strong"/>
          <w:rFonts w:eastAsiaTheme="majorEastAsia"/>
        </w:rPr>
        <w:t>integration of findings</w:t>
      </w:r>
      <w:r w:rsidRPr="005A3967">
        <w:t xml:space="preserve">, and </w:t>
      </w:r>
      <w:r w:rsidRPr="005A3967">
        <w:rPr>
          <w:rStyle w:val="Strong"/>
          <w:rFonts w:eastAsiaTheme="majorEastAsia"/>
        </w:rPr>
        <w:t>supervisory review</w:t>
      </w:r>
      <w:r w:rsidRPr="005A3967">
        <w:t xml:space="preserve">. The final months are dedicated to </w:t>
      </w:r>
      <w:r w:rsidRPr="005A3967">
        <w:rPr>
          <w:rStyle w:val="Emphasis"/>
          <w:rFonts w:eastAsiaTheme="majorEastAsia"/>
        </w:rPr>
        <w:t>proofreading</w:t>
      </w:r>
      <w:r w:rsidRPr="005A3967">
        <w:t xml:space="preserve">, </w:t>
      </w:r>
      <w:r w:rsidR="0002751E">
        <w:rPr>
          <w:rStyle w:val="Emphasis"/>
          <w:rFonts w:eastAsiaTheme="majorEastAsia"/>
        </w:rPr>
        <w:t>preparing for submission</w:t>
      </w:r>
      <w:r w:rsidRPr="005A3967">
        <w:t xml:space="preserve">, and </w:t>
      </w:r>
      <w:r w:rsidRPr="005A3967">
        <w:rPr>
          <w:rStyle w:val="Emphasis"/>
          <w:rFonts w:eastAsiaTheme="majorEastAsia"/>
        </w:rPr>
        <w:t>final delivery</w:t>
      </w:r>
      <w:r w:rsidRPr="005A3967">
        <w:t xml:space="preserve">. This </w:t>
      </w:r>
      <w:r w:rsidRPr="005A3967">
        <w:rPr>
          <w:rStyle w:val="Strong"/>
          <w:rFonts w:eastAsiaTheme="majorEastAsia"/>
        </w:rPr>
        <w:t>structured, phased plan</w:t>
      </w:r>
      <w:r w:rsidRPr="005A3967">
        <w:t xml:space="preserve"> ensures </w:t>
      </w:r>
      <w:r w:rsidRPr="005A3967">
        <w:rPr>
          <w:rStyle w:val="Emphasis"/>
          <w:rFonts w:eastAsiaTheme="majorEastAsia"/>
        </w:rPr>
        <w:t>timely progress</w:t>
      </w:r>
      <w:r w:rsidRPr="005A3967">
        <w:t xml:space="preserve"> from research design to submission.</w:t>
      </w:r>
    </w:p>
    <w:p w14:paraId="605BA609" w14:textId="3EB898C6" w:rsidR="00996F27" w:rsidRPr="005A3967" w:rsidRDefault="00996F27" w:rsidP="00996F27">
      <w:pPr>
        <w:pStyle w:val="Heading2"/>
        <w:rPr>
          <w:rFonts w:ascii="Times New Roman" w:hAnsi="Times New Roman" w:cs="Times New Roman"/>
        </w:rPr>
      </w:pPr>
      <w:bookmarkStart w:id="87" w:name="_Toc202544527"/>
      <w:r w:rsidRPr="005A3967">
        <w:rPr>
          <w:rFonts w:ascii="Times New Roman" w:hAnsi="Times New Roman" w:cs="Times New Roman"/>
        </w:rPr>
        <w:t>7.1 Gantt Chart</w:t>
      </w:r>
      <w:bookmarkEnd w:id="87"/>
    </w:p>
    <w:p w14:paraId="170A7BB8" w14:textId="75825AE6" w:rsidR="00F56B8D" w:rsidRPr="005A3967" w:rsidRDefault="00F56B8D" w:rsidP="00C43C96">
      <w:pPr>
        <w:spacing w:before="100" w:beforeAutospacing="1" w:after="100" w:afterAutospacing="1" w:line="360" w:lineRule="auto"/>
        <w:jc w:val="both"/>
      </w:pPr>
      <w:r w:rsidRPr="005A3967">
        <w:t>SSE PLC can unlock substantial value by advancing analytics maturity</w:t>
      </w:r>
      <w:r w:rsidR="0002751E">
        <w:t xml:space="preserve">, </w:t>
      </w:r>
      <w:r w:rsidRPr="005A3967">
        <w:t>boosting customer retention, operational efficiency, and regulatory compliance in line with Ofgem priorities. These outcomes support SSE’s strategic goals for net-zero and operational excellence. A phased delivery plan (</w:t>
      </w:r>
      <w:r w:rsidRPr="005A3967">
        <w:rPr>
          <w:rStyle w:val="Strong"/>
          <w:rFonts w:eastAsiaTheme="majorEastAsia"/>
        </w:rPr>
        <w:t>Figure 12</w:t>
      </w:r>
      <w:r w:rsidRPr="005A3967">
        <w:t xml:space="preserve">) outlines key milestones and deliverables from </w:t>
      </w:r>
      <w:r w:rsidRPr="005A3967">
        <w:rPr>
          <w:rStyle w:val="Strong"/>
          <w:rFonts w:eastAsiaTheme="majorEastAsia"/>
        </w:rPr>
        <w:t>October 2025 to September 2026</w:t>
      </w:r>
      <w:r w:rsidRPr="005A3967">
        <w:t>, mapping the progression from research design and ethics approval through to data collection, analysis, integration of findings, and final dissertation submission.</w:t>
      </w:r>
    </w:p>
    <w:p w14:paraId="12F2A1D7" w14:textId="59CBA457" w:rsidR="007464E2" w:rsidRPr="005A3967" w:rsidRDefault="006174C5" w:rsidP="008E3EBC">
      <w:pPr>
        <w:spacing w:before="100" w:beforeAutospacing="1" w:after="100" w:afterAutospacing="1" w:line="360" w:lineRule="auto"/>
        <w:jc w:val="center"/>
      </w:pPr>
      <w:r w:rsidRPr="005A3967">
        <w:lastRenderedPageBreak/>
        <w:fldChar w:fldCharType="begin"/>
      </w:r>
      <w:r w:rsidRPr="005A3967">
        <w:instrText xml:space="preserve"> INCLUDEPICTURE "https://files09.oaiusercontent.com/file-E38PmZT6N3wST79XZCjd8L?se=2025-06-19T19%3A40%3A45Z&amp;sp=r&amp;sv=2024-08-04&amp;sr=b&amp;rscc=max-age%3D299%2C%20immutable%2C%20private&amp;rscd=attachment%3B%20filename%3D3a2cc2ef-df7b-4ac8-88cb-2d444f36c155&amp;sig=lhx9t5Tl8AnMfszzzS5VQXE1Gq8EEyLVbVokX27r4vg%3D" \* MERGEFORMATINET </w:instrText>
      </w:r>
      <w:r w:rsidRPr="005A3967">
        <w:fldChar w:fldCharType="separate"/>
      </w:r>
      <w:r w:rsidRPr="005A3967">
        <w:rPr>
          <w:noProof/>
        </w:rPr>
        <w:drawing>
          <wp:inline distT="0" distB="0" distL="0" distR="0" wp14:anchorId="2218C845" wp14:editId="3568C861">
            <wp:extent cx="5338445" cy="3399165"/>
            <wp:effectExtent l="12700" t="12700" r="8255" b="17145"/>
            <wp:docPr id="643596226" name="Picture 28"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4119"/>
                    <a:stretch>
                      <a:fillRect/>
                    </a:stretch>
                  </pic:blipFill>
                  <pic:spPr bwMode="auto">
                    <a:xfrm>
                      <a:off x="0" y="0"/>
                      <a:ext cx="5355820" cy="3410228"/>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Pr="005A3967">
        <w:fldChar w:fldCharType="end"/>
      </w:r>
    </w:p>
    <w:p w14:paraId="7D4BBDD2" w14:textId="4DA8B81D" w:rsidR="007464E2" w:rsidRPr="005A3967" w:rsidRDefault="007464E2" w:rsidP="00982E79">
      <w:pPr>
        <w:pStyle w:val="Caption"/>
        <w:jc w:val="center"/>
        <w:rPr>
          <w:b/>
          <w:bCs/>
        </w:rPr>
      </w:pPr>
      <w:bookmarkStart w:id="88" w:name="_Toc201942922"/>
      <w:r w:rsidRPr="005A3967">
        <w:rPr>
          <w:b/>
          <w:bCs/>
        </w:rPr>
        <w:t xml:space="preserve">Figure </w:t>
      </w:r>
      <w:r w:rsidR="00747E01" w:rsidRPr="005A3967">
        <w:rPr>
          <w:b/>
          <w:bCs/>
        </w:rPr>
        <w:fldChar w:fldCharType="begin"/>
      </w:r>
      <w:r w:rsidR="00747E01" w:rsidRPr="005A3967">
        <w:rPr>
          <w:b/>
          <w:bCs/>
        </w:rPr>
        <w:instrText xml:space="preserve"> SEQ Figure \* ARABIC </w:instrText>
      </w:r>
      <w:r w:rsidR="00747E01" w:rsidRPr="005A3967">
        <w:rPr>
          <w:b/>
          <w:bCs/>
        </w:rPr>
        <w:fldChar w:fldCharType="separate"/>
      </w:r>
      <w:r w:rsidR="00747E01" w:rsidRPr="005A3967">
        <w:rPr>
          <w:b/>
          <w:bCs/>
          <w:noProof/>
        </w:rPr>
        <w:t>12</w:t>
      </w:r>
      <w:r w:rsidR="00747E01" w:rsidRPr="005A3967">
        <w:rPr>
          <w:b/>
          <w:bCs/>
          <w:noProof/>
        </w:rPr>
        <w:fldChar w:fldCharType="end"/>
      </w:r>
      <w:r w:rsidRPr="005A3967">
        <w:rPr>
          <w:b/>
          <w:bCs/>
        </w:rPr>
        <w:t>: Proposed Gantt Chart for Research Project Activities</w:t>
      </w:r>
      <w:r w:rsidR="00D51EA0" w:rsidRPr="005A3967">
        <w:rPr>
          <w:b/>
          <w:bCs/>
        </w:rPr>
        <w:t xml:space="preserve"> (Author’s conceptualisation)</w:t>
      </w:r>
      <w:bookmarkEnd w:id="88"/>
    </w:p>
    <w:p w14:paraId="4FE54B66" w14:textId="606072B2" w:rsidR="00390ED1" w:rsidRPr="005A3967" w:rsidRDefault="00390ED1" w:rsidP="00C43C96">
      <w:pPr>
        <w:spacing w:before="100" w:beforeAutospacing="1" w:after="100" w:afterAutospacing="1" w:line="360" w:lineRule="auto"/>
        <w:jc w:val="both"/>
      </w:pPr>
      <w:r w:rsidRPr="005A3967">
        <w:t xml:space="preserve">This proposal combines </w:t>
      </w:r>
      <w:r w:rsidRPr="005A3967">
        <w:rPr>
          <w:rStyle w:val="Strong"/>
          <w:rFonts w:eastAsiaTheme="majorEastAsia"/>
        </w:rPr>
        <w:t>established frameworks</w:t>
      </w:r>
      <w:r w:rsidRPr="005A3967">
        <w:t xml:space="preserve"> (</w:t>
      </w:r>
      <w:r w:rsidRPr="005A3967">
        <w:rPr>
          <w:rStyle w:val="Emphasis"/>
          <w:rFonts w:eastAsiaTheme="majorEastAsia"/>
        </w:rPr>
        <w:t>DELTA</w:t>
      </w:r>
      <w:r w:rsidRPr="005A3967">
        <w:t xml:space="preserve">, </w:t>
      </w:r>
      <w:r w:rsidRPr="005A3967">
        <w:rPr>
          <w:rStyle w:val="Emphasis"/>
          <w:rFonts w:eastAsiaTheme="majorEastAsia"/>
        </w:rPr>
        <w:t>DCAM</w:t>
      </w:r>
      <w:r w:rsidRPr="005A3967">
        <w:t xml:space="preserve">) with recent research </w:t>
      </w:r>
      <w:r w:rsidRPr="005A3967">
        <w:rPr>
          <w:rStyle w:val="Emphasis"/>
          <w:rFonts w:eastAsiaTheme="majorEastAsia"/>
        </w:rPr>
        <w:t>(Zhang et al., 2023; Thomas &amp; Liu, 2022)</w:t>
      </w:r>
      <w:r w:rsidRPr="005A3967">
        <w:t xml:space="preserve"> to support a </w:t>
      </w:r>
      <w:r w:rsidRPr="005A3967">
        <w:rPr>
          <w:rStyle w:val="Strong"/>
          <w:rFonts w:eastAsiaTheme="majorEastAsia"/>
        </w:rPr>
        <w:t>rigorous mixed-methods study</w:t>
      </w:r>
      <w:r w:rsidRPr="005A3967">
        <w:t xml:space="preserve"> at </w:t>
      </w:r>
      <w:r w:rsidRPr="005A3967">
        <w:rPr>
          <w:rStyle w:val="Strong"/>
          <w:rFonts w:eastAsiaTheme="majorEastAsia"/>
        </w:rPr>
        <w:t>SSE PLC</w:t>
      </w:r>
      <w:r w:rsidRPr="005A3967">
        <w:t xml:space="preserve">. </w:t>
      </w:r>
      <w:r w:rsidRPr="005A3967">
        <w:rPr>
          <w:rStyle w:val="Strong"/>
          <w:rFonts w:eastAsiaTheme="majorEastAsia"/>
        </w:rPr>
        <w:t>Figure 13</w:t>
      </w:r>
      <w:r w:rsidRPr="005A3967">
        <w:t xml:space="preserve"> presents a </w:t>
      </w:r>
      <w:r w:rsidRPr="005A3967">
        <w:rPr>
          <w:rStyle w:val="Emphasis"/>
          <w:rFonts w:eastAsiaTheme="majorEastAsia"/>
        </w:rPr>
        <w:t>3-year Gantt roadmap</w:t>
      </w:r>
      <w:r w:rsidRPr="005A3967">
        <w:t xml:space="preserve"> detailing phases for </w:t>
      </w:r>
      <w:r w:rsidRPr="005A3967">
        <w:rPr>
          <w:rStyle w:val="Strong"/>
          <w:rFonts w:eastAsiaTheme="majorEastAsia"/>
        </w:rPr>
        <w:t>foundation</w:t>
      </w:r>
      <w:r w:rsidRPr="005A3967">
        <w:t xml:space="preserve">, </w:t>
      </w:r>
      <w:r w:rsidRPr="005A3967">
        <w:rPr>
          <w:rStyle w:val="Strong"/>
          <w:rFonts w:eastAsiaTheme="majorEastAsia"/>
        </w:rPr>
        <w:t>scaling</w:t>
      </w:r>
      <w:r w:rsidRPr="005A3967">
        <w:t xml:space="preserve">, and </w:t>
      </w:r>
      <w:r w:rsidRPr="005A3967">
        <w:rPr>
          <w:rStyle w:val="Strong"/>
          <w:rFonts w:eastAsiaTheme="majorEastAsia"/>
        </w:rPr>
        <w:t>enterprise-wide embedding</w:t>
      </w:r>
      <w:r w:rsidRPr="005A3967">
        <w:t xml:space="preserve">, ensuring </w:t>
      </w:r>
      <w:r w:rsidRPr="005A3967">
        <w:rPr>
          <w:rStyle w:val="Strong"/>
          <w:rFonts w:eastAsiaTheme="majorEastAsia"/>
        </w:rPr>
        <w:t>timely delivery</w:t>
      </w:r>
      <w:r w:rsidRPr="005A3967">
        <w:t xml:space="preserve"> and </w:t>
      </w:r>
      <w:r w:rsidRPr="005A3967">
        <w:rPr>
          <w:rStyle w:val="Strong"/>
          <w:rFonts w:eastAsiaTheme="majorEastAsia"/>
        </w:rPr>
        <w:t>sustainable analytics maturity</w:t>
      </w:r>
      <w:r w:rsidRPr="005A3967">
        <w:t xml:space="preserve"> aligned with SSE’s </w:t>
      </w:r>
      <w:r w:rsidRPr="005A3967">
        <w:rPr>
          <w:rStyle w:val="Emphasis"/>
          <w:rFonts w:eastAsiaTheme="majorEastAsia"/>
        </w:rPr>
        <w:t>readiness</w:t>
      </w:r>
      <w:r w:rsidRPr="005A3967">
        <w:t xml:space="preserve"> and </w:t>
      </w:r>
      <w:r w:rsidRPr="005A3967">
        <w:rPr>
          <w:rStyle w:val="Emphasis"/>
          <w:rFonts w:eastAsiaTheme="majorEastAsia"/>
        </w:rPr>
        <w:t>resources</w:t>
      </w:r>
      <w:r w:rsidRPr="005A3967">
        <w:t>.</w:t>
      </w:r>
    </w:p>
    <w:p w14:paraId="2D88BB62" w14:textId="4CAB7140" w:rsidR="008A1D3F" w:rsidRPr="005A3967" w:rsidRDefault="00B72AF2" w:rsidP="008A1D3F">
      <w:pPr>
        <w:spacing w:before="100" w:beforeAutospacing="1" w:after="100" w:afterAutospacing="1" w:line="360" w:lineRule="auto"/>
        <w:jc w:val="center"/>
      </w:pPr>
      <w:r w:rsidRPr="005A3967">
        <w:rPr>
          <w:noProof/>
        </w:rPr>
        <w:drawing>
          <wp:inline distT="0" distB="0" distL="0" distR="0" wp14:anchorId="016AC770" wp14:editId="2166F099">
            <wp:extent cx="5089001" cy="899286"/>
            <wp:effectExtent l="0" t="0" r="3810" b="2540"/>
            <wp:docPr id="716101401" name="Picture 1" descr="A yellow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01401" name="Picture 1" descr="A yellow chart with black text&#10;&#10;AI-generated content may be incorrect."/>
                    <pic:cNvPicPr/>
                  </pic:nvPicPr>
                  <pic:blipFill rotWithShape="1">
                    <a:blip r:embed="rId44"/>
                    <a:srcRect t="15159"/>
                    <a:stretch/>
                  </pic:blipFill>
                  <pic:spPr bwMode="auto">
                    <a:xfrm>
                      <a:off x="0" y="0"/>
                      <a:ext cx="6090280" cy="1076224"/>
                    </a:xfrm>
                    <a:prstGeom prst="rect">
                      <a:avLst/>
                    </a:prstGeom>
                    <a:ln>
                      <a:noFill/>
                    </a:ln>
                    <a:extLst>
                      <a:ext uri="{53640926-AAD7-44D8-BBD7-CCE9431645EC}">
                        <a14:shadowObscured xmlns:a14="http://schemas.microsoft.com/office/drawing/2010/main"/>
                      </a:ext>
                    </a:extLst>
                  </pic:spPr>
                </pic:pic>
              </a:graphicData>
            </a:graphic>
          </wp:inline>
        </w:drawing>
      </w:r>
    </w:p>
    <w:p w14:paraId="1F907681" w14:textId="5CABFC49" w:rsidR="008A1D3F" w:rsidRPr="005A3967" w:rsidRDefault="008A1D3F" w:rsidP="008A1D3F">
      <w:pPr>
        <w:pStyle w:val="Caption"/>
        <w:jc w:val="center"/>
        <w:rPr>
          <w:b/>
          <w:bCs/>
        </w:rPr>
      </w:pPr>
      <w:bookmarkStart w:id="89" w:name="_Toc201942923"/>
      <w:r w:rsidRPr="005A3967">
        <w:rPr>
          <w:b/>
          <w:bCs/>
        </w:rPr>
        <w:t xml:space="preserve">Figure </w:t>
      </w:r>
      <w:r w:rsidR="00747E01" w:rsidRPr="005A3967">
        <w:rPr>
          <w:b/>
          <w:bCs/>
        </w:rPr>
        <w:fldChar w:fldCharType="begin"/>
      </w:r>
      <w:r w:rsidR="00747E01" w:rsidRPr="005A3967">
        <w:rPr>
          <w:b/>
          <w:bCs/>
        </w:rPr>
        <w:instrText xml:space="preserve"> SEQ Figure \* ARABIC </w:instrText>
      </w:r>
      <w:r w:rsidR="00747E01" w:rsidRPr="005A3967">
        <w:rPr>
          <w:b/>
          <w:bCs/>
        </w:rPr>
        <w:fldChar w:fldCharType="separate"/>
      </w:r>
      <w:r w:rsidR="00747E01" w:rsidRPr="005A3967">
        <w:rPr>
          <w:b/>
          <w:bCs/>
          <w:noProof/>
        </w:rPr>
        <w:t>13</w:t>
      </w:r>
      <w:r w:rsidR="00747E01" w:rsidRPr="005A3967">
        <w:rPr>
          <w:b/>
          <w:bCs/>
          <w:noProof/>
        </w:rPr>
        <w:fldChar w:fldCharType="end"/>
      </w:r>
      <w:r w:rsidRPr="005A3967">
        <w:rPr>
          <w:b/>
          <w:bCs/>
        </w:rPr>
        <w:t xml:space="preserve">: Proposed 3-Year Analytics Adoption Roadmap for SSE PLC </w:t>
      </w:r>
      <w:r w:rsidR="00D51EA0" w:rsidRPr="005A3967">
        <w:rPr>
          <w:b/>
          <w:bCs/>
        </w:rPr>
        <w:t>(Author’s elaboration based on research findings and best practices)</w:t>
      </w:r>
      <w:bookmarkEnd w:id="89"/>
    </w:p>
    <w:p w14:paraId="774E3FCC" w14:textId="05798AAE" w:rsidR="00611D51" w:rsidRPr="005A3967" w:rsidRDefault="003275CF" w:rsidP="008E3EBC">
      <w:pPr>
        <w:pStyle w:val="Heading1"/>
        <w:spacing w:line="360" w:lineRule="auto"/>
        <w:rPr>
          <w:rFonts w:ascii="Times New Roman" w:hAnsi="Times New Roman" w:cs="Times New Roman"/>
          <w:color w:val="000000" w:themeColor="text1"/>
        </w:rPr>
      </w:pPr>
      <w:bookmarkStart w:id="90" w:name="_Toc202544528"/>
      <w:r w:rsidRPr="005A3967">
        <w:rPr>
          <w:rStyle w:val="Strong"/>
          <w:rFonts w:ascii="Times New Roman" w:hAnsi="Times New Roman" w:cs="Times New Roman"/>
          <w:color w:val="000000" w:themeColor="text1"/>
        </w:rPr>
        <w:t xml:space="preserve">8. </w:t>
      </w:r>
      <w:r w:rsidR="00783704" w:rsidRPr="005A3967">
        <w:rPr>
          <w:rStyle w:val="Strong"/>
          <w:rFonts w:ascii="Times New Roman" w:hAnsi="Times New Roman" w:cs="Times New Roman"/>
          <w:color w:val="000000" w:themeColor="text1"/>
        </w:rPr>
        <w:t>Conclusion and Next Steps</w:t>
      </w:r>
      <w:bookmarkEnd w:id="90"/>
    </w:p>
    <w:p w14:paraId="365D5827" w14:textId="77777777" w:rsidR="008E3EBC" w:rsidRPr="005A3967" w:rsidRDefault="008E3EBC" w:rsidP="008E3EBC">
      <w:pPr>
        <w:spacing w:line="360" w:lineRule="auto"/>
      </w:pPr>
      <w:r w:rsidRPr="005A3967">
        <w:t xml:space="preserve">This proposal presents a </w:t>
      </w:r>
      <w:r w:rsidRPr="005A3967">
        <w:rPr>
          <w:b/>
          <w:bCs/>
        </w:rPr>
        <w:t>structured, evidence-based approach</w:t>
      </w:r>
      <w:r w:rsidRPr="005A3967">
        <w:t xml:space="preserve"> to embedding </w:t>
      </w:r>
      <w:r w:rsidRPr="005A3967">
        <w:rPr>
          <w:b/>
          <w:bCs/>
        </w:rPr>
        <w:t>predictive analytics</w:t>
      </w:r>
      <w:r w:rsidRPr="005A3967">
        <w:t xml:space="preserve"> into </w:t>
      </w:r>
      <w:r w:rsidRPr="005A3967">
        <w:rPr>
          <w:b/>
          <w:bCs/>
        </w:rPr>
        <w:t>strategic decision-making</w:t>
      </w:r>
      <w:r w:rsidRPr="005A3967">
        <w:t xml:space="preserve"> at </w:t>
      </w:r>
      <w:r w:rsidRPr="005A3967">
        <w:rPr>
          <w:b/>
          <w:bCs/>
        </w:rPr>
        <w:t>SSE PLC</w:t>
      </w:r>
      <w:r w:rsidRPr="005A3967">
        <w:t xml:space="preserve">. Using a </w:t>
      </w:r>
      <w:r w:rsidRPr="005A3967">
        <w:rPr>
          <w:b/>
          <w:bCs/>
        </w:rPr>
        <w:t>mixed-methods design</w:t>
      </w:r>
      <w:r w:rsidRPr="005A3967">
        <w:t xml:space="preserve">, it integrates </w:t>
      </w:r>
      <w:r w:rsidRPr="005A3967">
        <w:rPr>
          <w:i/>
          <w:iCs/>
        </w:rPr>
        <w:t>theoretical frameworks</w:t>
      </w:r>
      <w:r w:rsidRPr="005A3967">
        <w:t xml:space="preserve">, </w:t>
      </w:r>
      <w:r w:rsidRPr="005A3967">
        <w:rPr>
          <w:i/>
          <w:iCs/>
        </w:rPr>
        <w:t>practical tools</w:t>
      </w:r>
      <w:r w:rsidRPr="005A3967">
        <w:t xml:space="preserve">, and </w:t>
      </w:r>
      <w:r w:rsidRPr="005A3967">
        <w:rPr>
          <w:i/>
          <w:iCs/>
        </w:rPr>
        <w:t>business stakeholder input</w:t>
      </w:r>
      <w:r w:rsidRPr="005A3967">
        <w:t xml:space="preserve"> to guide SSE’s shift from </w:t>
      </w:r>
      <w:r w:rsidRPr="005A3967">
        <w:rPr>
          <w:i/>
          <w:iCs/>
        </w:rPr>
        <w:t>isolated analytics</w:t>
      </w:r>
      <w:r w:rsidRPr="005A3967">
        <w:t xml:space="preserve"> to an </w:t>
      </w:r>
      <w:r w:rsidRPr="005A3967">
        <w:rPr>
          <w:b/>
          <w:bCs/>
        </w:rPr>
        <w:t>enterprise-wide strategy</w:t>
      </w:r>
      <w:r w:rsidRPr="005A3967">
        <w:t>.</w:t>
      </w:r>
    </w:p>
    <w:p w14:paraId="360BAEA7" w14:textId="77777777" w:rsidR="008E3EBC" w:rsidRPr="005A3967" w:rsidRDefault="008E3EBC" w:rsidP="008E3EBC">
      <w:pPr>
        <w:spacing w:line="360" w:lineRule="auto"/>
      </w:pPr>
      <w:r w:rsidRPr="005A3967">
        <w:t>Key components include:</w:t>
      </w:r>
    </w:p>
    <w:p w14:paraId="79381861" w14:textId="77777777" w:rsidR="008E3EBC" w:rsidRPr="005A3967" w:rsidRDefault="008E3EBC" w:rsidP="008824B8">
      <w:pPr>
        <w:numPr>
          <w:ilvl w:val="0"/>
          <w:numId w:val="43"/>
        </w:numPr>
        <w:spacing w:line="360" w:lineRule="auto"/>
      </w:pPr>
      <w:r w:rsidRPr="005A3967">
        <w:rPr>
          <w:b/>
          <w:bCs/>
        </w:rPr>
        <w:t>Clear research aims</w:t>
      </w:r>
      <w:r w:rsidRPr="005A3967">
        <w:t xml:space="preserve"> aligned to SSE’s strategic priorities</w:t>
      </w:r>
    </w:p>
    <w:p w14:paraId="780C27AA" w14:textId="77777777" w:rsidR="008E3EBC" w:rsidRPr="005A3967" w:rsidRDefault="008E3EBC" w:rsidP="008824B8">
      <w:pPr>
        <w:numPr>
          <w:ilvl w:val="0"/>
          <w:numId w:val="43"/>
        </w:numPr>
        <w:spacing w:line="360" w:lineRule="auto"/>
      </w:pPr>
      <w:r w:rsidRPr="005A3967">
        <w:lastRenderedPageBreak/>
        <w:t xml:space="preserve">A </w:t>
      </w:r>
      <w:r w:rsidRPr="005A3967">
        <w:rPr>
          <w:b/>
          <w:bCs/>
        </w:rPr>
        <w:t>comprehensive literature review</w:t>
      </w:r>
      <w:r w:rsidRPr="005A3967">
        <w:t xml:space="preserve"> using </w:t>
      </w:r>
      <w:r w:rsidRPr="005A3967">
        <w:rPr>
          <w:i/>
          <w:iCs/>
        </w:rPr>
        <w:t>DELTA</w:t>
      </w:r>
      <w:r w:rsidRPr="005A3967">
        <w:t xml:space="preserve"> and </w:t>
      </w:r>
      <w:r w:rsidRPr="005A3967">
        <w:rPr>
          <w:i/>
          <w:iCs/>
        </w:rPr>
        <w:t>DCAM</w:t>
      </w:r>
    </w:p>
    <w:p w14:paraId="055A8A4A" w14:textId="77777777" w:rsidR="008E3EBC" w:rsidRPr="005A3967" w:rsidRDefault="008E3EBC" w:rsidP="008824B8">
      <w:pPr>
        <w:numPr>
          <w:ilvl w:val="0"/>
          <w:numId w:val="43"/>
        </w:numPr>
        <w:spacing w:line="360" w:lineRule="auto"/>
      </w:pPr>
      <w:r w:rsidRPr="005A3967">
        <w:t xml:space="preserve">A </w:t>
      </w:r>
      <w:r w:rsidRPr="005A3967">
        <w:rPr>
          <w:b/>
          <w:bCs/>
        </w:rPr>
        <w:t>blended methodology</w:t>
      </w:r>
      <w:r w:rsidRPr="005A3967">
        <w:t xml:space="preserve"> (quantitative surveys, qualitative interviews, benchmarking)</w:t>
      </w:r>
    </w:p>
    <w:p w14:paraId="7D77F127" w14:textId="77777777" w:rsidR="008E3EBC" w:rsidRPr="005A3967" w:rsidRDefault="008E3EBC" w:rsidP="008824B8">
      <w:pPr>
        <w:numPr>
          <w:ilvl w:val="0"/>
          <w:numId w:val="43"/>
        </w:numPr>
        <w:spacing w:line="360" w:lineRule="auto"/>
      </w:pPr>
      <w:r w:rsidRPr="005A3967">
        <w:t xml:space="preserve">A </w:t>
      </w:r>
      <w:r w:rsidRPr="005A3967">
        <w:rPr>
          <w:b/>
          <w:bCs/>
        </w:rPr>
        <w:t>practical transformation roadmap</w:t>
      </w:r>
    </w:p>
    <w:p w14:paraId="7D6B4ED0" w14:textId="77777777" w:rsidR="008E3EBC" w:rsidRPr="005A3967" w:rsidRDefault="008E3EBC" w:rsidP="008E3EBC">
      <w:pPr>
        <w:spacing w:line="360" w:lineRule="auto"/>
      </w:pPr>
      <w:r w:rsidRPr="005A3967">
        <w:t xml:space="preserve">The immediate </w:t>
      </w:r>
      <w:r w:rsidRPr="005A3967">
        <w:rPr>
          <w:b/>
          <w:bCs/>
        </w:rPr>
        <w:t>next steps</w:t>
      </w:r>
      <w:r w:rsidRPr="005A3967">
        <w:t xml:space="preserve"> involve:</w:t>
      </w:r>
    </w:p>
    <w:p w14:paraId="18BB861D" w14:textId="77777777" w:rsidR="008E3EBC" w:rsidRPr="005A3967" w:rsidRDefault="008E3EBC" w:rsidP="008824B8">
      <w:pPr>
        <w:numPr>
          <w:ilvl w:val="0"/>
          <w:numId w:val="44"/>
        </w:numPr>
        <w:spacing w:line="360" w:lineRule="auto"/>
      </w:pPr>
      <w:r w:rsidRPr="005A3967">
        <w:rPr>
          <w:b/>
          <w:bCs/>
        </w:rPr>
        <w:t>Securing ethical approval</w:t>
      </w:r>
    </w:p>
    <w:p w14:paraId="6D14C672" w14:textId="77777777" w:rsidR="008E3EBC" w:rsidRPr="005A3967" w:rsidRDefault="008E3EBC" w:rsidP="008824B8">
      <w:pPr>
        <w:numPr>
          <w:ilvl w:val="0"/>
          <w:numId w:val="44"/>
        </w:numPr>
        <w:spacing w:line="360" w:lineRule="auto"/>
      </w:pPr>
      <w:r w:rsidRPr="005A3967">
        <w:rPr>
          <w:b/>
          <w:bCs/>
        </w:rPr>
        <w:t>Refining research instruments</w:t>
      </w:r>
    </w:p>
    <w:p w14:paraId="510E014B" w14:textId="77777777" w:rsidR="008E3EBC" w:rsidRPr="005A3967" w:rsidRDefault="008E3EBC" w:rsidP="008824B8">
      <w:pPr>
        <w:numPr>
          <w:ilvl w:val="0"/>
          <w:numId w:val="44"/>
        </w:numPr>
        <w:spacing w:line="360" w:lineRule="auto"/>
      </w:pPr>
      <w:r w:rsidRPr="005A3967">
        <w:rPr>
          <w:b/>
          <w:bCs/>
        </w:rPr>
        <w:t>Commencing data collection</w:t>
      </w:r>
    </w:p>
    <w:p w14:paraId="21547A15" w14:textId="77777777" w:rsidR="008E3EBC" w:rsidRPr="005A3967" w:rsidRDefault="008E3EBC" w:rsidP="008E3EBC">
      <w:pPr>
        <w:spacing w:line="360" w:lineRule="auto"/>
      </w:pPr>
      <w:r w:rsidRPr="005A3967">
        <w:t xml:space="preserve">As visualised in </w:t>
      </w:r>
      <w:r w:rsidRPr="005A3967">
        <w:rPr>
          <w:b/>
          <w:bCs/>
        </w:rPr>
        <w:t>Figure 14</w:t>
      </w:r>
      <w:r w:rsidRPr="005A3967">
        <w:t xml:space="preserve">, the </w:t>
      </w:r>
      <w:r w:rsidRPr="005A3967">
        <w:rPr>
          <w:b/>
          <w:bCs/>
        </w:rPr>
        <w:t>three-phase roadmap</w:t>
      </w:r>
      <w:r w:rsidRPr="005A3967">
        <w:t xml:space="preserve"> outlines a </w:t>
      </w:r>
      <w:r w:rsidRPr="005A3967">
        <w:rPr>
          <w:i/>
          <w:iCs/>
        </w:rPr>
        <w:t>realistic 36-month journey</w:t>
      </w:r>
      <w:r w:rsidRPr="005A3967">
        <w:t xml:space="preserve">, emphasising the need for </w:t>
      </w:r>
      <w:r w:rsidRPr="005A3967">
        <w:rPr>
          <w:b/>
          <w:bCs/>
        </w:rPr>
        <w:t>skills</w:t>
      </w:r>
      <w:r w:rsidRPr="005A3967">
        <w:t xml:space="preserve">, </w:t>
      </w:r>
      <w:r w:rsidRPr="005A3967">
        <w:rPr>
          <w:b/>
          <w:bCs/>
        </w:rPr>
        <w:t>technology</w:t>
      </w:r>
      <w:r w:rsidRPr="005A3967">
        <w:t xml:space="preserve">, </w:t>
      </w:r>
      <w:r w:rsidRPr="005A3967">
        <w:rPr>
          <w:b/>
          <w:bCs/>
        </w:rPr>
        <w:t>governance</w:t>
      </w:r>
      <w:r w:rsidRPr="005A3967">
        <w:t>, and—most importantly—</w:t>
      </w:r>
      <w:r w:rsidRPr="005A3967">
        <w:rPr>
          <w:b/>
          <w:bCs/>
        </w:rPr>
        <w:t>leadership commitment</w:t>
      </w:r>
      <w:r w:rsidRPr="005A3967">
        <w:t xml:space="preserve">. This roadmap is designed to enhance </w:t>
      </w:r>
      <w:r w:rsidRPr="005A3967">
        <w:rPr>
          <w:b/>
          <w:bCs/>
        </w:rPr>
        <w:t>business agility</w:t>
      </w:r>
      <w:r w:rsidRPr="005A3967">
        <w:t xml:space="preserve">, enabling SSE to adapt to </w:t>
      </w:r>
      <w:r w:rsidRPr="005A3967">
        <w:rPr>
          <w:i/>
          <w:iCs/>
        </w:rPr>
        <w:t>regulatory, market, and climate-driven changes</w:t>
      </w:r>
      <w:r w:rsidRPr="005A3967">
        <w:t>.</w:t>
      </w:r>
    </w:p>
    <w:p w14:paraId="2B021B47" w14:textId="77777777" w:rsidR="008E3EBC" w:rsidRPr="005A3967" w:rsidRDefault="008E3EBC" w:rsidP="008E3EBC">
      <w:pPr>
        <w:spacing w:before="100" w:beforeAutospacing="1" w:after="100" w:afterAutospacing="1" w:line="360" w:lineRule="auto"/>
        <w:jc w:val="center"/>
      </w:pPr>
      <w:r w:rsidRPr="005A3967">
        <w:fldChar w:fldCharType="begin"/>
      </w:r>
      <w:r w:rsidRPr="005A3967">
        <w:instrText xml:space="preserve"> INCLUDEPICTURE "https://sdmntprpolandcentral.oaiusercontent.com/files/00000000-87d4-620a-bbcd-3814d23aa8f6/raw?se=2025-04-26T00%3A33%3A23Z&amp;sp=r&amp;sv=2024-08-04&amp;sr=b&amp;scid=3d9b076f-22be-5fe6-95d5-64aceff37188&amp;skoid=9370dd2b-ca43-4270-bed5-18b1b71f8fa0&amp;sktid=a48cca56-e6da-484e-a814-9c849652bcb3&amp;skt=2025-04-25T06%3A07%3A33Z&amp;ske=2025-04-26T06%3A07%3A33Z&amp;sks=b&amp;skv=2024-08-04&amp;sig=3ZGanZ/lWUThAEKpelNUre48xQxFuxDGrjb5LVqChOM%3D" \* MERGEFORMATINET </w:instrText>
      </w:r>
      <w:r w:rsidRPr="005A3967">
        <w:fldChar w:fldCharType="separate"/>
      </w:r>
      <w:r w:rsidRPr="005A3967">
        <w:rPr>
          <w:noProof/>
        </w:rPr>
        <w:drawing>
          <wp:inline distT="0" distB="0" distL="0" distR="0" wp14:anchorId="64E06AE5" wp14:editId="15D2E550">
            <wp:extent cx="5546296" cy="3458633"/>
            <wp:effectExtent l="63500" t="63500" r="67310" b="59690"/>
            <wp:docPr id="160844185" name="Picture 8"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Generated image"/>
                    <pic:cNvPicPr>
                      <a:picLocks noChangeAspect="1" noChangeArrowheads="1"/>
                    </pic:cNvPicPr>
                  </pic:nvPicPr>
                  <pic:blipFill rotWithShape="1">
                    <a:blip r:embed="rId45">
                      <a:extLst>
                        <a:ext uri="{28A0092B-C50C-407E-A947-70E740481C1C}">
                          <a14:useLocalDpi xmlns:a14="http://schemas.microsoft.com/office/drawing/2010/main" val="0"/>
                        </a:ext>
                      </a:extLst>
                    </a:blip>
                    <a:srcRect l="63" t="9664" r="3830" b="435"/>
                    <a:stretch/>
                  </pic:blipFill>
                  <pic:spPr bwMode="auto">
                    <a:xfrm>
                      <a:off x="0" y="0"/>
                      <a:ext cx="5897279" cy="3677504"/>
                    </a:xfrm>
                    <a:prstGeom prst="rect">
                      <a:avLst/>
                    </a:prstGeom>
                    <a:noFill/>
                    <a:ln w="571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Pr="005A3967">
        <w:rPr>
          <w:rStyle w:val="FootnoteReference"/>
        </w:rPr>
        <w:footnoteReference w:id="26"/>
      </w:r>
      <w:r w:rsidRPr="005A3967">
        <w:fldChar w:fldCharType="end"/>
      </w:r>
    </w:p>
    <w:p w14:paraId="08291472" w14:textId="1A18F5F3" w:rsidR="008E3EBC" w:rsidRPr="005A3967" w:rsidRDefault="008E3EBC" w:rsidP="00EC0940">
      <w:pPr>
        <w:pStyle w:val="Caption"/>
        <w:spacing w:line="360" w:lineRule="auto"/>
        <w:jc w:val="center"/>
        <w:rPr>
          <w:rFonts w:eastAsiaTheme="majorEastAsia"/>
          <w:b/>
          <w:bCs/>
        </w:rPr>
      </w:pPr>
      <w:bookmarkStart w:id="91" w:name="_Toc201942924"/>
      <w:r w:rsidRPr="005A3967">
        <w:rPr>
          <w:b/>
          <w:bCs/>
        </w:rPr>
        <w:t xml:space="preserve">Figure </w:t>
      </w:r>
      <w:r w:rsidRPr="005A3967">
        <w:rPr>
          <w:b/>
          <w:bCs/>
        </w:rPr>
        <w:fldChar w:fldCharType="begin"/>
      </w:r>
      <w:r w:rsidRPr="005A3967">
        <w:rPr>
          <w:b/>
          <w:bCs/>
        </w:rPr>
        <w:instrText xml:space="preserve"> SEQ Figure \* ARABIC </w:instrText>
      </w:r>
      <w:r w:rsidRPr="005A3967">
        <w:rPr>
          <w:b/>
          <w:bCs/>
        </w:rPr>
        <w:fldChar w:fldCharType="separate"/>
      </w:r>
      <w:r w:rsidRPr="005A3967">
        <w:rPr>
          <w:b/>
          <w:bCs/>
          <w:noProof/>
        </w:rPr>
        <w:t>14</w:t>
      </w:r>
      <w:r w:rsidRPr="005A3967">
        <w:rPr>
          <w:b/>
          <w:bCs/>
          <w:noProof/>
        </w:rPr>
        <w:fldChar w:fldCharType="end"/>
      </w:r>
      <w:r w:rsidRPr="005A3967">
        <w:rPr>
          <w:b/>
          <w:bCs/>
        </w:rPr>
        <w:t>: Proposed Roadmap for SSE’s Analytics Maturity Journey (Author’s elaboration informed by Davenport and Harris (2007) and EDM Council (2020))</w:t>
      </w:r>
      <w:bookmarkEnd w:id="91"/>
    </w:p>
    <w:p w14:paraId="40DC3751" w14:textId="77777777" w:rsidR="008E3EBC" w:rsidRPr="005A3967" w:rsidRDefault="008E3EBC" w:rsidP="008E3EBC">
      <w:pPr>
        <w:spacing w:line="360" w:lineRule="auto"/>
      </w:pPr>
      <w:r w:rsidRPr="005A3967">
        <w:rPr>
          <w:b/>
          <w:bCs/>
        </w:rPr>
        <w:t>Table 20</w:t>
      </w:r>
      <w:r w:rsidRPr="005A3967">
        <w:t xml:space="preserve"> highlights potential </w:t>
      </w:r>
      <w:r w:rsidRPr="005A3967">
        <w:rPr>
          <w:b/>
          <w:bCs/>
        </w:rPr>
        <w:t>risks</w:t>
      </w:r>
      <w:r w:rsidRPr="005A3967">
        <w:t xml:space="preserve">—such as </w:t>
      </w:r>
      <w:r w:rsidRPr="005A3967">
        <w:rPr>
          <w:b/>
          <w:bCs/>
        </w:rPr>
        <w:t>skills gaps</w:t>
      </w:r>
      <w:r w:rsidRPr="005A3967">
        <w:t xml:space="preserve">, </w:t>
      </w:r>
      <w:r w:rsidRPr="005A3967">
        <w:rPr>
          <w:b/>
          <w:bCs/>
        </w:rPr>
        <w:t>legacy systems</w:t>
      </w:r>
      <w:r w:rsidRPr="005A3967">
        <w:t xml:space="preserve">, and </w:t>
      </w:r>
      <w:r w:rsidRPr="005A3967">
        <w:rPr>
          <w:b/>
          <w:bCs/>
        </w:rPr>
        <w:t>data silos</w:t>
      </w:r>
      <w:r w:rsidRPr="005A3967">
        <w:t xml:space="preserve">—and proposes </w:t>
      </w:r>
      <w:r w:rsidRPr="005A3967">
        <w:rPr>
          <w:b/>
          <w:bCs/>
        </w:rPr>
        <w:t>mitigation strategies</w:t>
      </w:r>
      <w:r w:rsidRPr="005A3967">
        <w:t xml:space="preserve"> like </w:t>
      </w:r>
      <w:r w:rsidRPr="005A3967">
        <w:rPr>
          <w:i/>
          <w:iCs/>
        </w:rPr>
        <w:t>targeted training</w:t>
      </w:r>
      <w:r w:rsidRPr="005A3967">
        <w:t xml:space="preserve">, </w:t>
      </w:r>
      <w:r w:rsidRPr="005A3967">
        <w:rPr>
          <w:i/>
          <w:iCs/>
        </w:rPr>
        <w:t>strategic hiring</w:t>
      </w:r>
      <w:r w:rsidRPr="005A3967">
        <w:t xml:space="preserve">, and </w:t>
      </w:r>
      <w:r w:rsidRPr="005A3967">
        <w:rPr>
          <w:i/>
          <w:iCs/>
        </w:rPr>
        <w:t>phased cloud migration</w:t>
      </w:r>
      <w:r w:rsidRPr="005A3967">
        <w:t>.</w:t>
      </w:r>
    </w:p>
    <w:p w14:paraId="5AB29264" w14:textId="77777777" w:rsidR="008E3EBC" w:rsidRPr="005A3967" w:rsidRDefault="008E3EBC" w:rsidP="008E3EBC">
      <w:pPr>
        <w:pStyle w:val="Caption"/>
        <w:spacing w:line="360" w:lineRule="auto"/>
        <w:rPr>
          <w:b/>
          <w:bCs/>
        </w:rPr>
      </w:pPr>
      <w:bookmarkStart w:id="92" w:name="_Toc201942910"/>
      <w:r w:rsidRPr="005A3967">
        <w:rPr>
          <w:b/>
          <w:bCs/>
        </w:rPr>
        <w:lastRenderedPageBreak/>
        <w:t xml:space="preserve">Table </w:t>
      </w:r>
      <w:r w:rsidRPr="005A3967">
        <w:rPr>
          <w:b/>
          <w:bCs/>
        </w:rPr>
        <w:fldChar w:fldCharType="begin"/>
      </w:r>
      <w:r w:rsidRPr="005A3967">
        <w:rPr>
          <w:b/>
          <w:bCs/>
        </w:rPr>
        <w:instrText xml:space="preserve"> SEQ Table \* ARABIC </w:instrText>
      </w:r>
      <w:r w:rsidRPr="005A3967">
        <w:rPr>
          <w:b/>
          <w:bCs/>
        </w:rPr>
        <w:fldChar w:fldCharType="separate"/>
      </w:r>
      <w:r w:rsidRPr="005A3967">
        <w:rPr>
          <w:b/>
          <w:bCs/>
          <w:noProof/>
        </w:rPr>
        <w:t>20</w:t>
      </w:r>
      <w:r w:rsidRPr="005A3967">
        <w:rPr>
          <w:b/>
          <w:bCs/>
          <w:noProof/>
        </w:rPr>
        <w:fldChar w:fldCharType="end"/>
      </w:r>
      <w:r w:rsidRPr="005A3967">
        <w:rPr>
          <w:b/>
          <w:bCs/>
        </w:rPr>
        <w:t>: Risk Assessment and Mitigation Strategies for SSE Analytics Integration (Author’s elaboration based on research findings)</w:t>
      </w:r>
      <w:r w:rsidRPr="005A3967">
        <w:rPr>
          <w:rStyle w:val="FootnoteReference"/>
          <w:b/>
          <w:bCs/>
        </w:rPr>
        <w:footnoteReference w:id="27"/>
      </w:r>
      <w:bookmarkEnd w:id="92"/>
    </w:p>
    <w:p w14:paraId="0F96A76F" w14:textId="13902B60" w:rsidR="008E3EBC" w:rsidRPr="005A3967" w:rsidRDefault="008E3EBC" w:rsidP="008E3EBC">
      <w:pPr>
        <w:spacing w:line="360" w:lineRule="auto"/>
      </w:pPr>
      <w:r w:rsidRPr="005A3967">
        <w:rPr>
          <w:noProof/>
          <w14:ligatures w14:val="standardContextual"/>
        </w:rPr>
        <w:drawing>
          <wp:inline distT="0" distB="0" distL="0" distR="0" wp14:anchorId="61782DF3" wp14:editId="61A7A831">
            <wp:extent cx="5731510" cy="3427095"/>
            <wp:effectExtent l="0" t="0" r="0" b="1905"/>
            <wp:docPr id="1111430914" name="Picture 45"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860886" name="Picture 45" descr="A table with text on it&#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427095"/>
                    </a:xfrm>
                    <a:prstGeom prst="rect">
                      <a:avLst/>
                    </a:prstGeom>
                  </pic:spPr>
                </pic:pic>
              </a:graphicData>
            </a:graphic>
          </wp:inline>
        </w:drawing>
      </w:r>
    </w:p>
    <w:p w14:paraId="5B430766" w14:textId="1066EDFA" w:rsidR="008E3EBC" w:rsidRPr="005A3967" w:rsidRDefault="008E3EBC" w:rsidP="008E3EBC">
      <w:pPr>
        <w:spacing w:line="360" w:lineRule="auto"/>
      </w:pPr>
      <w:r w:rsidRPr="005A3967">
        <w:t xml:space="preserve">In summary, this proposal offers more than </w:t>
      </w:r>
      <w:r w:rsidR="0002751E">
        <w:t xml:space="preserve">just </w:t>
      </w:r>
      <w:r w:rsidRPr="005A3967">
        <w:t xml:space="preserve">a research plan—it provides a </w:t>
      </w:r>
      <w:r w:rsidRPr="005A3967">
        <w:rPr>
          <w:b/>
          <w:bCs/>
        </w:rPr>
        <w:t>blueprint for transformation</w:t>
      </w:r>
      <w:r w:rsidRPr="005A3967">
        <w:t xml:space="preserve">, aiming to </w:t>
      </w:r>
      <w:r w:rsidR="0002751E">
        <w:t>enhance</w:t>
      </w:r>
      <w:r w:rsidRPr="005A3967">
        <w:t xml:space="preserve"> </w:t>
      </w:r>
      <w:r w:rsidRPr="005A3967">
        <w:rPr>
          <w:b/>
          <w:bCs/>
        </w:rPr>
        <w:t>decision quality</w:t>
      </w:r>
      <w:r w:rsidRPr="005A3967">
        <w:t xml:space="preserve">, </w:t>
      </w:r>
      <w:r w:rsidR="0002751E">
        <w:t xml:space="preserve">foster </w:t>
      </w:r>
      <w:r w:rsidRPr="005A3967">
        <w:rPr>
          <w:b/>
          <w:bCs/>
        </w:rPr>
        <w:t>cross-functional collaboration</w:t>
      </w:r>
      <w:r w:rsidRPr="005A3967">
        <w:t xml:space="preserve">, and </w:t>
      </w:r>
      <w:r w:rsidR="0002751E">
        <w:t xml:space="preserve">cultivate </w:t>
      </w:r>
      <w:r w:rsidRPr="005A3967">
        <w:rPr>
          <w:b/>
          <w:bCs/>
        </w:rPr>
        <w:t>strategic foresight</w:t>
      </w:r>
      <w:r w:rsidRPr="005A3967">
        <w:t xml:space="preserve">. Ultimately, it supports SSE’s ambition to become a </w:t>
      </w:r>
      <w:r w:rsidRPr="005A3967">
        <w:rPr>
          <w:b/>
          <w:bCs/>
        </w:rPr>
        <w:t>digitally confident</w:t>
      </w:r>
      <w:r w:rsidRPr="005A3967">
        <w:t xml:space="preserve">, </w:t>
      </w:r>
      <w:r w:rsidRPr="005A3967">
        <w:rPr>
          <w:b/>
          <w:bCs/>
        </w:rPr>
        <w:t>data-driven</w:t>
      </w:r>
      <w:r w:rsidRPr="005A3967">
        <w:t xml:space="preserve">, and </w:t>
      </w:r>
      <w:r w:rsidRPr="005A3967">
        <w:rPr>
          <w:b/>
          <w:bCs/>
        </w:rPr>
        <w:t>net-zero-aligned</w:t>
      </w:r>
      <w:r w:rsidRPr="005A3967">
        <w:t xml:space="preserve"> energy leader in the UK.</w:t>
      </w:r>
    </w:p>
    <w:p w14:paraId="59BE9406" w14:textId="77777777" w:rsidR="0082472D" w:rsidRPr="005A3967" w:rsidRDefault="0082472D" w:rsidP="008E3EBC">
      <w:pPr>
        <w:spacing w:line="360" w:lineRule="auto"/>
      </w:pPr>
    </w:p>
    <w:p w14:paraId="539FB0F6" w14:textId="77777777" w:rsidR="00A0304A" w:rsidRPr="005A3967" w:rsidRDefault="00A0304A" w:rsidP="008E3EBC">
      <w:pPr>
        <w:spacing w:line="360" w:lineRule="auto"/>
      </w:pPr>
    </w:p>
    <w:p w14:paraId="20A05309" w14:textId="77777777" w:rsidR="00A0304A" w:rsidRPr="005A3967" w:rsidRDefault="00A0304A" w:rsidP="008E3EBC">
      <w:pPr>
        <w:spacing w:line="360" w:lineRule="auto"/>
      </w:pPr>
    </w:p>
    <w:p w14:paraId="6EFA239F" w14:textId="77777777" w:rsidR="00A0304A" w:rsidRPr="005A3967" w:rsidRDefault="00A0304A" w:rsidP="008E3EBC">
      <w:pPr>
        <w:spacing w:line="360" w:lineRule="auto"/>
      </w:pPr>
    </w:p>
    <w:p w14:paraId="5A37F671" w14:textId="77777777" w:rsidR="00A0304A" w:rsidRPr="005A3967" w:rsidRDefault="00A0304A" w:rsidP="008E3EBC">
      <w:pPr>
        <w:spacing w:line="360" w:lineRule="auto"/>
      </w:pPr>
    </w:p>
    <w:p w14:paraId="1307D5F1" w14:textId="77777777" w:rsidR="00A0304A" w:rsidRPr="005A3967" w:rsidRDefault="00A0304A" w:rsidP="008E3EBC">
      <w:pPr>
        <w:spacing w:line="360" w:lineRule="auto"/>
      </w:pPr>
    </w:p>
    <w:p w14:paraId="5EAFEE4B" w14:textId="77777777" w:rsidR="00A0304A" w:rsidRPr="005A3967" w:rsidRDefault="00A0304A" w:rsidP="008E3EBC">
      <w:pPr>
        <w:spacing w:line="360" w:lineRule="auto"/>
      </w:pPr>
    </w:p>
    <w:p w14:paraId="5348F435" w14:textId="77777777" w:rsidR="00A0304A" w:rsidRPr="005A3967" w:rsidRDefault="00A0304A" w:rsidP="008E3EBC">
      <w:pPr>
        <w:spacing w:line="360" w:lineRule="auto"/>
      </w:pPr>
    </w:p>
    <w:p w14:paraId="53DE20E2" w14:textId="77777777" w:rsidR="00A0304A" w:rsidRPr="005A3967" w:rsidRDefault="00A0304A" w:rsidP="008E3EBC">
      <w:pPr>
        <w:spacing w:line="360" w:lineRule="auto"/>
      </w:pPr>
    </w:p>
    <w:p w14:paraId="377D5F82" w14:textId="77777777" w:rsidR="008E3EBC" w:rsidRPr="005A3967" w:rsidRDefault="008E3EBC" w:rsidP="008E3EBC">
      <w:pPr>
        <w:spacing w:line="360" w:lineRule="auto"/>
      </w:pPr>
    </w:p>
    <w:p w14:paraId="7CDC3668" w14:textId="4F702A02" w:rsidR="001E4D79" w:rsidRPr="005A3967" w:rsidRDefault="00E4124D" w:rsidP="001E4D79">
      <w:pPr>
        <w:pStyle w:val="Heading1"/>
        <w:rPr>
          <w:rFonts w:ascii="Times New Roman" w:hAnsi="Times New Roman" w:cs="Times New Roman"/>
          <w:b/>
          <w:bCs/>
          <w:color w:val="000000" w:themeColor="text1"/>
          <w:sz w:val="24"/>
          <w:szCs w:val="24"/>
        </w:rPr>
      </w:pPr>
      <w:bookmarkStart w:id="93" w:name="_Toc202544529"/>
      <w:r w:rsidRPr="005A3967">
        <w:rPr>
          <w:rFonts w:ascii="Times New Roman" w:hAnsi="Times New Roman" w:cs="Times New Roman"/>
          <w:b/>
          <w:bCs/>
          <w:color w:val="000000" w:themeColor="text1"/>
        </w:rPr>
        <w:lastRenderedPageBreak/>
        <w:t>References</w:t>
      </w:r>
      <w:bookmarkEnd w:id="93"/>
    </w:p>
    <w:p w14:paraId="23F8F2B4" w14:textId="1A344ADC" w:rsidR="004C55C7" w:rsidRPr="005A3967" w:rsidRDefault="004C55C7" w:rsidP="001D2D22">
      <w:pPr>
        <w:numPr>
          <w:ilvl w:val="0"/>
          <w:numId w:val="2"/>
        </w:numPr>
        <w:spacing w:before="100" w:beforeAutospacing="1" w:after="100" w:afterAutospacing="1" w:line="360" w:lineRule="auto"/>
        <w:rPr>
          <w:b/>
          <w:bCs/>
          <w:i/>
          <w:iCs/>
        </w:rPr>
      </w:pPr>
      <w:r w:rsidRPr="005A3967">
        <w:t xml:space="preserve">Accenture (2022). </w:t>
      </w:r>
      <w:r w:rsidRPr="005A3967">
        <w:rPr>
          <w:i/>
          <w:iCs/>
        </w:rPr>
        <w:t>A continuum of technology and experience that will reshape the utilities industry.</w:t>
      </w:r>
      <w:r w:rsidRPr="005A3967">
        <w:t xml:space="preserve"> [Online]. Available at: </w:t>
      </w:r>
      <w:hyperlink r:id="rId47" w:history="1">
        <w:r w:rsidRPr="005A3967">
          <w:rPr>
            <w:rStyle w:val="Hyperlink"/>
          </w:rPr>
          <w:t>https://www.accenture.com/gb-en/insights/utilities/technology-trends-2022</w:t>
        </w:r>
      </w:hyperlink>
      <w:r w:rsidRPr="005A3967">
        <w:t xml:space="preserve">  (Accessed </w:t>
      </w:r>
      <w:r w:rsidR="00C75814" w:rsidRPr="005A3967">
        <w:t>4</w:t>
      </w:r>
      <w:r w:rsidRPr="005A3967">
        <w:t xml:space="preserve"> </w:t>
      </w:r>
      <w:r w:rsidR="00C75814" w:rsidRPr="005A3967">
        <w:t>June</w:t>
      </w:r>
      <w:r w:rsidRPr="005A3967">
        <w:t xml:space="preserve"> 2025). </w:t>
      </w:r>
    </w:p>
    <w:p w14:paraId="2083A3C2" w14:textId="77777777" w:rsidR="004C55C7" w:rsidRPr="005A3967" w:rsidRDefault="004C55C7" w:rsidP="001D2D22">
      <w:pPr>
        <w:numPr>
          <w:ilvl w:val="0"/>
          <w:numId w:val="2"/>
        </w:numPr>
        <w:spacing w:before="100" w:beforeAutospacing="1" w:after="100" w:afterAutospacing="1" w:line="360" w:lineRule="auto"/>
      </w:pPr>
      <w:r w:rsidRPr="005A3967">
        <w:t xml:space="preserve">Addy, W.A., Ugochukwu, C.E., Oyewole, A.T., Ofodile, O.C., Adeoye, O.B., &amp; Okoye, C.C. (2024). </w:t>
      </w:r>
      <w:r w:rsidRPr="005A3967">
        <w:rPr>
          <w:i/>
          <w:iCs/>
        </w:rPr>
        <w:t>Predictive analytics in credit risk management for banks: A comprehensive review.</w:t>
      </w:r>
      <w:r w:rsidRPr="005A3967">
        <w:t xml:space="preserve"> GSC Advanced Research and Reviews, 18(2), 434-449. </w:t>
      </w:r>
      <w:r w:rsidRPr="005A3967">
        <w:rPr>
          <w:rStyle w:val="Strong"/>
          <w:rFonts w:eastAsiaTheme="majorEastAsia"/>
          <w:b w:val="0"/>
          <w:bCs w:val="0"/>
          <w:color w:val="000000"/>
          <w:bdr w:val="none" w:sz="0" w:space="0" w:color="auto" w:frame="1"/>
          <w:shd w:val="clear" w:color="auto" w:fill="FFFFFF"/>
        </w:rPr>
        <w:t>DOI:</w:t>
      </w:r>
      <w:r w:rsidRPr="005A3967">
        <w:rPr>
          <w:color w:val="0000FF"/>
          <w:bdr w:val="none" w:sz="0" w:space="0" w:color="auto" w:frame="1"/>
          <w:shd w:val="clear" w:color="auto" w:fill="FFFFFF"/>
        </w:rPr>
        <w:t> 10.30574/gscarr.2024.18.2.0077</w:t>
      </w:r>
    </w:p>
    <w:p w14:paraId="752DFE13" w14:textId="77777777" w:rsidR="004C55C7" w:rsidRPr="005A3967" w:rsidRDefault="004C55C7" w:rsidP="001D2D22">
      <w:pPr>
        <w:numPr>
          <w:ilvl w:val="0"/>
          <w:numId w:val="2"/>
        </w:numPr>
        <w:spacing w:before="100" w:beforeAutospacing="1" w:after="100" w:afterAutospacing="1" w:line="360" w:lineRule="auto"/>
      </w:pPr>
      <w:r w:rsidRPr="005A3967">
        <w:t xml:space="preserve">Adekunle, B.I., Chukwuma-Eke, E.C., Balogun, E.D., &amp; Ogunsola, K.O. (2021). </w:t>
      </w:r>
      <w:r w:rsidRPr="005A3967">
        <w:rPr>
          <w:i/>
          <w:iCs/>
        </w:rPr>
        <w:t>A predictive modeling approach to optimizing business operations: A case study on reducing operational inefficiencies through machine learning.</w:t>
      </w:r>
      <w:r w:rsidRPr="005A3967">
        <w:t xml:space="preserve"> Int. J. Multidiscip. Res. Growth Eval., 2(1), 791-799. </w:t>
      </w:r>
      <w:hyperlink r:id="rId48" w:history="1">
        <w:r w:rsidRPr="005A3967">
          <w:rPr>
            <w:rStyle w:val="Hyperlink"/>
          </w:rPr>
          <w:t>https://www.researchgate.net/PDF</w:t>
        </w:r>
      </w:hyperlink>
      <w:r w:rsidRPr="005A3967">
        <w:t xml:space="preserve"> </w:t>
      </w:r>
    </w:p>
    <w:p w14:paraId="00790C60" w14:textId="1D48483C" w:rsidR="004C55C7" w:rsidRPr="005A3967" w:rsidRDefault="004C55C7" w:rsidP="001D2D22">
      <w:pPr>
        <w:pStyle w:val="citation"/>
        <w:numPr>
          <w:ilvl w:val="0"/>
          <w:numId w:val="2"/>
        </w:numPr>
        <w:spacing w:line="360" w:lineRule="auto"/>
      </w:pPr>
      <w:r w:rsidRPr="005A3967">
        <w:t>Adesina, A.A., Iyelolu, T.V. and Paul, P.O.</w:t>
      </w:r>
      <w:r w:rsidR="00142D8E" w:rsidRPr="005A3967">
        <w:t xml:space="preserve"> (</w:t>
      </w:r>
      <w:r w:rsidRPr="005A3967">
        <w:t>2024</w:t>
      </w:r>
      <w:r w:rsidR="00142D8E" w:rsidRPr="005A3967">
        <w:t>)</w:t>
      </w:r>
      <w:r w:rsidRPr="005A3967">
        <w:t xml:space="preserve">. Leveraging predictive analytics for strategic decision-making: Enhancing business performance through data-driven insights. World Journal of Advanced Research and Reviews, 22(3), pp.1927-1934. </w:t>
      </w:r>
      <w:hyperlink r:id="rId49" w:tgtFrame="_blank" w:tooltip="https://wjarr.co.in/sites/default/files/WJARR-2024-1961.pdf" w:history="1">
        <w:r w:rsidRPr="005A3967">
          <w:rPr>
            <w:rStyle w:val="Hyperlink"/>
            <w:rFonts w:eastAsiaTheme="majorEastAsia"/>
          </w:rPr>
          <w:t>wjarr.co.in</w:t>
        </w:r>
      </w:hyperlink>
    </w:p>
    <w:p w14:paraId="3EDC80E3" w14:textId="77777777" w:rsidR="004C55C7" w:rsidRPr="005A3967" w:rsidRDefault="004C55C7" w:rsidP="001D2D22">
      <w:pPr>
        <w:numPr>
          <w:ilvl w:val="0"/>
          <w:numId w:val="2"/>
        </w:numPr>
        <w:spacing w:before="100" w:beforeAutospacing="1" w:after="100" w:afterAutospacing="1" w:line="360" w:lineRule="auto"/>
      </w:pPr>
      <w:r w:rsidRPr="005A3967">
        <w:t xml:space="preserve">Adesina, T., Kaskaloglu, K., &amp; Bauer, H. (2024). </w:t>
      </w:r>
      <w:r w:rsidRPr="005A3967">
        <w:rPr>
          <w:i/>
          <w:iCs/>
        </w:rPr>
        <w:t>Predictive Analytics in Consumer Decision Making: Organizational Readiness and Adoption Factors.</w:t>
      </w:r>
      <w:r w:rsidRPr="005A3967">
        <w:t xml:space="preserve"> Journal of Marketing Intelligence, 9(1), 55–68. DOI: 10.1016/j.jmi.2024.01.004  </w:t>
      </w:r>
    </w:p>
    <w:p w14:paraId="2C495F48" w14:textId="77777777" w:rsidR="004C55C7" w:rsidRPr="005A3967" w:rsidRDefault="004C55C7" w:rsidP="001D2D22">
      <w:pPr>
        <w:numPr>
          <w:ilvl w:val="0"/>
          <w:numId w:val="2"/>
        </w:numPr>
        <w:spacing w:before="100" w:beforeAutospacing="1" w:after="100" w:afterAutospacing="1" w:line="360" w:lineRule="auto"/>
      </w:pPr>
      <w:r w:rsidRPr="005A3967">
        <w:t xml:space="preserve">Adigwe, C.S., Abalaka, A., Olaniyi, O.O., Adebiyi, O.O., &amp; Oladoyinbo, T.O. (2023). </w:t>
      </w:r>
      <w:r w:rsidRPr="005A3967">
        <w:rPr>
          <w:i/>
          <w:iCs/>
        </w:rPr>
        <w:t>Critical analysis of innovative leadership through effective data analytics: Exploring trends in business analysis, finance, marketing, and IT.</w:t>
      </w:r>
      <w:r w:rsidRPr="005A3967">
        <w:t xml:space="preserve"> Asian Journal of Economics, Business and Accounting, 23(22), 1-15. </w:t>
      </w:r>
      <w:r w:rsidRPr="005A3967">
        <w:rPr>
          <w:b/>
          <w:bCs/>
        </w:rPr>
        <w:t>DOI: </w:t>
      </w:r>
      <w:hyperlink r:id="rId50" w:history="1">
        <w:r w:rsidRPr="005A3967">
          <w:rPr>
            <w:rStyle w:val="Hyperlink"/>
          </w:rPr>
          <w:t>10.9734/</w:t>
        </w:r>
        <w:proofErr w:type="spellStart"/>
        <w:r w:rsidRPr="005A3967">
          <w:rPr>
            <w:rStyle w:val="Hyperlink"/>
          </w:rPr>
          <w:t>ajeba</w:t>
        </w:r>
        <w:proofErr w:type="spellEnd"/>
        <w:r w:rsidRPr="005A3967">
          <w:rPr>
            <w:rStyle w:val="Hyperlink"/>
          </w:rPr>
          <w:t>/2023/v23i221165</w:t>
        </w:r>
      </w:hyperlink>
    </w:p>
    <w:p w14:paraId="15D911CB" w14:textId="77777777" w:rsidR="004C55C7" w:rsidRPr="005A3967" w:rsidRDefault="004C55C7" w:rsidP="001D2D22">
      <w:pPr>
        <w:numPr>
          <w:ilvl w:val="0"/>
          <w:numId w:val="2"/>
        </w:numPr>
        <w:spacing w:before="100" w:beforeAutospacing="1" w:after="100" w:afterAutospacing="1" w:line="360" w:lineRule="auto"/>
      </w:pPr>
      <w:r w:rsidRPr="005A3967">
        <w:t xml:space="preserve">AGL Energy (2022). </w:t>
      </w:r>
      <w:r w:rsidRPr="005A3967">
        <w:rPr>
          <w:i/>
          <w:iCs/>
        </w:rPr>
        <w:t>AI in Operations: A Case Study.</w:t>
      </w:r>
      <w:r w:rsidRPr="005A3967">
        <w:t xml:space="preserve"> [Press Release]. Sydney: AGL Energy. Available at: AGL Media Release </w:t>
      </w:r>
    </w:p>
    <w:p w14:paraId="438C5AE8" w14:textId="77777777" w:rsidR="004C55C7" w:rsidRPr="005A3967" w:rsidRDefault="004C55C7" w:rsidP="001D2D22">
      <w:pPr>
        <w:numPr>
          <w:ilvl w:val="0"/>
          <w:numId w:val="2"/>
        </w:numPr>
        <w:spacing w:before="100" w:beforeAutospacing="1" w:after="100" w:afterAutospacing="1" w:line="360" w:lineRule="auto"/>
      </w:pPr>
      <w:r w:rsidRPr="005A3967">
        <w:t xml:space="preserve">Ahmad, K., Maabreh, M., Ghaly, M., Khan, K., Qadir, J., &amp; Al-Fuqaha, A. (2022). </w:t>
      </w:r>
      <w:r w:rsidRPr="005A3967">
        <w:rPr>
          <w:i/>
          <w:iCs/>
        </w:rPr>
        <w:t>Developing future human-centered smart cities: Critical analysis of smart city security, data management, and ethical challenges.</w:t>
      </w:r>
      <w:r w:rsidRPr="005A3967">
        <w:t xml:space="preserve"> Computer Science Review, 43, 100452. HTML</w:t>
      </w:r>
      <w:r w:rsidRPr="005A3967">
        <w:rPr>
          <w:i/>
          <w:iCs/>
        </w:rPr>
        <w:t>.</w:t>
      </w:r>
    </w:p>
    <w:p w14:paraId="7A885F07" w14:textId="77777777" w:rsidR="004C55C7" w:rsidRPr="005A3967" w:rsidRDefault="004C55C7" w:rsidP="001D2D22">
      <w:pPr>
        <w:numPr>
          <w:ilvl w:val="0"/>
          <w:numId w:val="2"/>
        </w:numPr>
        <w:spacing w:before="100" w:beforeAutospacing="1" w:after="100" w:afterAutospacing="1" w:line="360" w:lineRule="auto"/>
      </w:pPr>
      <w:r w:rsidRPr="005A3967">
        <w:t xml:space="preserve">Al Khaldy, A., Said, T., &amp; Alsadi, B. (2023). </w:t>
      </w:r>
      <w:r w:rsidRPr="005A3967">
        <w:rPr>
          <w:i/>
          <w:iCs/>
        </w:rPr>
        <w:t>Marketing Performance Improvement through Predictive Analytics: An Empirical Study.</w:t>
      </w:r>
      <w:r w:rsidRPr="005A3967">
        <w:t xml:space="preserve"> Journal of Business Analytics, 6(2), 91–110. DOI: 10.1080/2573234X.2023.2173456 </w:t>
      </w:r>
    </w:p>
    <w:p w14:paraId="5CB28D32" w14:textId="77777777" w:rsidR="004C55C7" w:rsidRPr="005A3967" w:rsidRDefault="004C55C7" w:rsidP="001D2D22">
      <w:pPr>
        <w:pStyle w:val="ListParagraph"/>
        <w:numPr>
          <w:ilvl w:val="0"/>
          <w:numId w:val="2"/>
        </w:numPr>
        <w:spacing w:before="100" w:beforeAutospacing="1" w:after="100" w:afterAutospacing="1" w:line="360" w:lineRule="auto"/>
      </w:pPr>
      <w:r w:rsidRPr="005A3967">
        <w:rPr>
          <w:rStyle w:val="Strong"/>
          <w:rFonts w:eastAsiaTheme="majorEastAsia"/>
          <w:b w:val="0"/>
          <w:bCs w:val="0"/>
        </w:rPr>
        <w:t>Alhassan, I., Sammon, D. &amp; Daly, M.</w:t>
      </w:r>
      <w:r w:rsidRPr="005A3967">
        <w:t xml:space="preserve"> (2016) 'Data Governance Activities: An Analysis of the Literature', </w:t>
      </w:r>
      <w:r w:rsidRPr="005A3967">
        <w:rPr>
          <w:rStyle w:val="Emphasis"/>
          <w:rFonts w:eastAsiaTheme="majorEastAsia"/>
        </w:rPr>
        <w:t>Journal of Decision Systems</w:t>
      </w:r>
      <w:r w:rsidRPr="005A3967">
        <w:t>, 25(sup1), pp. 64–75.</w:t>
      </w:r>
      <w:r w:rsidRPr="005A3967">
        <w:br/>
        <w:t>DOI: 10.1080/12460125.2016.1187397</w:t>
      </w:r>
    </w:p>
    <w:p w14:paraId="48DFA888" w14:textId="77777777" w:rsidR="004C55C7" w:rsidRPr="005A3967" w:rsidRDefault="004C55C7" w:rsidP="001D2D22">
      <w:pPr>
        <w:numPr>
          <w:ilvl w:val="0"/>
          <w:numId w:val="2"/>
        </w:numPr>
        <w:spacing w:before="100" w:beforeAutospacing="1" w:after="100" w:afterAutospacing="1" w:line="360" w:lineRule="auto"/>
      </w:pPr>
      <w:r w:rsidRPr="005A3967">
        <w:lastRenderedPageBreak/>
        <w:t xml:space="preserve">Alhumaidi, H. (2025). </w:t>
      </w:r>
      <w:r w:rsidRPr="005A3967">
        <w:rPr>
          <w:i/>
          <w:iCs/>
        </w:rPr>
        <w:t>The Cultural Shift to Algorithmic Decisions in Traditional Industries.</w:t>
      </w:r>
      <w:r w:rsidRPr="005A3967">
        <w:t xml:space="preserve"> Journal of Management Innovation, 14(1), 50-67. </w:t>
      </w:r>
    </w:p>
    <w:p w14:paraId="47513C6D" w14:textId="77777777" w:rsidR="004C55C7" w:rsidRPr="005A3967" w:rsidRDefault="004C55C7" w:rsidP="001D2D22">
      <w:pPr>
        <w:numPr>
          <w:ilvl w:val="0"/>
          <w:numId w:val="2"/>
        </w:numPr>
        <w:spacing w:before="100" w:beforeAutospacing="1" w:after="100" w:afterAutospacing="1" w:line="360" w:lineRule="auto"/>
      </w:pPr>
      <w:r w:rsidRPr="005A3967">
        <w:t xml:space="preserve">Aljohani, S. (2023). </w:t>
      </w:r>
      <w:r w:rsidRPr="005A3967">
        <w:rPr>
          <w:i/>
          <w:iCs/>
        </w:rPr>
        <w:t>The Impact of Predictive Analytics and AI on Digital Marketing Strategy and ROI.</w:t>
      </w:r>
      <w:r w:rsidRPr="005A3967">
        <w:t xml:space="preserve"> In: Yaseen, H. (Ed.), </w:t>
      </w:r>
      <w:r w:rsidRPr="005A3967">
        <w:rPr>
          <w:i/>
          <w:iCs/>
        </w:rPr>
        <w:t>Advances in Digital Marketing Analytics</w:t>
      </w:r>
      <w:r w:rsidRPr="005A3967">
        <w:t xml:space="preserve"> (pp. 91–110). </w:t>
      </w:r>
    </w:p>
    <w:p w14:paraId="12880555" w14:textId="77777777" w:rsidR="004C55C7" w:rsidRPr="005A3967" w:rsidRDefault="004C55C7" w:rsidP="001D2D22">
      <w:pPr>
        <w:pStyle w:val="ListParagraph"/>
        <w:numPr>
          <w:ilvl w:val="0"/>
          <w:numId w:val="2"/>
        </w:numPr>
        <w:spacing w:before="100" w:beforeAutospacing="1" w:after="100" w:afterAutospacing="1" w:line="360" w:lineRule="auto"/>
      </w:pPr>
      <w:r w:rsidRPr="005A3967">
        <w:rPr>
          <w:rStyle w:val="Strong"/>
          <w:rFonts w:eastAsiaTheme="majorEastAsia"/>
          <w:b w:val="0"/>
          <w:bCs w:val="0"/>
        </w:rPr>
        <w:t>Arnott, D., Lizama, F. &amp; Song, Y.</w:t>
      </w:r>
      <w:r w:rsidRPr="005A3967">
        <w:t xml:space="preserve"> (2017) 'Patterns of Business Intelligence Systems Use in Organisations', </w:t>
      </w:r>
      <w:r w:rsidRPr="005A3967">
        <w:rPr>
          <w:rStyle w:val="Emphasis"/>
          <w:rFonts w:eastAsiaTheme="majorEastAsia"/>
        </w:rPr>
        <w:t>Decision Support Systems</w:t>
      </w:r>
      <w:r w:rsidRPr="005A3967">
        <w:t>, 97, pp. 58–68.</w:t>
      </w:r>
      <w:r w:rsidRPr="005A3967">
        <w:br/>
      </w:r>
      <w:hyperlink r:id="rId51" w:tgtFrame="_new" w:history="1">
        <w:r w:rsidRPr="005A3967">
          <w:rPr>
            <w:rStyle w:val="Hyperlink"/>
            <w:rFonts w:eastAsiaTheme="majorEastAsia"/>
          </w:rPr>
          <w:t>DOI: 10.1016/j.dss.2017.03.005</w:t>
        </w:r>
      </w:hyperlink>
    </w:p>
    <w:p w14:paraId="0741384B" w14:textId="77777777" w:rsidR="004C55C7" w:rsidRPr="005A3967" w:rsidRDefault="004C55C7" w:rsidP="001D2D22">
      <w:pPr>
        <w:numPr>
          <w:ilvl w:val="0"/>
          <w:numId w:val="2"/>
        </w:numPr>
        <w:spacing w:before="100" w:beforeAutospacing="1" w:after="100" w:afterAutospacing="1" w:line="360" w:lineRule="auto"/>
      </w:pPr>
      <w:r w:rsidRPr="005A3967">
        <w:t xml:space="preserve">BEIS. (2021). </w:t>
      </w:r>
      <w:r w:rsidRPr="005A3967">
        <w:rPr>
          <w:rStyle w:val="Emphasis"/>
          <w:rFonts w:eastAsiaTheme="majorEastAsia"/>
        </w:rPr>
        <w:t>Net Zero Strategy: Build Back Greener</w:t>
      </w:r>
      <w:r w:rsidRPr="005A3967">
        <w:t xml:space="preserve">. UK Government. </w:t>
      </w:r>
      <w:hyperlink r:id="rId52" w:history="1">
        <w:r w:rsidRPr="005A3967">
          <w:rPr>
            <w:rStyle w:val="Hyperlink"/>
          </w:rPr>
          <w:t>https://doi.org/10.5281/zenodo.5540496</w:t>
        </w:r>
      </w:hyperlink>
      <w:r w:rsidRPr="005A3967">
        <w:t xml:space="preserve"> </w:t>
      </w:r>
    </w:p>
    <w:p w14:paraId="6C194160" w14:textId="3E50A443" w:rsidR="004C55C7" w:rsidRPr="005A3967" w:rsidRDefault="004C55C7" w:rsidP="001D2D22">
      <w:pPr>
        <w:pStyle w:val="citation"/>
        <w:numPr>
          <w:ilvl w:val="0"/>
          <w:numId w:val="2"/>
        </w:numPr>
        <w:spacing w:line="360" w:lineRule="auto"/>
      </w:pPr>
      <w:r w:rsidRPr="005A3967">
        <w:t>Benjamin, L.B., Amajuoyi, P. and Adeusi, K.B.</w:t>
      </w:r>
      <w:r w:rsidR="00142D8E" w:rsidRPr="005A3967">
        <w:t xml:space="preserve"> (</w:t>
      </w:r>
      <w:r w:rsidRPr="005A3967">
        <w:t>2024</w:t>
      </w:r>
      <w:r w:rsidR="00142D8E" w:rsidRPr="005A3967">
        <w:t>)</w:t>
      </w:r>
      <w:r w:rsidRPr="005A3967">
        <w:t xml:space="preserve">. Leveraging data analytics for informed product development from conception to launch. GSC Advanced Research and Reviews, 19(2), pp.230-248. </w:t>
      </w:r>
      <w:hyperlink r:id="rId53" w:tgtFrame="_blank" w:tooltip="https://www.academia.edu/download/118744919/GSCARR-2024-0180.pdf" w:history="1">
        <w:r w:rsidRPr="005A3967">
          <w:rPr>
            <w:rStyle w:val="Hyperlink"/>
            <w:rFonts w:eastAsiaTheme="majorEastAsia"/>
          </w:rPr>
          <w:t>academia.edu</w:t>
        </w:r>
      </w:hyperlink>
    </w:p>
    <w:p w14:paraId="1FEDFF8E" w14:textId="77777777" w:rsidR="004C55C7" w:rsidRPr="005A3967" w:rsidRDefault="004C55C7" w:rsidP="001D2D22">
      <w:pPr>
        <w:numPr>
          <w:ilvl w:val="0"/>
          <w:numId w:val="2"/>
        </w:numPr>
        <w:spacing w:before="100" w:beforeAutospacing="1" w:after="100" w:afterAutospacing="1" w:line="360" w:lineRule="auto"/>
      </w:pPr>
      <w:r w:rsidRPr="005A3967">
        <w:t xml:space="preserve">BERA (2018) </w:t>
      </w:r>
      <w:r w:rsidRPr="005A3967">
        <w:rPr>
          <w:rStyle w:val="Emphasis"/>
          <w:rFonts w:eastAsiaTheme="majorEastAsia"/>
        </w:rPr>
        <w:t>Ethical Guidelines for Educational Research</w:t>
      </w:r>
      <w:r w:rsidRPr="005A3967">
        <w:t xml:space="preserve">. 4th ed. British Educational Research Association. </w:t>
      </w:r>
      <w:hyperlink r:id="rId54" w:history="1">
        <w:r w:rsidRPr="005A3967">
          <w:rPr>
            <w:rStyle w:val="Hyperlink"/>
          </w:rPr>
          <w:t xml:space="preserve">Ethical Guidelines </w:t>
        </w:r>
      </w:hyperlink>
      <w:r w:rsidRPr="005A3967">
        <w:t xml:space="preserve"> </w:t>
      </w:r>
    </w:p>
    <w:p w14:paraId="0871B1D9" w14:textId="77777777" w:rsidR="004C55C7" w:rsidRPr="005A3967" w:rsidRDefault="004C55C7" w:rsidP="001D2D22">
      <w:pPr>
        <w:numPr>
          <w:ilvl w:val="0"/>
          <w:numId w:val="2"/>
        </w:numPr>
        <w:spacing w:before="100" w:beforeAutospacing="1" w:after="100" w:afterAutospacing="1" w:line="360" w:lineRule="auto"/>
      </w:pPr>
      <w:r w:rsidRPr="005A3967">
        <w:t xml:space="preserve">Bosux, D., Jonsson, P., &amp; Kraus, J. (2020). </w:t>
      </w:r>
      <w:r w:rsidRPr="005A3967">
        <w:rPr>
          <w:i/>
          <w:iCs/>
        </w:rPr>
        <w:t>Data Quality and Strategic Decision Outcomes: An Empirical Investigation.</w:t>
      </w:r>
      <w:r w:rsidRPr="005A3967">
        <w:t xml:space="preserve"> Journal of Data Management, 5(1), 22-35. </w:t>
      </w:r>
    </w:p>
    <w:p w14:paraId="0CC07B59" w14:textId="77777777" w:rsidR="004C55C7" w:rsidRPr="005A3967" w:rsidRDefault="004C55C7" w:rsidP="001D2D22">
      <w:pPr>
        <w:numPr>
          <w:ilvl w:val="0"/>
          <w:numId w:val="2"/>
        </w:numPr>
        <w:spacing w:before="100" w:beforeAutospacing="1" w:after="100" w:afterAutospacing="1" w:line="360" w:lineRule="auto"/>
      </w:pPr>
      <w:r w:rsidRPr="005A3967">
        <w:t xml:space="preserve">Braun, V. and Clarke, V. (2006) 'Using thematic analysis in psychology', </w:t>
      </w:r>
      <w:r w:rsidRPr="005A3967">
        <w:rPr>
          <w:rStyle w:val="Emphasis"/>
          <w:rFonts w:eastAsiaTheme="majorEastAsia"/>
        </w:rPr>
        <w:t>Qualitative Research in Psychology</w:t>
      </w:r>
      <w:r w:rsidRPr="005A3967">
        <w:t>, 3(2), pp. 77–101.</w:t>
      </w:r>
    </w:p>
    <w:p w14:paraId="4F48AA92" w14:textId="77777777" w:rsidR="004C55C7" w:rsidRPr="005A3967" w:rsidRDefault="004C55C7" w:rsidP="001D2D22">
      <w:pPr>
        <w:numPr>
          <w:ilvl w:val="0"/>
          <w:numId w:val="2"/>
        </w:numPr>
        <w:spacing w:before="100" w:beforeAutospacing="1" w:after="100" w:afterAutospacing="1" w:line="360" w:lineRule="auto"/>
      </w:pPr>
      <w:r w:rsidRPr="005A3967">
        <w:t xml:space="preserve">Brous, P., Janssen, M., &amp; Krans, R. (2020). </w:t>
      </w:r>
      <w:r w:rsidRPr="005A3967">
        <w:rPr>
          <w:i/>
          <w:iCs/>
        </w:rPr>
        <w:t>Data Governance as Success Factor for Data Science.</w:t>
      </w:r>
      <w:r w:rsidRPr="005A3967">
        <w:t xml:space="preserve"> In </w:t>
      </w:r>
      <w:r w:rsidRPr="005A3967">
        <w:rPr>
          <w:i/>
          <w:iCs/>
        </w:rPr>
        <w:t>Proceedings of the 21st Annual International Conference on Digital Government Research</w:t>
      </w:r>
      <w:r w:rsidRPr="005A3967">
        <w:t>. ACM. doi: </w:t>
      </w:r>
      <w:hyperlink r:id="rId55" w:tgtFrame="_blank" w:history="1">
        <w:r w:rsidRPr="005A3967">
          <w:rPr>
            <w:rStyle w:val="Hyperlink"/>
          </w:rPr>
          <w:t>10.1007/978-3-030-44999-5_36</w:t>
        </w:r>
      </w:hyperlink>
    </w:p>
    <w:p w14:paraId="31C48772" w14:textId="77777777" w:rsidR="004C55C7" w:rsidRPr="005A3967" w:rsidRDefault="004C55C7" w:rsidP="001D2D22">
      <w:pPr>
        <w:numPr>
          <w:ilvl w:val="0"/>
          <w:numId w:val="2"/>
        </w:numPr>
        <w:spacing w:before="100" w:beforeAutospacing="1" w:after="100" w:afterAutospacing="1" w:line="360" w:lineRule="auto"/>
      </w:pPr>
      <w:r w:rsidRPr="005A3967">
        <w:t xml:space="preserve">Brynjolfsson, E., Liu, V., &amp; Reinhardt, R. (2021). </w:t>
      </w:r>
      <w:r w:rsidRPr="005A3967">
        <w:rPr>
          <w:i/>
          <w:iCs/>
        </w:rPr>
        <w:t>Data-Driven Culture and Decision-Making Performance.</w:t>
      </w:r>
      <w:r w:rsidRPr="005A3967">
        <w:t xml:space="preserve"> MIT Sloan Research Paper</w:t>
      </w:r>
      <w:r w:rsidRPr="005A3967">
        <w:rPr>
          <w:i/>
          <w:iCs/>
        </w:rPr>
        <w:t xml:space="preserve">. </w:t>
      </w:r>
      <w:hyperlink r:id="rId56" w:history="1">
        <w:r w:rsidRPr="005A3967">
          <w:rPr>
            <w:rStyle w:val="Hyperlink"/>
            <w:i/>
            <w:iCs/>
          </w:rPr>
          <w:t xml:space="preserve">Data-Driven Culture </w:t>
        </w:r>
      </w:hyperlink>
      <w:r w:rsidRPr="005A3967">
        <w:rPr>
          <w:i/>
          <w:iCs/>
        </w:rPr>
        <w:t xml:space="preserve"> </w:t>
      </w:r>
    </w:p>
    <w:p w14:paraId="5B8CE32C" w14:textId="77777777" w:rsidR="004C55C7" w:rsidRPr="005A3967" w:rsidRDefault="004C55C7" w:rsidP="001D2D22">
      <w:pPr>
        <w:numPr>
          <w:ilvl w:val="0"/>
          <w:numId w:val="2"/>
        </w:numPr>
        <w:spacing w:before="100" w:beforeAutospacing="1" w:after="100" w:afterAutospacing="1" w:line="360" w:lineRule="auto"/>
      </w:pPr>
      <w:r w:rsidRPr="005A3967">
        <w:t xml:space="preserve">Brynjolfsson, E., Rock, D., &amp; Syverson, C. (2021). </w:t>
      </w:r>
      <w:r w:rsidRPr="005A3967">
        <w:rPr>
          <w:i/>
          <w:iCs/>
        </w:rPr>
        <w:t>Cultural deployment of data-driven decision-making and firm performance.</w:t>
      </w:r>
      <w:r w:rsidRPr="005A3967">
        <w:t xml:space="preserve"> (MIT Sloan Research Paper No. 7137-23). </w:t>
      </w:r>
    </w:p>
    <w:p w14:paraId="46F4091E" w14:textId="77777777" w:rsidR="004C55C7" w:rsidRPr="005A3967" w:rsidRDefault="004C55C7" w:rsidP="001D2D22">
      <w:pPr>
        <w:numPr>
          <w:ilvl w:val="0"/>
          <w:numId w:val="2"/>
        </w:numPr>
        <w:spacing w:before="100" w:beforeAutospacing="1" w:after="100" w:afterAutospacing="1" w:line="360" w:lineRule="auto"/>
      </w:pPr>
      <w:r w:rsidRPr="005A3967">
        <w:t xml:space="preserve">Capgemini Research Institute. (2020). </w:t>
      </w:r>
      <w:r w:rsidRPr="005A3967">
        <w:rPr>
          <w:rStyle w:val="Emphasis"/>
          <w:rFonts w:eastAsiaTheme="majorEastAsia"/>
        </w:rPr>
        <w:t>The Data-Powered Enterprise: Why organizations must strengthen their data mastery</w:t>
      </w:r>
      <w:r w:rsidRPr="005A3967">
        <w:t xml:space="preserve">. </w:t>
      </w:r>
      <w:hyperlink r:id="rId57" w:history="1">
        <w:r w:rsidRPr="005A3967">
          <w:rPr>
            <w:rStyle w:val="Hyperlink"/>
          </w:rPr>
          <w:t>https://doi.org/10.1007/978-3-030-32416-3_1</w:t>
        </w:r>
      </w:hyperlink>
      <w:r w:rsidRPr="005A3967">
        <w:t xml:space="preserve"> </w:t>
      </w:r>
    </w:p>
    <w:p w14:paraId="1B0EA096" w14:textId="7A341C23" w:rsidR="004C55C7" w:rsidRPr="005A3967" w:rsidRDefault="004C55C7" w:rsidP="001D2D22">
      <w:pPr>
        <w:pStyle w:val="ListParagraph"/>
        <w:numPr>
          <w:ilvl w:val="0"/>
          <w:numId w:val="2"/>
        </w:numPr>
        <w:spacing w:before="100" w:beforeAutospacing="1" w:after="100" w:afterAutospacing="1" w:line="360" w:lineRule="auto"/>
      </w:pPr>
      <w:r w:rsidRPr="005A3967">
        <w:t xml:space="preserve">Centrica. (2024) </w:t>
      </w:r>
      <w:r w:rsidRPr="005A3967">
        <w:rPr>
          <w:rStyle w:val="Emphasis"/>
          <w:rFonts w:eastAsiaTheme="majorEastAsia"/>
        </w:rPr>
        <w:t>Annual Report and Accounts 2024</w:t>
      </w:r>
      <w:r w:rsidRPr="005A3967">
        <w:t xml:space="preserve">. Available at: https://www.centrica.com/media/annual-report-2024 (Accessed: </w:t>
      </w:r>
      <w:r w:rsidR="00C75814" w:rsidRPr="005A3967">
        <w:t>28</w:t>
      </w:r>
      <w:r w:rsidRPr="005A3967">
        <w:t xml:space="preserve"> </w:t>
      </w:r>
      <w:r w:rsidR="00C75814" w:rsidRPr="005A3967">
        <w:t>May</w:t>
      </w:r>
      <w:r w:rsidRPr="005A3967">
        <w:t xml:space="preserve"> 2025).</w:t>
      </w:r>
    </w:p>
    <w:p w14:paraId="1B33686C" w14:textId="77777777" w:rsidR="004C55C7" w:rsidRPr="005A3967" w:rsidRDefault="004C55C7" w:rsidP="001D2D22">
      <w:pPr>
        <w:numPr>
          <w:ilvl w:val="0"/>
          <w:numId w:val="2"/>
        </w:numPr>
        <w:spacing w:before="100" w:beforeAutospacing="1" w:after="100" w:afterAutospacing="1" w:line="360" w:lineRule="auto"/>
      </w:pPr>
      <w:r w:rsidRPr="005A3967">
        <w:t xml:space="preserve">Creswell, J.W., &amp; Plano Clark, V.L. (2018). </w:t>
      </w:r>
      <w:r w:rsidRPr="005A3967">
        <w:rPr>
          <w:i/>
          <w:iCs/>
        </w:rPr>
        <w:t>Designing and Conducting Mixed Methods Research</w:t>
      </w:r>
      <w:r w:rsidRPr="005A3967">
        <w:t xml:space="preserve"> (3rd ed.). Sage Publications</w:t>
      </w:r>
    </w:p>
    <w:p w14:paraId="1E39A71E" w14:textId="77777777" w:rsidR="004C55C7" w:rsidRPr="005A3967" w:rsidRDefault="004C55C7" w:rsidP="001D2D22">
      <w:pPr>
        <w:numPr>
          <w:ilvl w:val="0"/>
          <w:numId w:val="2"/>
        </w:numPr>
        <w:spacing w:before="100" w:beforeAutospacing="1" w:after="100" w:afterAutospacing="1" w:line="360" w:lineRule="auto"/>
      </w:pPr>
      <w:r w:rsidRPr="005A3967">
        <w:t xml:space="preserve">Crudu, L. (2024). </w:t>
      </w:r>
      <w:r w:rsidRPr="005A3967">
        <w:rPr>
          <w:i/>
          <w:iCs/>
        </w:rPr>
        <w:t>Predictive models as “strategic compasses”: Using foresight for corporate planning in volatile markets.</w:t>
      </w:r>
      <w:r w:rsidRPr="005A3967">
        <w:t xml:space="preserve"> Journal of Strategic Finance, 15(4), 77-88. </w:t>
      </w:r>
    </w:p>
    <w:p w14:paraId="24CCE000" w14:textId="1A63F77F" w:rsidR="004C55C7" w:rsidRPr="005A3967" w:rsidRDefault="004C55C7" w:rsidP="001D2D22">
      <w:pPr>
        <w:pStyle w:val="NormalWeb"/>
        <w:numPr>
          <w:ilvl w:val="0"/>
          <w:numId w:val="2"/>
        </w:numPr>
        <w:spacing w:before="0" w:beforeAutospacing="0" w:after="0" w:afterAutospacing="0" w:line="360" w:lineRule="auto"/>
        <w:rPr>
          <w:color w:val="000000"/>
        </w:rPr>
      </w:pPr>
      <w:r w:rsidRPr="005A3967">
        <w:rPr>
          <w:rStyle w:val="csl-entry"/>
          <w:rFonts w:eastAsiaTheme="majorEastAsia"/>
          <w:color w:val="000000"/>
        </w:rPr>
        <w:lastRenderedPageBreak/>
        <w:t xml:space="preserve">DAMA International. </w:t>
      </w:r>
      <w:r w:rsidR="004244F8" w:rsidRPr="005A3967">
        <w:rPr>
          <w:rStyle w:val="csl-entry"/>
          <w:rFonts w:eastAsiaTheme="majorEastAsia"/>
          <w:color w:val="000000"/>
        </w:rPr>
        <w:t>(</w:t>
      </w:r>
      <w:r w:rsidRPr="005A3967">
        <w:rPr>
          <w:rStyle w:val="csl-entry"/>
          <w:rFonts w:eastAsiaTheme="majorEastAsia"/>
          <w:color w:val="000000"/>
        </w:rPr>
        <w:t>2024</w:t>
      </w:r>
      <w:r w:rsidR="004244F8" w:rsidRPr="005A3967">
        <w:rPr>
          <w:rStyle w:val="csl-entry"/>
          <w:rFonts w:eastAsiaTheme="majorEastAsia"/>
          <w:color w:val="000000"/>
        </w:rPr>
        <w:t>)</w:t>
      </w:r>
      <w:r w:rsidRPr="005A3967">
        <w:rPr>
          <w:rStyle w:val="csl-entry"/>
          <w:rFonts w:eastAsiaTheme="majorEastAsia"/>
          <w:color w:val="000000"/>
        </w:rPr>
        <w:t>.</w:t>
      </w:r>
      <w:r w:rsidRPr="005A3967">
        <w:rPr>
          <w:rStyle w:val="apple-converted-space"/>
          <w:rFonts w:eastAsiaTheme="majorEastAsia"/>
          <w:color w:val="000000"/>
        </w:rPr>
        <w:t> </w:t>
      </w:r>
      <w:r w:rsidRPr="005A3967">
        <w:rPr>
          <w:rStyle w:val="csl-entry"/>
          <w:rFonts w:eastAsiaTheme="majorEastAsia"/>
          <w:i/>
          <w:iCs/>
          <w:color w:val="000000"/>
        </w:rPr>
        <w:t>DAMA-DMBOK: Data Management Body of Knowledge</w:t>
      </w:r>
      <w:r w:rsidRPr="005A3967">
        <w:rPr>
          <w:rStyle w:val="csl-entry"/>
          <w:rFonts w:eastAsiaTheme="majorEastAsia"/>
          <w:color w:val="000000"/>
        </w:rPr>
        <w:t xml:space="preserve">. Henderson, D., Earley, S., and Sebastian-Coleman, L. eds. Basking Ridge, NJ 07920 USA: DAMA DMBoK. pp. 1–626. </w:t>
      </w:r>
      <w:hyperlink r:id="rId58" w:history="1">
        <w:r w:rsidRPr="005A3967">
          <w:rPr>
            <w:rStyle w:val="Hyperlink"/>
            <w:rFonts w:eastAsiaTheme="majorEastAsia"/>
          </w:rPr>
          <w:t>DAMA DMBoK2</w:t>
        </w:r>
      </w:hyperlink>
      <w:r w:rsidRPr="005A3967">
        <w:rPr>
          <w:rStyle w:val="csl-entry"/>
          <w:rFonts w:eastAsiaTheme="majorEastAsia"/>
          <w:color w:val="000000"/>
        </w:rPr>
        <w:t xml:space="preserve"> </w:t>
      </w:r>
    </w:p>
    <w:p w14:paraId="62BA1905" w14:textId="77777777" w:rsidR="004C55C7" w:rsidRPr="005A3967" w:rsidRDefault="004C55C7" w:rsidP="001D2D22">
      <w:pPr>
        <w:pStyle w:val="ListParagraph"/>
        <w:numPr>
          <w:ilvl w:val="0"/>
          <w:numId w:val="2"/>
        </w:numPr>
        <w:spacing w:before="100" w:beforeAutospacing="1" w:after="100" w:afterAutospacing="1" w:line="360" w:lineRule="auto"/>
      </w:pPr>
      <w:r w:rsidRPr="005A3967">
        <w:rPr>
          <w:rStyle w:val="Strong"/>
          <w:rFonts w:eastAsiaTheme="majorEastAsia"/>
          <w:b w:val="0"/>
          <w:bCs w:val="0"/>
        </w:rPr>
        <w:t>Davenport, T.H. &amp; Harris, J.G.</w:t>
      </w:r>
      <w:r w:rsidRPr="005A3967">
        <w:t xml:space="preserve"> (2017) </w:t>
      </w:r>
      <w:r w:rsidRPr="005A3967">
        <w:rPr>
          <w:rStyle w:val="Emphasis"/>
          <w:rFonts w:eastAsiaTheme="majorEastAsia"/>
        </w:rPr>
        <w:t>Competing on Analytics: The New Science of Winning</w:t>
      </w:r>
      <w:r w:rsidRPr="005A3967">
        <w:t>. Revised ed. Boston: Harvard Business Review Press.</w:t>
      </w:r>
      <w:r w:rsidRPr="005A3967">
        <w:br/>
      </w:r>
      <w:hyperlink r:id="rId59" w:tgtFrame="_new" w:history="1">
        <w:r w:rsidRPr="005A3967">
          <w:rPr>
            <w:rStyle w:val="Hyperlink"/>
            <w:rFonts w:eastAsiaTheme="majorEastAsia"/>
          </w:rPr>
          <w:t>Link</w:t>
        </w:r>
      </w:hyperlink>
    </w:p>
    <w:p w14:paraId="185EB76D" w14:textId="77777777" w:rsidR="004C55C7" w:rsidRPr="005A3967" w:rsidRDefault="004C55C7" w:rsidP="001D2D22">
      <w:pPr>
        <w:numPr>
          <w:ilvl w:val="0"/>
          <w:numId w:val="2"/>
        </w:numPr>
        <w:spacing w:before="100" w:beforeAutospacing="1" w:after="100" w:afterAutospacing="1" w:line="360" w:lineRule="auto"/>
      </w:pPr>
      <w:r w:rsidRPr="005A3967">
        <w:t xml:space="preserve">Davenport, T.H., &amp; Bean, R. (2018). </w:t>
      </w:r>
      <w:r w:rsidRPr="005A3967">
        <w:rPr>
          <w:i/>
          <w:iCs/>
        </w:rPr>
        <w:t>Big Companies Are Embracing Analytics, But Most Still Don’t Have a Data-Driven Culture.</w:t>
      </w:r>
      <w:r w:rsidRPr="005A3967">
        <w:t xml:space="preserve"> Harvard Business Review, 96(1). </w:t>
      </w:r>
    </w:p>
    <w:p w14:paraId="04AF8593" w14:textId="77777777" w:rsidR="004C55C7" w:rsidRPr="005A3967" w:rsidRDefault="004C55C7" w:rsidP="001D2D22">
      <w:pPr>
        <w:numPr>
          <w:ilvl w:val="0"/>
          <w:numId w:val="2"/>
        </w:numPr>
        <w:spacing w:before="100" w:beforeAutospacing="1" w:after="100" w:afterAutospacing="1" w:line="360" w:lineRule="auto"/>
      </w:pPr>
      <w:r w:rsidRPr="005A3967">
        <w:t xml:space="preserve">Davenport, T.H., Harris, J.G., &amp; Morison, R. (2010). </w:t>
      </w:r>
      <w:r w:rsidRPr="005A3967">
        <w:rPr>
          <w:i/>
          <w:iCs/>
        </w:rPr>
        <w:t>Analytics at Work: Smarter Decisions, Better Results.</w:t>
      </w:r>
      <w:r w:rsidRPr="005A3967">
        <w:t xml:space="preserve"> Harvard Business Press. </w:t>
      </w:r>
    </w:p>
    <w:p w14:paraId="5CA41BFC" w14:textId="77777777" w:rsidR="004C55C7" w:rsidRPr="005A3967" w:rsidRDefault="004C55C7" w:rsidP="001D2D22">
      <w:pPr>
        <w:pStyle w:val="ListParagraph"/>
        <w:numPr>
          <w:ilvl w:val="0"/>
          <w:numId w:val="2"/>
        </w:numPr>
        <w:spacing w:before="100" w:beforeAutospacing="1" w:after="100" w:afterAutospacing="1" w:line="360" w:lineRule="auto"/>
      </w:pPr>
      <w:r w:rsidRPr="005A3967">
        <w:rPr>
          <w:rStyle w:val="Strong"/>
          <w:rFonts w:eastAsiaTheme="majorEastAsia"/>
          <w:b w:val="0"/>
          <w:bCs w:val="0"/>
        </w:rPr>
        <w:t>Dehghani, Z. (2022)</w:t>
      </w:r>
      <w:r w:rsidRPr="005A3967">
        <w:rPr>
          <w:b/>
          <w:bCs/>
        </w:rPr>
        <w:t>.</w:t>
      </w:r>
      <w:r w:rsidRPr="005A3967">
        <w:t xml:space="preserve"> </w:t>
      </w:r>
      <w:r w:rsidRPr="005A3967">
        <w:rPr>
          <w:rStyle w:val="Emphasis"/>
          <w:rFonts w:eastAsiaTheme="majorEastAsia"/>
        </w:rPr>
        <w:t>Data Mesh: Delivering Data-Driven Value at Scale</w:t>
      </w:r>
      <w:r w:rsidRPr="005A3967">
        <w:t>. Sebastopol, CA: O’Reilly Media.</w:t>
      </w:r>
    </w:p>
    <w:p w14:paraId="1ED28C9B" w14:textId="77777777" w:rsidR="004C55C7" w:rsidRPr="005A3967" w:rsidRDefault="004C55C7" w:rsidP="001D2D22">
      <w:pPr>
        <w:numPr>
          <w:ilvl w:val="0"/>
          <w:numId w:val="2"/>
        </w:numPr>
        <w:spacing w:before="100" w:beforeAutospacing="1" w:after="100" w:afterAutospacing="1" w:line="360" w:lineRule="auto"/>
      </w:pPr>
      <w:r w:rsidRPr="005A3967">
        <w:t xml:space="preserve">Dubois, A. and Gadde, L-E. (2002) 'Systematic combining: An abductive approach to case research', </w:t>
      </w:r>
      <w:r w:rsidRPr="005A3967">
        <w:rPr>
          <w:rStyle w:val="Emphasis"/>
          <w:rFonts w:eastAsiaTheme="majorEastAsia"/>
        </w:rPr>
        <w:t>Journal of Business Research</w:t>
      </w:r>
      <w:r w:rsidRPr="005A3967">
        <w:t>, 55(7), pp. 553–560.</w:t>
      </w:r>
    </w:p>
    <w:p w14:paraId="0E68EC08" w14:textId="05EECF3F" w:rsidR="004C55C7" w:rsidRPr="005A3967" w:rsidRDefault="004C55C7" w:rsidP="001D2D22">
      <w:pPr>
        <w:pStyle w:val="ListParagraph"/>
        <w:numPr>
          <w:ilvl w:val="0"/>
          <w:numId w:val="2"/>
        </w:numPr>
        <w:spacing w:before="100" w:beforeAutospacing="1" w:after="100" w:afterAutospacing="1" w:line="360" w:lineRule="auto"/>
      </w:pPr>
      <w:r w:rsidRPr="005A3967">
        <w:t xml:space="preserve">E.ON UK. (2024) </w:t>
      </w:r>
      <w:r w:rsidRPr="005A3967">
        <w:rPr>
          <w:rStyle w:val="Emphasis"/>
          <w:rFonts w:eastAsiaTheme="majorEastAsia"/>
        </w:rPr>
        <w:t>Digitalisation and Customer Insights Report 2024</w:t>
      </w:r>
      <w:r w:rsidRPr="005A3967">
        <w:t xml:space="preserve">. Available at: https://www.eonenergy.com/about-us/sustainability-and-innovation/digitalisation (Accessed: 26 </w:t>
      </w:r>
      <w:r w:rsidR="00E24E08" w:rsidRPr="005A3967">
        <w:t xml:space="preserve">May </w:t>
      </w:r>
      <w:r w:rsidRPr="005A3967">
        <w:t>2025).</w:t>
      </w:r>
    </w:p>
    <w:p w14:paraId="6A339A96" w14:textId="72EF7B49" w:rsidR="004C55C7" w:rsidRPr="005A3967" w:rsidRDefault="004C55C7" w:rsidP="001D2D22">
      <w:pPr>
        <w:pStyle w:val="ListParagraph"/>
        <w:numPr>
          <w:ilvl w:val="0"/>
          <w:numId w:val="2"/>
        </w:numPr>
        <w:spacing w:before="100" w:beforeAutospacing="1" w:after="100" w:afterAutospacing="1" w:line="360" w:lineRule="auto"/>
      </w:pPr>
      <w:r w:rsidRPr="005A3967">
        <w:t xml:space="preserve">EDF Energy. (2024) </w:t>
      </w:r>
      <w:r w:rsidRPr="005A3967">
        <w:rPr>
          <w:rStyle w:val="Emphasis"/>
          <w:rFonts w:eastAsiaTheme="majorEastAsia"/>
        </w:rPr>
        <w:t>Digital Innovation Strategy 2024</w:t>
      </w:r>
      <w:r w:rsidRPr="005A3967">
        <w:t xml:space="preserve">. Available at: https://www.edfenergy.com/energy/digital-innovation (Accessed: 6 </w:t>
      </w:r>
      <w:r w:rsidR="00E24E08" w:rsidRPr="005A3967">
        <w:t>May</w:t>
      </w:r>
      <w:r w:rsidRPr="005A3967">
        <w:t xml:space="preserve"> 2025).</w:t>
      </w:r>
    </w:p>
    <w:p w14:paraId="58BE68B9" w14:textId="2D24EBA5" w:rsidR="004C55C7" w:rsidRPr="005A3967" w:rsidRDefault="004C55C7" w:rsidP="001D2D22">
      <w:pPr>
        <w:pStyle w:val="ListParagraph"/>
        <w:numPr>
          <w:ilvl w:val="0"/>
          <w:numId w:val="2"/>
        </w:numPr>
        <w:spacing w:before="100" w:beforeAutospacing="1" w:after="100" w:afterAutospacing="1" w:line="360" w:lineRule="auto"/>
      </w:pPr>
      <w:r w:rsidRPr="005A3967">
        <w:t xml:space="preserve">EDM Council (2020) </w:t>
      </w:r>
      <w:r w:rsidRPr="005A3967">
        <w:rPr>
          <w:rStyle w:val="Emphasis"/>
          <w:rFonts w:eastAsiaTheme="majorEastAsia"/>
        </w:rPr>
        <w:t>DCAM: Data Management Capability Assessment Model v2.2.</w:t>
      </w:r>
      <w:r w:rsidRPr="005A3967">
        <w:t xml:space="preserve"> New York: EDM Council. Available at: https://edmcouncil.org/page/DCAM (Accessed: </w:t>
      </w:r>
      <w:r w:rsidR="00D07DCD" w:rsidRPr="005A3967">
        <w:t>7</w:t>
      </w:r>
      <w:r w:rsidRPr="005A3967">
        <w:t xml:space="preserve"> </w:t>
      </w:r>
      <w:r w:rsidR="00D07DCD" w:rsidRPr="005A3967">
        <w:t xml:space="preserve">June </w:t>
      </w:r>
      <w:r w:rsidRPr="005A3967">
        <w:t>2025).</w:t>
      </w:r>
    </w:p>
    <w:p w14:paraId="1BC46131" w14:textId="77777777" w:rsidR="004C55C7" w:rsidRPr="005A3967" w:rsidRDefault="004C55C7" w:rsidP="001D2D22">
      <w:pPr>
        <w:numPr>
          <w:ilvl w:val="0"/>
          <w:numId w:val="2"/>
        </w:numPr>
        <w:spacing w:before="100" w:beforeAutospacing="1" w:after="100" w:afterAutospacing="1" w:line="360" w:lineRule="auto"/>
      </w:pPr>
      <w:r w:rsidRPr="005A3967">
        <w:t xml:space="preserve">Etikan, I., Musa, S.A. and Alkassim, R.S. (2016) 'Comparison of Convenience Sampling and Purposive Sampling', </w:t>
      </w:r>
      <w:r w:rsidRPr="005A3967">
        <w:rPr>
          <w:rStyle w:val="Emphasis"/>
          <w:rFonts w:eastAsiaTheme="majorEastAsia"/>
        </w:rPr>
        <w:t>American Journal of Theoretical and Applied Statistics</w:t>
      </w:r>
      <w:r w:rsidRPr="005A3967">
        <w:t xml:space="preserve">, 5(1), pp. 1–4. DOI: </w:t>
      </w:r>
      <w:hyperlink r:id="rId60" w:history="1">
        <w:r w:rsidRPr="005A3967">
          <w:rPr>
            <w:rStyle w:val="Hyperlink"/>
          </w:rPr>
          <w:t>10.11648/j.ajtas.20160501.11</w:t>
        </w:r>
      </w:hyperlink>
    </w:p>
    <w:p w14:paraId="57D1626D" w14:textId="77777777" w:rsidR="004C55C7" w:rsidRPr="005A3967" w:rsidRDefault="004C55C7" w:rsidP="001D2D22">
      <w:pPr>
        <w:numPr>
          <w:ilvl w:val="0"/>
          <w:numId w:val="2"/>
        </w:numPr>
        <w:spacing w:before="100" w:beforeAutospacing="1" w:after="100" w:afterAutospacing="1" w:line="360" w:lineRule="auto"/>
      </w:pPr>
      <w:r w:rsidRPr="005A3967">
        <w:t xml:space="preserve">Ezeife, A., Farayola, T., &amp; Adeyemi, K. (2024). </w:t>
      </w:r>
      <w:r w:rsidRPr="005A3967">
        <w:rPr>
          <w:i/>
          <w:iCs/>
        </w:rPr>
        <w:t>Embedding Analytics into the Strategic Core: Trends and Challenges.</w:t>
      </w:r>
      <w:r w:rsidRPr="005A3967">
        <w:t xml:space="preserve"> International Journal of Business Analytics, 11(1), 1-15. </w:t>
      </w:r>
    </w:p>
    <w:p w14:paraId="16B9D055" w14:textId="5979E7A2" w:rsidR="004C55C7" w:rsidRPr="005A3967" w:rsidRDefault="004C55C7" w:rsidP="001D2D22">
      <w:pPr>
        <w:pStyle w:val="NormalWeb"/>
        <w:numPr>
          <w:ilvl w:val="0"/>
          <w:numId w:val="2"/>
        </w:numPr>
        <w:spacing w:before="0" w:beforeAutospacing="0" w:after="0" w:afterAutospacing="0" w:line="360" w:lineRule="auto"/>
        <w:rPr>
          <w:rStyle w:val="csl-entry"/>
          <w:color w:val="000000"/>
        </w:rPr>
      </w:pPr>
      <w:r w:rsidRPr="005A3967">
        <w:rPr>
          <w:rStyle w:val="csl-entry"/>
          <w:rFonts w:eastAsiaTheme="majorEastAsia"/>
          <w:color w:val="000000"/>
        </w:rPr>
        <w:t xml:space="preserve">Faiz, G. </w:t>
      </w:r>
      <w:r w:rsidR="00142D8E" w:rsidRPr="005A3967">
        <w:rPr>
          <w:rStyle w:val="csl-entry"/>
          <w:rFonts w:eastAsiaTheme="majorEastAsia"/>
          <w:color w:val="000000"/>
        </w:rPr>
        <w:t>(</w:t>
      </w:r>
      <w:r w:rsidRPr="005A3967">
        <w:rPr>
          <w:rStyle w:val="csl-entry"/>
          <w:rFonts w:eastAsiaTheme="majorEastAsia"/>
          <w:color w:val="000000"/>
        </w:rPr>
        <w:t>2025</w:t>
      </w:r>
      <w:r w:rsidR="00142D8E" w:rsidRPr="005A3967">
        <w:rPr>
          <w:rStyle w:val="csl-entry"/>
          <w:rFonts w:eastAsiaTheme="majorEastAsia"/>
          <w:color w:val="000000"/>
        </w:rPr>
        <w:t>)</w:t>
      </w:r>
      <w:r w:rsidRPr="005A3967">
        <w:rPr>
          <w:rStyle w:val="csl-entry"/>
          <w:rFonts w:eastAsiaTheme="majorEastAsia"/>
          <w:color w:val="000000"/>
        </w:rPr>
        <w:t>.</w:t>
      </w:r>
      <w:r w:rsidRPr="005A3967">
        <w:rPr>
          <w:rStyle w:val="apple-converted-space"/>
          <w:rFonts w:eastAsiaTheme="majorEastAsia"/>
          <w:color w:val="000000"/>
        </w:rPr>
        <w:t> </w:t>
      </w:r>
      <w:r w:rsidRPr="005A3967">
        <w:rPr>
          <w:rStyle w:val="csl-entry"/>
          <w:rFonts w:eastAsiaTheme="majorEastAsia"/>
          <w:i/>
          <w:iCs/>
          <w:color w:val="000000"/>
        </w:rPr>
        <w:t>Digital transformation of the energy sector</w:t>
      </w:r>
      <w:r w:rsidRPr="005A3967">
        <w:rPr>
          <w:rStyle w:val="csl-entry"/>
          <w:rFonts w:eastAsiaTheme="majorEastAsia"/>
          <w:color w:val="000000"/>
        </w:rPr>
        <w:t xml:space="preserve">. Available at: https://www.dnv.com/article/digital-transformation-of-the-energy-sector/ [Accessed: 2 </w:t>
      </w:r>
      <w:r w:rsidR="00E24E08" w:rsidRPr="005A3967">
        <w:rPr>
          <w:rStyle w:val="csl-entry"/>
          <w:rFonts w:eastAsiaTheme="majorEastAsia"/>
          <w:color w:val="000000"/>
        </w:rPr>
        <w:t>June</w:t>
      </w:r>
      <w:r w:rsidRPr="005A3967">
        <w:rPr>
          <w:rStyle w:val="csl-entry"/>
          <w:rFonts w:eastAsiaTheme="majorEastAsia"/>
          <w:color w:val="000000"/>
        </w:rPr>
        <w:t xml:space="preserve"> 2025].</w:t>
      </w:r>
    </w:p>
    <w:p w14:paraId="717A1375" w14:textId="77777777" w:rsidR="004C55C7" w:rsidRPr="005A3967" w:rsidRDefault="004C55C7" w:rsidP="001D2D22">
      <w:pPr>
        <w:numPr>
          <w:ilvl w:val="0"/>
          <w:numId w:val="2"/>
        </w:numPr>
        <w:spacing w:before="100" w:beforeAutospacing="1" w:after="100" w:afterAutospacing="1" w:line="360" w:lineRule="auto"/>
      </w:pPr>
      <w:r w:rsidRPr="005A3967">
        <w:t xml:space="preserve">Farayola, T., Adeyemi, K., &amp; Chukwu, O. (2024). </w:t>
      </w:r>
      <w:r w:rsidRPr="005A3967">
        <w:rPr>
          <w:i/>
          <w:iCs/>
        </w:rPr>
        <w:t>Competitive Pressure and Analytics Adoption in Traditional Firms.</w:t>
      </w:r>
      <w:r w:rsidRPr="005A3967">
        <w:t xml:space="preserve"> Journal of Competitive Advantage, 9(2), 100-117. </w:t>
      </w:r>
    </w:p>
    <w:p w14:paraId="734973C0" w14:textId="77777777" w:rsidR="004C55C7" w:rsidRPr="005A3967" w:rsidRDefault="004C55C7" w:rsidP="001D2D22">
      <w:pPr>
        <w:numPr>
          <w:ilvl w:val="0"/>
          <w:numId w:val="2"/>
        </w:numPr>
        <w:spacing w:before="100" w:beforeAutospacing="1" w:after="100" w:afterAutospacing="1" w:line="360" w:lineRule="auto"/>
      </w:pPr>
      <w:r w:rsidRPr="005A3967">
        <w:t xml:space="preserve">Gartner (2023). </w:t>
      </w:r>
      <w:r w:rsidRPr="005A3967">
        <w:rPr>
          <w:i/>
          <w:iCs/>
        </w:rPr>
        <w:t>Analytics in Utilities: Industry Benchmark Report.</w:t>
      </w:r>
      <w:r w:rsidRPr="005A3967">
        <w:t xml:space="preserve"> Stamford, CT: Gartner Inc.</w:t>
      </w:r>
    </w:p>
    <w:p w14:paraId="63EA7D84" w14:textId="77777777" w:rsidR="004C55C7" w:rsidRPr="005A3967" w:rsidRDefault="004C55C7" w:rsidP="001D2D22">
      <w:pPr>
        <w:pStyle w:val="ListParagraph"/>
        <w:numPr>
          <w:ilvl w:val="0"/>
          <w:numId w:val="2"/>
        </w:numPr>
        <w:spacing w:before="100" w:beforeAutospacing="1" w:after="100" w:afterAutospacing="1" w:line="360" w:lineRule="auto"/>
      </w:pPr>
      <w:r w:rsidRPr="005A3967">
        <w:lastRenderedPageBreak/>
        <w:t xml:space="preserve">Gartner. (2024) </w:t>
      </w:r>
      <w:r w:rsidRPr="005A3967">
        <w:rPr>
          <w:rStyle w:val="Emphasis"/>
          <w:rFonts w:eastAsiaTheme="majorEastAsia"/>
        </w:rPr>
        <w:t>Analytics Maturity in the UK Utilities Sector: Industry Benchmarking Report</w:t>
      </w:r>
      <w:r w:rsidRPr="005A3967">
        <w:t>. Stamford, CT: Gartner Research.</w:t>
      </w:r>
    </w:p>
    <w:p w14:paraId="35DE1908" w14:textId="4FCCCDBB" w:rsidR="004C55C7" w:rsidRPr="005A3967" w:rsidRDefault="004C55C7" w:rsidP="001D2D22">
      <w:pPr>
        <w:pStyle w:val="citation"/>
        <w:numPr>
          <w:ilvl w:val="0"/>
          <w:numId w:val="2"/>
        </w:numPr>
        <w:spacing w:line="360" w:lineRule="auto"/>
      </w:pPr>
      <w:r w:rsidRPr="005A3967">
        <w:t>Gaston, J. E.</w:t>
      </w:r>
      <w:r w:rsidR="00142D8E" w:rsidRPr="005A3967">
        <w:t xml:space="preserve"> (</w:t>
      </w:r>
      <w:r w:rsidRPr="005A3967">
        <w:t>2021</w:t>
      </w:r>
      <w:r w:rsidR="00142D8E" w:rsidRPr="005A3967">
        <w:t>)</w:t>
      </w:r>
      <w:r w:rsidRPr="005A3967">
        <w:t xml:space="preserve">. The DELTA Analytics Maturity Model. Analytics in Healthcare. </w:t>
      </w:r>
      <w:hyperlink r:id="rId61" w:tgtFrame="_blank" w:tooltip="https://www.taylorfrancis.com/chapters/edit/10.4324/9780367806118-8/delta-analytics-maturity-model-james-gaston" w:history="1">
        <w:r w:rsidR="00E24E08" w:rsidRPr="005A3967">
          <w:rPr>
            <w:rStyle w:val="Hyperlink"/>
            <w:rFonts w:eastAsiaTheme="majorEastAsia"/>
          </w:rPr>
          <w:t>The DELTA Analytics Maturity Model</w:t>
        </w:r>
      </w:hyperlink>
    </w:p>
    <w:p w14:paraId="247306D9" w14:textId="77777777" w:rsidR="004C55C7" w:rsidRPr="005A3967" w:rsidRDefault="004C55C7" w:rsidP="001D2D22">
      <w:pPr>
        <w:numPr>
          <w:ilvl w:val="0"/>
          <w:numId w:val="2"/>
        </w:numPr>
        <w:spacing w:before="100" w:beforeAutospacing="1" w:after="100" w:afterAutospacing="1" w:line="360" w:lineRule="auto"/>
      </w:pPr>
      <w:r w:rsidRPr="005A3967">
        <w:t xml:space="preserve">Guest, G., Bunce, A., &amp; Johnson, L. (2006). </w:t>
      </w:r>
      <w:r w:rsidRPr="005A3967">
        <w:rPr>
          <w:i/>
          <w:iCs/>
        </w:rPr>
        <w:t>How Many Interviews Are Enough? An Experiment with Data Saturation and Variability.</w:t>
      </w:r>
      <w:r w:rsidRPr="005A3967">
        <w:t xml:space="preserve"> Field Methods, 18(1), 59-82. DOI: 10.1177/1525822X05279903 </w:t>
      </w:r>
    </w:p>
    <w:p w14:paraId="6BDA7C7C" w14:textId="77777777" w:rsidR="004C55C7" w:rsidRPr="005A3967" w:rsidRDefault="004C55C7" w:rsidP="001D2D22">
      <w:pPr>
        <w:pStyle w:val="ListParagraph"/>
        <w:numPr>
          <w:ilvl w:val="0"/>
          <w:numId w:val="2"/>
        </w:numPr>
        <w:spacing w:before="100" w:beforeAutospacing="1" w:after="100" w:afterAutospacing="1" w:line="360" w:lineRule="auto"/>
      </w:pPr>
      <w:r w:rsidRPr="005A3967">
        <w:rPr>
          <w:rStyle w:val="Strong"/>
          <w:rFonts w:eastAsiaTheme="majorEastAsia"/>
          <w:b w:val="0"/>
          <w:bCs w:val="0"/>
        </w:rPr>
        <w:t>Gupta, S. and George, J.F. (2023)</w:t>
      </w:r>
      <w:r w:rsidRPr="005A3967">
        <w:rPr>
          <w:b/>
          <w:bCs/>
        </w:rPr>
        <w:t>.</w:t>
      </w:r>
      <w:r w:rsidRPr="005A3967">
        <w:t xml:space="preserve"> Advances in predictive analytics: From big data to AI-driven decision-making. </w:t>
      </w:r>
      <w:r w:rsidRPr="005A3967">
        <w:rPr>
          <w:rStyle w:val="Emphasis"/>
          <w:rFonts w:eastAsiaTheme="majorEastAsia"/>
        </w:rPr>
        <w:t>Technological Forecasting and Social Change</w:t>
      </w:r>
      <w:r w:rsidRPr="005A3967">
        <w:t>, 190, 122487. https://doi.org/10.1016/j.techfore.2023.122487</w:t>
      </w:r>
    </w:p>
    <w:p w14:paraId="37E69017" w14:textId="34423168" w:rsidR="004C55C7" w:rsidRPr="005A3967" w:rsidRDefault="004C55C7" w:rsidP="001D2D22">
      <w:pPr>
        <w:pStyle w:val="ListParagraph"/>
        <w:numPr>
          <w:ilvl w:val="0"/>
          <w:numId w:val="2"/>
        </w:numPr>
        <w:spacing w:before="100" w:beforeAutospacing="1" w:after="100" w:afterAutospacing="1" w:line="360" w:lineRule="auto"/>
        <w:ind w:right="720"/>
      </w:pPr>
      <w:r w:rsidRPr="005A3967">
        <w:t>Gupta, S. and George, J.F.</w:t>
      </w:r>
      <w:r w:rsidR="00142D8E" w:rsidRPr="005A3967">
        <w:t xml:space="preserve"> (</w:t>
      </w:r>
      <w:r w:rsidRPr="005A3967">
        <w:t>2023</w:t>
      </w:r>
      <w:r w:rsidR="00142D8E" w:rsidRPr="005A3967">
        <w:t>)</w:t>
      </w:r>
      <w:r w:rsidRPr="005A3967">
        <w:t xml:space="preserve">. </w:t>
      </w:r>
      <w:r w:rsidRPr="005A3967">
        <w:rPr>
          <w:rStyle w:val="Emphasis"/>
          <w:rFonts w:eastAsiaTheme="majorEastAsia"/>
        </w:rPr>
        <w:t>Advances in predictive analytics: From big data to AI-driven decision-making</w:t>
      </w:r>
      <w:r w:rsidRPr="005A3967">
        <w:t>. Technological Forecasting and Social Change, 190, p.122487.</w:t>
      </w:r>
    </w:p>
    <w:p w14:paraId="2332A38A" w14:textId="0536FA8E" w:rsidR="004C55C7" w:rsidRPr="005A3967" w:rsidRDefault="004C55C7" w:rsidP="001D2D22">
      <w:pPr>
        <w:pStyle w:val="NormalWeb"/>
        <w:numPr>
          <w:ilvl w:val="0"/>
          <w:numId w:val="2"/>
        </w:numPr>
        <w:spacing w:before="0" w:beforeAutospacing="0" w:after="0" w:afterAutospacing="0" w:line="360" w:lineRule="auto"/>
        <w:rPr>
          <w:color w:val="000000"/>
        </w:rPr>
      </w:pPr>
      <w:r w:rsidRPr="005A3967">
        <w:rPr>
          <w:rStyle w:val="csl-entry"/>
          <w:rFonts w:eastAsiaTheme="majorEastAsia"/>
          <w:color w:val="000000"/>
        </w:rPr>
        <w:t>Hazen, B.T., Boone, C.A., Ezell, J.D., Jones-Farmer, L.A.</w:t>
      </w:r>
      <w:r w:rsidR="00142D8E" w:rsidRPr="005A3967">
        <w:rPr>
          <w:rStyle w:val="csl-entry"/>
          <w:rFonts w:eastAsiaTheme="majorEastAsia"/>
          <w:color w:val="000000"/>
        </w:rPr>
        <w:t xml:space="preserve"> (</w:t>
      </w:r>
      <w:r w:rsidRPr="005A3967">
        <w:rPr>
          <w:rStyle w:val="csl-entry"/>
          <w:rFonts w:eastAsiaTheme="majorEastAsia"/>
          <w:color w:val="000000"/>
        </w:rPr>
        <w:t>2014</w:t>
      </w:r>
      <w:r w:rsidR="00142D8E" w:rsidRPr="005A3967">
        <w:rPr>
          <w:rStyle w:val="csl-entry"/>
          <w:rFonts w:eastAsiaTheme="majorEastAsia"/>
          <w:color w:val="000000"/>
        </w:rPr>
        <w:t>)</w:t>
      </w:r>
      <w:r w:rsidRPr="005A3967">
        <w:rPr>
          <w:rStyle w:val="csl-entry"/>
          <w:rFonts w:eastAsiaTheme="majorEastAsia"/>
          <w:color w:val="000000"/>
        </w:rPr>
        <w:t xml:space="preserve">. Data quality for data science, predictive analytics, and big data in supply chain management: An introduction to the problem and suggestions for research and applications. International Journal of Production Economics 154, 72–80. </w:t>
      </w:r>
      <w:hyperlink r:id="rId62" w:history="1">
        <w:r w:rsidRPr="005A3967">
          <w:rPr>
            <w:rStyle w:val="Hyperlink"/>
            <w:rFonts w:eastAsiaTheme="majorEastAsia"/>
          </w:rPr>
          <w:t>https://doi.org/10.1016/j.ijpe.2014.04.018</w:t>
        </w:r>
      </w:hyperlink>
      <w:r w:rsidRPr="005A3967">
        <w:rPr>
          <w:rStyle w:val="csl-entry"/>
          <w:rFonts w:eastAsiaTheme="majorEastAsia"/>
          <w:color w:val="000000"/>
        </w:rPr>
        <w:t xml:space="preserve"> </w:t>
      </w:r>
    </w:p>
    <w:p w14:paraId="68B8AF29" w14:textId="64918B75" w:rsidR="004C55C7" w:rsidRPr="005A3967" w:rsidRDefault="004C55C7" w:rsidP="001D2D22">
      <w:pPr>
        <w:pStyle w:val="NormalWeb"/>
        <w:numPr>
          <w:ilvl w:val="0"/>
          <w:numId w:val="2"/>
        </w:numPr>
        <w:spacing w:before="0" w:beforeAutospacing="0" w:after="0" w:afterAutospacing="0" w:line="360" w:lineRule="auto"/>
        <w:rPr>
          <w:rStyle w:val="csl-entry"/>
          <w:color w:val="000000"/>
        </w:rPr>
      </w:pPr>
      <w:r w:rsidRPr="005A3967">
        <w:rPr>
          <w:rStyle w:val="csl-entry"/>
          <w:rFonts w:eastAsiaTheme="majorEastAsia"/>
          <w:color w:val="000000"/>
        </w:rPr>
        <w:t>Helo, P., Hao, Y.</w:t>
      </w:r>
      <w:r w:rsidR="00142D8E" w:rsidRPr="005A3967">
        <w:rPr>
          <w:rStyle w:val="csl-entry"/>
          <w:rFonts w:eastAsiaTheme="majorEastAsia"/>
          <w:color w:val="000000"/>
        </w:rPr>
        <w:t xml:space="preserve"> (</w:t>
      </w:r>
      <w:r w:rsidRPr="005A3967">
        <w:rPr>
          <w:rStyle w:val="csl-entry"/>
          <w:rFonts w:eastAsiaTheme="majorEastAsia"/>
          <w:color w:val="000000"/>
        </w:rPr>
        <w:t>2021</w:t>
      </w:r>
      <w:r w:rsidR="00142D8E" w:rsidRPr="005A3967">
        <w:rPr>
          <w:rStyle w:val="csl-entry"/>
          <w:rFonts w:eastAsiaTheme="majorEastAsia"/>
          <w:color w:val="000000"/>
        </w:rPr>
        <w:t>)</w:t>
      </w:r>
      <w:r w:rsidRPr="005A3967">
        <w:rPr>
          <w:rStyle w:val="csl-entry"/>
          <w:rFonts w:eastAsiaTheme="majorEastAsia"/>
          <w:color w:val="000000"/>
        </w:rPr>
        <w:t xml:space="preserve">. Artificial intelligence in operations management and supply chain management: an exploratory case study. Production Planning &amp;amp; Control 33, 1573–1590. </w:t>
      </w:r>
      <w:hyperlink r:id="rId63" w:history="1">
        <w:r w:rsidRPr="005A3967">
          <w:rPr>
            <w:rStyle w:val="Hyperlink"/>
            <w:rFonts w:eastAsiaTheme="majorEastAsia"/>
          </w:rPr>
          <w:t>https://doi.org/10.1080/09537287.2021.1882690</w:t>
        </w:r>
      </w:hyperlink>
    </w:p>
    <w:p w14:paraId="1024A36B" w14:textId="77777777" w:rsidR="004C55C7" w:rsidRPr="005A3967" w:rsidRDefault="004C55C7" w:rsidP="001D2D22">
      <w:pPr>
        <w:numPr>
          <w:ilvl w:val="0"/>
          <w:numId w:val="2"/>
        </w:numPr>
        <w:spacing w:before="100" w:beforeAutospacing="1" w:after="100" w:afterAutospacing="1" w:line="360" w:lineRule="auto"/>
      </w:pPr>
      <w:r w:rsidRPr="005A3967">
        <w:t xml:space="preserve">ICO (2021) </w:t>
      </w:r>
      <w:r w:rsidRPr="005A3967">
        <w:rPr>
          <w:rStyle w:val="Emphasis"/>
          <w:rFonts w:eastAsiaTheme="majorEastAsia"/>
        </w:rPr>
        <w:t>Guide to the General Data Protection Regulation (GDPR)</w:t>
      </w:r>
      <w:r w:rsidRPr="005A3967">
        <w:t xml:space="preserve">. Information Commissioner's Office. </w:t>
      </w:r>
      <w:hyperlink r:id="rId64" w:history="1">
        <w:r w:rsidRPr="005A3967">
          <w:rPr>
            <w:rStyle w:val="Hyperlink"/>
          </w:rPr>
          <w:t>GDPR</w:t>
        </w:r>
      </w:hyperlink>
      <w:r w:rsidRPr="005A3967">
        <w:t xml:space="preserve"> </w:t>
      </w:r>
    </w:p>
    <w:p w14:paraId="689E0C72" w14:textId="77777777" w:rsidR="004C55C7" w:rsidRPr="005A3967" w:rsidRDefault="004C55C7" w:rsidP="001D2D22">
      <w:pPr>
        <w:numPr>
          <w:ilvl w:val="0"/>
          <w:numId w:val="2"/>
        </w:numPr>
        <w:spacing w:before="100" w:beforeAutospacing="1" w:after="100" w:afterAutospacing="1" w:line="360" w:lineRule="auto"/>
      </w:pPr>
      <w:r w:rsidRPr="005A3967">
        <w:t xml:space="preserve">International Energy Agency (2022). </w:t>
      </w:r>
      <w:r w:rsidRPr="005A3967">
        <w:rPr>
          <w:i/>
          <w:iCs/>
        </w:rPr>
        <w:t>Digitalization and Energy 2022.</w:t>
      </w:r>
      <w:r w:rsidRPr="005A3967">
        <w:t xml:space="preserve"> [Online] IEA Report. </w:t>
      </w:r>
      <w:hyperlink r:id="rId65" w:history="1">
        <w:r w:rsidRPr="005A3967">
          <w:rPr>
            <w:rStyle w:val="Hyperlink"/>
          </w:rPr>
          <w:t>https://www.iea.org/reports/world-energy-outlook-2022</w:t>
        </w:r>
      </w:hyperlink>
      <w:r w:rsidRPr="005A3967">
        <w:t xml:space="preserve"> </w:t>
      </w:r>
    </w:p>
    <w:p w14:paraId="125063AF" w14:textId="77777777" w:rsidR="004C55C7" w:rsidRPr="005A3967" w:rsidRDefault="004C55C7" w:rsidP="001D2D22">
      <w:pPr>
        <w:numPr>
          <w:ilvl w:val="0"/>
          <w:numId w:val="2"/>
        </w:numPr>
        <w:spacing w:before="100" w:beforeAutospacing="1" w:after="100" w:afterAutospacing="1" w:line="360" w:lineRule="auto"/>
      </w:pPr>
      <w:r w:rsidRPr="005A3967">
        <w:t xml:space="preserve">Jarvis, C. (2025). </w:t>
      </w:r>
      <w:r w:rsidRPr="005A3967">
        <w:rPr>
          <w:i/>
          <w:iCs/>
        </w:rPr>
        <w:t>The Road to Enterprise-Wide AI Adoption: Lessons from the Field.</w:t>
      </w:r>
      <w:r w:rsidRPr="005A3967">
        <w:t xml:space="preserve"> Journal of Business Strategy, 46(2), 88–102. DOI: 10.1108/JBS-07-2024-0152 </w:t>
      </w:r>
    </w:p>
    <w:p w14:paraId="310CE420" w14:textId="77777777" w:rsidR="004C55C7" w:rsidRPr="005A3967" w:rsidRDefault="004C55C7" w:rsidP="001D2D22">
      <w:pPr>
        <w:pStyle w:val="ListParagraph"/>
        <w:numPr>
          <w:ilvl w:val="0"/>
          <w:numId w:val="2"/>
        </w:numPr>
        <w:spacing w:before="100" w:beforeAutospacing="1" w:after="100" w:afterAutospacing="1" w:line="360" w:lineRule="auto"/>
      </w:pPr>
      <w:r w:rsidRPr="005A3967">
        <w:rPr>
          <w:rStyle w:val="Strong"/>
          <w:rFonts w:eastAsiaTheme="majorEastAsia"/>
          <w:b w:val="0"/>
          <w:bCs w:val="0"/>
        </w:rPr>
        <w:t>Jarvis, C. (2025)</w:t>
      </w:r>
      <w:r w:rsidRPr="005A3967">
        <w:rPr>
          <w:b/>
          <w:bCs/>
        </w:rPr>
        <w:t>.</w:t>
      </w:r>
      <w:r w:rsidRPr="005A3967">
        <w:t xml:space="preserve"> The Road to Enterprise-Wide AI Adoption: Lessons from the Field. </w:t>
      </w:r>
      <w:r w:rsidRPr="005A3967">
        <w:rPr>
          <w:rStyle w:val="Emphasis"/>
          <w:rFonts w:eastAsiaTheme="majorEastAsia"/>
        </w:rPr>
        <w:t>Journal of Business Strategy</w:t>
      </w:r>
      <w:r w:rsidRPr="005A3967">
        <w:t>, 46(2), pp.88–102. https://doi.org/10.1108/JBS-07-2024-0152</w:t>
      </w:r>
    </w:p>
    <w:p w14:paraId="56987844" w14:textId="77777777" w:rsidR="004C55C7" w:rsidRPr="005A3967" w:rsidRDefault="004C55C7" w:rsidP="001D2D22">
      <w:pPr>
        <w:numPr>
          <w:ilvl w:val="0"/>
          <w:numId w:val="2"/>
        </w:numPr>
        <w:spacing w:before="100" w:beforeAutospacing="1" w:after="100" w:afterAutospacing="1" w:line="360" w:lineRule="auto"/>
      </w:pPr>
      <w:r w:rsidRPr="005A3967">
        <w:t xml:space="preserve">Jarvis, D. (2025). </w:t>
      </w:r>
      <w:r w:rsidRPr="005A3967">
        <w:rPr>
          <w:i/>
          <w:iCs/>
        </w:rPr>
        <w:t>Data-Driven Decision Making in Energy Firms: Benefits and Barriers.</w:t>
      </w:r>
      <w:r w:rsidRPr="005A3967">
        <w:t xml:space="preserve"> Journal of Strategic Intelligence, 18(1), 12–30.</w:t>
      </w:r>
    </w:p>
    <w:p w14:paraId="324A9DF9" w14:textId="77777777" w:rsidR="004C55C7" w:rsidRPr="005A3967" w:rsidRDefault="004C55C7" w:rsidP="001D2D22">
      <w:pPr>
        <w:numPr>
          <w:ilvl w:val="0"/>
          <w:numId w:val="2"/>
        </w:numPr>
        <w:spacing w:before="100" w:beforeAutospacing="1" w:after="100" w:afterAutospacing="1" w:line="360" w:lineRule="auto"/>
      </w:pPr>
      <w:r w:rsidRPr="005A3967">
        <w:t xml:space="preserve">Jarvis, J. (2025). </w:t>
      </w:r>
      <w:r w:rsidRPr="005A3967">
        <w:rPr>
          <w:i/>
          <w:iCs/>
        </w:rPr>
        <w:t>Mastering Data-Driven Decision Making for Business Success.</w:t>
      </w:r>
      <w:r w:rsidRPr="005A3967">
        <w:t xml:space="preserve"> McGraw-Hill. </w:t>
      </w:r>
    </w:p>
    <w:p w14:paraId="739B280E" w14:textId="0246057D" w:rsidR="004C55C7" w:rsidRPr="005A3967" w:rsidRDefault="004C55C7" w:rsidP="001D2D22">
      <w:pPr>
        <w:pStyle w:val="citation"/>
        <w:numPr>
          <w:ilvl w:val="0"/>
          <w:numId w:val="2"/>
        </w:numPr>
        <w:spacing w:line="360" w:lineRule="auto"/>
      </w:pPr>
      <w:r w:rsidRPr="005A3967">
        <w:lastRenderedPageBreak/>
        <w:t xml:space="preserve">Jeleel-Ojuade, A. </w:t>
      </w:r>
      <w:r w:rsidR="00142D8E" w:rsidRPr="005A3967">
        <w:t>(</w:t>
      </w:r>
      <w:r w:rsidRPr="005A3967">
        <w:t>2024</w:t>
      </w:r>
      <w:r w:rsidR="00142D8E" w:rsidRPr="005A3967">
        <w:t>)</w:t>
      </w:r>
      <w:r w:rsidRPr="005A3967">
        <w:t>. The Role of Information Silos: An analysis of how the categorization of information creates silos within financial institutions, hindering effective communication</w:t>
      </w:r>
      <w:r w:rsidR="00D07DCD" w:rsidRPr="005A3967">
        <w:t>.</w:t>
      </w:r>
      <w:r w:rsidRPr="005A3967">
        <w:t xml:space="preserve"> Available at SSRN 4881342. </w:t>
      </w:r>
      <w:hyperlink r:id="rId66" w:tgtFrame="_blank" w:tooltip="https://papers.ssrn.com/sol3/Delivery.cfm?abstractid=4881342" w:history="1">
        <w:r w:rsidRPr="005A3967">
          <w:rPr>
            <w:rStyle w:val="Hyperlink"/>
            <w:rFonts w:eastAsiaTheme="majorEastAsia"/>
          </w:rPr>
          <w:t>ssrn.com</w:t>
        </w:r>
      </w:hyperlink>
    </w:p>
    <w:p w14:paraId="225C8FAF" w14:textId="7DC4FDB4" w:rsidR="004C55C7" w:rsidRPr="005A3967" w:rsidRDefault="004C55C7" w:rsidP="001D2D22">
      <w:pPr>
        <w:pStyle w:val="NormalWeb"/>
        <w:numPr>
          <w:ilvl w:val="0"/>
          <w:numId w:val="2"/>
        </w:numPr>
        <w:spacing w:before="0" w:beforeAutospacing="0" w:after="0" w:afterAutospacing="0" w:line="360" w:lineRule="auto"/>
        <w:rPr>
          <w:color w:val="000000"/>
        </w:rPr>
      </w:pPr>
      <w:proofErr w:type="spellStart"/>
      <w:r w:rsidRPr="005A3967">
        <w:rPr>
          <w:rStyle w:val="csl-entry"/>
          <w:rFonts w:eastAsiaTheme="majorEastAsia"/>
          <w:color w:val="000000"/>
        </w:rPr>
        <w:t>Kadarsah</w:t>
      </w:r>
      <w:proofErr w:type="spellEnd"/>
      <w:r w:rsidRPr="005A3967">
        <w:rPr>
          <w:rStyle w:val="csl-entry"/>
          <w:rFonts w:eastAsiaTheme="majorEastAsia"/>
          <w:color w:val="000000"/>
        </w:rPr>
        <w:t xml:space="preserve">, D.R.A.K., Govindaraju, R. and </w:t>
      </w:r>
      <w:proofErr w:type="spellStart"/>
      <w:r w:rsidRPr="005A3967">
        <w:rPr>
          <w:rStyle w:val="csl-entry"/>
          <w:rFonts w:eastAsiaTheme="majorEastAsia"/>
          <w:color w:val="000000"/>
        </w:rPr>
        <w:t>Prihartono</w:t>
      </w:r>
      <w:proofErr w:type="spellEnd"/>
      <w:r w:rsidRPr="005A3967">
        <w:rPr>
          <w:rStyle w:val="csl-entry"/>
          <w:rFonts w:eastAsiaTheme="majorEastAsia"/>
          <w:color w:val="000000"/>
        </w:rPr>
        <w:t xml:space="preserve">, B. </w:t>
      </w:r>
      <w:r w:rsidR="00142D8E" w:rsidRPr="005A3967">
        <w:rPr>
          <w:rStyle w:val="csl-entry"/>
          <w:rFonts w:eastAsiaTheme="majorEastAsia"/>
          <w:color w:val="000000"/>
        </w:rPr>
        <w:t>(</w:t>
      </w:r>
      <w:r w:rsidRPr="005A3967">
        <w:rPr>
          <w:rStyle w:val="csl-entry"/>
          <w:rFonts w:eastAsiaTheme="majorEastAsia"/>
          <w:color w:val="000000"/>
        </w:rPr>
        <w:t>2023</w:t>
      </w:r>
      <w:r w:rsidR="00142D8E" w:rsidRPr="005A3967">
        <w:rPr>
          <w:rStyle w:val="csl-entry"/>
          <w:rFonts w:eastAsiaTheme="majorEastAsia"/>
          <w:color w:val="000000"/>
        </w:rPr>
        <w:t>)</w:t>
      </w:r>
      <w:r w:rsidRPr="005A3967">
        <w:rPr>
          <w:rStyle w:val="csl-entry"/>
          <w:rFonts w:eastAsiaTheme="majorEastAsia"/>
          <w:color w:val="000000"/>
        </w:rPr>
        <w:t>. The Role of Knowledge-Oriented Leadership in Fostering Innovation Capabilities: The Mediating Role of Data Analytics Maturity.</w:t>
      </w:r>
      <w:r w:rsidRPr="005A3967">
        <w:rPr>
          <w:rStyle w:val="apple-converted-space"/>
          <w:rFonts w:eastAsiaTheme="majorEastAsia"/>
          <w:color w:val="000000"/>
        </w:rPr>
        <w:t> </w:t>
      </w:r>
      <w:r w:rsidRPr="005A3967">
        <w:rPr>
          <w:rStyle w:val="csl-entry"/>
          <w:rFonts w:eastAsiaTheme="majorEastAsia"/>
          <w:i/>
          <w:iCs/>
          <w:color w:val="000000"/>
        </w:rPr>
        <w:t>IEEE Access</w:t>
      </w:r>
      <w:r w:rsidRPr="005A3967">
        <w:rPr>
          <w:rStyle w:val="apple-converted-space"/>
          <w:rFonts w:eastAsiaTheme="majorEastAsia"/>
          <w:color w:val="000000"/>
        </w:rPr>
        <w:t xml:space="preserve">, vol. </w:t>
      </w:r>
      <w:r w:rsidRPr="005A3967">
        <w:rPr>
          <w:rStyle w:val="csl-entry"/>
          <w:rFonts w:eastAsiaTheme="majorEastAsia"/>
          <w:color w:val="000000"/>
        </w:rPr>
        <w:t>11, pp. 129683–129702. doi: 10.1109/access.2023.3333915</w:t>
      </w:r>
      <w:r w:rsidR="00E24E08" w:rsidRPr="005A3967">
        <w:rPr>
          <w:rStyle w:val="csl-entry"/>
          <w:rFonts w:eastAsiaTheme="majorEastAsia"/>
          <w:color w:val="000000"/>
        </w:rPr>
        <w:t>.</w:t>
      </w:r>
    </w:p>
    <w:p w14:paraId="5400E3F2" w14:textId="374B27D0" w:rsidR="004C55C7" w:rsidRPr="005A3967" w:rsidRDefault="004C55C7" w:rsidP="001D2D22">
      <w:pPr>
        <w:pStyle w:val="citation"/>
        <w:numPr>
          <w:ilvl w:val="0"/>
          <w:numId w:val="2"/>
        </w:numPr>
        <w:spacing w:line="360" w:lineRule="auto"/>
      </w:pPr>
      <w:r w:rsidRPr="005A3967">
        <w:t xml:space="preserve">Ketelaars, O. J. J. </w:t>
      </w:r>
      <w:r w:rsidR="00142D8E" w:rsidRPr="005A3967">
        <w:t>(</w:t>
      </w:r>
      <w:r w:rsidRPr="005A3967">
        <w:t>2024</w:t>
      </w:r>
      <w:r w:rsidR="00142D8E" w:rsidRPr="005A3967">
        <w:t>)</w:t>
      </w:r>
      <w:r w:rsidRPr="005A3967">
        <w:t xml:space="preserve">. Moving to a decentralized organization by adopting data mesh principles: A review and proposal. arno.uvt.nl. </w:t>
      </w:r>
      <w:hyperlink r:id="rId67" w:tgtFrame="_blank" w:tooltip="http://arno.uvt.nl/show.cgi?fid=171134" w:history="1">
        <w:r w:rsidR="00E24E08" w:rsidRPr="005A3967">
          <w:rPr>
            <w:rStyle w:val="Hyperlink"/>
            <w:rFonts w:eastAsiaTheme="majorEastAsia"/>
          </w:rPr>
          <w:t xml:space="preserve">Moving to a decentralized organization </w:t>
        </w:r>
      </w:hyperlink>
    </w:p>
    <w:p w14:paraId="41359DAB" w14:textId="77777777" w:rsidR="004C55C7" w:rsidRPr="005A3967" w:rsidRDefault="004C55C7" w:rsidP="001D2D22">
      <w:pPr>
        <w:pStyle w:val="ListParagraph"/>
        <w:numPr>
          <w:ilvl w:val="0"/>
          <w:numId w:val="2"/>
        </w:numPr>
        <w:spacing w:before="100" w:beforeAutospacing="1" w:after="100" w:afterAutospacing="1" w:line="360" w:lineRule="auto"/>
      </w:pPr>
      <w:r w:rsidRPr="005A3967">
        <w:t xml:space="preserve">Khatri, V. and Brown, C.V. (2010) 'Designing Data Governance', </w:t>
      </w:r>
      <w:r w:rsidRPr="005A3967">
        <w:rPr>
          <w:rStyle w:val="Emphasis"/>
          <w:rFonts w:eastAsiaTheme="majorEastAsia"/>
        </w:rPr>
        <w:t>Communications of the ACM</w:t>
      </w:r>
      <w:r w:rsidRPr="005A3967">
        <w:t xml:space="preserve">, 53(1), pp. 148–152. [DOI: 10.1145/1629175.1629210] </w:t>
      </w:r>
    </w:p>
    <w:p w14:paraId="40EE9265" w14:textId="1708388F" w:rsidR="004C55C7" w:rsidRPr="005A3967" w:rsidRDefault="004C55C7" w:rsidP="001D2D22">
      <w:pPr>
        <w:pStyle w:val="citation"/>
        <w:numPr>
          <w:ilvl w:val="0"/>
          <w:numId w:val="2"/>
        </w:numPr>
        <w:spacing w:line="360" w:lineRule="auto"/>
      </w:pPr>
      <w:r w:rsidRPr="005A3967">
        <w:t xml:space="preserve">Komolafe, A.M., Aderotoye, I.A., Abiona, O.O., Adewusi, A.O., Obijuru, A., Modupe, O.T. and Oyeniran, O.C. </w:t>
      </w:r>
      <w:r w:rsidR="00142D8E" w:rsidRPr="005A3967">
        <w:t>(</w:t>
      </w:r>
      <w:r w:rsidRPr="005A3967">
        <w:t>2024</w:t>
      </w:r>
      <w:r w:rsidR="00142D8E" w:rsidRPr="005A3967">
        <w:t>)</w:t>
      </w:r>
      <w:r w:rsidRPr="005A3967">
        <w:t xml:space="preserve">. Harnessing business analytics for gaining competitive advantage in emerging markets: A systematic review of approaches and outcomes. International Journal of Management &amp; Entrepreneurship Research, 6(3), pp. 838-862. </w:t>
      </w:r>
      <w:hyperlink r:id="rId68" w:tgtFrame="_blank" w:tooltip="https://www.researchgate.net/profile/Amaka-Obijuru/publication/379231525_HARNESSING_BUSINESS_ANALYTICS_FOR_GAINING_COMPETITIVE_ADVANTAGE_IN_EMERGING_MARKETS_A_SYSTEMATIC_REVIEW_OF_APPROACHES_AND_OUTCOMES/links/66a964534433ad480e87a276/HARNESSING-BUSINESS-ANALYTICS-FOR-GAINING-COMPETITIVE-ADVANTAGE-IN-EMERGING-MARKETS-A-SYSTEMATIC-REVIEW-OF-APPROACHES-AND-OUTCOMES.pdf" w:history="1">
        <w:r w:rsidRPr="005A3967">
          <w:rPr>
            <w:rStyle w:val="Hyperlink"/>
            <w:rFonts w:eastAsiaTheme="majorEastAsia"/>
          </w:rPr>
          <w:t>researchgate.net</w:t>
        </w:r>
      </w:hyperlink>
    </w:p>
    <w:p w14:paraId="1B730E67" w14:textId="0F10EAB1" w:rsidR="004C55C7" w:rsidRPr="005A3967" w:rsidRDefault="004C55C7" w:rsidP="001D2D22">
      <w:pPr>
        <w:pStyle w:val="citation"/>
        <w:numPr>
          <w:ilvl w:val="0"/>
          <w:numId w:val="2"/>
        </w:numPr>
        <w:spacing w:line="360" w:lineRule="auto"/>
      </w:pPr>
      <w:r w:rsidRPr="005A3967">
        <w:t xml:space="preserve">Kothandapani, H.P. </w:t>
      </w:r>
      <w:r w:rsidR="00142D8E" w:rsidRPr="005A3967">
        <w:t>(</w:t>
      </w:r>
      <w:r w:rsidRPr="005A3967">
        <w:t>2022</w:t>
      </w:r>
      <w:r w:rsidR="00142D8E" w:rsidRPr="005A3967">
        <w:t>)</w:t>
      </w:r>
      <w:r w:rsidRPr="005A3967">
        <w:t xml:space="preserve">. Optimizing Financial Data Governance for Improved Risk Management and Regulatory Reporting in Data Lakes. International Journal of Applied Machine Learning and Computational Intelligence, 12(4), pp.41-63. </w:t>
      </w:r>
      <w:hyperlink r:id="rId69" w:tgtFrame="_blank" w:tooltip="https://www.researchgate.net/profile/Hariharan-Pappil-Kothandapani-2/publication/386176561_Optimizing_Financial_Data_Governance_for_Improved_Risk_Management_and_Regulatory_Reporting_in_Data_Lakes/links/6747aa09359dcb4d9d3ca998/Optimizing-Financial-Data-Governance-for-Improved-Risk-Management-and-Regulatory-Reporting-in-Data-Lakes.pdf" w:history="1">
        <w:r w:rsidRPr="005A3967">
          <w:rPr>
            <w:rStyle w:val="Hyperlink"/>
            <w:rFonts w:eastAsiaTheme="majorEastAsia"/>
          </w:rPr>
          <w:t>researchgate.net</w:t>
        </w:r>
      </w:hyperlink>
    </w:p>
    <w:p w14:paraId="27FC3380" w14:textId="77777777" w:rsidR="004C55C7" w:rsidRPr="005A3967" w:rsidRDefault="004C55C7" w:rsidP="001D2D22">
      <w:pPr>
        <w:pStyle w:val="ListParagraph"/>
        <w:numPr>
          <w:ilvl w:val="0"/>
          <w:numId w:val="2"/>
        </w:numPr>
        <w:spacing w:before="100" w:beforeAutospacing="1" w:after="100" w:afterAutospacing="1" w:line="360" w:lineRule="auto"/>
      </w:pPr>
      <w:r w:rsidRPr="005A3967">
        <w:t xml:space="preserve">KPMG (2024) </w:t>
      </w:r>
      <w:r w:rsidRPr="005A3967">
        <w:rPr>
          <w:rStyle w:val="Emphasis"/>
          <w:rFonts w:eastAsiaTheme="majorEastAsia"/>
        </w:rPr>
        <w:t>Digital Maturity Assessment.</w:t>
      </w:r>
      <w:r w:rsidRPr="005A3967">
        <w:t xml:space="preserve"> Internal report, May 2024. </w:t>
      </w:r>
      <w:hyperlink r:id="rId70" w:history="1">
        <w:r w:rsidRPr="005A3967">
          <w:rPr>
            <w:rStyle w:val="Hyperlink"/>
          </w:rPr>
          <w:t>https://kpmg.com/us/en/articles/2023/kpmg-digital-maturity-assessment.html</w:t>
        </w:r>
      </w:hyperlink>
      <w:r w:rsidRPr="005A3967">
        <w:t xml:space="preserve"> </w:t>
      </w:r>
    </w:p>
    <w:p w14:paraId="1150842E" w14:textId="77777777" w:rsidR="004C55C7" w:rsidRPr="005A3967" w:rsidRDefault="004C55C7" w:rsidP="001D2D22">
      <w:pPr>
        <w:pStyle w:val="ListParagraph"/>
        <w:numPr>
          <w:ilvl w:val="0"/>
          <w:numId w:val="2"/>
        </w:numPr>
        <w:spacing w:before="100" w:beforeAutospacing="1" w:after="100" w:afterAutospacing="1" w:line="360" w:lineRule="auto"/>
        <w:ind w:left="426" w:hanging="426"/>
      </w:pPr>
      <w:r w:rsidRPr="005A3967">
        <w:rPr>
          <w:rStyle w:val="Strong"/>
          <w:rFonts w:eastAsiaTheme="majorEastAsia"/>
          <w:b w:val="0"/>
          <w:bCs w:val="0"/>
        </w:rPr>
        <w:t>Kwon, O., Lee, N. &amp; Shin, B.</w:t>
      </w:r>
      <w:r w:rsidRPr="005A3967">
        <w:t xml:space="preserve"> (2014) 'Data Quality Management, Data Usage Experience and Acquisition Intention of Big Data Analytics', </w:t>
      </w:r>
      <w:r w:rsidRPr="005A3967">
        <w:rPr>
          <w:rStyle w:val="Emphasis"/>
          <w:rFonts w:eastAsiaTheme="majorEastAsia"/>
        </w:rPr>
        <w:t>International Journal of Information Management</w:t>
      </w:r>
      <w:r w:rsidRPr="005A3967">
        <w:t xml:space="preserve">, 34(3), pp. 387–394. </w:t>
      </w:r>
      <w:hyperlink r:id="rId71" w:tgtFrame="_blank" w:tooltip="Persistent link using digital object identifier" w:history="1">
        <w:r w:rsidRPr="005A3967">
          <w:rPr>
            <w:rStyle w:val="Hyperlink"/>
          </w:rPr>
          <w:t>https://doi.org/10.1016/j.ijinfomgt.2014.02.002</w:t>
        </w:r>
      </w:hyperlink>
    </w:p>
    <w:p w14:paraId="58EB818C" w14:textId="77777777" w:rsidR="004C55C7" w:rsidRPr="005A3967" w:rsidRDefault="004C55C7" w:rsidP="001D2D22">
      <w:pPr>
        <w:numPr>
          <w:ilvl w:val="0"/>
          <w:numId w:val="2"/>
        </w:numPr>
        <w:spacing w:before="100" w:beforeAutospacing="1" w:after="100" w:afterAutospacing="1" w:line="360" w:lineRule="auto"/>
      </w:pPr>
      <w:r w:rsidRPr="005A3967">
        <w:t xml:space="preserve">LaValle, S., Lesser, E., Shockley, R., Hopkins, M. S., &amp; Kruschwitz, N. (2011). Big Data, Analytics and the Path from Insights to Value. </w:t>
      </w:r>
      <w:r w:rsidRPr="005A3967">
        <w:rPr>
          <w:rStyle w:val="Emphasis"/>
          <w:rFonts w:eastAsiaTheme="majorEastAsia"/>
        </w:rPr>
        <w:t>MIT Sloan Management Review</w:t>
      </w:r>
      <w:r w:rsidRPr="005A3967">
        <w:t xml:space="preserve">, 52(2), 21–32. </w:t>
      </w:r>
      <w:hyperlink r:id="rId72" w:history="1">
        <w:r w:rsidRPr="005A3967">
          <w:rPr>
            <w:rStyle w:val="Hyperlink"/>
          </w:rPr>
          <w:t>https://doi.org/10.2139/ssrn.2208741</w:t>
        </w:r>
      </w:hyperlink>
      <w:r w:rsidRPr="005A3967">
        <w:t xml:space="preserve"> </w:t>
      </w:r>
    </w:p>
    <w:p w14:paraId="5DD5B179" w14:textId="44F8924A" w:rsidR="004C55C7" w:rsidRPr="005A3967" w:rsidRDefault="004C55C7" w:rsidP="001D2D22">
      <w:pPr>
        <w:pStyle w:val="ListParagraph"/>
        <w:numPr>
          <w:ilvl w:val="0"/>
          <w:numId w:val="2"/>
        </w:numPr>
        <w:spacing w:before="100" w:beforeAutospacing="1" w:after="100" w:afterAutospacing="1" w:line="360" w:lineRule="auto"/>
        <w:ind w:right="720"/>
      </w:pPr>
      <w:r w:rsidRPr="005A3967">
        <w:t xml:space="preserve">Li, J. and Pan, S.L. </w:t>
      </w:r>
      <w:r w:rsidR="00142D8E" w:rsidRPr="005A3967">
        <w:t>(</w:t>
      </w:r>
      <w:r w:rsidRPr="005A3967">
        <w:t>2024</w:t>
      </w:r>
      <w:r w:rsidR="00142D8E" w:rsidRPr="005A3967">
        <w:t>)</w:t>
      </w:r>
      <w:r w:rsidRPr="005A3967">
        <w:t xml:space="preserve">. </w:t>
      </w:r>
      <w:r w:rsidRPr="005A3967">
        <w:rPr>
          <w:rStyle w:val="Emphasis"/>
          <w:rFonts w:eastAsiaTheme="majorEastAsia"/>
        </w:rPr>
        <w:t>Achieving sustainable competitive advantage through data-driven innovation: Evidence from energy firms</w:t>
      </w:r>
      <w:r w:rsidRPr="005A3967">
        <w:t xml:space="preserve">. Technological Forecasting and Social Change, 191, p.122502. </w:t>
      </w:r>
      <w:hyperlink r:id="rId73" w:history="1">
        <w:r w:rsidRPr="005A3967">
          <w:rPr>
            <w:rStyle w:val="Hyperlink"/>
          </w:rPr>
          <w:t>https://doi.org/10.3390/app10196784</w:t>
        </w:r>
      </w:hyperlink>
    </w:p>
    <w:p w14:paraId="6A065216" w14:textId="77777777" w:rsidR="004C55C7" w:rsidRPr="005A3967" w:rsidRDefault="004C55C7" w:rsidP="001D2D22">
      <w:pPr>
        <w:numPr>
          <w:ilvl w:val="0"/>
          <w:numId w:val="2"/>
        </w:numPr>
        <w:spacing w:before="100" w:beforeAutospacing="1" w:after="100" w:afterAutospacing="1" w:line="360" w:lineRule="auto"/>
      </w:pPr>
      <w:r w:rsidRPr="005A3967">
        <w:t xml:space="preserve">Lincoln, Y.S., &amp; Guba, E.G. (1985). </w:t>
      </w:r>
      <w:r w:rsidRPr="005A3967">
        <w:rPr>
          <w:i/>
          <w:iCs/>
        </w:rPr>
        <w:t>Naturalistic Inquiry.</w:t>
      </w:r>
      <w:r w:rsidRPr="005A3967">
        <w:t xml:space="preserve"> Sage Publications. Thousand Oaks, 289-331. </w:t>
      </w:r>
      <w:hyperlink r:id="rId74" w:history="1">
        <w:r w:rsidRPr="005A3967">
          <w:rPr>
            <w:rStyle w:val="Hyperlink"/>
          </w:rPr>
          <w:t>http://dx.doi.org/10.1016/0147-1767(85)90062-8</w:t>
        </w:r>
      </w:hyperlink>
      <w:r w:rsidRPr="005A3967">
        <w:t xml:space="preserve"> </w:t>
      </w:r>
    </w:p>
    <w:p w14:paraId="0F87FBC0" w14:textId="77777777" w:rsidR="004C55C7" w:rsidRPr="005A3967" w:rsidRDefault="004C55C7" w:rsidP="001D2D22">
      <w:pPr>
        <w:numPr>
          <w:ilvl w:val="0"/>
          <w:numId w:val="2"/>
        </w:numPr>
        <w:spacing w:before="100" w:beforeAutospacing="1" w:after="100" w:afterAutospacing="1" w:line="360" w:lineRule="auto"/>
      </w:pPr>
      <w:r w:rsidRPr="005A3967">
        <w:t xml:space="preserve">Lopez, F. (2023). </w:t>
      </w:r>
      <w:r w:rsidRPr="005A3967">
        <w:rPr>
          <w:i/>
          <w:iCs/>
        </w:rPr>
        <w:t>From Data to Strategy: Case Studies in Analytics-Driven Decisions.</w:t>
      </w:r>
      <w:r w:rsidRPr="005A3967">
        <w:t xml:space="preserve"> Journal of Strategic Management, 12(3), 45-59. </w:t>
      </w:r>
    </w:p>
    <w:p w14:paraId="6ED19B7C" w14:textId="1420FE47" w:rsidR="004C55C7" w:rsidRPr="005A3967" w:rsidRDefault="004C55C7" w:rsidP="001D2D22">
      <w:pPr>
        <w:pStyle w:val="NormalWeb"/>
        <w:numPr>
          <w:ilvl w:val="0"/>
          <w:numId w:val="2"/>
        </w:numPr>
        <w:spacing w:before="0" w:beforeAutospacing="0" w:after="240" w:afterAutospacing="0" w:line="360" w:lineRule="auto"/>
        <w:rPr>
          <w:color w:val="000000"/>
        </w:rPr>
      </w:pPr>
      <w:proofErr w:type="spellStart"/>
      <w:r w:rsidRPr="005A3967">
        <w:rPr>
          <w:rStyle w:val="csl-entry"/>
          <w:rFonts w:eastAsiaTheme="majorEastAsia"/>
          <w:color w:val="000000"/>
        </w:rPr>
        <w:lastRenderedPageBreak/>
        <w:t>Mądziel</w:t>
      </w:r>
      <w:proofErr w:type="spellEnd"/>
      <w:r w:rsidRPr="005A3967">
        <w:rPr>
          <w:rStyle w:val="csl-entry"/>
          <w:rFonts w:eastAsiaTheme="majorEastAsia"/>
          <w:color w:val="000000"/>
        </w:rPr>
        <w:t xml:space="preserve">, M. and Campisi, T. </w:t>
      </w:r>
      <w:r w:rsidR="00142D8E" w:rsidRPr="005A3967">
        <w:rPr>
          <w:rStyle w:val="csl-entry"/>
          <w:rFonts w:eastAsiaTheme="majorEastAsia"/>
          <w:color w:val="000000"/>
        </w:rPr>
        <w:t>(</w:t>
      </w:r>
      <w:r w:rsidRPr="005A3967">
        <w:rPr>
          <w:rStyle w:val="csl-entry"/>
          <w:rFonts w:eastAsiaTheme="majorEastAsia"/>
          <w:color w:val="000000"/>
        </w:rPr>
        <w:t>2024</w:t>
      </w:r>
      <w:r w:rsidR="00142D8E" w:rsidRPr="005A3967">
        <w:rPr>
          <w:rStyle w:val="csl-entry"/>
          <w:rFonts w:eastAsiaTheme="majorEastAsia"/>
          <w:color w:val="000000"/>
        </w:rPr>
        <w:t>)</w:t>
      </w:r>
      <w:r w:rsidRPr="005A3967">
        <w:rPr>
          <w:rStyle w:val="csl-entry"/>
          <w:rFonts w:eastAsiaTheme="majorEastAsia"/>
          <w:color w:val="000000"/>
        </w:rPr>
        <w:t>. Predictive Artificial Intelligence Models for Energy Efficiency in Hybrid and Electric Vehicles: Analysis for Enna, Sicily.</w:t>
      </w:r>
      <w:r w:rsidRPr="005A3967">
        <w:rPr>
          <w:rStyle w:val="apple-converted-space"/>
          <w:rFonts w:eastAsiaTheme="majorEastAsia"/>
          <w:color w:val="000000"/>
        </w:rPr>
        <w:t> </w:t>
      </w:r>
      <w:r w:rsidRPr="005A3967">
        <w:rPr>
          <w:rStyle w:val="csl-entry"/>
          <w:rFonts w:eastAsiaTheme="majorEastAsia"/>
          <w:i/>
          <w:iCs/>
          <w:color w:val="000000"/>
        </w:rPr>
        <w:t>Energies</w:t>
      </w:r>
      <w:r w:rsidRPr="005A3967">
        <w:rPr>
          <w:rStyle w:val="apple-converted-space"/>
          <w:rFonts w:eastAsiaTheme="majorEastAsia"/>
          <w:color w:val="000000"/>
        </w:rPr>
        <w:t> </w:t>
      </w:r>
      <w:r w:rsidRPr="005A3967">
        <w:rPr>
          <w:rStyle w:val="csl-entry"/>
          <w:rFonts w:eastAsiaTheme="majorEastAsia"/>
          <w:color w:val="000000"/>
        </w:rPr>
        <w:t xml:space="preserve">17(19), p. 4913. doi: 10.3390/en17194913. </w:t>
      </w:r>
    </w:p>
    <w:p w14:paraId="7A46E0B9" w14:textId="16B1FB0B" w:rsidR="004C55C7" w:rsidRPr="005A3967" w:rsidRDefault="004C55C7" w:rsidP="001D2D22">
      <w:pPr>
        <w:pStyle w:val="ListParagraph"/>
        <w:numPr>
          <w:ilvl w:val="0"/>
          <w:numId w:val="2"/>
        </w:numPr>
        <w:spacing w:before="100" w:beforeAutospacing="1" w:after="100" w:afterAutospacing="1" w:line="360" w:lineRule="auto"/>
        <w:ind w:right="720"/>
      </w:pPr>
      <w:r w:rsidRPr="005A3967">
        <w:t xml:space="preserve">Mashayekhy Rad, F. and Liu, S. </w:t>
      </w:r>
      <w:r w:rsidR="00142D8E" w:rsidRPr="005A3967">
        <w:t>(</w:t>
      </w:r>
      <w:r w:rsidRPr="005A3967">
        <w:t>2023</w:t>
      </w:r>
      <w:r w:rsidR="00142D8E" w:rsidRPr="005A3967">
        <w:t>)</w:t>
      </w:r>
      <w:r w:rsidRPr="005A3967">
        <w:t xml:space="preserve">. </w:t>
      </w:r>
      <w:r w:rsidRPr="005A3967">
        <w:rPr>
          <w:rStyle w:val="Emphasis"/>
          <w:rFonts w:eastAsiaTheme="majorEastAsia"/>
        </w:rPr>
        <w:t>Digital transformation and data governance: Lessons from the energy sector</w:t>
      </w:r>
      <w:r w:rsidRPr="005A3967">
        <w:t>. Information Systems Journal, 33(2), pp.400–424.</w:t>
      </w:r>
    </w:p>
    <w:p w14:paraId="0C282301" w14:textId="77777777" w:rsidR="004C55C7" w:rsidRPr="005A3967" w:rsidRDefault="004C55C7" w:rsidP="001D2D22">
      <w:pPr>
        <w:numPr>
          <w:ilvl w:val="0"/>
          <w:numId w:val="2"/>
        </w:numPr>
        <w:spacing w:before="100" w:beforeAutospacing="1" w:after="100" w:afterAutospacing="1" w:line="360" w:lineRule="auto"/>
      </w:pPr>
      <w:r w:rsidRPr="005A3967">
        <w:t xml:space="preserve">McAfee, A., &amp; Brynjolfsson, E. (2012). Big Data: The Management Revolution. </w:t>
      </w:r>
      <w:r w:rsidRPr="005A3967">
        <w:rPr>
          <w:rStyle w:val="Emphasis"/>
          <w:rFonts w:eastAsiaTheme="majorEastAsia"/>
        </w:rPr>
        <w:t>Harvard Business Review</w:t>
      </w:r>
      <w:r w:rsidRPr="005A3967">
        <w:t xml:space="preserve">, 90(10), 60–68. </w:t>
      </w:r>
      <w:hyperlink r:id="rId75" w:tgtFrame="_new" w:history="1">
        <w:r w:rsidRPr="005A3967">
          <w:rPr>
            <w:rStyle w:val="Hyperlink"/>
            <w:rFonts w:eastAsiaTheme="majorEastAsia"/>
          </w:rPr>
          <w:t>https://hbr.org/2012/10/big-data-the-management-revolution</w:t>
        </w:r>
      </w:hyperlink>
    </w:p>
    <w:p w14:paraId="7AD39256" w14:textId="77777777" w:rsidR="004C55C7" w:rsidRPr="005A3967" w:rsidRDefault="004C55C7" w:rsidP="001D2D22">
      <w:pPr>
        <w:numPr>
          <w:ilvl w:val="0"/>
          <w:numId w:val="2"/>
        </w:numPr>
        <w:spacing w:before="100" w:beforeAutospacing="1" w:after="100" w:afterAutospacing="1" w:line="360" w:lineRule="auto"/>
      </w:pPr>
      <w:r w:rsidRPr="005A3967">
        <w:t xml:space="preserve">McKinsey &amp; Company (2022). </w:t>
      </w:r>
      <w:r w:rsidRPr="005A3967">
        <w:rPr>
          <w:i/>
          <w:iCs/>
        </w:rPr>
        <w:t>The Analytics Journey in Energy: Global Survey Results.</w:t>
      </w:r>
      <w:r w:rsidRPr="005A3967">
        <w:t xml:space="preserve"> [Online Report]. </w:t>
      </w:r>
      <w:hyperlink r:id="rId76" w:history="1">
        <w:r w:rsidRPr="005A3967">
          <w:rPr>
            <w:rStyle w:val="Hyperlink"/>
          </w:rPr>
          <w:t>https://www.mckinsey.com/industries/oil-and-gas/our-insights/global-energy-perspective-2022</w:t>
        </w:r>
      </w:hyperlink>
      <w:r w:rsidRPr="005A3967">
        <w:t xml:space="preserve"> </w:t>
      </w:r>
    </w:p>
    <w:p w14:paraId="21A1D731" w14:textId="77777777" w:rsidR="004C55C7" w:rsidRPr="005A3967" w:rsidRDefault="004C55C7" w:rsidP="001D2D22">
      <w:pPr>
        <w:pStyle w:val="ListParagraph"/>
        <w:numPr>
          <w:ilvl w:val="0"/>
          <w:numId w:val="2"/>
        </w:numPr>
        <w:spacing w:before="100" w:beforeAutospacing="1" w:after="100" w:afterAutospacing="1" w:line="360" w:lineRule="auto"/>
        <w:ind w:left="567" w:hanging="567"/>
      </w:pPr>
      <w:r w:rsidRPr="005A3967">
        <w:rPr>
          <w:rStyle w:val="Strong"/>
          <w:rFonts w:eastAsiaTheme="majorEastAsia"/>
          <w:b w:val="0"/>
          <w:bCs w:val="0"/>
        </w:rPr>
        <w:t xml:space="preserve">Mehrabi, N., </w:t>
      </w:r>
      <w:proofErr w:type="spellStart"/>
      <w:r w:rsidRPr="005A3967">
        <w:rPr>
          <w:rStyle w:val="Strong"/>
          <w:rFonts w:eastAsiaTheme="majorEastAsia"/>
          <w:b w:val="0"/>
          <w:bCs w:val="0"/>
        </w:rPr>
        <w:t>Morstatter</w:t>
      </w:r>
      <w:proofErr w:type="spellEnd"/>
      <w:r w:rsidRPr="005A3967">
        <w:rPr>
          <w:rStyle w:val="Strong"/>
          <w:rFonts w:eastAsiaTheme="majorEastAsia"/>
          <w:b w:val="0"/>
          <w:bCs w:val="0"/>
        </w:rPr>
        <w:t>, F., Saxena, N., Lerman, K. &amp; Galstyan, A.</w:t>
      </w:r>
      <w:r w:rsidRPr="005A3967">
        <w:t xml:space="preserve"> (2021) 'A Survey on Bias and Fairness in Machine Learning', </w:t>
      </w:r>
      <w:r w:rsidRPr="005A3967">
        <w:rPr>
          <w:rStyle w:val="Emphasis"/>
          <w:rFonts w:eastAsiaTheme="majorEastAsia"/>
        </w:rPr>
        <w:t>ACM Computing Surveys</w:t>
      </w:r>
      <w:r w:rsidRPr="005A3967">
        <w:t xml:space="preserve">, 54(6), pp. 1–35. </w:t>
      </w:r>
      <w:hyperlink r:id="rId77" w:history="1">
        <w:r w:rsidRPr="005A3967">
          <w:rPr>
            <w:rStyle w:val="Hyperlink"/>
          </w:rPr>
          <w:t>https://doi.org/10.1145/3457607</w:t>
        </w:r>
      </w:hyperlink>
    </w:p>
    <w:p w14:paraId="58C9467F" w14:textId="376B231B" w:rsidR="004C55C7" w:rsidRPr="005A3967" w:rsidRDefault="004C55C7" w:rsidP="001D2D22">
      <w:pPr>
        <w:pStyle w:val="citation"/>
        <w:numPr>
          <w:ilvl w:val="0"/>
          <w:numId w:val="2"/>
        </w:numPr>
        <w:spacing w:line="360" w:lineRule="auto"/>
      </w:pPr>
      <w:r w:rsidRPr="005A3967">
        <w:rPr>
          <w:rStyle w:val="Strong"/>
          <w:rFonts w:eastAsiaTheme="majorEastAsia"/>
          <w:b w:val="0"/>
          <w:bCs w:val="0"/>
        </w:rPr>
        <w:t>National Grid (2023)</w:t>
      </w:r>
      <w:r w:rsidRPr="005A3967">
        <w:t xml:space="preserve"> </w:t>
      </w:r>
      <w:r w:rsidRPr="005A3967">
        <w:rPr>
          <w:rStyle w:val="Emphasis"/>
          <w:rFonts w:eastAsiaTheme="majorEastAsia"/>
        </w:rPr>
        <w:t>Harnessing Predictive Analytics for Smarter Energy Systems: Annual Digitalisation Report 2023</w:t>
      </w:r>
      <w:r w:rsidRPr="005A3967">
        <w:t xml:space="preserve">. National Grid plc. Available at: </w:t>
      </w:r>
      <w:hyperlink r:id="rId78" w:history="1">
        <w:r w:rsidRPr="005A3967">
          <w:rPr>
            <w:rStyle w:val="Hyperlink"/>
          </w:rPr>
          <w:t>https://www.nationalgrid.com/document/151041/download</w:t>
        </w:r>
      </w:hyperlink>
      <w:r w:rsidRPr="005A3967">
        <w:t xml:space="preserve">   (Accessed: </w:t>
      </w:r>
      <w:r w:rsidR="00EC53C7" w:rsidRPr="005A3967">
        <w:t xml:space="preserve">2 June </w:t>
      </w:r>
      <w:r w:rsidRPr="005A3967">
        <w:t>2025).</w:t>
      </w:r>
    </w:p>
    <w:p w14:paraId="3CA24BDB" w14:textId="28EDCBBB" w:rsidR="004C55C7" w:rsidRPr="005A3967" w:rsidRDefault="004C55C7" w:rsidP="001D2D22">
      <w:pPr>
        <w:pStyle w:val="ListParagraph"/>
        <w:numPr>
          <w:ilvl w:val="0"/>
          <w:numId w:val="2"/>
        </w:numPr>
        <w:spacing w:before="100" w:beforeAutospacing="1" w:after="100" w:afterAutospacing="1" w:line="360" w:lineRule="auto"/>
      </w:pPr>
      <w:r w:rsidRPr="005A3967">
        <w:t xml:space="preserve">National Grid. (2024) </w:t>
      </w:r>
      <w:r w:rsidRPr="005A3967">
        <w:rPr>
          <w:rStyle w:val="Emphasis"/>
          <w:rFonts w:eastAsiaTheme="majorEastAsia"/>
        </w:rPr>
        <w:t>National Grid Digitalisation Strategy and Action Plan 2024</w:t>
      </w:r>
      <w:r w:rsidRPr="005A3967">
        <w:t xml:space="preserve">. Available at:  </w:t>
      </w:r>
      <w:hyperlink r:id="rId79" w:history="1">
        <w:r w:rsidRPr="005A3967">
          <w:rPr>
            <w:rStyle w:val="Hyperlink"/>
          </w:rPr>
          <w:t>https://www.nationalgrid.com/electricity-transmission/about-us/digitalisation-strategy-and-action-plan</w:t>
        </w:r>
      </w:hyperlink>
      <w:r w:rsidRPr="005A3967">
        <w:t xml:space="preserve">  (Accessed: </w:t>
      </w:r>
      <w:r w:rsidR="00EC53C7" w:rsidRPr="005A3967">
        <w:t>15 May</w:t>
      </w:r>
      <w:r w:rsidRPr="005A3967">
        <w:t xml:space="preserve"> 2025).</w:t>
      </w:r>
    </w:p>
    <w:p w14:paraId="3944E29B" w14:textId="5C437BF9" w:rsidR="004C55C7" w:rsidRPr="005A3967" w:rsidRDefault="004C55C7" w:rsidP="001D2D22">
      <w:pPr>
        <w:pStyle w:val="ListParagraph"/>
        <w:numPr>
          <w:ilvl w:val="0"/>
          <w:numId w:val="2"/>
        </w:numPr>
        <w:spacing w:before="100" w:beforeAutospacing="1" w:after="100" w:afterAutospacing="1" w:line="360" w:lineRule="auto"/>
      </w:pPr>
      <w:r w:rsidRPr="005A3967">
        <w:t xml:space="preserve">Octopus Energy. (2024) </w:t>
      </w:r>
      <w:r w:rsidRPr="005A3967">
        <w:rPr>
          <w:rStyle w:val="Emphasis"/>
          <w:rFonts w:eastAsiaTheme="majorEastAsia"/>
        </w:rPr>
        <w:t>Technology and Data Strategy: A Customer-First Approach 2024</w:t>
      </w:r>
      <w:r w:rsidRPr="005A3967">
        <w:t xml:space="preserve">. Available at: </w:t>
      </w:r>
      <w:hyperlink r:id="rId80" w:history="1">
        <w:r w:rsidRPr="005A3967">
          <w:rPr>
            <w:rStyle w:val="Hyperlink"/>
          </w:rPr>
          <w:t>https://octopus.energy/about-us/technology-and-data-strategy</w:t>
        </w:r>
      </w:hyperlink>
      <w:r w:rsidRPr="005A3967">
        <w:t xml:space="preserve"> (Accessed:</w:t>
      </w:r>
      <w:r w:rsidR="00EC53C7" w:rsidRPr="005A3967">
        <w:t xml:space="preserve"> 10</w:t>
      </w:r>
      <w:r w:rsidRPr="005A3967">
        <w:t xml:space="preserve"> </w:t>
      </w:r>
      <w:r w:rsidR="00EC53C7" w:rsidRPr="005A3967">
        <w:t xml:space="preserve">June </w:t>
      </w:r>
      <w:r w:rsidRPr="005A3967">
        <w:t>2025).</w:t>
      </w:r>
    </w:p>
    <w:p w14:paraId="22B62A2E" w14:textId="77777777" w:rsidR="004C55C7" w:rsidRPr="005A3967" w:rsidRDefault="004C55C7" w:rsidP="001D2D22">
      <w:pPr>
        <w:numPr>
          <w:ilvl w:val="0"/>
          <w:numId w:val="2"/>
        </w:numPr>
        <w:spacing w:before="100" w:beforeAutospacing="1" w:after="100" w:afterAutospacing="1" w:line="360" w:lineRule="auto"/>
      </w:pPr>
      <w:r w:rsidRPr="005A3967">
        <w:t xml:space="preserve">Ofgem (2023). </w:t>
      </w:r>
      <w:r w:rsidRPr="005A3967">
        <w:rPr>
          <w:i/>
          <w:iCs/>
        </w:rPr>
        <w:t>Unlocking Energy Data for Consumers – Policy Statement.</w:t>
      </w:r>
      <w:r w:rsidRPr="005A3967">
        <w:t xml:space="preserve"> Office of Gas and Electricity Markets (UK). </w:t>
      </w:r>
      <w:hyperlink r:id="rId81" w:history="1">
        <w:r w:rsidRPr="005A3967">
          <w:rPr>
            <w:rStyle w:val="Hyperlink"/>
          </w:rPr>
          <w:t>OFGEM</w:t>
        </w:r>
      </w:hyperlink>
      <w:r w:rsidRPr="005A3967">
        <w:t xml:space="preserve"> </w:t>
      </w:r>
    </w:p>
    <w:p w14:paraId="417CE055" w14:textId="77777777" w:rsidR="004C55C7" w:rsidRPr="005A3967" w:rsidRDefault="004C55C7" w:rsidP="001D2D22">
      <w:pPr>
        <w:numPr>
          <w:ilvl w:val="0"/>
          <w:numId w:val="2"/>
        </w:numPr>
        <w:spacing w:before="100" w:beforeAutospacing="1" w:after="100" w:afterAutospacing="1" w:line="360" w:lineRule="auto"/>
      </w:pPr>
      <w:r w:rsidRPr="005A3967">
        <w:t xml:space="preserve">Ofgem. (2022). </w:t>
      </w:r>
      <w:r w:rsidRPr="005A3967">
        <w:rPr>
          <w:rStyle w:val="Emphasis"/>
          <w:rFonts w:eastAsiaTheme="majorEastAsia"/>
        </w:rPr>
        <w:t>Decarbonisation Action Plan</w:t>
      </w:r>
      <w:r w:rsidRPr="005A3967">
        <w:t xml:space="preserve">. </w:t>
      </w:r>
      <w:hyperlink r:id="rId82" w:history="1">
        <w:r w:rsidRPr="005A3967">
          <w:rPr>
            <w:rStyle w:val="Hyperlink"/>
          </w:rPr>
          <w:t>https://www.ofgem.gov.uk/publications/ofgems-decarbonisation-action-plan</w:t>
        </w:r>
      </w:hyperlink>
      <w:r w:rsidRPr="005A3967">
        <w:t xml:space="preserve"> </w:t>
      </w:r>
    </w:p>
    <w:p w14:paraId="6EB6EA81" w14:textId="4BB8FA24" w:rsidR="004C55C7" w:rsidRPr="005A3967" w:rsidRDefault="004C55C7" w:rsidP="001D2D22">
      <w:pPr>
        <w:pStyle w:val="ListParagraph"/>
        <w:numPr>
          <w:ilvl w:val="0"/>
          <w:numId w:val="2"/>
        </w:numPr>
        <w:spacing w:before="100" w:beforeAutospacing="1" w:after="100" w:afterAutospacing="1" w:line="360" w:lineRule="auto"/>
      </w:pPr>
      <w:r w:rsidRPr="005A3967">
        <w:t xml:space="preserve">Ofgem. (2023) </w:t>
      </w:r>
      <w:r w:rsidRPr="005A3967">
        <w:rPr>
          <w:rStyle w:val="Emphasis"/>
          <w:rFonts w:eastAsiaTheme="majorEastAsia"/>
        </w:rPr>
        <w:t>Review of Digitalisation Strategies in UK Energy Networks 2023</w:t>
      </w:r>
      <w:r w:rsidRPr="005A3967">
        <w:t xml:space="preserve">. London: Office of Gas and Electricity Markets. Available at: </w:t>
      </w:r>
      <w:hyperlink r:id="rId83" w:history="1">
        <w:r w:rsidRPr="005A3967">
          <w:rPr>
            <w:rStyle w:val="Hyperlink"/>
          </w:rPr>
          <w:t xml:space="preserve">Digitalisation Strategies </w:t>
        </w:r>
      </w:hyperlink>
      <w:r w:rsidRPr="005A3967">
        <w:t xml:space="preserve">  (Accessed: </w:t>
      </w:r>
      <w:r w:rsidR="00EC53C7" w:rsidRPr="005A3967">
        <w:t>27</w:t>
      </w:r>
      <w:r w:rsidRPr="005A3967">
        <w:t xml:space="preserve"> April 2025).</w:t>
      </w:r>
    </w:p>
    <w:p w14:paraId="7A4F3798" w14:textId="77777777" w:rsidR="004C55C7" w:rsidRPr="005A3967" w:rsidRDefault="004C55C7" w:rsidP="001D2D22">
      <w:pPr>
        <w:pStyle w:val="ListParagraph"/>
        <w:numPr>
          <w:ilvl w:val="0"/>
          <w:numId w:val="2"/>
        </w:numPr>
        <w:spacing w:before="100" w:beforeAutospacing="1" w:after="100" w:afterAutospacing="1" w:line="360" w:lineRule="auto"/>
      </w:pPr>
      <w:r w:rsidRPr="005A3967">
        <w:t xml:space="preserve">Otto, B. (2011) 'Organizing Data Governance: Findings from the Telecommunications Industry and Consequences for Large Service Providers', </w:t>
      </w:r>
      <w:r w:rsidRPr="005A3967">
        <w:rPr>
          <w:rStyle w:val="Emphasis"/>
          <w:rFonts w:eastAsiaTheme="majorEastAsia"/>
        </w:rPr>
        <w:t xml:space="preserve">Communications of the </w:t>
      </w:r>
      <w:r w:rsidRPr="005A3967">
        <w:rPr>
          <w:rStyle w:val="Emphasis"/>
          <w:rFonts w:eastAsiaTheme="majorEastAsia"/>
        </w:rPr>
        <w:lastRenderedPageBreak/>
        <w:t>Association for Information Systems</w:t>
      </w:r>
      <w:r w:rsidRPr="005A3967">
        <w:t xml:space="preserve">, 29(3), pp. 45–66. </w:t>
      </w:r>
      <w:hyperlink r:id="rId84" w:history="1">
        <w:r w:rsidRPr="005A3967">
          <w:rPr>
            <w:rStyle w:val="Hyperlink"/>
          </w:rPr>
          <w:t>https://doi.org/10.17705/1CAIS.02903</w:t>
        </w:r>
      </w:hyperlink>
    </w:p>
    <w:p w14:paraId="4C14AF3D" w14:textId="77777777" w:rsidR="004C55C7" w:rsidRPr="005A3967" w:rsidRDefault="004C55C7" w:rsidP="001D2D22">
      <w:pPr>
        <w:pStyle w:val="ListParagraph"/>
        <w:numPr>
          <w:ilvl w:val="0"/>
          <w:numId w:val="2"/>
        </w:numPr>
        <w:spacing w:before="100" w:beforeAutospacing="1" w:after="100" w:afterAutospacing="1" w:line="360" w:lineRule="auto"/>
      </w:pPr>
      <w:r w:rsidRPr="005A3967">
        <w:rPr>
          <w:rStyle w:val="Strong"/>
          <w:rFonts w:eastAsiaTheme="majorEastAsia"/>
          <w:b w:val="0"/>
          <w:bCs w:val="0"/>
        </w:rPr>
        <w:t>Provost, F. &amp; Fawcett, T.</w:t>
      </w:r>
      <w:r w:rsidRPr="005A3967">
        <w:t xml:space="preserve"> (2013) 'Data Science and its Relationship to Big Data and Data-Driven Decision Making', </w:t>
      </w:r>
      <w:r w:rsidRPr="005A3967">
        <w:rPr>
          <w:rStyle w:val="Emphasis"/>
          <w:rFonts w:eastAsiaTheme="majorEastAsia"/>
        </w:rPr>
        <w:t>Big Data</w:t>
      </w:r>
      <w:r w:rsidRPr="005A3967">
        <w:t>, 1(1), pp. 51–59.</w:t>
      </w:r>
      <w:r w:rsidRPr="005A3967">
        <w:br/>
      </w:r>
      <w:hyperlink r:id="rId85" w:tgtFrame="_new" w:history="1">
        <w:r w:rsidRPr="005A3967">
          <w:rPr>
            <w:rStyle w:val="Hyperlink"/>
            <w:rFonts w:eastAsiaTheme="majorEastAsia"/>
          </w:rPr>
          <w:t>DOI: 10.1089/big.2013.1508</w:t>
        </w:r>
      </w:hyperlink>
    </w:p>
    <w:p w14:paraId="50939C16" w14:textId="463D5477" w:rsidR="004C55C7" w:rsidRPr="005A3967" w:rsidRDefault="004C55C7" w:rsidP="001D2D22">
      <w:pPr>
        <w:pStyle w:val="ListParagraph"/>
        <w:numPr>
          <w:ilvl w:val="0"/>
          <w:numId w:val="2"/>
        </w:numPr>
        <w:spacing w:before="100" w:beforeAutospacing="1" w:after="100" w:afterAutospacing="1" w:line="360" w:lineRule="auto"/>
        <w:ind w:right="720"/>
      </w:pPr>
      <w:r w:rsidRPr="005A3967">
        <w:t xml:space="preserve">Ransbotham, S., Kiron, D. and Prentice, P.K. </w:t>
      </w:r>
      <w:r w:rsidR="00142D8E" w:rsidRPr="005A3967">
        <w:t>(</w:t>
      </w:r>
      <w:r w:rsidRPr="005A3967">
        <w:t>2022</w:t>
      </w:r>
      <w:r w:rsidR="00142D8E" w:rsidRPr="005A3967">
        <w:t>)</w:t>
      </w:r>
      <w:r w:rsidRPr="005A3967">
        <w:t xml:space="preserve">. </w:t>
      </w:r>
      <w:r w:rsidRPr="005A3967">
        <w:rPr>
          <w:rStyle w:val="Emphasis"/>
          <w:rFonts w:eastAsiaTheme="majorEastAsia"/>
        </w:rPr>
        <w:t>Analytics as a source of business innovation: Challenges and pathways</w:t>
      </w:r>
      <w:r w:rsidRPr="005A3967">
        <w:t xml:space="preserve">. Journal of Business Research, 145, pp.524–538. </w:t>
      </w:r>
      <w:hyperlink r:id="rId86" w:history="1">
        <w:r w:rsidRPr="005A3967">
          <w:rPr>
            <w:rStyle w:val="Hyperlink"/>
          </w:rPr>
          <w:t>https://sloanreview.mit.edu/wp-content/uploads/2017/02/621756dfdd-1.pdf?cid=1</w:t>
        </w:r>
      </w:hyperlink>
      <w:r w:rsidRPr="005A3967">
        <w:t xml:space="preserve"> </w:t>
      </w:r>
    </w:p>
    <w:p w14:paraId="49D7EB88" w14:textId="77777777" w:rsidR="004C55C7" w:rsidRPr="005A3967" w:rsidRDefault="004C55C7" w:rsidP="001D2D22">
      <w:pPr>
        <w:pStyle w:val="ListParagraph"/>
        <w:numPr>
          <w:ilvl w:val="0"/>
          <w:numId w:val="2"/>
        </w:numPr>
        <w:spacing w:before="100" w:beforeAutospacing="1" w:after="100" w:afterAutospacing="1" w:line="360" w:lineRule="auto"/>
      </w:pPr>
      <w:r w:rsidRPr="005A3967">
        <w:t xml:space="preserve">Rodriguez, P., Sharma, S. and Hall, D. (2024) ‘Hybrid governance models in predictive analytics adoption: An energy sector perspective’, </w:t>
      </w:r>
      <w:r w:rsidRPr="005A3967">
        <w:rPr>
          <w:rStyle w:val="Emphasis"/>
          <w:rFonts w:eastAsiaTheme="majorEastAsia"/>
        </w:rPr>
        <w:t>Technological Forecasting and Social Change</w:t>
      </w:r>
      <w:r w:rsidRPr="005A3967">
        <w:t>, 199, 122727.</w:t>
      </w:r>
    </w:p>
    <w:p w14:paraId="7B739DB0" w14:textId="77777777" w:rsidR="004C55C7" w:rsidRPr="005A3967" w:rsidRDefault="004C55C7" w:rsidP="001D2D22">
      <w:pPr>
        <w:numPr>
          <w:ilvl w:val="0"/>
          <w:numId w:val="2"/>
        </w:numPr>
        <w:spacing w:before="100" w:beforeAutospacing="1" w:after="100" w:afterAutospacing="1" w:line="360" w:lineRule="auto"/>
      </w:pPr>
      <w:r w:rsidRPr="005A3967">
        <w:t xml:space="preserve">Roseth, B. (2024). </w:t>
      </w:r>
      <w:r w:rsidRPr="005A3967">
        <w:rPr>
          <w:i/>
          <w:iCs/>
        </w:rPr>
        <w:t>Data-Driven Decision-Making Can Triple Effectiveness, Study Shows.</w:t>
      </w:r>
      <w:r w:rsidRPr="005A3967">
        <w:t xml:space="preserve"> Forbes Insights, Feb 2024.</w:t>
      </w:r>
    </w:p>
    <w:p w14:paraId="1D756E9D" w14:textId="77777777" w:rsidR="004C55C7" w:rsidRPr="005A3967" w:rsidRDefault="004C55C7" w:rsidP="001D2D22">
      <w:pPr>
        <w:numPr>
          <w:ilvl w:val="0"/>
          <w:numId w:val="2"/>
        </w:numPr>
        <w:spacing w:before="100" w:beforeAutospacing="1" w:after="100" w:afterAutospacing="1" w:line="360" w:lineRule="auto"/>
      </w:pPr>
      <w:r w:rsidRPr="005A3967">
        <w:t xml:space="preserve">Saunders, M., Lewis, P. and Thornhill, A. (2019) </w:t>
      </w:r>
      <w:r w:rsidRPr="005A3967">
        <w:rPr>
          <w:rStyle w:val="Emphasis"/>
          <w:rFonts w:eastAsiaTheme="majorEastAsia"/>
        </w:rPr>
        <w:t>Research Methods for Business Students</w:t>
      </w:r>
      <w:r w:rsidRPr="005A3967">
        <w:t>. 8th ed. Pearson.</w:t>
      </w:r>
    </w:p>
    <w:p w14:paraId="3D21324F" w14:textId="77777777" w:rsidR="004C55C7" w:rsidRPr="005A3967" w:rsidRDefault="004C55C7" w:rsidP="001D2D22">
      <w:pPr>
        <w:numPr>
          <w:ilvl w:val="0"/>
          <w:numId w:val="2"/>
        </w:numPr>
        <w:spacing w:before="100" w:beforeAutospacing="1" w:after="100" w:afterAutospacing="1" w:line="360" w:lineRule="auto"/>
      </w:pPr>
      <w:r w:rsidRPr="005A3967">
        <w:t xml:space="preserve">Schoenherr, T., &amp; Speier-Pero, C. (2015). </w:t>
      </w:r>
      <w:r w:rsidRPr="005A3967">
        <w:rPr>
          <w:i/>
          <w:iCs/>
        </w:rPr>
        <w:t>Data Science, Predictive Analytics, and Big Data in Supply Chain Management: Current State and Future Potential.</w:t>
      </w:r>
      <w:r w:rsidRPr="005A3967">
        <w:t xml:space="preserve"> Journal of Business Logistics, 36(1), 120-132. DOI: 10.1111/jbl.12082 </w:t>
      </w:r>
    </w:p>
    <w:p w14:paraId="3D93E029" w14:textId="76628E83" w:rsidR="004C55C7" w:rsidRPr="005A3967" w:rsidRDefault="004C55C7" w:rsidP="001D2D22">
      <w:pPr>
        <w:pStyle w:val="ListParagraph"/>
        <w:numPr>
          <w:ilvl w:val="0"/>
          <w:numId w:val="2"/>
        </w:numPr>
        <w:spacing w:before="100" w:beforeAutospacing="1" w:after="100" w:afterAutospacing="1" w:line="360" w:lineRule="auto"/>
      </w:pPr>
      <w:r w:rsidRPr="005A3967">
        <w:t xml:space="preserve">Scottish Power. (2024) </w:t>
      </w:r>
      <w:r w:rsidRPr="005A3967">
        <w:rPr>
          <w:rStyle w:val="Emphasis"/>
          <w:rFonts w:eastAsiaTheme="majorEastAsia"/>
        </w:rPr>
        <w:t>Digital Transformation and Net-Zero Strategy 2024</w:t>
      </w:r>
      <w:r w:rsidRPr="005A3967">
        <w:t xml:space="preserve">. Available at: </w:t>
      </w:r>
      <w:hyperlink r:id="rId87" w:history="1">
        <w:r w:rsidRPr="005A3967">
          <w:rPr>
            <w:rStyle w:val="Hyperlink"/>
          </w:rPr>
          <w:t xml:space="preserve">Digital Transformation </w:t>
        </w:r>
      </w:hyperlink>
      <w:r w:rsidRPr="005A3967">
        <w:t xml:space="preserve">  (Accessed: </w:t>
      </w:r>
      <w:r w:rsidR="00EC53C7" w:rsidRPr="005A3967">
        <w:t>9 June</w:t>
      </w:r>
      <w:r w:rsidRPr="005A3967">
        <w:t xml:space="preserve"> 2025).</w:t>
      </w:r>
    </w:p>
    <w:p w14:paraId="6D0B481A" w14:textId="77777777" w:rsidR="004C55C7" w:rsidRPr="005A3967" w:rsidRDefault="004C55C7" w:rsidP="001D2D22">
      <w:pPr>
        <w:numPr>
          <w:ilvl w:val="0"/>
          <w:numId w:val="2"/>
        </w:numPr>
        <w:spacing w:before="100" w:beforeAutospacing="1" w:after="100" w:afterAutospacing="1" w:line="360" w:lineRule="auto"/>
      </w:pPr>
      <w:r w:rsidRPr="005A3967">
        <w:t xml:space="preserve">Selvarajan, K. (2021). </w:t>
      </w:r>
      <w:r w:rsidRPr="005A3967">
        <w:rPr>
          <w:i/>
          <w:iCs/>
        </w:rPr>
        <w:t>Analytics Adoption and Strategic Decision Accuracy in Enterprises.</w:t>
      </w:r>
      <w:r w:rsidRPr="005A3967">
        <w:t xml:space="preserve"> In </w:t>
      </w:r>
      <w:r w:rsidRPr="005A3967">
        <w:rPr>
          <w:i/>
          <w:iCs/>
        </w:rPr>
        <w:t>Proc. IEEE Int’l Conference on Business Analytics 2021</w:t>
      </w:r>
      <w:r w:rsidRPr="005A3967">
        <w:t xml:space="preserve"> (pp. 123-130). </w:t>
      </w:r>
    </w:p>
    <w:p w14:paraId="64DA0B06" w14:textId="77777777" w:rsidR="004C55C7" w:rsidRPr="005A3967" w:rsidRDefault="004C55C7" w:rsidP="001D2D22">
      <w:pPr>
        <w:pStyle w:val="ListParagraph"/>
        <w:numPr>
          <w:ilvl w:val="0"/>
          <w:numId w:val="2"/>
        </w:numPr>
        <w:spacing w:before="100" w:beforeAutospacing="1" w:after="100" w:afterAutospacing="1" w:line="360" w:lineRule="auto"/>
        <w:rPr>
          <w:rStyle w:val="csl-entry"/>
        </w:rPr>
      </w:pPr>
      <w:r w:rsidRPr="005A3967">
        <w:rPr>
          <w:rStyle w:val="csl-entry"/>
          <w:rFonts w:eastAsiaTheme="majorEastAsia"/>
          <w:color w:val="000000"/>
        </w:rPr>
        <w:t xml:space="preserve">Seyedan, M., </w:t>
      </w:r>
      <w:proofErr w:type="spellStart"/>
      <w:r w:rsidRPr="005A3967">
        <w:rPr>
          <w:rStyle w:val="csl-entry"/>
          <w:rFonts w:eastAsiaTheme="majorEastAsia"/>
          <w:color w:val="000000"/>
        </w:rPr>
        <w:t>Mafakheri</w:t>
      </w:r>
      <w:proofErr w:type="spellEnd"/>
      <w:r w:rsidRPr="005A3967">
        <w:rPr>
          <w:rStyle w:val="csl-entry"/>
          <w:rFonts w:eastAsiaTheme="majorEastAsia"/>
          <w:color w:val="000000"/>
        </w:rPr>
        <w:t xml:space="preserve">, F. (2020). ‘Predictive big data analytics for supply chain demand forecasting: methods, applications, and research opportunities. Journal of Big Data 7. </w:t>
      </w:r>
      <w:hyperlink r:id="rId88" w:history="1">
        <w:r w:rsidRPr="005A3967">
          <w:rPr>
            <w:rStyle w:val="Hyperlink"/>
            <w:rFonts w:eastAsiaTheme="majorEastAsia"/>
          </w:rPr>
          <w:t>https://doi.org/10.1186/s40537-020-00329-2</w:t>
        </w:r>
      </w:hyperlink>
    </w:p>
    <w:p w14:paraId="1BE5CF81" w14:textId="07BC5A29" w:rsidR="004C55C7" w:rsidRPr="005A3967" w:rsidRDefault="004C55C7" w:rsidP="001D2D22">
      <w:pPr>
        <w:pStyle w:val="NormalWeb"/>
        <w:numPr>
          <w:ilvl w:val="0"/>
          <w:numId w:val="2"/>
        </w:numPr>
        <w:spacing w:before="0" w:beforeAutospacing="0" w:after="0" w:afterAutospacing="0" w:line="360" w:lineRule="auto"/>
        <w:rPr>
          <w:color w:val="000000"/>
        </w:rPr>
      </w:pPr>
      <w:r w:rsidRPr="005A3967">
        <w:rPr>
          <w:rStyle w:val="csl-entry"/>
          <w:rFonts w:eastAsiaTheme="majorEastAsia"/>
          <w:color w:val="000000"/>
        </w:rPr>
        <w:t xml:space="preserve">Seyedan, M., </w:t>
      </w:r>
      <w:proofErr w:type="spellStart"/>
      <w:r w:rsidRPr="005A3967">
        <w:rPr>
          <w:rStyle w:val="csl-entry"/>
          <w:rFonts w:eastAsiaTheme="majorEastAsia"/>
          <w:color w:val="000000"/>
        </w:rPr>
        <w:t>Mafakheri</w:t>
      </w:r>
      <w:proofErr w:type="spellEnd"/>
      <w:r w:rsidRPr="005A3967">
        <w:rPr>
          <w:rStyle w:val="csl-entry"/>
          <w:rFonts w:eastAsiaTheme="majorEastAsia"/>
          <w:color w:val="000000"/>
        </w:rPr>
        <w:t>, F.</w:t>
      </w:r>
      <w:r w:rsidR="00142D8E" w:rsidRPr="005A3967">
        <w:rPr>
          <w:rStyle w:val="csl-entry"/>
          <w:rFonts w:eastAsiaTheme="majorEastAsia"/>
          <w:color w:val="000000"/>
        </w:rPr>
        <w:t xml:space="preserve"> </w:t>
      </w:r>
      <w:r w:rsidRPr="005A3967">
        <w:rPr>
          <w:rStyle w:val="csl-entry"/>
          <w:rFonts w:eastAsiaTheme="majorEastAsia"/>
          <w:color w:val="000000"/>
        </w:rPr>
        <w:t xml:space="preserve"> 2020. Predictive big data analytics for supply chain demand forecasting: methods, applications, and research opportunities. Journal of Big Data 7. </w:t>
      </w:r>
      <w:hyperlink r:id="rId89" w:history="1">
        <w:r w:rsidRPr="005A3967">
          <w:rPr>
            <w:rStyle w:val="Hyperlink"/>
            <w:rFonts w:eastAsiaTheme="majorEastAsia"/>
          </w:rPr>
          <w:t>https://doi.org/10.1186/s40537-020-00329-2</w:t>
        </w:r>
      </w:hyperlink>
      <w:r w:rsidRPr="005A3967">
        <w:rPr>
          <w:rStyle w:val="csl-entry"/>
          <w:rFonts w:eastAsiaTheme="majorEastAsia"/>
          <w:color w:val="000000"/>
        </w:rPr>
        <w:t xml:space="preserve"> </w:t>
      </w:r>
    </w:p>
    <w:p w14:paraId="5A565809" w14:textId="77777777" w:rsidR="004C55C7" w:rsidRPr="005A3967" w:rsidRDefault="004C55C7" w:rsidP="001D2D22">
      <w:pPr>
        <w:pStyle w:val="citation"/>
        <w:numPr>
          <w:ilvl w:val="0"/>
          <w:numId w:val="2"/>
        </w:numPr>
        <w:spacing w:line="360" w:lineRule="auto"/>
      </w:pPr>
      <w:r w:rsidRPr="005A3967">
        <w:t xml:space="preserve">Shakya, A.S. and Kumar, R. (2024) ‘Empowering Governance through Big Data: Unlocking Potential, Addressing Obstacles, and Best Practices. ldealistic Journal of Advanced Research in Progressive Spectrums (IJARPS) eISSN–2583-6986, 3(03), pp.8-15. </w:t>
      </w:r>
      <w:hyperlink r:id="rId90" w:tgtFrame="_blank" w:tooltip="https://journal.ijarps.org/index.php/IJARPS/article/download/325/298" w:history="1">
        <w:r w:rsidRPr="005A3967">
          <w:rPr>
            <w:rStyle w:val="Hyperlink"/>
            <w:rFonts w:eastAsiaTheme="majorEastAsia"/>
          </w:rPr>
          <w:t>ijarps.org</w:t>
        </w:r>
      </w:hyperlink>
    </w:p>
    <w:p w14:paraId="3D7C38BF" w14:textId="77777777" w:rsidR="004C55C7" w:rsidRPr="005A3967" w:rsidRDefault="004C55C7" w:rsidP="001D2D22">
      <w:pPr>
        <w:pStyle w:val="ListParagraph"/>
        <w:numPr>
          <w:ilvl w:val="0"/>
          <w:numId w:val="2"/>
        </w:numPr>
        <w:spacing w:before="100" w:beforeAutospacing="1" w:after="100" w:afterAutospacing="1" w:line="360" w:lineRule="auto"/>
      </w:pPr>
      <w:r w:rsidRPr="005A3967">
        <w:rPr>
          <w:rStyle w:val="Strong"/>
          <w:rFonts w:eastAsiaTheme="majorEastAsia"/>
          <w:b w:val="0"/>
          <w:bCs w:val="0"/>
        </w:rPr>
        <w:t>Sharma, R., Mithas, S. &amp; Kankanhalli, A.</w:t>
      </w:r>
      <w:r w:rsidRPr="005A3967">
        <w:t xml:space="preserve"> (2014) 'Transforming Decision-Making Processes: A Research Agenda for Understanding the Impact of Business Analytics on </w:t>
      </w:r>
      <w:r w:rsidRPr="005A3967">
        <w:lastRenderedPageBreak/>
        <w:t xml:space="preserve">Organisations', </w:t>
      </w:r>
      <w:r w:rsidRPr="005A3967">
        <w:rPr>
          <w:rStyle w:val="Emphasis"/>
          <w:rFonts w:eastAsiaTheme="majorEastAsia"/>
        </w:rPr>
        <w:t>European Journal of Information Systems</w:t>
      </w:r>
      <w:r w:rsidRPr="005A3967">
        <w:t>, 23(4), pp. 433–441.</w:t>
      </w:r>
      <w:r w:rsidRPr="005A3967">
        <w:br/>
      </w:r>
      <w:hyperlink r:id="rId91" w:tgtFrame="_new" w:history="1">
        <w:r w:rsidRPr="005A3967">
          <w:rPr>
            <w:rStyle w:val="Hyperlink"/>
            <w:rFonts w:eastAsiaTheme="majorEastAsia"/>
          </w:rPr>
          <w:t>DOI: 10.1057/ejis.2014.17</w:t>
        </w:r>
      </w:hyperlink>
    </w:p>
    <w:p w14:paraId="6199CB4E" w14:textId="77777777" w:rsidR="004C55C7" w:rsidRPr="005A3967" w:rsidRDefault="004C55C7" w:rsidP="001D2D22">
      <w:pPr>
        <w:numPr>
          <w:ilvl w:val="0"/>
          <w:numId w:val="2"/>
        </w:numPr>
        <w:spacing w:before="100" w:beforeAutospacing="1" w:after="100" w:afterAutospacing="1" w:line="360" w:lineRule="auto"/>
      </w:pPr>
      <w:r w:rsidRPr="005A3967">
        <w:t xml:space="preserve">Sharma, R., Mithas, S., &amp; Kankanhalli, A. (2022). </w:t>
      </w:r>
      <w:r w:rsidRPr="005A3967">
        <w:rPr>
          <w:i/>
          <w:iCs/>
        </w:rPr>
        <w:t>Transforming Decision-Making Processes through AI and Analytics: An Organisational Framework.</w:t>
      </w:r>
      <w:r w:rsidRPr="005A3967">
        <w:t xml:space="preserve"> MIS Quarterly Executive, 21(3), 147-167. </w:t>
      </w:r>
      <w:hyperlink r:id="rId92" w:history="1">
        <w:r w:rsidRPr="005A3967">
          <w:rPr>
            <w:rStyle w:val="Hyperlink"/>
          </w:rPr>
          <w:t>Transforming Decision-Making Processes</w:t>
        </w:r>
      </w:hyperlink>
      <w:r w:rsidRPr="005A3967">
        <w:t xml:space="preserve"> </w:t>
      </w:r>
    </w:p>
    <w:p w14:paraId="641959F5" w14:textId="5D650D9E" w:rsidR="004C55C7" w:rsidRPr="005A3967" w:rsidRDefault="004C55C7" w:rsidP="001D2D22">
      <w:pPr>
        <w:pStyle w:val="citation"/>
        <w:numPr>
          <w:ilvl w:val="0"/>
          <w:numId w:val="2"/>
        </w:numPr>
        <w:spacing w:line="360" w:lineRule="auto"/>
      </w:pPr>
      <w:r w:rsidRPr="005A3967">
        <w:t>Shet, S.V., Poddar, T., Samuel, F.W. and Dwivedi, Y.K.</w:t>
      </w:r>
      <w:r w:rsidR="00142D8E" w:rsidRPr="005A3967">
        <w:t xml:space="preserve"> (</w:t>
      </w:r>
      <w:r w:rsidRPr="005A3967">
        <w:t>202</w:t>
      </w:r>
      <w:r w:rsidR="00142D8E" w:rsidRPr="005A3967">
        <w:t>)</w:t>
      </w:r>
      <w:r w:rsidRPr="005A3967">
        <w:t xml:space="preserve">. Examining the determinants of successful adoption of data analytics in human resource management–A framework for implications. Journal of Business Research, 131, pp.311-326. </w:t>
      </w:r>
      <w:hyperlink r:id="rId93" w:tgtFrame="_blank" w:tooltip="https://www.academia.edu/download/66680932/JBR_HRA_paper.pdf" w:history="1">
        <w:r w:rsidRPr="005A3967">
          <w:rPr>
            <w:rStyle w:val="Hyperlink"/>
            <w:rFonts w:eastAsiaTheme="majorEastAsia"/>
          </w:rPr>
          <w:t>academia.edu</w:t>
        </w:r>
      </w:hyperlink>
    </w:p>
    <w:p w14:paraId="3B9CF80D" w14:textId="77777777" w:rsidR="004C55C7" w:rsidRPr="005A3967" w:rsidRDefault="004C55C7" w:rsidP="001D2D22">
      <w:pPr>
        <w:numPr>
          <w:ilvl w:val="0"/>
          <w:numId w:val="2"/>
        </w:numPr>
        <w:spacing w:before="100" w:beforeAutospacing="1" w:after="100" w:afterAutospacing="1" w:line="360" w:lineRule="auto"/>
      </w:pPr>
      <w:r w:rsidRPr="005A3967">
        <w:t xml:space="preserve">Shmueli, G., &amp; </w:t>
      </w:r>
      <w:proofErr w:type="spellStart"/>
      <w:r w:rsidRPr="005A3967">
        <w:t>Koppius</w:t>
      </w:r>
      <w:proofErr w:type="spellEnd"/>
      <w:r w:rsidRPr="005A3967">
        <w:t xml:space="preserve">, O. R. (2011). Predictive Analytics in Information Systems Research. </w:t>
      </w:r>
      <w:r w:rsidRPr="005A3967">
        <w:rPr>
          <w:rStyle w:val="Emphasis"/>
          <w:rFonts w:eastAsiaTheme="majorEastAsia"/>
        </w:rPr>
        <w:t>MIS Quarterly, 35</w:t>
      </w:r>
      <w:r w:rsidRPr="005A3967">
        <w:t xml:space="preserve">(3), 553–572. </w:t>
      </w:r>
      <w:hyperlink r:id="rId94" w:history="1">
        <w:r w:rsidRPr="005A3967">
          <w:rPr>
            <w:rStyle w:val="Hyperlink"/>
          </w:rPr>
          <w:t>https://doi.org/10.2307/23042796</w:t>
        </w:r>
      </w:hyperlink>
      <w:r w:rsidRPr="005A3967">
        <w:t xml:space="preserve"> </w:t>
      </w:r>
    </w:p>
    <w:p w14:paraId="0FE4E1B8" w14:textId="77777777" w:rsidR="004C55C7" w:rsidRPr="005A3967" w:rsidRDefault="004C55C7" w:rsidP="001D2D22">
      <w:pPr>
        <w:numPr>
          <w:ilvl w:val="0"/>
          <w:numId w:val="2"/>
        </w:numPr>
        <w:spacing w:before="100" w:beforeAutospacing="1" w:after="100" w:afterAutospacing="1" w:line="360" w:lineRule="auto"/>
      </w:pPr>
      <w:r w:rsidRPr="005A3967">
        <w:t xml:space="preserve">Smith, J. (2020). </w:t>
      </w:r>
      <w:r w:rsidRPr="005A3967">
        <w:rPr>
          <w:i/>
          <w:iCs/>
        </w:rPr>
        <w:t>Algorithms and Intuition: Maintaining the Balance in Data-Driven Decisions.</w:t>
      </w:r>
      <w:r w:rsidRPr="005A3967">
        <w:t xml:space="preserve"> Journal of Business Ethics, 162(2), 307-323. </w:t>
      </w:r>
    </w:p>
    <w:p w14:paraId="5AB3FEE6" w14:textId="3504EC70" w:rsidR="004C55C7" w:rsidRPr="005A3967" w:rsidRDefault="004C55C7" w:rsidP="001D2D22">
      <w:pPr>
        <w:pStyle w:val="ListParagraph"/>
        <w:numPr>
          <w:ilvl w:val="0"/>
          <w:numId w:val="2"/>
        </w:numPr>
        <w:spacing w:before="100" w:beforeAutospacing="1" w:after="100" w:afterAutospacing="1" w:line="360" w:lineRule="auto"/>
      </w:pPr>
      <w:r w:rsidRPr="005A3967">
        <w:t xml:space="preserve">SSE PLC (2024a) </w:t>
      </w:r>
      <w:r w:rsidRPr="005A3967">
        <w:rPr>
          <w:rStyle w:val="Emphasis"/>
          <w:rFonts w:eastAsiaTheme="majorEastAsia"/>
        </w:rPr>
        <w:t>Net Zero Acceleration Programme Plus Overview.</w:t>
      </w:r>
      <w:r w:rsidRPr="005A3967">
        <w:t xml:space="preserve"> Perth: SSE PLC. Available at: </w:t>
      </w:r>
      <w:hyperlink r:id="rId95" w:history="1">
        <w:r w:rsidRPr="005A3967">
          <w:rPr>
            <w:rStyle w:val="Hyperlink"/>
          </w:rPr>
          <w:t xml:space="preserve">Net Zero </w:t>
        </w:r>
      </w:hyperlink>
      <w:r w:rsidRPr="005A3967">
        <w:t xml:space="preserve"> (Accessed: </w:t>
      </w:r>
      <w:r w:rsidR="00EC53C7" w:rsidRPr="005A3967">
        <w:t>9</w:t>
      </w:r>
      <w:r w:rsidRPr="005A3967">
        <w:t xml:space="preserve"> </w:t>
      </w:r>
      <w:r w:rsidR="00EC53C7" w:rsidRPr="005A3967">
        <w:t xml:space="preserve">May </w:t>
      </w:r>
      <w:r w:rsidRPr="005A3967">
        <w:t>2025).</w:t>
      </w:r>
    </w:p>
    <w:p w14:paraId="46469A17" w14:textId="524CFF2B" w:rsidR="004C55C7" w:rsidRPr="005A3967" w:rsidRDefault="004C55C7" w:rsidP="001D2D22">
      <w:pPr>
        <w:pStyle w:val="ListParagraph"/>
        <w:numPr>
          <w:ilvl w:val="0"/>
          <w:numId w:val="2"/>
        </w:numPr>
        <w:spacing w:before="100" w:beforeAutospacing="1" w:after="100" w:afterAutospacing="1" w:line="360" w:lineRule="auto"/>
      </w:pPr>
      <w:r w:rsidRPr="005A3967">
        <w:t xml:space="preserve">SSE PLC (2024b) </w:t>
      </w:r>
      <w:r w:rsidRPr="005A3967">
        <w:rPr>
          <w:rStyle w:val="Emphasis"/>
          <w:rFonts w:eastAsiaTheme="majorEastAsia"/>
        </w:rPr>
        <w:t>Annual Report and Accounts 2024.</w:t>
      </w:r>
      <w:r w:rsidRPr="005A3967">
        <w:t xml:space="preserve"> Perth: SSE PLC. Available at: </w:t>
      </w:r>
      <w:hyperlink r:id="rId96" w:history="1">
        <w:r w:rsidRPr="005A3967">
          <w:rPr>
            <w:rStyle w:val="Hyperlink"/>
          </w:rPr>
          <w:t xml:space="preserve">Annual Report </w:t>
        </w:r>
      </w:hyperlink>
      <w:r w:rsidRPr="005A3967">
        <w:t xml:space="preserve">   (Accessed: </w:t>
      </w:r>
      <w:r w:rsidR="00EC53C7" w:rsidRPr="005A3967">
        <w:t>12 May</w:t>
      </w:r>
      <w:r w:rsidRPr="005A3967">
        <w:t xml:space="preserve"> 2025).</w:t>
      </w:r>
    </w:p>
    <w:p w14:paraId="1D924AB6" w14:textId="7A11C770" w:rsidR="004C55C7" w:rsidRPr="005A3967" w:rsidRDefault="004C55C7" w:rsidP="001D2D22">
      <w:pPr>
        <w:pStyle w:val="ListParagraph"/>
        <w:numPr>
          <w:ilvl w:val="0"/>
          <w:numId w:val="2"/>
        </w:numPr>
        <w:spacing w:before="100" w:beforeAutospacing="1" w:after="100" w:afterAutospacing="1" w:line="360" w:lineRule="auto"/>
      </w:pPr>
      <w:r w:rsidRPr="005A3967">
        <w:t xml:space="preserve">SSE PLC (2024c) </w:t>
      </w:r>
      <w:r w:rsidRPr="005A3967">
        <w:rPr>
          <w:rStyle w:val="Emphasis"/>
          <w:rFonts w:eastAsiaTheme="majorEastAsia"/>
        </w:rPr>
        <w:t>Sustainability Report 2024.</w:t>
      </w:r>
      <w:r w:rsidRPr="005A3967">
        <w:t xml:space="preserve"> Perth: SSE PLC. Available at: </w:t>
      </w:r>
      <w:hyperlink r:id="rId97" w:history="1">
        <w:r w:rsidRPr="005A3967">
          <w:rPr>
            <w:rStyle w:val="Hyperlink"/>
          </w:rPr>
          <w:t>https://www.sse.com/sustainability/</w:t>
        </w:r>
      </w:hyperlink>
      <w:r w:rsidRPr="005A3967">
        <w:t xml:space="preserve">  (Accessed: </w:t>
      </w:r>
      <w:r w:rsidR="00EC53C7" w:rsidRPr="005A3967">
        <w:t>5 June</w:t>
      </w:r>
      <w:r w:rsidRPr="005A3967">
        <w:t xml:space="preserve"> 2025).</w:t>
      </w:r>
    </w:p>
    <w:p w14:paraId="1048E03E" w14:textId="77777777" w:rsidR="004C55C7" w:rsidRPr="005A3967" w:rsidRDefault="004C55C7" w:rsidP="001D2D22">
      <w:pPr>
        <w:pStyle w:val="ListParagraph"/>
        <w:numPr>
          <w:ilvl w:val="0"/>
          <w:numId w:val="2"/>
        </w:numPr>
        <w:spacing w:before="100" w:beforeAutospacing="1" w:after="100" w:afterAutospacing="1" w:line="360" w:lineRule="auto"/>
      </w:pPr>
      <w:r w:rsidRPr="005A3967">
        <w:t xml:space="preserve">SSE PLC (2024d) </w:t>
      </w:r>
      <w:r w:rsidRPr="005A3967">
        <w:rPr>
          <w:rStyle w:val="Emphasis"/>
          <w:rFonts w:eastAsiaTheme="majorEastAsia"/>
        </w:rPr>
        <w:t>Data Strategy 2024–2027.</w:t>
      </w:r>
      <w:r w:rsidRPr="005A3967">
        <w:t xml:space="preserve"> Internal document, Perth: SSE PLC.</w:t>
      </w:r>
    </w:p>
    <w:p w14:paraId="56CF5FDF" w14:textId="77777777" w:rsidR="004C55C7" w:rsidRPr="005A3967" w:rsidRDefault="004C55C7" w:rsidP="001D2D22">
      <w:pPr>
        <w:pStyle w:val="ListParagraph"/>
        <w:numPr>
          <w:ilvl w:val="0"/>
          <w:numId w:val="2"/>
        </w:numPr>
        <w:spacing w:before="100" w:beforeAutospacing="1" w:after="100" w:afterAutospacing="1" w:line="360" w:lineRule="auto"/>
      </w:pPr>
      <w:r w:rsidRPr="005A3967">
        <w:t xml:space="preserve">SSE PLC. (2024) </w:t>
      </w:r>
      <w:r w:rsidRPr="005A3967">
        <w:rPr>
          <w:rStyle w:val="Emphasis"/>
          <w:rFonts w:eastAsiaTheme="majorEastAsia"/>
        </w:rPr>
        <w:t>SSE Annual Report 2024 and Digitalisation Strategy Updates</w:t>
      </w:r>
      <w:r w:rsidRPr="005A3967">
        <w:t xml:space="preserve">. Available at: </w:t>
      </w:r>
      <w:hyperlink r:id="rId98" w:history="1">
        <w:r w:rsidRPr="005A3967">
          <w:rPr>
            <w:rStyle w:val="Hyperlink"/>
          </w:rPr>
          <w:t>https://www.sse.com/investors/reportsresults/</w:t>
        </w:r>
      </w:hyperlink>
      <w:r w:rsidRPr="005A3967">
        <w:t xml:space="preserve">  (Accessed: 26 April 2025).</w:t>
      </w:r>
    </w:p>
    <w:p w14:paraId="6C9DD470" w14:textId="77777777" w:rsidR="004C55C7" w:rsidRPr="005A3967" w:rsidRDefault="004C55C7" w:rsidP="001D2D22">
      <w:pPr>
        <w:pStyle w:val="ListParagraph"/>
        <w:numPr>
          <w:ilvl w:val="0"/>
          <w:numId w:val="2"/>
        </w:numPr>
        <w:spacing w:before="100" w:beforeAutospacing="1" w:after="100" w:afterAutospacing="1" w:line="360" w:lineRule="auto"/>
      </w:pPr>
      <w:r w:rsidRPr="005A3967">
        <w:rPr>
          <w:rStyle w:val="Strong"/>
          <w:rFonts w:eastAsiaTheme="majorEastAsia"/>
          <w:b w:val="0"/>
          <w:bCs w:val="0"/>
        </w:rPr>
        <w:t>Strecker, N., Heine, M., &amp; Frank, U.</w:t>
      </w:r>
      <w:r w:rsidRPr="005A3967">
        <w:t xml:space="preserve"> (2012) 'Designing a Method to Support the Development of Organisation-Specific Process Maturity Models', </w:t>
      </w:r>
      <w:r w:rsidRPr="005A3967">
        <w:rPr>
          <w:rStyle w:val="Emphasis"/>
          <w:rFonts w:eastAsiaTheme="majorEastAsia"/>
        </w:rPr>
        <w:t>Enterprise Modelling and Information Systems Architectures</w:t>
      </w:r>
      <w:r w:rsidRPr="005A3967">
        <w:t xml:space="preserve">, 7(1), pp. 4–24. DOI: 10.18417/emisa.7.1.1 </w:t>
      </w:r>
    </w:p>
    <w:p w14:paraId="7DEBB223" w14:textId="77777777" w:rsidR="004C55C7" w:rsidRPr="005A3967" w:rsidRDefault="004C55C7" w:rsidP="001D2D22">
      <w:pPr>
        <w:numPr>
          <w:ilvl w:val="0"/>
          <w:numId w:val="2"/>
        </w:numPr>
        <w:spacing w:before="100" w:beforeAutospacing="1" w:after="100" w:afterAutospacing="1" w:line="360" w:lineRule="auto"/>
      </w:pPr>
      <w:r w:rsidRPr="005A3967">
        <w:t xml:space="preserve">Tashakkori, A. and Teddlie, C. (2010) </w:t>
      </w:r>
      <w:r w:rsidRPr="005A3967">
        <w:rPr>
          <w:rStyle w:val="Emphasis"/>
          <w:rFonts w:eastAsiaTheme="majorEastAsia"/>
        </w:rPr>
        <w:t>SAGE Handbook of Mixed Methods in Social &amp; Behavioral Research</w:t>
      </w:r>
      <w:r w:rsidRPr="005A3967">
        <w:t>. 2nd ed. Sage.</w:t>
      </w:r>
    </w:p>
    <w:p w14:paraId="561DE6AB" w14:textId="77777777" w:rsidR="004C55C7" w:rsidRPr="005A3967" w:rsidRDefault="004C55C7" w:rsidP="001D2D22">
      <w:pPr>
        <w:pStyle w:val="ListParagraph"/>
        <w:numPr>
          <w:ilvl w:val="0"/>
          <w:numId w:val="2"/>
        </w:numPr>
        <w:spacing w:before="100" w:beforeAutospacing="1" w:after="100" w:afterAutospacing="1" w:line="360" w:lineRule="auto"/>
      </w:pPr>
      <w:r w:rsidRPr="005A3967">
        <w:t xml:space="preserve">Thomas, R. and Liu, M. (2022) ‘Evolving data governance for analytics success: Lessons from regulated industries’, </w:t>
      </w:r>
      <w:r w:rsidRPr="005A3967">
        <w:rPr>
          <w:rStyle w:val="Emphasis"/>
          <w:rFonts w:eastAsiaTheme="majorEastAsia"/>
        </w:rPr>
        <w:t>Decision Support Systems</w:t>
      </w:r>
      <w:r w:rsidRPr="005A3967">
        <w:t>, 155, 113755.</w:t>
      </w:r>
    </w:p>
    <w:p w14:paraId="542714FF" w14:textId="7829B7FC" w:rsidR="004C55C7" w:rsidRPr="005A3967" w:rsidRDefault="004C55C7" w:rsidP="001D2D22">
      <w:pPr>
        <w:pStyle w:val="NormalWeb"/>
        <w:numPr>
          <w:ilvl w:val="0"/>
          <w:numId w:val="2"/>
        </w:numPr>
        <w:spacing w:before="0" w:beforeAutospacing="0" w:after="240" w:afterAutospacing="0" w:line="360" w:lineRule="auto"/>
        <w:rPr>
          <w:rStyle w:val="csl-entry"/>
          <w:color w:val="000000"/>
        </w:rPr>
      </w:pPr>
      <w:r w:rsidRPr="005A3967">
        <w:rPr>
          <w:rStyle w:val="csl-entry"/>
          <w:rFonts w:eastAsiaTheme="majorEastAsia"/>
          <w:color w:val="000000"/>
        </w:rPr>
        <w:t>Thornton, T. 2022.</w:t>
      </w:r>
      <w:r w:rsidRPr="005A3967">
        <w:rPr>
          <w:rStyle w:val="apple-converted-space"/>
          <w:rFonts w:eastAsiaTheme="majorEastAsia"/>
          <w:color w:val="000000"/>
        </w:rPr>
        <w:t> </w:t>
      </w:r>
      <w:r w:rsidRPr="005A3967">
        <w:rPr>
          <w:rStyle w:val="csl-entry"/>
          <w:rFonts w:eastAsiaTheme="majorEastAsia"/>
          <w:i/>
          <w:iCs/>
          <w:color w:val="000000"/>
        </w:rPr>
        <w:t>Why the future of power and utilities depends on data</w:t>
      </w:r>
      <w:r w:rsidRPr="005A3967">
        <w:rPr>
          <w:rStyle w:val="csl-entry"/>
          <w:rFonts w:eastAsiaTheme="majorEastAsia"/>
          <w:color w:val="000000"/>
        </w:rPr>
        <w:t xml:space="preserve">. Available at: </w:t>
      </w:r>
      <w:hyperlink r:id="rId99" w:history="1">
        <w:r w:rsidRPr="005A3967">
          <w:rPr>
            <w:rStyle w:val="Hyperlink"/>
            <w:rFonts w:eastAsiaTheme="majorEastAsia"/>
          </w:rPr>
          <w:t xml:space="preserve">Why the future </w:t>
        </w:r>
      </w:hyperlink>
      <w:r w:rsidRPr="005A3967">
        <w:rPr>
          <w:rStyle w:val="csl-entry"/>
          <w:rFonts w:eastAsiaTheme="majorEastAsia"/>
          <w:color w:val="000000"/>
        </w:rPr>
        <w:t xml:space="preserve">  [Accessed: </w:t>
      </w:r>
      <w:r w:rsidR="00EC53C7" w:rsidRPr="005A3967">
        <w:rPr>
          <w:rStyle w:val="csl-entry"/>
          <w:rFonts w:eastAsiaTheme="majorEastAsia"/>
          <w:color w:val="000000"/>
        </w:rPr>
        <w:t>1</w:t>
      </w:r>
      <w:r w:rsidRPr="005A3967">
        <w:rPr>
          <w:rStyle w:val="csl-entry"/>
          <w:rFonts w:eastAsiaTheme="majorEastAsia"/>
          <w:color w:val="000000"/>
        </w:rPr>
        <w:t>2 May 2025].</w:t>
      </w:r>
    </w:p>
    <w:p w14:paraId="7A5D6388" w14:textId="77777777" w:rsidR="004C55C7" w:rsidRPr="005A3967" w:rsidRDefault="004C55C7" w:rsidP="001D2D22">
      <w:pPr>
        <w:pStyle w:val="NormalWeb"/>
        <w:numPr>
          <w:ilvl w:val="0"/>
          <w:numId w:val="2"/>
        </w:numPr>
        <w:spacing w:before="0" w:beforeAutospacing="0" w:after="240" w:afterAutospacing="0" w:line="360" w:lineRule="auto"/>
        <w:rPr>
          <w:color w:val="000000"/>
        </w:rPr>
      </w:pPr>
      <w:r w:rsidRPr="005A3967">
        <w:t xml:space="preserve">Vasconcelos, A., Kimura, H., &amp; Chen, G. (2023). </w:t>
      </w:r>
      <w:r w:rsidRPr="005A3967">
        <w:rPr>
          <w:i/>
          <w:iCs/>
        </w:rPr>
        <w:t>Human-Algorithm Synergy in Organizational Decision Making.</w:t>
      </w:r>
      <w:r w:rsidRPr="005A3967">
        <w:t xml:space="preserve"> AI &amp; Society, 38(3), 567-581. </w:t>
      </w:r>
    </w:p>
    <w:p w14:paraId="6BC063FF" w14:textId="77777777" w:rsidR="004C55C7" w:rsidRPr="005A3967" w:rsidRDefault="004C55C7" w:rsidP="001D2D22">
      <w:pPr>
        <w:numPr>
          <w:ilvl w:val="0"/>
          <w:numId w:val="2"/>
        </w:numPr>
        <w:spacing w:before="100" w:beforeAutospacing="1" w:after="100" w:afterAutospacing="1" w:line="360" w:lineRule="auto"/>
      </w:pPr>
      <w:r w:rsidRPr="005A3967">
        <w:lastRenderedPageBreak/>
        <w:t xml:space="preserve">Verma, S., Gupta, S., &amp; Kattoura, T. (2021). </w:t>
      </w:r>
      <w:r w:rsidRPr="005A3967">
        <w:rPr>
          <w:i/>
          <w:iCs/>
        </w:rPr>
        <w:t>Customer Analytics in Utilities: Emerging Opportunities and Challenges.</w:t>
      </w:r>
      <w:r w:rsidRPr="005A3967">
        <w:t xml:space="preserve"> Utilities Policy, 70, 101219. </w:t>
      </w:r>
    </w:p>
    <w:p w14:paraId="4EC916C3" w14:textId="77777777" w:rsidR="004C55C7" w:rsidRPr="005A3967" w:rsidRDefault="004C55C7" w:rsidP="001D2D22">
      <w:pPr>
        <w:numPr>
          <w:ilvl w:val="0"/>
          <w:numId w:val="2"/>
        </w:numPr>
        <w:spacing w:before="100" w:beforeAutospacing="1" w:after="100" w:afterAutospacing="1" w:line="360" w:lineRule="auto"/>
      </w:pPr>
      <w:r w:rsidRPr="005A3967">
        <w:t xml:space="preserve">Waller, M. A., &amp; Fawcett, S. E. (2013). Data Science, Predictive Analytics, and Big Data: A Revolution that will Transform Supply Chain Design and Management. </w:t>
      </w:r>
      <w:r w:rsidRPr="005A3967">
        <w:rPr>
          <w:rStyle w:val="Emphasis"/>
          <w:rFonts w:eastAsiaTheme="majorEastAsia"/>
        </w:rPr>
        <w:t>Journal of Business Logistics, 34</w:t>
      </w:r>
      <w:r w:rsidRPr="005A3967">
        <w:t xml:space="preserve">(2), 77–84. </w:t>
      </w:r>
      <w:hyperlink r:id="rId100" w:history="1">
        <w:r w:rsidRPr="005A3967">
          <w:rPr>
            <w:rStyle w:val="Hyperlink"/>
          </w:rPr>
          <w:t>https://doi.org/10.1111/jbl.12010</w:t>
        </w:r>
      </w:hyperlink>
      <w:r w:rsidRPr="005A3967">
        <w:t xml:space="preserve"> </w:t>
      </w:r>
    </w:p>
    <w:p w14:paraId="137B0AB0" w14:textId="77777777" w:rsidR="004C55C7" w:rsidRPr="005A3967" w:rsidRDefault="004C55C7" w:rsidP="001D2D22">
      <w:pPr>
        <w:pStyle w:val="ListParagraph"/>
        <w:numPr>
          <w:ilvl w:val="0"/>
          <w:numId w:val="2"/>
        </w:numPr>
        <w:spacing w:before="100" w:beforeAutospacing="1" w:after="100" w:afterAutospacing="1" w:line="360" w:lineRule="auto"/>
      </w:pPr>
      <w:r w:rsidRPr="005A3967">
        <w:rPr>
          <w:rStyle w:val="Strong"/>
          <w:rFonts w:eastAsiaTheme="majorEastAsia"/>
          <w:b w:val="0"/>
          <w:bCs w:val="0"/>
        </w:rPr>
        <w:t xml:space="preserve">Wamba, S.F., Akter, S., Edwards, A., Chopin, G. &amp; </w:t>
      </w:r>
      <w:proofErr w:type="spellStart"/>
      <w:r w:rsidRPr="005A3967">
        <w:rPr>
          <w:rStyle w:val="Strong"/>
          <w:rFonts w:eastAsiaTheme="majorEastAsia"/>
          <w:b w:val="0"/>
          <w:bCs w:val="0"/>
        </w:rPr>
        <w:t>Gnanzou</w:t>
      </w:r>
      <w:proofErr w:type="spellEnd"/>
      <w:r w:rsidRPr="005A3967">
        <w:rPr>
          <w:rStyle w:val="Strong"/>
          <w:rFonts w:eastAsiaTheme="majorEastAsia"/>
          <w:b w:val="0"/>
          <w:bCs w:val="0"/>
        </w:rPr>
        <w:t>, D.</w:t>
      </w:r>
      <w:r w:rsidRPr="005A3967">
        <w:t xml:space="preserve"> (2015) 'How “Big Data” Can Make Big Impact: Findings from a Systematic Review and a Longitudinal Case Study', </w:t>
      </w:r>
      <w:r w:rsidRPr="005A3967">
        <w:rPr>
          <w:rStyle w:val="Emphasis"/>
          <w:rFonts w:eastAsiaTheme="majorEastAsia"/>
        </w:rPr>
        <w:t>International Journal of Production Economics</w:t>
      </w:r>
      <w:r w:rsidRPr="005A3967">
        <w:t>, 165, pp. 234–246.</w:t>
      </w:r>
      <w:r w:rsidRPr="005A3967">
        <w:br/>
      </w:r>
      <w:hyperlink r:id="rId101" w:tgtFrame="_new" w:history="1">
        <w:r w:rsidRPr="005A3967">
          <w:rPr>
            <w:rStyle w:val="Hyperlink"/>
            <w:rFonts w:eastAsiaTheme="majorEastAsia"/>
          </w:rPr>
          <w:t>DOI: 10.1016/j.ijpe.2014.12.031</w:t>
        </w:r>
      </w:hyperlink>
    </w:p>
    <w:p w14:paraId="7255BF3A" w14:textId="77777777" w:rsidR="004C55C7" w:rsidRPr="005A3967" w:rsidRDefault="004C55C7" w:rsidP="001D2D22">
      <w:pPr>
        <w:numPr>
          <w:ilvl w:val="0"/>
          <w:numId w:val="2"/>
        </w:numPr>
        <w:spacing w:before="100" w:beforeAutospacing="1" w:after="100" w:afterAutospacing="1" w:line="360" w:lineRule="auto"/>
      </w:pPr>
      <w:r w:rsidRPr="005A3967">
        <w:t xml:space="preserve">Willetts, J., Green, M., &amp; Patel, S. (2020). </w:t>
      </w:r>
      <w:r w:rsidRPr="005A3967">
        <w:rPr>
          <w:i/>
          <w:iCs/>
        </w:rPr>
        <w:t>Data Governance in the Energy Sector: Ensuring Trust and Value.</w:t>
      </w:r>
      <w:r w:rsidRPr="005A3967">
        <w:t xml:space="preserve"> Energy Policy Journal, 144, 111612. </w:t>
      </w:r>
    </w:p>
    <w:p w14:paraId="5E96043D" w14:textId="77777777" w:rsidR="004C55C7" w:rsidRPr="005A3967" w:rsidRDefault="004C55C7" w:rsidP="001D2D22">
      <w:pPr>
        <w:numPr>
          <w:ilvl w:val="0"/>
          <w:numId w:val="2"/>
        </w:numPr>
        <w:spacing w:before="100" w:beforeAutospacing="1" w:after="100" w:afterAutospacing="1" w:line="360" w:lineRule="auto"/>
      </w:pPr>
      <w:r w:rsidRPr="005A3967">
        <w:t xml:space="preserve">Yin, R.K. (2014). </w:t>
      </w:r>
      <w:r w:rsidRPr="005A3967">
        <w:rPr>
          <w:i/>
          <w:iCs/>
        </w:rPr>
        <w:t>Case Study Research: Design and Methods</w:t>
      </w:r>
      <w:r w:rsidRPr="005A3967">
        <w:t xml:space="preserve"> (5th ed.). Sage Publications. </w:t>
      </w:r>
    </w:p>
    <w:p w14:paraId="3C2D6EDA" w14:textId="77777777" w:rsidR="004C55C7" w:rsidRPr="005A3967" w:rsidRDefault="004C55C7" w:rsidP="001D2D22">
      <w:pPr>
        <w:numPr>
          <w:ilvl w:val="0"/>
          <w:numId w:val="2"/>
        </w:numPr>
        <w:spacing w:before="100" w:beforeAutospacing="1" w:after="100" w:afterAutospacing="1" w:line="360" w:lineRule="auto"/>
      </w:pPr>
      <w:r w:rsidRPr="005A3967">
        <w:t xml:space="preserve">Yin, R.K. (2018) </w:t>
      </w:r>
      <w:r w:rsidRPr="005A3967">
        <w:rPr>
          <w:rStyle w:val="Emphasis"/>
          <w:rFonts w:eastAsiaTheme="majorEastAsia"/>
        </w:rPr>
        <w:t>Case Study Research and Applications: Design and Methods</w:t>
      </w:r>
      <w:r w:rsidRPr="005A3967">
        <w:t>. 6th ed. Sage.</w:t>
      </w:r>
    </w:p>
    <w:p w14:paraId="3602811B" w14:textId="77777777" w:rsidR="004C55C7" w:rsidRPr="005A3967" w:rsidRDefault="004C55C7" w:rsidP="001D2D22">
      <w:pPr>
        <w:pStyle w:val="ListParagraph"/>
        <w:numPr>
          <w:ilvl w:val="0"/>
          <w:numId w:val="2"/>
        </w:numPr>
        <w:spacing w:before="100" w:beforeAutospacing="1" w:after="100" w:afterAutospacing="1" w:line="360" w:lineRule="auto"/>
      </w:pPr>
      <w:r w:rsidRPr="005A3967">
        <w:t xml:space="preserve">Zhang, Y., Kim, S. and Smith, L. (2023) ‘Predictive analytics maturity and strategic agility in infrastructure firms’, </w:t>
      </w:r>
      <w:r w:rsidRPr="005A3967">
        <w:rPr>
          <w:rStyle w:val="Emphasis"/>
          <w:rFonts w:eastAsiaTheme="majorEastAsia"/>
        </w:rPr>
        <w:t>Journal of Business Research</w:t>
      </w:r>
      <w:r w:rsidRPr="005A3967">
        <w:t>, 159, 113546.</w:t>
      </w:r>
    </w:p>
    <w:p w14:paraId="51D7E322" w14:textId="77777777" w:rsidR="002F4F92" w:rsidRPr="005A3967" w:rsidRDefault="002F4F92" w:rsidP="002F4F92">
      <w:pPr>
        <w:spacing w:before="100" w:beforeAutospacing="1" w:after="100" w:afterAutospacing="1" w:line="360" w:lineRule="auto"/>
      </w:pPr>
    </w:p>
    <w:p w14:paraId="650F4932" w14:textId="77777777" w:rsidR="002F4F92" w:rsidRPr="005A3967" w:rsidRDefault="002F4F92" w:rsidP="002F4F92">
      <w:pPr>
        <w:spacing w:before="100" w:beforeAutospacing="1" w:after="100" w:afterAutospacing="1" w:line="360" w:lineRule="auto"/>
      </w:pPr>
    </w:p>
    <w:p w14:paraId="12296139" w14:textId="77777777" w:rsidR="002F4F92" w:rsidRPr="005A3967" w:rsidRDefault="002F4F92" w:rsidP="002F4F92">
      <w:pPr>
        <w:spacing w:before="100" w:beforeAutospacing="1" w:after="100" w:afterAutospacing="1" w:line="360" w:lineRule="auto"/>
      </w:pPr>
    </w:p>
    <w:p w14:paraId="4CD20464" w14:textId="77777777" w:rsidR="00B95645" w:rsidRPr="005A3967" w:rsidRDefault="00B95645" w:rsidP="00B95645">
      <w:pPr>
        <w:spacing w:before="100" w:beforeAutospacing="1" w:after="100" w:afterAutospacing="1" w:line="360" w:lineRule="auto"/>
      </w:pPr>
    </w:p>
    <w:p w14:paraId="0A307514" w14:textId="77777777" w:rsidR="00AE1E48" w:rsidRPr="005A3967" w:rsidRDefault="00AE1E48" w:rsidP="00AE1E48">
      <w:pPr>
        <w:spacing w:before="100" w:beforeAutospacing="1" w:after="100" w:afterAutospacing="1" w:line="360" w:lineRule="auto"/>
      </w:pPr>
    </w:p>
    <w:p w14:paraId="4D2A5FFD" w14:textId="77777777" w:rsidR="00E878D2" w:rsidRPr="005A3967" w:rsidRDefault="00E878D2" w:rsidP="00E911B7">
      <w:pPr>
        <w:pStyle w:val="NormalWeb"/>
        <w:spacing w:before="0" w:beforeAutospacing="0" w:after="240" w:afterAutospacing="0"/>
        <w:ind w:left="360"/>
        <w:rPr>
          <w:color w:val="000000"/>
        </w:rPr>
      </w:pPr>
    </w:p>
    <w:p w14:paraId="46F24505" w14:textId="77777777" w:rsidR="000E567B" w:rsidRPr="005A3967" w:rsidRDefault="000E567B" w:rsidP="000E567B">
      <w:pPr>
        <w:spacing w:before="100" w:beforeAutospacing="1" w:after="100" w:afterAutospacing="1" w:line="360" w:lineRule="auto"/>
      </w:pPr>
    </w:p>
    <w:p w14:paraId="6D82B470" w14:textId="77777777" w:rsidR="006B289A" w:rsidRPr="005A3967" w:rsidRDefault="006B289A" w:rsidP="006B289A">
      <w:pPr>
        <w:pStyle w:val="NormalWeb"/>
        <w:spacing w:before="0" w:beforeAutospacing="0" w:after="0" w:afterAutospacing="0"/>
        <w:rPr>
          <w:rStyle w:val="csl-entry"/>
          <w:rFonts w:eastAsiaTheme="majorEastAsia"/>
          <w:color w:val="000000"/>
        </w:rPr>
      </w:pPr>
    </w:p>
    <w:p w14:paraId="203E3DF9" w14:textId="77777777" w:rsidR="006B289A" w:rsidRPr="005A3967" w:rsidRDefault="006B289A" w:rsidP="003D7219">
      <w:pPr>
        <w:spacing w:before="100" w:beforeAutospacing="1" w:after="100" w:afterAutospacing="1" w:line="360" w:lineRule="auto"/>
      </w:pPr>
    </w:p>
    <w:p w14:paraId="6C7CE051" w14:textId="77777777" w:rsidR="00E4124D" w:rsidRPr="005A3967" w:rsidRDefault="00E4124D" w:rsidP="00251852">
      <w:pPr>
        <w:pStyle w:val="Heading1"/>
        <w:spacing w:line="360" w:lineRule="auto"/>
        <w:jc w:val="center"/>
        <w:rPr>
          <w:rFonts w:ascii="Times New Roman" w:hAnsi="Times New Roman" w:cs="Times New Roman"/>
          <w:b/>
          <w:bCs/>
          <w:color w:val="000000" w:themeColor="text1"/>
          <w:sz w:val="48"/>
          <w:szCs w:val="48"/>
        </w:rPr>
      </w:pPr>
      <w:bookmarkStart w:id="94" w:name="_Toc202544530"/>
      <w:r w:rsidRPr="005A3967">
        <w:rPr>
          <w:rFonts w:ascii="Times New Roman" w:hAnsi="Times New Roman" w:cs="Times New Roman"/>
          <w:b/>
          <w:bCs/>
          <w:color w:val="000000" w:themeColor="text1"/>
          <w:sz w:val="48"/>
          <w:szCs w:val="48"/>
        </w:rPr>
        <w:lastRenderedPageBreak/>
        <w:t>Appendices</w:t>
      </w:r>
      <w:bookmarkEnd w:id="94"/>
    </w:p>
    <w:p w14:paraId="585F5207" w14:textId="3D14D441" w:rsidR="00620D01" w:rsidRPr="005A3967" w:rsidRDefault="00E4124D" w:rsidP="00620D01">
      <w:pPr>
        <w:pStyle w:val="Heading2"/>
        <w:rPr>
          <w:rFonts w:ascii="Times New Roman" w:hAnsi="Times New Roman" w:cs="Times New Roman"/>
          <w:b/>
          <w:bCs/>
        </w:rPr>
      </w:pPr>
      <w:bookmarkStart w:id="95" w:name="_Toc202544531"/>
      <w:r w:rsidRPr="005A3967">
        <w:rPr>
          <w:rFonts w:ascii="Times New Roman" w:hAnsi="Times New Roman" w:cs="Times New Roman"/>
          <w:b/>
          <w:bCs/>
        </w:rPr>
        <w:t>Appendix A: Survey Questionnaire</w:t>
      </w:r>
      <w:bookmarkEnd w:id="95"/>
    </w:p>
    <w:p w14:paraId="679ECD93" w14:textId="77777777" w:rsidR="00D84369" w:rsidRPr="005A3967" w:rsidRDefault="00D84369" w:rsidP="00D84369"/>
    <w:p w14:paraId="4044FB8F" w14:textId="4E0C076E" w:rsidR="001D3315" w:rsidRPr="005A3967" w:rsidRDefault="00D84369" w:rsidP="00D84369">
      <w:pPr>
        <w:spacing w:line="360" w:lineRule="auto"/>
      </w:pPr>
      <w:r w:rsidRPr="005A3967">
        <w:t>Survey Report Proposal</w:t>
      </w:r>
    </w:p>
    <w:p w14:paraId="1290DF4B" w14:textId="77777777" w:rsidR="001D3315" w:rsidRPr="005A3967" w:rsidRDefault="001D3315" w:rsidP="001D3315">
      <w:pPr>
        <w:spacing w:line="360" w:lineRule="auto"/>
      </w:pPr>
      <w:r w:rsidRPr="005A3967">
        <w:rPr>
          <w:b/>
          <w:bCs/>
        </w:rPr>
        <w:t>Survey Title:</w:t>
      </w:r>
      <w:r w:rsidRPr="005A3967">
        <w:t xml:space="preserve"> </w:t>
      </w:r>
      <w:r w:rsidRPr="005A3967">
        <w:rPr>
          <w:i/>
          <w:iCs/>
        </w:rPr>
        <w:t>SSE Predictive Analytics Survey</w:t>
      </w:r>
      <w:r w:rsidRPr="005A3967">
        <w:br/>
      </w:r>
      <w:r w:rsidRPr="005A3967">
        <w:rPr>
          <w:b/>
          <w:bCs/>
        </w:rPr>
        <w:t>Project Title:</w:t>
      </w:r>
      <w:r w:rsidRPr="005A3967">
        <w:t xml:space="preserve"> </w:t>
      </w:r>
      <w:r w:rsidRPr="005A3967">
        <w:rPr>
          <w:i/>
          <w:iCs/>
        </w:rPr>
        <w:t>Integrating Predictive Analytics into Strategic Decision-Making at SSE PLC</w:t>
      </w:r>
    </w:p>
    <w:p w14:paraId="5AD2EFE6" w14:textId="73AE2629" w:rsidR="001D3315" w:rsidRPr="005A3967" w:rsidRDefault="001D3315" w:rsidP="001D3315">
      <w:pPr>
        <w:spacing w:line="360" w:lineRule="auto"/>
      </w:pPr>
    </w:p>
    <w:p w14:paraId="694A3879" w14:textId="77777777" w:rsidR="001D3315" w:rsidRPr="005A3967" w:rsidRDefault="001D3315" w:rsidP="001D3315">
      <w:pPr>
        <w:spacing w:line="360" w:lineRule="auto"/>
        <w:rPr>
          <w:b/>
          <w:bCs/>
        </w:rPr>
      </w:pPr>
      <w:r w:rsidRPr="005A3967">
        <w:rPr>
          <w:b/>
          <w:bCs/>
        </w:rPr>
        <w:t>A.1 Purpose of the Survey Instrument</w:t>
      </w:r>
    </w:p>
    <w:p w14:paraId="4FFB8BDF" w14:textId="3CB7374B" w:rsidR="001D3315" w:rsidRPr="005A3967" w:rsidRDefault="001D3315" w:rsidP="001D3315">
      <w:pPr>
        <w:spacing w:line="360" w:lineRule="auto"/>
      </w:pPr>
      <w:r w:rsidRPr="005A3967">
        <w:t>The proposed survey instrument will be designed to systematically collect both quantitative and qualitative data from employees at SSE PLC. The primary objective will be to assess the organisation’s current utilisation of predictive analytics, evaluate the perceived effectiveness of such tools, and gauge organisational readiness, particularly in areas such as data culture, leadership support, and data governance maturity. Insights gathered through this instrument will directly inform the broader research project</w:t>
      </w:r>
      <w:r w:rsidR="007A3770" w:rsidRPr="005A3967">
        <w:t>,</w:t>
      </w:r>
      <w:r w:rsidRPr="005A3967">
        <w:t xml:space="preserve"> </w:t>
      </w:r>
      <w:r w:rsidR="007A3770" w:rsidRPr="005A3967">
        <w:t>which investigates</w:t>
      </w:r>
      <w:r w:rsidRPr="005A3967">
        <w:t xml:space="preserve"> how predictive analytics can be better integrated into strategic decision-making at SSE PLC.</w:t>
      </w:r>
    </w:p>
    <w:p w14:paraId="1C907A3C" w14:textId="77777777" w:rsidR="001D3315" w:rsidRPr="005A3967" w:rsidRDefault="001D3315" w:rsidP="001D3315">
      <w:pPr>
        <w:spacing w:line="360" w:lineRule="auto"/>
      </w:pPr>
    </w:p>
    <w:p w14:paraId="0031CFEB" w14:textId="77777777" w:rsidR="001D3315" w:rsidRPr="005A3967" w:rsidRDefault="001D3315" w:rsidP="001D3315">
      <w:pPr>
        <w:spacing w:line="360" w:lineRule="auto"/>
        <w:rPr>
          <w:b/>
          <w:bCs/>
        </w:rPr>
      </w:pPr>
      <w:r w:rsidRPr="005A3967">
        <w:rPr>
          <w:b/>
          <w:bCs/>
        </w:rPr>
        <w:t>A.2 Survey Administration and Format</w:t>
      </w:r>
    </w:p>
    <w:p w14:paraId="12021F0C" w14:textId="77777777" w:rsidR="001D3315" w:rsidRPr="005A3967" w:rsidRDefault="001D3315" w:rsidP="001D3315">
      <w:pPr>
        <w:spacing w:line="360" w:lineRule="auto"/>
      </w:pPr>
      <w:r w:rsidRPr="005A3967">
        <w:t>Participants will be invited to take part voluntarily and anonymously. The survey will include a combination of Likert-scale statements (ranging from 1 = Strongly Disagree to 5 = Strongly Agree), demographic profiling questions, and optional open-ended items. The instrument will be structured into six thematic sections to ensure comprehensive and targeted data collection across relevant domains of interest.</w:t>
      </w:r>
    </w:p>
    <w:p w14:paraId="766DDD6F" w14:textId="0F98A22D" w:rsidR="001D3315" w:rsidRPr="005A3967" w:rsidRDefault="001D3315" w:rsidP="001D3315">
      <w:pPr>
        <w:spacing w:line="360" w:lineRule="auto"/>
      </w:pPr>
      <w:r w:rsidRPr="005A3967">
        <w:rPr>
          <w:b/>
          <w:bCs/>
        </w:rPr>
        <w:t>Note:</w:t>
      </w:r>
      <w:r w:rsidRPr="005A3967">
        <w:t xml:space="preserve"> A sample copy of the survey instrument will be attached to the final submission as </w:t>
      </w:r>
      <w:hyperlink r:id="rId102" w:history="1">
        <w:r w:rsidR="005A4B1B" w:rsidRPr="005A3967">
          <w:rPr>
            <w:rStyle w:val="Hyperlink"/>
          </w:rPr>
          <w:t>SSE Predictive Analytics Survey – Sample.pdf</w:t>
        </w:r>
      </w:hyperlink>
      <w:r w:rsidR="005A4B1B" w:rsidRPr="005A3967">
        <w:rPr>
          <w:i/>
          <w:iCs/>
        </w:rPr>
        <w:t xml:space="preserve"> </w:t>
      </w:r>
      <w:r w:rsidR="005A4B1B" w:rsidRPr="005A3967">
        <w:t>.</w:t>
      </w:r>
    </w:p>
    <w:p w14:paraId="6FD4DDDE" w14:textId="6DAE158D" w:rsidR="001D3315" w:rsidRPr="005A3967" w:rsidRDefault="001D3315" w:rsidP="001D3315">
      <w:pPr>
        <w:spacing w:line="360" w:lineRule="auto"/>
      </w:pPr>
    </w:p>
    <w:p w14:paraId="54508B4D" w14:textId="77777777" w:rsidR="001D3315" w:rsidRPr="005A3967" w:rsidRDefault="001D3315" w:rsidP="001D3315">
      <w:pPr>
        <w:spacing w:line="360" w:lineRule="auto"/>
        <w:rPr>
          <w:b/>
          <w:bCs/>
        </w:rPr>
      </w:pPr>
      <w:r w:rsidRPr="005A3967">
        <w:rPr>
          <w:b/>
          <w:bCs/>
        </w:rPr>
        <w:t>A.3 Survey Structure and Content</w:t>
      </w:r>
    </w:p>
    <w:p w14:paraId="30FCFA57" w14:textId="77777777" w:rsidR="001D3315" w:rsidRPr="005A3967" w:rsidRDefault="001D3315" w:rsidP="001D3315">
      <w:pPr>
        <w:spacing w:line="360" w:lineRule="auto"/>
        <w:rPr>
          <w:b/>
          <w:bCs/>
        </w:rPr>
      </w:pPr>
      <w:r w:rsidRPr="005A3967">
        <w:rPr>
          <w:b/>
          <w:bCs/>
        </w:rPr>
        <w:t>Section 1: Predictive Analytics Usage</w:t>
      </w:r>
    </w:p>
    <w:p w14:paraId="741CAEA0" w14:textId="1DB671D5" w:rsidR="001D3315" w:rsidRPr="005A3967" w:rsidRDefault="001D3315" w:rsidP="001D3315">
      <w:pPr>
        <w:spacing w:line="360" w:lineRule="auto"/>
      </w:pPr>
      <w:r w:rsidRPr="005A3967">
        <w:t xml:space="preserve">This section will </w:t>
      </w:r>
      <w:r w:rsidR="007A3770" w:rsidRPr="005A3967">
        <w:t>examine the frequency with which</w:t>
      </w:r>
      <w:r w:rsidRPr="005A3967">
        <w:t xml:space="preserve"> predictive analytics tools are </w:t>
      </w:r>
      <w:r w:rsidR="007A3770" w:rsidRPr="005A3967">
        <w:t>utilised</w:t>
      </w:r>
      <w:r w:rsidRPr="005A3967">
        <w:t xml:space="preserve"> across both strategic and operational functions.</w:t>
      </w:r>
      <w:r w:rsidRPr="005A3967">
        <w:br/>
        <w:t xml:space="preserve">• </w:t>
      </w:r>
      <w:r w:rsidRPr="005A3967">
        <w:rPr>
          <w:i/>
          <w:iCs/>
        </w:rPr>
        <w:t>Example Item:</w:t>
      </w:r>
      <w:r w:rsidRPr="005A3967">
        <w:t xml:space="preserve"> “We frequently utilise predictive analytics tools in strategic planning.”</w:t>
      </w:r>
    </w:p>
    <w:p w14:paraId="1E00BA8B" w14:textId="77777777" w:rsidR="00BA58BC" w:rsidRPr="005A3967" w:rsidRDefault="00BA58BC" w:rsidP="001D3315">
      <w:pPr>
        <w:spacing w:line="360" w:lineRule="auto"/>
      </w:pPr>
    </w:p>
    <w:p w14:paraId="0B6413DC" w14:textId="77777777" w:rsidR="001D3315" w:rsidRPr="005A3967" w:rsidRDefault="001D3315" w:rsidP="001D3315">
      <w:pPr>
        <w:spacing w:line="360" w:lineRule="auto"/>
        <w:rPr>
          <w:b/>
          <w:bCs/>
        </w:rPr>
      </w:pPr>
      <w:r w:rsidRPr="005A3967">
        <w:rPr>
          <w:b/>
          <w:bCs/>
        </w:rPr>
        <w:t>Section 2: Marketing Outcomes</w:t>
      </w:r>
    </w:p>
    <w:p w14:paraId="195A8969" w14:textId="77777777" w:rsidR="001D3315" w:rsidRPr="005A3967" w:rsidRDefault="001D3315" w:rsidP="001D3315">
      <w:pPr>
        <w:spacing w:line="360" w:lineRule="auto"/>
      </w:pPr>
      <w:r w:rsidRPr="005A3967">
        <w:t>Respondents will be asked to reflect on the impact of predictive analytics on marketing activities, including campaign performance and targeting efficiency.</w:t>
      </w:r>
      <w:r w:rsidRPr="005A3967">
        <w:br/>
      </w:r>
      <w:r w:rsidRPr="005A3967">
        <w:lastRenderedPageBreak/>
        <w:t xml:space="preserve">• </w:t>
      </w:r>
      <w:r w:rsidRPr="005A3967">
        <w:rPr>
          <w:i/>
          <w:iCs/>
        </w:rPr>
        <w:t>Example Item:</w:t>
      </w:r>
      <w:r w:rsidRPr="005A3967">
        <w:t xml:space="preserve"> “Predictive analytics has improved our marketing campaign targeting and segmentation.”</w:t>
      </w:r>
    </w:p>
    <w:p w14:paraId="4EE3BE0A" w14:textId="77777777" w:rsidR="00BA58BC" w:rsidRPr="005A3967" w:rsidRDefault="00BA58BC" w:rsidP="001D3315">
      <w:pPr>
        <w:spacing w:line="360" w:lineRule="auto"/>
      </w:pPr>
    </w:p>
    <w:p w14:paraId="4156343F" w14:textId="77777777" w:rsidR="001D3315" w:rsidRPr="005A3967" w:rsidRDefault="001D3315" w:rsidP="001D3315">
      <w:pPr>
        <w:spacing w:line="360" w:lineRule="auto"/>
        <w:rPr>
          <w:b/>
          <w:bCs/>
        </w:rPr>
      </w:pPr>
      <w:r w:rsidRPr="005A3967">
        <w:rPr>
          <w:b/>
          <w:bCs/>
        </w:rPr>
        <w:t>Section 3: Decision-Making Effectiveness</w:t>
      </w:r>
    </w:p>
    <w:p w14:paraId="231F2A15" w14:textId="77777777" w:rsidR="001D3315" w:rsidRPr="005A3967" w:rsidRDefault="001D3315" w:rsidP="001D3315">
      <w:pPr>
        <w:spacing w:line="360" w:lineRule="auto"/>
      </w:pPr>
      <w:r w:rsidRPr="005A3967">
        <w:t>This section will examine whether decisions made using predictive analytics are perceived as more effective—both in quality and timeliness—than those based primarily on experience or intuition.</w:t>
      </w:r>
      <w:r w:rsidRPr="005A3967">
        <w:br/>
        <w:t xml:space="preserve">• </w:t>
      </w:r>
      <w:r w:rsidRPr="005A3967">
        <w:rPr>
          <w:i/>
          <w:iCs/>
        </w:rPr>
        <w:t>Example Item:</w:t>
      </w:r>
      <w:r w:rsidRPr="005A3967">
        <w:t xml:space="preserve"> “Decisions made using predictive analytics are more effective than those based on intuition.”</w:t>
      </w:r>
    </w:p>
    <w:p w14:paraId="6947D81B" w14:textId="77777777" w:rsidR="00BA58BC" w:rsidRPr="005A3967" w:rsidRDefault="00BA58BC" w:rsidP="001D3315">
      <w:pPr>
        <w:spacing w:line="360" w:lineRule="auto"/>
      </w:pPr>
    </w:p>
    <w:p w14:paraId="7D9E2F42" w14:textId="77777777" w:rsidR="001D3315" w:rsidRPr="005A3967" w:rsidRDefault="001D3315" w:rsidP="001D3315">
      <w:pPr>
        <w:spacing w:line="360" w:lineRule="auto"/>
        <w:rPr>
          <w:b/>
          <w:bCs/>
        </w:rPr>
      </w:pPr>
      <w:r w:rsidRPr="005A3967">
        <w:rPr>
          <w:b/>
          <w:bCs/>
        </w:rPr>
        <w:t>Section 4: Data Governance</w:t>
      </w:r>
    </w:p>
    <w:p w14:paraId="3887E9B1" w14:textId="5E8EED39" w:rsidR="001D3315" w:rsidRPr="005A3967" w:rsidRDefault="007A3770" w:rsidP="001D3315">
      <w:pPr>
        <w:spacing w:line="360" w:lineRule="auto"/>
      </w:pPr>
      <w:r w:rsidRPr="005A3967">
        <w:t>The focus</w:t>
      </w:r>
      <w:r w:rsidR="001D3315" w:rsidRPr="005A3967">
        <w:t xml:space="preserve"> will be on the internal data governance environment, including policies, practices, and systems that enable or inhibit the use of predictive analytics.</w:t>
      </w:r>
      <w:r w:rsidR="001D3315" w:rsidRPr="005A3967">
        <w:br/>
        <w:t xml:space="preserve">• </w:t>
      </w:r>
      <w:r w:rsidR="001D3315" w:rsidRPr="005A3967">
        <w:rPr>
          <w:i/>
          <w:iCs/>
        </w:rPr>
        <w:t>Example Item:</w:t>
      </w:r>
      <w:r w:rsidR="001D3315" w:rsidRPr="005A3967">
        <w:t xml:space="preserve"> “Our organisation has strong data governance policies that support analytics initiatives.”</w:t>
      </w:r>
    </w:p>
    <w:p w14:paraId="51D090D1" w14:textId="77777777" w:rsidR="00BA58BC" w:rsidRPr="005A3967" w:rsidRDefault="00BA58BC" w:rsidP="001D3315">
      <w:pPr>
        <w:spacing w:line="360" w:lineRule="auto"/>
      </w:pPr>
    </w:p>
    <w:p w14:paraId="511D08BC" w14:textId="77777777" w:rsidR="001D3315" w:rsidRPr="005A3967" w:rsidRDefault="001D3315" w:rsidP="001D3315">
      <w:pPr>
        <w:spacing w:line="360" w:lineRule="auto"/>
        <w:rPr>
          <w:b/>
          <w:bCs/>
        </w:rPr>
      </w:pPr>
      <w:r w:rsidRPr="005A3967">
        <w:rPr>
          <w:b/>
          <w:bCs/>
        </w:rPr>
        <w:t>Section 5: Organisational Readiness</w:t>
      </w:r>
    </w:p>
    <w:p w14:paraId="61E5018A" w14:textId="77777777" w:rsidR="001D3315" w:rsidRPr="005A3967" w:rsidRDefault="001D3315" w:rsidP="001D3315">
      <w:pPr>
        <w:spacing w:line="360" w:lineRule="auto"/>
      </w:pPr>
      <w:r w:rsidRPr="005A3967">
        <w:t>This section will assess leadership involvement, employee capabilities, and cultural alignment with data-driven approaches.</w:t>
      </w:r>
      <w:r w:rsidRPr="005A3967">
        <w:br/>
        <w:t xml:space="preserve">• </w:t>
      </w:r>
      <w:r w:rsidRPr="005A3967">
        <w:rPr>
          <w:i/>
          <w:iCs/>
        </w:rPr>
        <w:t>Example Item:</w:t>
      </w:r>
      <w:r w:rsidRPr="005A3967">
        <w:t xml:space="preserve"> “Our organisational culture embraces data-driven decision-making.”</w:t>
      </w:r>
    </w:p>
    <w:p w14:paraId="2F7AE1F2" w14:textId="77777777" w:rsidR="00BA58BC" w:rsidRPr="005A3967" w:rsidRDefault="00BA58BC" w:rsidP="001D3315">
      <w:pPr>
        <w:spacing w:line="360" w:lineRule="auto"/>
      </w:pPr>
    </w:p>
    <w:p w14:paraId="297904E5" w14:textId="77777777" w:rsidR="001D3315" w:rsidRPr="005A3967" w:rsidRDefault="001D3315" w:rsidP="001D3315">
      <w:pPr>
        <w:spacing w:line="360" w:lineRule="auto"/>
        <w:rPr>
          <w:b/>
          <w:bCs/>
        </w:rPr>
      </w:pPr>
      <w:r w:rsidRPr="005A3967">
        <w:rPr>
          <w:b/>
          <w:bCs/>
        </w:rPr>
        <w:t>Section 6: Demographics and Open-Ended Feedback</w:t>
      </w:r>
    </w:p>
    <w:p w14:paraId="22BD7F0A" w14:textId="6AA10948" w:rsidR="001D3315" w:rsidRPr="005A3967" w:rsidRDefault="001D3315" w:rsidP="001D3315">
      <w:pPr>
        <w:spacing w:line="360" w:lineRule="auto"/>
      </w:pPr>
      <w:r w:rsidRPr="005A3967">
        <w:t xml:space="preserve">Background information will be collected, including respondent department, tenure, job level, and training received. An open-text prompt will </w:t>
      </w:r>
      <w:r w:rsidR="00E368FB" w:rsidRPr="005A3967">
        <w:t>enable</w:t>
      </w:r>
      <w:r w:rsidRPr="005A3967">
        <w:t xml:space="preserve"> participants to share </w:t>
      </w:r>
      <w:r w:rsidR="007A3770" w:rsidRPr="005A3967">
        <w:t xml:space="preserve">their </w:t>
      </w:r>
      <w:r w:rsidRPr="005A3967">
        <w:t xml:space="preserve">perceived advantages </w:t>
      </w:r>
      <w:r w:rsidR="007A3770" w:rsidRPr="005A3967">
        <w:t>and</w:t>
      </w:r>
      <w:r w:rsidRPr="005A3967">
        <w:t xml:space="preserve"> concerns </w:t>
      </w:r>
      <w:r w:rsidR="007A3770" w:rsidRPr="005A3967">
        <w:t>regarding</w:t>
      </w:r>
      <w:r w:rsidRPr="005A3967">
        <w:t xml:space="preserve"> </w:t>
      </w:r>
      <w:r w:rsidR="00E368FB" w:rsidRPr="005A3967">
        <w:t xml:space="preserve">the adoption of </w:t>
      </w:r>
      <w:r w:rsidRPr="005A3967">
        <w:t>predictive analytics.</w:t>
      </w:r>
      <w:r w:rsidRPr="005A3967">
        <w:br/>
        <w:t xml:space="preserve">• </w:t>
      </w:r>
      <w:r w:rsidRPr="005A3967">
        <w:rPr>
          <w:i/>
          <w:iCs/>
        </w:rPr>
        <w:t>Open-Ended Prompt:</w:t>
      </w:r>
      <w:r w:rsidRPr="005A3967">
        <w:t xml:space="preserve"> “In your view, what is the biggest benefit or challenge of using predictive analytics at SSE?”</w:t>
      </w:r>
    </w:p>
    <w:p w14:paraId="5ABF5ECD" w14:textId="4A7DC68C" w:rsidR="001D3315" w:rsidRPr="005A3967" w:rsidRDefault="001D3315" w:rsidP="001D3315">
      <w:pPr>
        <w:spacing w:line="360" w:lineRule="auto"/>
      </w:pPr>
    </w:p>
    <w:p w14:paraId="7AA4B2D7" w14:textId="77777777" w:rsidR="001D3315" w:rsidRPr="005A3967" w:rsidRDefault="001D3315" w:rsidP="001D3315">
      <w:pPr>
        <w:spacing w:line="360" w:lineRule="auto"/>
        <w:rPr>
          <w:b/>
          <w:bCs/>
        </w:rPr>
      </w:pPr>
      <w:r w:rsidRPr="005A3967">
        <w:rPr>
          <w:b/>
          <w:bCs/>
        </w:rPr>
        <w:t>A.4 Survey Sample and Completion Metrics</w:t>
      </w:r>
    </w:p>
    <w:p w14:paraId="1B6DD02D" w14:textId="54D7F2E5" w:rsidR="001D3315" w:rsidRPr="005A3967" w:rsidRDefault="001D3315" w:rsidP="001D3315">
      <w:pPr>
        <w:spacing w:line="360" w:lineRule="auto"/>
      </w:pPr>
      <w:r w:rsidRPr="005A3967">
        <w:t>The survey will be distributed to a targeted sample of SSE employees across multiple business units</w:t>
      </w:r>
      <w:r w:rsidR="007A3770" w:rsidRPr="005A3967">
        <w:t>, including those</w:t>
      </w:r>
      <w:r w:rsidRPr="005A3967">
        <w:t xml:space="preserve"> engaged in data, strategy, operations, and technology. It is anticipated that 100 responses will be collected, with a projected completion rate above 95% for all mandatory fields. The responses will be cleaned, anonymised, and analysed using both statistical and thematic methods to derive actionable insights. Results and visual summaries will be presented in </w:t>
      </w:r>
      <w:r w:rsidRPr="005A3967">
        <w:rPr>
          <w:i/>
          <w:iCs/>
        </w:rPr>
        <w:t>Appendix F</w:t>
      </w:r>
      <w:r w:rsidRPr="005A3967">
        <w:t>.</w:t>
      </w:r>
    </w:p>
    <w:p w14:paraId="2AC36257" w14:textId="77777777" w:rsidR="00CB6D6C" w:rsidRPr="005A3967" w:rsidRDefault="00CB6D6C" w:rsidP="001D3315">
      <w:pPr>
        <w:spacing w:line="360" w:lineRule="auto"/>
      </w:pPr>
    </w:p>
    <w:p w14:paraId="5ED821BE" w14:textId="77777777" w:rsidR="001D3315" w:rsidRPr="005A3967" w:rsidRDefault="001D3315" w:rsidP="001D3315">
      <w:pPr>
        <w:spacing w:line="360" w:lineRule="auto"/>
      </w:pPr>
      <w:r w:rsidRPr="005A3967">
        <w:rPr>
          <w:b/>
          <w:bCs/>
        </w:rPr>
        <w:t>Confidentiality Note:</w:t>
      </w:r>
      <w:r w:rsidRPr="005A3967">
        <w:t xml:space="preserve"> All data will be collected anonymously and used exclusively for academic and internal research purposes. No identifiable information will be captured or stored at any point during the research process.</w:t>
      </w:r>
    </w:p>
    <w:p w14:paraId="2041BEF8" w14:textId="77777777" w:rsidR="00620D01" w:rsidRPr="005A3967" w:rsidRDefault="00620D01" w:rsidP="00620D01">
      <w:pPr>
        <w:spacing w:before="100" w:beforeAutospacing="1" w:after="100" w:afterAutospacing="1" w:line="360" w:lineRule="auto"/>
      </w:pPr>
      <w:r w:rsidRPr="005A3967">
        <w:rPr>
          <w:b/>
          <w:bCs/>
        </w:rPr>
        <w:t>Table A1. Overview of Survey Dimensions and Representative Items</w:t>
      </w:r>
    </w:p>
    <w:tbl>
      <w:tblPr>
        <w:tblStyle w:val="GridTable4-Accent2"/>
        <w:tblW w:w="0" w:type="auto"/>
        <w:tblLook w:val="04A0" w:firstRow="1" w:lastRow="0" w:firstColumn="1" w:lastColumn="0" w:noHBand="0" w:noVBand="1"/>
      </w:tblPr>
      <w:tblGrid>
        <w:gridCol w:w="2287"/>
        <w:gridCol w:w="2515"/>
        <w:gridCol w:w="4214"/>
      </w:tblGrid>
      <w:tr w:rsidR="00620D01" w:rsidRPr="005A3967" w14:paraId="25885A9E" w14:textId="77777777" w:rsidTr="00BA58BC">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47E286" w14:textId="77777777" w:rsidR="00620D01" w:rsidRPr="005A3967" w:rsidRDefault="00620D01" w:rsidP="00BA58BC">
            <w:pPr>
              <w:spacing w:line="276" w:lineRule="auto"/>
              <w:jc w:val="center"/>
              <w:rPr>
                <w:sz w:val="22"/>
                <w:szCs w:val="22"/>
              </w:rPr>
            </w:pPr>
            <w:r w:rsidRPr="005A3967">
              <w:rPr>
                <w:sz w:val="22"/>
                <w:szCs w:val="22"/>
              </w:rPr>
              <w:t>Section</w:t>
            </w:r>
          </w:p>
        </w:tc>
        <w:tc>
          <w:tcPr>
            <w:tcW w:w="0" w:type="auto"/>
            <w:vAlign w:val="center"/>
            <w:hideMark/>
          </w:tcPr>
          <w:p w14:paraId="01C9EB87" w14:textId="77777777" w:rsidR="00620D01" w:rsidRPr="005A3967" w:rsidRDefault="00620D01" w:rsidP="00BA58BC">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Thematic Focus</w:t>
            </w:r>
          </w:p>
        </w:tc>
        <w:tc>
          <w:tcPr>
            <w:tcW w:w="0" w:type="auto"/>
            <w:vAlign w:val="center"/>
            <w:hideMark/>
          </w:tcPr>
          <w:p w14:paraId="3A5D3A0A" w14:textId="77777777" w:rsidR="00620D01" w:rsidRPr="005A3967" w:rsidRDefault="00620D01" w:rsidP="00BA58BC">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Representative Survey Item</w:t>
            </w:r>
          </w:p>
        </w:tc>
      </w:tr>
      <w:tr w:rsidR="00620D01" w:rsidRPr="005A3967" w14:paraId="4CBB7F94" w14:textId="77777777" w:rsidTr="00D85B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0926BA" w14:textId="77777777" w:rsidR="00620D01" w:rsidRPr="005A3967" w:rsidRDefault="00620D01" w:rsidP="00BA58BC">
            <w:pPr>
              <w:spacing w:line="276" w:lineRule="auto"/>
              <w:rPr>
                <w:sz w:val="22"/>
                <w:szCs w:val="22"/>
              </w:rPr>
            </w:pPr>
            <w:r w:rsidRPr="005A3967">
              <w:rPr>
                <w:sz w:val="22"/>
                <w:szCs w:val="22"/>
              </w:rPr>
              <w:t>1. Predictive Analytics Usage</w:t>
            </w:r>
          </w:p>
        </w:tc>
        <w:tc>
          <w:tcPr>
            <w:tcW w:w="0" w:type="auto"/>
            <w:vAlign w:val="center"/>
            <w:hideMark/>
          </w:tcPr>
          <w:p w14:paraId="291FAAC7"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Integration of predictive tools in planning</w:t>
            </w:r>
          </w:p>
        </w:tc>
        <w:tc>
          <w:tcPr>
            <w:tcW w:w="0" w:type="auto"/>
            <w:vAlign w:val="center"/>
            <w:hideMark/>
          </w:tcPr>
          <w:p w14:paraId="3EE75BDA"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We frequently utilise predictive analytics tools in strategic planning.</w:t>
            </w:r>
          </w:p>
        </w:tc>
      </w:tr>
      <w:tr w:rsidR="00620D01" w:rsidRPr="005A3967" w14:paraId="0A221D50" w14:textId="77777777" w:rsidTr="00D85B2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1A323F" w14:textId="77777777" w:rsidR="00620D01" w:rsidRPr="005A3967" w:rsidRDefault="00620D01" w:rsidP="00BA58BC">
            <w:pPr>
              <w:spacing w:line="276" w:lineRule="auto"/>
              <w:rPr>
                <w:sz w:val="22"/>
                <w:szCs w:val="22"/>
              </w:rPr>
            </w:pPr>
            <w:r w:rsidRPr="005A3967">
              <w:rPr>
                <w:sz w:val="22"/>
                <w:szCs w:val="22"/>
              </w:rPr>
              <w:t>2. Marketing Outcomes</w:t>
            </w:r>
          </w:p>
        </w:tc>
        <w:tc>
          <w:tcPr>
            <w:tcW w:w="0" w:type="auto"/>
            <w:vAlign w:val="center"/>
            <w:hideMark/>
          </w:tcPr>
          <w:p w14:paraId="180680CB" w14:textId="5FDD32C0"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 xml:space="preserve">Impact on </w:t>
            </w:r>
            <w:r w:rsidR="00880CDB" w:rsidRPr="005A3967">
              <w:rPr>
                <w:sz w:val="22"/>
                <w:szCs w:val="22"/>
              </w:rPr>
              <w:t>Marketing Segmentation</w:t>
            </w:r>
            <w:r w:rsidRPr="005A3967">
              <w:rPr>
                <w:sz w:val="22"/>
                <w:szCs w:val="22"/>
              </w:rPr>
              <w:t xml:space="preserve"> and ROI</w:t>
            </w:r>
          </w:p>
        </w:tc>
        <w:tc>
          <w:tcPr>
            <w:tcW w:w="0" w:type="auto"/>
            <w:vAlign w:val="center"/>
            <w:hideMark/>
          </w:tcPr>
          <w:p w14:paraId="4C87A06C"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Predictive analytics has improved our marketing campaign targeting.</w:t>
            </w:r>
          </w:p>
        </w:tc>
      </w:tr>
      <w:tr w:rsidR="00620D01" w:rsidRPr="005A3967" w14:paraId="07FA6748" w14:textId="77777777" w:rsidTr="00D85B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CB43E1" w14:textId="77777777" w:rsidR="00620D01" w:rsidRPr="005A3967" w:rsidRDefault="00620D01" w:rsidP="00BA58BC">
            <w:pPr>
              <w:spacing w:line="276" w:lineRule="auto"/>
              <w:rPr>
                <w:sz w:val="22"/>
                <w:szCs w:val="22"/>
              </w:rPr>
            </w:pPr>
            <w:r w:rsidRPr="005A3967">
              <w:rPr>
                <w:sz w:val="22"/>
                <w:szCs w:val="22"/>
              </w:rPr>
              <w:t>3. Decision-Making Effectiveness</w:t>
            </w:r>
          </w:p>
        </w:tc>
        <w:tc>
          <w:tcPr>
            <w:tcW w:w="0" w:type="auto"/>
            <w:vAlign w:val="center"/>
            <w:hideMark/>
          </w:tcPr>
          <w:p w14:paraId="65F7E2F5"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Data-driven vs. intuition-based decisions</w:t>
            </w:r>
          </w:p>
        </w:tc>
        <w:tc>
          <w:tcPr>
            <w:tcW w:w="0" w:type="auto"/>
            <w:vAlign w:val="center"/>
            <w:hideMark/>
          </w:tcPr>
          <w:p w14:paraId="71CAB122"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Decisions made using predictive analytics are more effective than those based on intuition.</w:t>
            </w:r>
          </w:p>
        </w:tc>
      </w:tr>
      <w:tr w:rsidR="00620D01" w:rsidRPr="005A3967" w14:paraId="43D0B31D" w14:textId="77777777" w:rsidTr="00D85B2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58E749" w14:textId="77777777" w:rsidR="00620D01" w:rsidRPr="005A3967" w:rsidRDefault="00620D01" w:rsidP="00BA58BC">
            <w:pPr>
              <w:spacing w:line="276" w:lineRule="auto"/>
              <w:rPr>
                <w:sz w:val="22"/>
                <w:szCs w:val="22"/>
              </w:rPr>
            </w:pPr>
            <w:r w:rsidRPr="005A3967">
              <w:rPr>
                <w:sz w:val="22"/>
                <w:szCs w:val="22"/>
              </w:rPr>
              <w:t>4. Data Governance</w:t>
            </w:r>
          </w:p>
        </w:tc>
        <w:tc>
          <w:tcPr>
            <w:tcW w:w="0" w:type="auto"/>
            <w:vAlign w:val="center"/>
            <w:hideMark/>
          </w:tcPr>
          <w:p w14:paraId="69ADA2D9"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Policy support and data quality infrastructure</w:t>
            </w:r>
          </w:p>
        </w:tc>
        <w:tc>
          <w:tcPr>
            <w:tcW w:w="0" w:type="auto"/>
            <w:vAlign w:val="center"/>
            <w:hideMark/>
          </w:tcPr>
          <w:p w14:paraId="454D5C0A"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Our organisation has strong data governance policies.</w:t>
            </w:r>
          </w:p>
        </w:tc>
      </w:tr>
      <w:tr w:rsidR="00620D01" w:rsidRPr="005A3967" w14:paraId="68EB1814" w14:textId="77777777" w:rsidTr="00D85B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744451" w14:textId="77777777" w:rsidR="00620D01" w:rsidRPr="005A3967" w:rsidRDefault="00620D01" w:rsidP="00BA58BC">
            <w:pPr>
              <w:spacing w:line="276" w:lineRule="auto"/>
              <w:rPr>
                <w:sz w:val="22"/>
                <w:szCs w:val="22"/>
              </w:rPr>
            </w:pPr>
            <w:r w:rsidRPr="005A3967">
              <w:rPr>
                <w:sz w:val="22"/>
                <w:szCs w:val="22"/>
              </w:rPr>
              <w:t>5. Organisational Readiness</w:t>
            </w:r>
          </w:p>
        </w:tc>
        <w:tc>
          <w:tcPr>
            <w:tcW w:w="0" w:type="auto"/>
            <w:vAlign w:val="center"/>
            <w:hideMark/>
          </w:tcPr>
          <w:p w14:paraId="5F6D96AA"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Skills, leadership, and cultural alignment</w:t>
            </w:r>
          </w:p>
        </w:tc>
        <w:tc>
          <w:tcPr>
            <w:tcW w:w="0" w:type="auto"/>
            <w:vAlign w:val="center"/>
            <w:hideMark/>
          </w:tcPr>
          <w:p w14:paraId="0A39DD4A"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Employees here have the necessary skills and training to leverage predictive analytics.</w:t>
            </w:r>
          </w:p>
        </w:tc>
      </w:tr>
      <w:tr w:rsidR="00620D01" w:rsidRPr="005A3967" w14:paraId="381E210E" w14:textId="77777777" w:rsidTr="00D85B2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0799F3" w14:textId="77777777" w:rsidR="00620D01" w:rsidRPr="005A3967" w:rsidRDefault="00620D01" w:rsidP="00BA58BC">
            <w:pPr>
              <w:spacing w:line="276" w:lineRule="auto"/>
              <w:rPr>
                <w:sz w:val="22"/>
                <w:szCs w:val="22"/>
              </w:rPr>
            </w:pPr>
            <w:r w:rsidRPr="005A3967">
              <w:rPr>
                <w:sz w:val="22"/>
                <w:szCs w:val="22"/>
              </w:rPr>
              <w:t>6. Demographics &amp; Feedback</w:t>
            </w:r>
          </w:p>
        </w:tc>
        <w:tc>
          <w:tcPr>
            <w:tcW w:w="0" w:type="auto"/>
            <w:vAlign w:val="center"/>
            <w:hideMark/>
          </w:tcPr>
          <w:p w14:paraId="24A9BB39"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Role, tenure, training, and open responses</w:t>
            </w:r>
          </w:p>
        </w:tc>
        <w:tc>
          <w:tcPr>
            <w:tcW w:w="0" w:type="auto"/>
            <w:vAlign w:val="center"/>
            <w:hideMark/>
          </w:tcPr>
          <w:p w14:paraId="1E80392C"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Have you received training in data analytics or data science?</w:t>
            </w:r>
          </w:p>
        </w:tc>
      </w:tr>
    </w:tbl>
    <w:p w14:paraId="73900486" w14:textId="77777777" w:rsidR="00620D01" w:rsidRPr="005A3967" w:rsidRDefault="00620D01" w:rsidP="00620D01">
      <w:pPr>
        <w:spacing w:line="360" w:lineRule="auto"/>
      </w:pPr>
    </w:p>
    <w:p w14:paraId="5659BC1E" w14:textId="77777777" w:rsidR="00E4124D" w:rsidRPr="005A3967" w:rsidRDefault="00E4124D" w:rsidP="00620D01">
      <w:pPr>
        <w:pStyle w:val="Heading2"/>
        <w:spacing w:line="360" w:lineRule="auto"/>
        <w:rPr>
          <w:rFonts w:ascii="Times New Roman" w:hAnsi="Times New Roman" w:cs="Times New Roman"/>
          <w:b/>
          <w:bCs/>
        </w:rPr>
      </w:pPr>
      <w:bookmarkStart w:id="96" w:name="_Toc202544532"/>
      <w:r w:rsidRPr="005A3967">
        <w:rPr>
          <w:rFonts w:ascii="Times New Roman" w:hAnsi="Times New Roman" w:cs="Times New Roman"/>
          <w:b/>
          <w:bCs/>
        </w:rPr>
        <w:t>Appendix B: Semi-Structured Interview Guide</w:t>
      </w:r>
      <w:bookmarkEnd w:id="96"/>
    </w:p>
    <w:p w14:paraId="05CE57E1" w14:textId="77777777" w:rsidR="001D3315" w:rsidRPr="005A3967" w:rsidRDefault="001D3315" w:rsidP="001D3315">
      <w:pPr>
        <w:spacing w:line="360" w:lineRule="auto"/>
        <w:rPr>
          <w:b/>
          <w:bCs/>
        </w:rPr>
      </w:pPr>
      <w:r w:rsidRPr="005A3967">
        <w:rPr>
          <w:b/>
          <w:bCs/>
        </w:rPr>
        <w:t>Interview Protocol Proposal</w:t>
      </w:r>
    </w:p>
    <w:p w14:paraId="580E0AB5" w14:textId="77777777" w:rsidR="001D3315" w:rsidRPr="005A3967" w:rsidRDefault="001D3315" w:rsidP="001D3315">
      <w:pPr>
        <w:spacing w:line="360" w:lineRule="auto"/>
      </w:pPr>
      <w:r w:rsidRPr="005A3967">
        <w:rPr>
          <w:b/>
          <w:bCs/>
        </w:rPr>
        <w:t>Interview Title:</w:t>
      </w:r>
      <w:r w:rsidRPr="005A3967">
        <w:t xml:space="preserve"> </w:t>
      </w:r>
      <w:r w:rsidRPr="005A3967">
        <w:rPr>
          <w:i/>
          <w:iCs/>
        </w:rPr>
        <w:t>SSE Predictive Analytics Integration Interviews</w:t>
      </w:r>
      <w:r w:rsidRPr="005A3967">
        <w:br/>
      </w:r>
      <w:r w:rsidRPr="005A3967">
        <w:rPr>
          <w:b/>
          <w:bCs/>
        </w:rPr>
        <w:t>Project Title:</w:t>
      </w:r>
      <w:r w:rsidRPr="005A3967">
        <w:t xml:space="preserve"> </w:t>
      </w:r>
      <w:r w:rsidRPr="005A3967">
        <w:rPr>
          <w:i/>
          <w:iCs/>
        </w:rPr>
        <w:t>Integrating Predictive Analytics into Strategic Decision-Making at SSE PLC</w:t>
      </w:r>
    </w:p>
    <w:p w14:paraId="2DBDB5E5" w14:textId="5149B4D2" w:rsidR="001D3315" w:rsidRPr="005A3967" w:rsidRDefault="001D3315" w:rsidP="001D3315">
      <w:pPr>
        <w:spacing w:line="360" w:lineRule="auto"/>
      </w:pPr>
    </w:p>
    <w:p w14:paraId="61F7DA7F" w14:textId="77777777" w:rsidR="001D3315" w:rsidRPr="005A3967" w:rsidRDefault="001D3315" w:rsidP="001D3315">
      <w:pPr>
        <w:spacing w:line="360" w:lineRule="auto"/>
        <w:rPr>
          <w:b/>
          <w:bCs/>
        </w:rPr>
      </w:pPr>
      <w:r w:rsidRPr="005A3967">
        <w:rPr>
          <w:b/>
          <w:bCs/>
        </w:rPr>
        <w:t>B.1 Purpose of the Interview Protocol</w:t>
      </w:r>
    </w:p>
    <w:p w14:paraId="7C861ED6" w14:textId="4DA060E0" w:rsidR="001D3315" w:rsidRDefault="001D3315" w:rsidP="001D3315">
      <w:pPr>
        <w:spacing w:line="360" w:lineRule="auto"/>
      </w:pPr>
      <w:r w:rsidRPr="005A3967">
        <w:t xml:space="preserve">A semi-structured interview guide will be developed as a qualitative data collection tool </w:t>
      </w:r>
      <w:r w:rsidR="007A3770" w:rsidRPr="005A3967">
        <w:t>to explore</w:t>
      </w:r>
      <w:r w:rsidRPr="005A3967">
        <w:t xml:space="preserve"> employee experiences, perceptions, and organisational insights regarding the integration of predictive analytics at SSE PLC. The purpose </w:t>
      </w:r>
      <w:r w:rsidR="007A3770" w:rsidRPr="005A3967">
        <w:t>is</w:t>
      </w:r>
      <w:r w:rsidRPr="005A3967">
        <w:t xml:space="preserve"> to gain </w:t>
      </w:r>
      <w:r w:rsidR="007A3770" w:rsidRPr="005A3967">
        <w:t xml:space="preserve">a </w:t>
      </w:r>
      <w:r w:rsidRPr="005A3967">
        <w:t xml:space="preserve">deeper understanding of the enablers, challenges, and contextual dynamics </w:t>
      </w:r>
      <w:r w:rsidR="007A3770" w:rsidRPr="005A3967">
        <w:t>that influence</w:t>
      </w:r>
      <w:r w:rsidRPr="005A3967">
        <w:t xml:space="preserve"> the adoption of predictive analytics within strategic decision-making processes. These interviews will complement the quantitative survey (see </w:t>
      </w:r>
      <w:r w:rsidRPr="005A3967">
        <w:rPr>
          <w:i/>
          <w:iCs/>
        </w:rPr>
        <w:t>Appendix A</w:t>
      </w:r>
      <w:r w:rsidRPr="005A3967">
        <w:t>) by capturing rich, narrative-based evidence from stakeholders across a range of departments and organisational levels.</w:t>
      </w:r>
    </w:p>
    <w:p w14:paraId="32E3D30C" w14:textId="77777777" w:rsidR="00691BB6" w:rsidRPr="005A3967" w:rsidRDefault="00691BB6" w:rsidP="001D3315">
      <w:pPr>
        <w:spacing w:line="360" w:lineRule="auto"/>
      </w:pPr>
    </w:p>
    <w:p w14:paraId="5741C862" w14:textId="77777777" w:rsidR="001D3315" w:rsidRPr="005A3967" w:rsidRDefault="001D3315" w:rsidP="001D3315">
      <w:pPr>
        <w:spacing w:line="360" w:lineRule="auto"/>
        <w:rPr>
          <w:b/>
          <w:bCs/>
        </w:rPr>
      </w:pPr>
      <w:r w:rsidRPr="005A3967">
        <w:rPr>
          <w:b/>
          <w:bCs/>
        </w:rPr>
        <w:t>B.2 Interview Procedure and Ethical Considerations</w:t>
      </w:r>
    </w:p>
    <w:p w14:paraId="7DA14B3C" w14:textId="19AAED51" w:rsidR="00C0512C" w:rsidRPr="005A3967" w:rsidRDefault="001D3315" w:rsidP="001D3315">
      <w:pPr>
        <w:spacing w:line="360" w:lineRule="auto"/>
      </w:pPr>
      <w:r w:rsidRPr="005A3967">
        <w:t xml:space="preserve">Each interview will be conducted on a one-on-one basis, either virtually (via Microsoft Teams) or in person, depending on participant availability and preference. All participants </w:t>
      </w:r>
      <w:r w:rsidRPr="005A3967">
        <w:lastRenderedPageBreak/>
        <w:t xml:space="preserve">will be provided with an information sheet and will be required to give informed consent </w:t>
      </w:r>
      <w:r w:rsidR="007A3770" w:rsidRPr="005A3967">
        <w:t>before</w:t>
      </w:r>
      <w:r w:rsidRPr="005A3967">
        <w:t xml:space="preserve"> the interview. With permission, each session will be </w:t>
      </w:r>
      <w:r w:rsidR="007A3770" w:rsidRPr="005A3967">
        <w:t>audio-recorded</w:t>
      </w:r>
      <w:r w:rsidRPr="005A3967">
        <w:t xml:space="preserve"> for transcription purposes. Transcripts will then be anonymised to ensure confidentiality and compliance with ethical standards.</w:t>
      </w:r>
    </w:p>
    <w:p w14:paraId="57749A31" w14:textId="77777777" w:rsidR="001D3315" w:rsidRPr="005A3967" w:rsidRDefault="001D3315" w:rsidP="001D3315">
      <w:pPr>
        <w:spacing w:line="360" w:lineRule="auto"/>
      </w:pPr>
      <w:r w:rsidRPr="005A3967">
        <w:t xml:space="preserve">Interview sessions will last approximately </w:t>
      </w:r>
      <w:r w:rsidRPr="005A3967">
        <w:rPr>
          <w:b/>
          <w:bCs/>
        </w:rPr>
        <w:t>45 to 60 minutes</w:t>
      </w:r>
      <w:r w:rsidRPr="005A3967">
        <w:t>. Ethical approval will be obtained from the University of Wales Trinity Saint David prior to data collection, and participants will retain the right to skip questions or withdraw from the study at any point without consequence.</w:t>
      </w:r>
    </w:p>
    <w:p w14:paraId="2F4C4117" w14:textId="1A83BA59" w:rsidR="001D3315" w:rsidRPr="005A3967" w:rsidRDefault="001D3315" w:rsidP="001D3315">
      <w:pPr>
        <w:spacing w:line="360" w:lineRule="auto"/>
      </w:pPr>
    </w:p>
    <w:p w14:paraId="1B69C96D" w14:textId="77777777" w:rsidR="001D3315" w:rsidRPr="005A3967" w:rsidRDefault="001D3315" w:rsidP="001D3315">
      <w:pPr>
        <w:spacing w:line="360" w:lineRule="auto"/>
        <w:rPr>
          <w:b/>
          <w:bCs/>
        </w:rPr>
      </w:pPr>
      <w:r w:rsidRPr="005A3967">
        <w:rPr>
          <w:b/>
          <w:bCs/>
        </w:rPr>
        <w:t>B.3 Interview Introduction (Verbal Script)</w:t>
      </w:r>
    </w:p>
    <w:p w14:paraId="44612BAC" w14:textId="77777777" w:rsidR="001D3315" w:rsidRPr="005A3967" w:rsidRDefault="001D3315" w:rsidP="001D3315">
      <w:pPr>
        <w:spacing w:line="360" w:lineRule="auto"/>
      </w:pPr>
      <w:r w:rsidRPr="005A3967">
        <w:t>“Thank you for agreeing to participate in this interview. As part of my research into the role of predictive analytics in SSE’s strategic decision-making, I’m interested in hearing about your experiences, observations, and insights.</w:t>
      </w:r>
    </w:p>
    <w:p w14:paraId="5ED52D7D" w14:textId="77777777" w:rsidR="001D3315" w:rsidRPr="005A3967" w:rsidRDefault="001D3315" w:rsidP="001D3315">
      <w:pPr>
        <w:spacing w:line="360" w:lineRule="auto"/>
      </w:pPr>
      <w:r w:rsidRPr="005A3967">
        <w:t>There are no right or wrong answers—please feel free to speak openly. Everything you say will remain confidential and will not be attributed to you personally. With your permission, I would like to record this conversation to help ensure accurate transcription. The recording will be deleted after transcription is complete. You may skip any question or end the interview at any time.”</w:t>
      </w:r>
    </w:p>
    <w:p w14:paraId="333F039B" w14:textId="4A90A88C" w:rsidR="001D3315" w:rsidRPr="005A3967" w:rsidRDefault="001D3315" w:rsidP="001D3315">
      <w:pPr>
        <w:spacing w:line="360" w:lineRule="auto"/>
      </w:pPr>
    </w:p>
    <w:p w14:paraId="137A1A11" w14:textId="77777777" w:rsidR="001D3315" w:rsidRPr="005A3967" w:rsidRDefault="001D3315" w:rsidP="001D3315">
      <w:pPr>
        <w:spacing w:line="360" w:lineRule="auto"/>
        <w:rPr>
          <w:b/>
          <w:bCs/>
        </w:rPr>
      </w:pPr>
      <w:r w:rsidRPr="005A3967">
        <w:rPr>
          <w:b/>
          <w:bCs/>
        </w:rPr>
        <w:t>B.4 Core Interview Questions</w:t>
      </w:r>
    </w:p>
    <w:p w14:paraId="4E46BFF6" w14:textId="77777777" w:rsidR="001D3315" w:rsidRPr="005A3967" w:rsidRDefault="001D3315" w:rsidP="008824B8">
      <w:pPr>
        <w:numPr>
          <w:ilvl w:val="0"/>
          <w:numId w:val="20"/>
        </w:numPr>
        <w:spacing w:line="360" w:lineRule="auto"/>
      </w:pPr>
      <w:r w:rsidRPr="005A3967">
        <w:rPr>
          <w:b/>
          <w:bCs/>
        </w:rPr>
        <w:t>Use of Analytics in Role</w:t>
      </w:r>
      <w:r w:rsidRPr="005A3967">
        <w:br/>
      </w:r>
      <w:r w:rsidRPr="005A3967">
        <w:rPr>
          <w:i/>
          <w:iCs/>
        </w:rPr>
        <w:t>Can you describe how, if at all, you currently use predictive analytics or data insights in your role? Could you share an example of a recent decision where data or a predictive model influenced the outcome?</w:t>
      </w:r>
      <w:r w:rsidRPr="005A3967">
        <w:br/>
      </w:r>
      <w:r w:rsidRPr="005A3967">
        <w:rPr>
          <w:i/>
          <w:iCs/>
        </w:rPr>
        <w:t>(If not used directly, a follow-up will explore whether others in their team use it and why it may be underutilised.)</w:t>
      </w:r>
    </w:p>
    <w:p w14:paraId="0B3F2CA4" w14:textId="77777777" w:rsidR="001D3315" w:rsidRPr="005A3967" w:rsidRDefault="001D3315" w:rsidP="008824B8">
      <w:pPr>
        <w:numPr>
          <w:ilvl w:val="0"/>
          <w:numId w:val="20"/>
        </w:numPr>
        <w:spacing w:line="360" w:lineRule="auto"/>
      </w:pPr>
      <w:r w:rsidRPr="005A3967">
        <w:rPr>
          <w:b/>
          <w:bCs/>
        </w:rPr>
        <w:t>Marketing Analytics Impact</w:t>
      </w:r>
      <w:r w:rsidRPr="005A3967">
        <w:br/>
      </w:r>
      <w:r w:rsidRPr="005A3967">
        <w:rPr>
          <w:i/>
          <w:iCs/>
        </w:rPr>
        <w:t>From your perspective, has predictive analytics influenced any marketing strategies or outcomes at SSE? For example, have you observed improvements in targeting, segmentation, or campaign effectiveness?</w:t>
      </w:r>
      <w:r w:rsidRPr="005A3967">
        <w:br/>
      </w:r>
      <w:r w:rsidRPr="005A3967">
        <w:rPr>
          <w:i/>
          <w:iCs/>
        </w:rPr>
        <w:t>(Tailored probes will be used depending on the respondent’s department.)</w:t>
      </w:r>
    </w:p>
    <w:p w14:paraId="11A0551D" w14:textId="5DC058C9" w:rsidR="001D3315" w:rsidRPr="005A3967" w:rsidRDefault="001D3315" w:rsidP="008824B8">
      <w:pPr>
        <w:numPr>
          <w:ilvl w:val="0"/>
          <w:numId w:val="20"/>
        </w:numPr>
        <w:spacing w:line="360" w:lineRule="auto"/>
      </w:pPr>
      <w:r w:rsidRPr="005A3967">
        <w:rPr>
          <w:b/>
          <w:bCs/>
        </w:rPr>
        <w:t>Decision Effectiveness</w:t>
      </w:r>
      <w:r w:rsidRPr="005A3967">
        <w:br/>
      </w:r>
      <w:r w:rsidRPr="005A3967">
        <w:rPr>
          <w:i/>
          <w:iCs/>
        </w:rPr>
        <w:t>How would you compare the effectiveness of decisions made using predictive analytics versus those based on intuition? Can you recall any example where analytics significantly influenced success</w:t>
      </w:r>
      <w:r w:rsidR="0002751E">
        <w:rPr>
          <w:i/>
          <w:iCs/>
        </w:rPr>
        <w:t xml:space="preserve"> </w:t>
      </w:r>
      <w:r w:rsidRPr="005A3967">
        <w:rPr>
          <w:i/>
          <w:iCs/>
        </w:rPr>
        <w:t>or failure?</w:t>
      </w:r>
    </w:p>
    <w:p w14:paraId="4EEE0297" w14:textId="77777777" w:rsidR="001D3315" w:rsidRPr="005A3967" w:rsidRDefault="001D3315" w:rsidP="008824B8">
      <w:pPr>
        <w:numPr>
          <w:ilvl w:val="0"/>
          <w:numId w:val="20"/>
        </w:numPr>
        <w:spacing w:line="360" w:lineRule="auto"/>
      </w:pPr>
      <w:r w:rsidRPr="005A3967">
        <w:rPr>
          <w:b/>
          <w:bCs/>
        </w:rPr>
        <w:lastRenderedPageBreak/>
        <w:t>Data Support and Challenges</w:t>
      </w:r>
      <w:r w:rsidRPr="005A3967">
        <w:br/>
      </w:r>
      <w:r w:rsidRPr="005A3967">
        <w:rPr>
          <w:i/>
          <w:iCs/>
        </w:rPr>
        <w:t>What types of data-related support or obstacles do you encounter when making decisions? How would you rate the quality, accessibility, or governance of data in your area?</w:t>
      </w:r>
    </w:p>
    <w:p w14:paraId="1BE63885" w14:textId="77777777" w:rsidR="001D3315" w:rsidRPr="005A3967" w:rsidRDefault="001D3315" w:rsidP="008824B8">
      <w:pPr>
        <w:numPr>
          <w:ilvl w:val="0"/>
          <w:numId w:val="20"/>
        </w:numPr>
        <w:spacing w:line="360" w:lineRule="auto"/>
      </w:pPr>
      <w:r w:rsidRPr="005A3967">
        <w:rPr>
          <w:b/>
          <w:bCs/>
        </w:rPr>
        <w:t>Organisational Culture and Skills</w:t>
      </w:r>
      <w:r w:rsidRPr="005A3967">
        <w:br/>
      </w:r>
      <w:r w:rsidRPr="005A3967">
        <w:rPr>
          <w:i/>
          <w:iCs/>
        </w:rPr>
        <w:t>How would you describe SSE’s culture toward data-driven decision-making? Are there signs of widespread buy-in, or do some areas still show resistance? Do employees have the skills and training needed to use analytics effectively?</w:t>
      </w:r>
    </w:p>
    <w:p w14:paraId="6A12FBBD" w14:textId="204EF152" w:rsidR="001D3315" w:rsidRPr="005A3967" w:rsidRDefault="001D3315" w:rsidP="008824B8">
      <w:pPr>
        <w:numPr>
          <w:ilvl w:val="0"/>
          <w:numId w:val="20"/>
        </w:numPr>
        <w:spacing w:line="360" w:lineRule="auto"/>
      </w:pPr>
      <w:r w:rsidRPr="005A3967">
        <w:rPr>
          <w:b/>
          <w:bCs/>
        </w:rPr>
        <w:t>Leadership Perspective</w:t>
      </w:r>
      <w:r w:rsidRPr="005A3967">
        <w:br/>
      </w:r>
      <w:r w:rsidRPr="005A3967">
        <w:rPr>
          <w:i/>
          <w:iCs/>
        </w:rPr>
        <w:t>What is your impression of SSE leadership’s stance on predictive analytics? Have you seen evidence of leadership commitment</w:t>
      </w:r>
      <w:r w:rsidR="0002751E">
        <w:rPr>
          <w:i/>
          <w:iCs/>
        </w:rPr>
        <w:t xml:space="preserve">, </w:t>
      </w:r>
      <w:r w:rsidRPr="005A3967">
        <w:rPr>
          <w:i/>
          <w:iCs/>
        </w:rPr>
        <w:t>such as funding, training, or public endorsement?</w:t>
      </w:r>
    </w:p>
    <w:p w14:paraId="75506F0D" w14:textId="77777777" w:rsidR="001D3315" w:rsidRPr="005A3967" w:rsidRDefault="001D3315" w:rsidP="008824B8">
      <w:pPr>
        <w:numPr>
          <w:ilvl w:val="0"/>
          <w:numId w:val="20"/>
        </w:numPr>
        <w:spacing w:line="360" w:lineRule="auto"/>
      </w:pPr>
      <w:r w:rsidRPr="005A3967">
        <w:rPr>
          <w:b/>
          <w:bCs/>
        </w:rPr>
        <w:t>Barriers and Opportunities for Improvement</w:t>
      </w:r>
      <w:r w:rsidRPr="005A3967">
        <w:br/>
      </w:r>
      <w:r w:rsidRPr="005A3967">
        <w:rPr>
          <w:i/>
          <w:iCs/>
        </w:rPr>
        <w:t>What do you think are the biggest barriers to scaling predictive analytics at SSE? What changes—organisational, technical, or cultural—would help embed analytics more effectively into strategic planning?</w:t>
      </w:r>
    </w:p>
    <w:p w14:paraId="29C14D6B" w14:textId="2A9ECFE3" w:rsidR="001D3315" w:rsidRPr="005A3967" w:rsidRDefault="001D3315" w:rsidP="001D3315">
      <w:pPr>
        <w:spacing w:line="360" w:lineRule="auto"/>
      </w:pPr>
    </w:p>
    <w:p w14:paraId="77C3D9E9" w14:textId="77777777" w:rsidR="001D3315" w:rsidRPr="005A3967" w:rsidRDefault="001D3315" w:rsidP="001D3315">
      <w:pPr>
        <w:spacing w:line="360" w:lineRule="auto"/>
        <w:rPr>
          <w:b/>
          <w:bCs/>
        </w:rPr>
      </w:pPr>
      <w:r w:rsidRPr="005A3967">
        <w:rPr>
          <w:b/>
          <w:bCs/>
        </w:rPr>
        <w:t>B.5 Supplementary Probes (Time Permitting)</w:t>
      </w:r>
    </w:p>
    <w:p w14:paraId="2F8BA9E5" w14:textId="77777777" w:rsidR="001D3315" w:rsidRPr="005A3967" w:rsidRDefault="001D3315" w:rsidP="008824B8">
      <w:pPr>
        <w:numPr>
          <w:ilvl w:val="0"/>
          <w:numId w:val="21"/>
        </w:numPr>
        <w:spacing w:line="360" w:lineRule="auto"/>
      </w:pPr>
      <w:r w:rsidRPr="005A3967">
        <w:t>Have you noticed differences in analytics adoption across departments (e.g., between Marketing and Operations)?</w:t>
      </w:r>
    </w:p>
    <w:p w14:paraId="1C017F66" w14:textId="77777777" w:rsidR="001D3315" w:rsidRPr="005A3967" w:rsidRDefault="001D3315" w:rsidP="008824B8">
      <w:pPr>
        <w:numPr>
          <w:ilvl w:val="0"/>
          <w:numId w:val="21"/>
        </w:numPr>
        <w:spacing w:line="360" w:lineRule="auto"/>
      </w:pPr>
      <w:r w:rsidRPr="005A3967">
        <w:t>Can you describe any analytics initiatives or pilots that were particularly successful? What contributed to their success?</w:t>
      </w:r>
    </w:p>
    <w:p w14:paraId="0081314B" w14:textId="77777777" w:rsidR="001D3315" w:rsidRPr="005A3967" w:rsidRDefault="001D3315" w:rsidP="008824B8">
      <w:pPr>
        <w:numPr>
          <w:ilvl w:val="0"/>
          <w:numId w:val="21"/>
        </w:numPr>
        <w:spacing w:line="360" w:lineRule="auto"/>
      </w:pPr>
      <w:r w:rsidRPr="005A3967">
        <w:t>Have there been analytics efforts that stalled or failed? What do you believe caused those challenges?</w:t>
      </w:r>
    </w:p>
    <w:p w14:paraId="774CB76D" w14:textId="0F8C8E9D" w:rsidR="001D3315" w:rsidRPr="005A3967" w:rsidRDefault="001D3315" w:rsidP="008824B8">
      <w:pPr>
        <w:numPr>
          <w:ilvl w:val="0"/>
          <w:numId w:val="21"/>
        </w:numPr>
        <w:spacing w:line="360" w:lineRule="auto"/>
      </w:pPr>
      <w:r w:rsidRPr="005A3967">
        <w:t xml:space="preserve">Are external factors (e.g., regulations </w:t>
      </w:r>
      <w:r w:rsidR="007A3770" w:rsidRPr="005A3967">
        <w:t xml:space="preserve">and </w:t>
      </w:r>
      <w:r w:rsidRPr="005A3967">
        <w:t>market pressures) influencing SSE’s analytics strategy? How?</w:t>
      </w:r>
    </w:p>
    <w:p w14:paraId="5525BEBE" w14:textId="299A06D1" w:rsidR="001D3315" w:rsidRPr="005A3967" w:rsidRDefault="001D3315" w:rsidP="001D3315">
      <w:pPr>
        <w:spacing w:line="360" w:lineRule="auto"/>
      </w:pPr>
    </w:p>
    <w:p w14:paraId="241364DA" w14:textId="77777777" w:rsidR="001D3315" w:rsidRPr="005A3967" w:rsidRDefault="001D3315" w:rsidP="001D3315">
      <w:pPr>
        <w:spacing w:line="360" w:lineRule="auto"/>
        <w:rPr>
          <w:b/>
          <w:bCs/>
        </w:rPr>
      </w:pPr>
      <w:r w:rsidRPr="005A3967">
        <w:rPr>
          <w:b/>
          <w:bCs/>
        </w:rPr>
        <w:t>B.6 Closing Statement</w:t>
      </w:r>
    </w:p>
    <w:p w14:paraId="1710D345" w14:textId="46D9B88E" w:rsidR="001D3315" w:rsidRPr="005A3967" w:rsidRDefault="001D3315" w:rsidP="001D3315">
      <w:pPr>
        <w:spacing w:line="360" w:lineRule="auto"/>
      </w:pPr>
      <w:r w:rsidRPr="005A3967">
        <w:t xml:space="preserve">“Those were the main questions I planned to ask. Is there anything else you'd like to share that we haven’t covered? Are there any internal reports, dashboards, or reference materials </w:t>
      </w:r>
      <w:r w:rsidR="007A3770" w:rsidRPr="005A3967">
        <w:t xml:space="preserve">that </w:t>
      </w:r>
      <w:r w:rsidRPr="005A3967">
        <w:t xml:space="preserve">you would recommend </w:t>
      </w:r>
      <w:r w:rsidR="007A3770" w:rsidRPr="005A3967">
        <w:t>reviewing</w:t>
      </w:r>
      <w:r w:rsidRPr="005A3967">
        <w:t>?</w:t>
      </w:r>
    </w:p>
    <w:p w14:paraId="7B85A9E5" w14:textId="77777777" w:rsidR="001D3315" w:rsidRPr="005A3967" w:rsidRDefault="001D3315" w:rsidP="001D3315">
      <w:pPr>
        <w:spacing w:line="360" w:lineRule="auto"/>
      </w:pPr>
      <w:r w:rsidRPr="005A3967">
        <w:t>Thank you again for your time and thoughtful contributions. If you’re interested, I’d be happy to send you a summary of the findings once the research is completed.”</w:t>
      </w:r>
    </w:p>
    <w:p w14:paraId="51D3C05C" w14:textId="0A2636B0" w:rsidR="001D3315" w:rsidRPr="005A3967" w:rsidRDefault="001D3315" w:rsidP="001D3315">
      <w:pPr>
        <w:spacing w:line="360" w:lineRule="auto"/>
      </w:pPr>
    </w:p>
    <w:p w14:paraId="4387612A" w14:textId="77777777" w:rsidR="001D3315" w:rsidRPr="005A3967" w:rsidRDefault="001D3315" w:rsidP="001D3315">
      <w:pPr>
        <w:spacing w:line="360" w:lineRule="auto"/>
        <w:rPr>
          <w:b/>
          <w:bCs/>
        </w:rPr>
      </w:pPr>
      <w:r w:rsidRPr="005A3967">
        <w:rPr>
          <w:b/>
          <w:bCs/>
        </w:rPr>
        <w:t>B.7 Interview Administration Protocol</w:t>
      </w:r>
    </w:p>
    <w:tbl>
      <w:tblPr>
        <w:tblStyle w:val="GridTable4-Accent2"/>
        <w:tblW w:w="9270" w:type="dxa"/>
        <w:tblLook w:val="04A0" w:firstRow="1" w:lastRow="0" w:firstColumn="1" w:lastColumn="0" w:noHBand="0" w:noVBand="1"/>
      </w:tblPr>
      <w:tblGrid>
        <w:gridCol w:w="1915"/>
        <w:gridCol w:w="7355"/>
      </w:tblGrid>
      <w:tr w:rsidR="001D3315" w:rsidRPr="005A3967" w14:paraId="053EBE3C" w14:textId="77777777" w:rsidTr="00BA58BC">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A756A2" w14:textId="77777777" w:rsidR="001D3315" w:rsidRPr="005A3967" w:rsidRDefault="001D3315" w:rsidP="00BA58BC">
            <w:pPr>
              <w:spacing w:line="276" w:lineRule="auto"/>
              <w:jc w:val="center"/>
              <w:rPr>
                <w:sz w:val="22"/>
                <w:szCs w:val="22"/>
              </w:rPr>
            </w:pPr>
            <w:r w:rsidRPr="005A3967">
              <w:rPr>
                <w:sz w:val="22"/>
                <w:szCs w:val="22"/>
              </w:rPr>
              <w:lastRenderedPageBreak/>
              <w:t>Parameter</w:t>
            </w:r>
          </w:p>
        </w:tc>
        <w:tc>
          <w:tcPr>
            <w:tcW w:w="0" w:type="auto"/>
            <w:vAlign w:val="center"/>
            <w:hideMark/>
          </w:tcPr>
          <w:p w14:paraId="1DB35E8B" w14:textId="77777777" w:rsidR="001D3315" w:rsidRPr="005A3967" w:rsidRDefault="001D3315" w:rsidP="00BA58BC">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Protocol</w:t>
            </w:r>
          </w:p>
        </w:tc>
      </w:tr>
      <w:tr w:rsidR="001D3315" w:rsidRPr="005A3967" w14:paraId="443C2577" w14:textId="77777777" w:rsidTr="00BA58B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14BF10" w14:textId="77777777" w:rsidR="001D3315" w:rsidRPr="005A3967" w:rsidRDefault="001D3315" w:rsidP="00BA58BC">
            <w:pPr>
              <w:spacing w:line="276" w:lineRule="auto"/>
              <w:rPr>
                <w:sz w:val="22"/>
                <w:szCs w:val="22"/>
              </w:rPr>
            </w:pPr>
            <w:r w:rsidRPr="005A3967">
              <w:rPr>
                <w:sz w:val="22"/>
                <w:szCs w:val="22"/>
              </w:rPr>
              <w:t>Duration</w:t>
            </w:r>
          </w:p>
        </w:tc>
        <w:tc>
          <w:tcPr>
            <w:tcW w:w="0" w:type="auto"/>
            <w:vAlign w:val="center"/>
            <w:hideMark/>
          </w:tcPr>
          <w:p w14:paraId="5DF2BCA6" w14:textId="77777777" w:rsidR="001D3315" w:rsidRPr="005A3967" w:rsidRDefault="001D3315"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Approximately 45–60 minutes</w:t>
            </w:r>
          </w:p>
        </w:tc>
      </w:tr>
      <w:tr w:rsidR="001D3315" w:rsidRPr="005A3967" w14:paraId="3F403714" w14:textId="77777777" w:rsidTr="00BA58BC">
        <w:trPr>
          <w:trHeight w:val="30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76150E" w14:textId="77777777" w:rsidR="001D3315" w:rsidRPr="005A3967" w:rsidRDefault="001D3315" w:rsidP="00BA58BC">
            <w:pPr>
              <w:spacing w:line="276" w:lineRule="auto"/>
              <w:rPr>
                <w:sz w:val="22"/>
                <w:szCs w:val="22"/>
              </w:rPr>
            </w:pPr>
            <w:r w:rsidRPr="005A3967">
              <w:rPr>
                <w:sz w:val="22"/>
                <w:szCs w:val="22"/>
              </w:rPr>
              <w:t>Format</w:t>
            </w:r>
          </w:p>
        </w:tc>
        <w:tc>
          <w:tcPr>
            <w:tcW w:w="0" w:type="auto"/>
            <w:vAlign w:val="center"/>
            <w:hideMark/>
          </w:tcPr>
          <w:p w14:paraId="1712973A" w14:textId="77777777" w:rsidR="001D3315" w:rsidRPr="005A3967" w:rsidRDefault="001D3315"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Semi-structured, one-on-one (in person or via Teams)</w:t>
            </w:r>
          </w:p>
        </w:tc>
      </w:tr>
      <w:tr w:rsidR="001D3315" w:rsidRPr="005A3967" w14:paraId="3FC8726C" w14:textId="77777777" w:rsidTr="00BA58BC">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8DDE26" w14:textId="77777777" w:rsidR="001D3315" w:rsidRPr="005A3967" w:rsidRDefault="001D3315" w:rsidP="00BA58BC">
            <w:pPr>
              <w:spacing w:line="276" w:lineRule="auto"/>
              <w:rPr>
                <w:sz w:val="22"/>
                <w:szCs w:val="22"/>
              </w:rPr>
            </w:pPr>
            <w:r w:rsidRPr="005A3967">
              <w:rPr>
                <w:sz w:val="22"/>
                <w:szCs w:val="22"/>
              </w:rPr>
              <w:t>Recording</w:t>
            </w:r>
          </w:p>
        </w:tc>
        <w:tc>
          <w:tcPr>
            <w:tcW w:w="0" w:type="auto"/>
            <w:vAlign w:val="center"/>
            <w:hideMark/>
          </w:tcPr>
          <w:p w14:paraId="66901026" w14:textId="77777777" w:rsidR="001D3315" w:rsidRPr="005A3967" w:rsidRDefault="001D3315"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Audio recorded with informed consent; deleted post-transcription</w:t>
            </w:r>
          </w:p>
        </w:tc>
      </w:tr>
      <w:tr w:rsidR="001D3315" w:rsidRPr="005A3967" w14:paraId="4C4E2B77" w14:textId="77777777" w:rsidTr="00BA58BC">
        <w:trPr>
          <w:trHeight w:val="30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DA734D" w14:textId="77777777" w:rsidR="001D3315" w:rsidRPr="005A3967" w:rsidRDefault="001D3315" w:rsidP="00BA58BC">
            <w:pPr>
              <w:spacing w:line="276" w:lineRule="auto"/>
              <w:rPr>
                <w:sz w:val="22"/>
                <w:szCs w:val="22"/>
              </w:rPr>
            </w:pPr>
            <w:r w:rsidRPr="005A3967">
              <w:rPr>
                <w:sz w:val="22"/>
                <w:szCs w:val="22"/>
              </w:rPr>
              <w:t>Confidentiality</w:t>
            </w:r>
          </w:p>
        </w:tc>
        <w:tc>
          <w:tcPr>
            <w:tcW w:w="0" w:type="auto"/>
            <w:vAlign w:val="center"/>
            <w:hideMark/>
          </w:tcPr>
          <w:p w14:paraId="6286112F" w14:textId="77777777" w:rsidR="001D3315" w:rsidRPr="005A3967" w:rsidRDefault="001D3315"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Full anonymisation for reporting and analysis</w:t>
            </w:r>
          </w:p>
        </w:tc>
      </w:tr>
      <w:tr w:rsidR="001D3315" w:rsidRPr="005A3967" w14:paraId="72373A50" w14:textId="77777777" w:rsidTr="00BA58B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E64394" w14:textId="77777777" w:rsidR="001D3315" w:rsidRPr="005A3967" w:rsidRDefault="001D3315" w:rsidP="00BA58BC">
            <w:pPr>
              <w:spacing w:line="276" w:lineRule="auto"/>
              <w:rPr>
                <w:sz w:val="22"/>
                <w:szCs w:val="22"/>
              </w:rPr>
            </w:pPr>
            <w:r w:rsidRPr="005A3967">
              <w:rPr>
                <w:sz w:val="22"/>
                <w:szCs w:val="22"/>
              </w:rPr>
              <w:t>Ethical Oversight</w:t>
            </w:r>
          </w:p>
        </w:tc>
        <w:tc>
          <w:tcPr>
            <w:tcW w:w="0" w:type="auto"/>
            <w:vAlign w:val="center"/>
            <w:hideMark/>
          </w:tcPr>
          <w:p w14:paraId="35BB6C51" w14:textId="77777777" w:rsidR="001D3315" w:rsidRPr="005A3967" w:rsidRDefault="001D3315"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Conducted under formal ethical approval from UWTSD</w:t>
            </w:r>
          </w:p>
        </w:tc>
      </w:tr>
      <w:tr w:rsidR="001D3315" w:rsidRPr="005A3967" w14:paraId="4736DCC4" w14:textId="77777777" w:rsidTr="00BA58BC">
        <w:trPr>
          <w:trHeight w:val="30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C4F590" w14:textId="77777777" w:rsidR="001D3315" w:rsidRPr="005A3967" w:rsidRDefault="001D3315" w:rsidP="00BA58BC">
            <w:pPr>
              <w:spacing w:line="276" w:lineRule="auto"/>
              <w:rPr>
                <w:sz w:val="22"/>
                <w:szCs w:val="22"/>
              </w:rPr>
            </w:pPr>
            <w:r w:rsidRPr="005A3967">
              <w:rPr>
                <w:sz w:val="22"/>
                <w:szCs w:val="22"/>
              </w:rPr>
              <w:t>Analytical Use</w:t>
            </w:r>
          </w:p>
        </w:tc>
        <w:tc>
          <w:tcPr>
            <w:tcW w:w="0" w:type="auto"/>
            <w:vAlign w:val="center"/>
            <w:hideMark/>
          </w:tcPr>
          <w:p w14:paraId="5E0D81BB" w14:textId="2989F0BC" w:rsidR="001D3315" w:rsidRPr="005A3967" w:rsidRDefault="001D3315"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Transcripts will undergo thematic analysis to identify patterns in</w:t>
            </w:r>
            <w:r w:rsidR="007A3770" w:rsidRPr="005A3967">
              <w:rPr>
                <w:sz w:val="22"/>
                <w:szCs w:val="22"/>
              </w:rPr>
              <w:t xml:space="preserve"> the following</w:t>
            </w:r>
            <w:r w:rsidRPr="005A3967">
              <w:rPr>
                <w:sz w:val="22"/>
                <w:szCs w:val="22"/>
              </w:rPr>
              <w:t>:</w:t>
            </w:r>
          </w:p>
        </w:tc>
      </w:tr>
      <w:tr w:rsidR="001D3315" w:rsidRPr="005A3967" w14:paraId="5D35620C" w14:textId="77777777" w:rsidTr="00BA58BC">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C03262" w14:textId="77777777" w:rsidR="001D3315" w:rsidRPr="005A3967" w:rsidRDefault="001D3315" w:rsidP="00BA58BC">
            <w:pPr>
              <w:spacing w:line="276" w:lineRule="auto"/>
              <w:rPr>
                <w:sz w:val="22"/>
                <w:szCs w:val="22"/>
              </w:rPr>
            </w:pPr>
          </w:p>
        </w:tc>
        <w:tc>
          <w:tcPr>
            <w:tcW w:w="0" w:type="auto"/>
            <w:vAlign w:val="center"/>
            <w:hideMark/>
          </w:tcPr>
          <w:p w14:paraId="4E5991A6" w14:textId="77777777" w:rsidR="001D3315" w:rsidRPr="005A3967" w:rsidRDefault="001D3315"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 Leadership support</w:t>
            </w:r>
          </w:p>
        </w:tc>
      </w:tr>
      <w:tr w:rsidR="001D3315" w:rsidRPr="005A3967" w14:paraId="4006D989" w14:textId="77777777" w:rsidTr="00BA58BC">
        <w:trPr>
          <w:trHeight w:val="3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FF50E8" w14:textId="77777777" w:rsidR="001D3315" w:rsidRPr="005A3967" w:rsidRDefault="001D3315" w:rsidP="00BA58BC">
            <w:pPr>
              <w:spacing w:line="276" w:lineRule="auto"/>
              <w:rPr>
                <w:sz w:val="22"/>
                <w:szCs w:val="22"/>
              </w:rPr>
            </w:pPr>
          </w:p>
        </w:tc>
        <w:tc>
          <w:tcPr>
            <w:tcW w:w="0" w:type="auto"/>
            <w:vAlign w:val="center"/>
            <w:hideMark/>
          </w:tcPr>
          <w:p w14:paraId="54CFB95C" w14:textId="77777777" w:rsidR="001D3315" w:rsidRPr="005A3967" w:rsidRDefault="001D3315"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 Cultural readiness</w:t>
            </w:r>
          </w:p>
        </w:tc>
      </w:tr>
      <w:tr w:rsidR="001D3315" w:rsidRPr="005A3967" w14:paraId="0A8E205C" w14:textId="77777777" w:rsidTr="00BA58BC">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D431D0" w14:textId="77777777" w:rsidR="001D3315" w:rsidRPr="005A3967" w:rsidRDefault="001D3315" w:rsidP="00BA58BC">
            <w:pPr>
              <w:spacing w:line="276" w:lineRule="auto"/>
              <w:rPr>
                <w:sz w:val="22"/>
                <w:szCs w:val="22"/>
              </w:rPr>
            </w:pPr>
          </w:p>
        </w:tc>
        <w:tc>
          <w:tcPr>
            <w:tcW w:w="0" w:type="auto"/>
            <w:vAlign w:val="center"/>
            <w:hideMark/>
          </w:tcPr>
          <w:p w14:paraId="2487D89F" w14:textId="77777777" w:rsidR="001D3315" w:rsidRPr="005A3967" w:rsidRDefault="001D3315"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 Structural barriers</w:t>
            </w:r>
          </w:p>
        </w:tc>
      </w:tr>
      <w:tr w:rsidR="001D3315" w:rsidRPr="005A3967" w14:paraId="6764596A" w14:textId="77777777" w:rsidTr="00BA58BC">
        <w:trPr>
          <w:trHeight w:val="30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7C1FAC" w14:textId="77777777" w:rsidR="001D3315" w:rsidRPr="005A3967" w:rsidRDefault="001D3315" w:rsidP="00BA58BC">
            <w:pPr>
              <w:spacing w:line="276" w:lineRule="auto"/>
              <w:rPr>
                <w:sz w:val="22"/>
                <w:szCs w:val="22"/>
              </w:rPr>
            </w:pPr>
          </w:p>
        </w:tc>
        <w:tc>
          <w:tcPr>
            <w:tcW w:w="0" w:type="auto"/>
            <w:vAlign w:val="center"/>
            <w:hideMark/>
          </w:tcPr>
          <w:p w14:paraId="79D7D070" w14:textId="77777777" w:rsidR="001D3315" w:rsidRPr="005A3967" w:rsidRDefault="001D3315"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 Enabling practices in analytics integration</w:t>
            </w:r>
          </w:p>
        </w:tc>
      </w:tr>
    </w:tbl>
    <w:p w14:paraId="45CF0D2E" w14:textId="77777777" w:rsidR="001D3315" w:rsidRPr="005A3967" w:rsidRDefault="001D3315" w:rsidP="001D3315"/>
    <w:p w14:paraId="3C9B45B1" w14:textId="77777777" w:rsidR="001D3315" w:rsidRPr="005A3967" w:rsidRDefault="001D3315" w:rsidP="001D3315"/>
    <w:p w14:paraId="567C5B10" w14:textId="77777777" w:rsidR="00620D01" w:rsidRPr="005A3967" w:rsidRDefault="00620D01" w:rsidP="00CB61A2">
      <w:pPr>
        <w:rPr>
          <w:sz w:val="28"/>
          <w:szCs w:val="28"/>
        </w:rPr>
      </w:pPr>
      <w:r w:rsidRPr="005A3967">
        <w:rPr>
          <w:rStyle w:val="Strong"/>
          <w:rFonts w:eastAsiaTheme="majorEastAsia"/>
          <w:b w:val="0"/>
          <w:bCs w:val="0"/>
          <w:sz w:val="28"/>
          <w:szCs w:val="28"/>
        </w:rPr>
        <w:t>Appendix B.1: Interview Structure Overview Table</w:t>
      </w:r>
    </w:p>
    <w:p w14:paraId="4072CA7B" w14:textId="45F14DEC" w:rsidR="004161DC" w:rsidRPr="005A3967" w:rsidRDefault="0002751E" w:rsidP="004161DC">
      <w:pPr>
        <w:spacing w:before="100" w:beforeAutospacing="1" w:after="100" w:afterAutospacing="1" w:line="360" w:lineRule="auto"/>
      </w:pPr>
      <w:r>
        <w:t>Tables</w:t>
      </w:r>
      <w:r w:rsidR="000C5569" w:rsidRPr="005A3967">
        <w:t xml:space="preserve"> BI.1 and B1.2 </w:t>
      </w:r>
      <w:r w:rsidR="004161DC" w:rsidRPr="005A3967">
        <w:t xml:space="preserve">will provide a high-level overview of the </w:t>
      </w:r>
      <w:r w:rsidR="004161DC" w:rsidRPr="005A3967">
        <w:rPr>
          <w:b/>
          <w:bCs/>
        </w:rPr>
        <w:t>thematic areas</w:t>
      </w:r>
      <w:r w:rsidR="004161DC" w:rsidRPr="005A3967">
        <w:t xml:space="preserve"> to be explored during the semi-structured interviews. Each theme will be aligned with a </w:t>
      </w:r>
      <w:r w:rsidR="004161DC" w:rsidRPr="005A3967">
        <w:rPr>
          <w:b/>
          <w:bCs/>
        </w:rPr>
        <w:t>specific focus</w:t>
      </w:r>
      <w:r w:rsidR="004161DC" w:rsidRPr="005A3967">
        <w:t xml:space="preserve"> area and supported by </w:t>
      </w:r>
      <w:r w:rsidR="004161DC" w:rsidRPr="005A3967">
        <w:rPr>
          <w:b/>
          <w:bCs/>
        </w:rPr>
        <w:t>representative prompts</w:t>
      </w:r>
      <w:r w:rsidR="004161DC" w:rsidRPr="005A3967">
        <w:t xml:space="preserve"> designed to elicit meaningful insights from participants regarding the integration of predictive analytics at SSE PLC.</w:t>
      </w:r>
    </w:p>
    <w:p w14:paraId="5D56FCBA" w14:textId="7A7032B8" w:rsidR="004161DC" w:rsidRPr="005A3967" w:rsidRDefault="004161DC" w:rsidP="004161DC">
      <w:pPr>
        <w:spacing w:before="100" w:beforeAutospacing="1" w:after="100" w:afterAutospacing="1" w:line="360" w:lineRule="auto"/>
        <w:rPr>
          <w:b/>
          <w:bCs/>
        </w:rPr>
      </w:pPr>
      <w:r w:rsidRPr="005A3967">
        <w:rPr>
          <w:b/>
          <w:bCs/>
        </w:rPr>
        <w:t>Table B1.1: Interview Themes and Sample Prompts</w:t>
      </w:r>
    </w:p>
    <w:tbl>
      <w:tblPr>
        <w:tblStyle w:val="GridTable4-Accent2"/>
        <w:tblW w:w="0" w:type="auto"/>
        <w:tblLook w:val="04A0" w:firstRow="1" w:lastRow="0" w:firstColumn="1" w:lastColumn="0" w:noHBand="0" w:noVBand="1"/>
      </w:tblPr>
      <w:tblGrid>
        <w:gridCol w:w="2204"/>
        <w:gridCol w:w="2948"/>
        <w:gridCol w:w="3864"/>
      </w:tblGrid>
      <w:tr w:rsidR="004161DC" w:rsidRPr="005A3967" w14:paraId="58983EA2" w14:textId="77777777" w:rsidTr="004161DC">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CEB5C4" w14:textId="77777777" w:rsidR="004161DC" w:rsidRPr="005A3967" w:rsidRDefault="004161DC" w:rsidP="00BA58BC">
            <w:pPr>
              <w:spacing w:before="100" w:beforeAutospacing="1" w:after="100" w:afterAutospacing="1" w:line="276" w:lineRule="auto"/>
              <w:jc w:val="center"/>
              <w:rPr>
                <w:sz w:val="22"/>
                <w:szCs w:val="22"/>
              </w:rPr>
            </w:pPr>
            <w:r w:rsidRPr="005A3967">
              <w:rPr>
                <w:sz w:val="22"/>
                <w:szCs w:val="22"/>
              </w:rPr>
              <w:t>Theme</w:t>
            </w:r>
          </w:p>
        </w:tc>
        <w:tc>
          <w:tcPr>
            <w:tcW w:w="0" w:type="auto"/>
            <w:vAlign w:val="center"/>
            <w:hideMark/>
          </w:tcPr>
          <w:p w14:paraId="2B1FD4F4" w14:textId="77777777" w:rsidR="004161DC" w:rsidRPr="005A3967" w:rsidRDefault="004161DC" w:rsidP="00BA58B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Focus Area</w:t>
            </w:r>
          </w:p>
        </w:tc>
        <w:tc>
          <w:tcPr>
            <w:tcW w:w="0" w:type="auto"/>
            <w:vAlign w:val="center"/>
            <w:hideMark/>
          </w:tcPr>
          <w:p w14:paraId="7F3969AE" w14:textId="77777777" w:rsidR="004161DC" w:rsidRPr="005A3967" w:rsidRDefault="004161DC" w:rsidP="00BA58B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Sample Interview Prompt</w:t>
            </w:r>
          </w:p>
        </w:tc>
      </w:tr>
      <w:tr w:rsidR="004161DC" w:rsidRPr="005A3967" w14:paraId="0BB2D6DE" w14:textId="77777777" w:rsidTr="00416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A7A172" w14:textId="77777777" w:rsidR="004161DC" w:rsidRPr="005A3967" w:rsidRDefault="004161DC" w:rsidP="00BA58BC">
            <w:pPr>
              <w:spacing w:before="100" w:beforeAutospacing="1" w:after="100" w:afterAutospacing="1" w:line="276" w:lineRule="auto"/>
              <w:rPr>
                <w:sz w:val="22"/>
                <w:szCs w:val="22"/>
              </w:rPr>
            </w:pPr>
            <w:r w:rsidRPr="005A3967">
              <w:rPr>
                <w:sz w:val="22"/>
                <w:szCs w:val="22"/>
              </w:rPr>
              <w:t>Predictive Analytics Usage</w:t>
            </w:r>
          </w:p>
        </w:tc>
        <w:tc>
          <w:tcPr>
            <w:tcW w:w="0" w:type="auto"/>
            <w:vAlign w:val="center"/>
            <w:hideMark/>
          </w:tcPr>
          <w:p w14:paraId="30E96F07" w14:textId="77777777" w:rsidR="004161DC" w:rsidRPr="005A3967" w:rsidRDefault="004161DC" w:rsidP="00BA58BC">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Day-to-day or strategic use of analytics tools</w:t>
            </w:r>
          </w:p>
        </w:tc>
        <w:tc>
          <w:tcPr>
            <w:tcW w:w="0" w:type="auto"/>
            <w:vAlign w:val="center"/>
            <w:hideMark/>
          </w:tcPr>
          <w:p w14:paraId="06552681" w14:textId="77777777" w:rsidR="004161DC" w:rsidRPr="005A3967" w:rsidRDefault="004161DC" w:rsidP="00BA58BC">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“Can you describe how predictive analytics is currently being used in your role or team?”</w:t>
            </w:r>
          </w:p>
        </w:tc>
      </w:tr>
      <w:tr w:rsidR="004161DC" w:rsidRPr="005A3967" w14:paraId="6E58304E" w14:textId="77777777" w:rsidTr="004161D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E9B85F" w14:textId="77777777" w:rsidR="004161DC" w:rsidRPr="005A3967" w:rsidRDefault="004161DC" w:rsidP="00BA58BC">
            <w:pPr>
              <w:spacing w:before="100" w:beforeAutospacing="1" w:after="100" w:afterAutospacing="1" w:line="276" w:lineRule="auto"/>
              <w:rPr>
                <w:sz w:val="22"/>
                <w:szCs w:val="22"/>
              </w:rPr>
            </w:pPr>
            <w:r w:rsidRPr="005A3967">
              <w:rPr>
                <w:sz w:val="22"/>
                <w:szCs w:val="22"/>
              </w:rPr>
              <w:t>Marketing and Customer Insight</w:t>
            </w:r>
          </w:p>
        </w:tc>
        <w:tc>
          <w:tcPr>
            <w:tcW w:w="0" w:type="auto"/>
            <w:vAlign w:val="center"/>
            <w:hideMark/>
          </w:tcPr>
          <w:p w14:paraId="2F52F76B" w14:textId="77777777" w:rsidR="004161DC" w:rsidRPr="005A3967" w:rsidRDefault="004161DC" w:rsidP="00BA58BC">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Perceived marketing improvements via analytics</w:t>
            </w:r>
          </w:p>
        </w:tc>
        <w:tc>
          <w:tcPr>
            <w:tcW w:w="0" w:type="auto"/>
            <w:vAlign w:val="center"/>
            <w:hideMark/>
          </w:tcPr>
          <w:p w14:paraId="1CEA94B9" w14:textId="77777777" w:rsidR="004161DC" w:rsidRPr="005A3967" w:rsidRDefault="004161DC" w:rsidP="00BA58BC">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“Have you seen predictive analytics improve customer targeting or campaign results?”</w:t>
            </w:r>
          </w:p>
        </w:tc>
      </w:tr>
      <w:tr w:rsidR="004161DC" w:rsidRPr="005A3967" w14:paraId="546CAB9D" w14:textId="77777777" w:rsidTr="00416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421BE4" w14:textId="77777777" w:rsidR="004161DC" w:rsidRPr="005A3967" w:rsidRDefault="004161DC" w:rsidP="00BA58BC">
            <w:pPr>
              <w:spacing w:before="100" w:beforeAutospacing="1" w:after="100" w:afterAutospacing="1" w:line="276" w:lineRule="auto"/>
              <w:rPr>
                <w:sz w:val="22"/>
                <w:szCs w:val="22"/>
              </w:rPr>
            </w:pPr>
            <w:r w:rsidRPr="005A3967">
              <w:rPr>
                <w:sz w:val="22"/>
                <w:szCs w:val="22"/>
              </w:rPr>
              <w:t>Decision-Making Quality</w:t>
            </w:r>
          </w:p>
        </w:tc>
        <w:tc>
          <w:tcPr>
            <w:tcW w:w="0" w:type="auto"/>
            <w:vAlign w:val="center"/>
            <w:hideMark/>
          </w:tcPr>
          <w:p w14:paraId="2B34E7E6" w14:textId="77777777" w:rsidR="004161DC" w:rsidRPr="005A3967" w:rsidRDefault="004161DC" w:rsidP="00BA58BC">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Impact on decision speed, confidence, and outcome</w:t>
            </w:r>
          </w:p>
        </w:tc>
        <w:tc>
          <w:tcPr>
            <w:tcW w:w="0" w:type="auto"/>
            <w:vAlign w:val="center"/>
            <w:hideMark/>
          </w:tcPr>
          <w:p w14:paraId="27B135E0" w14:textId="77777777" w:rsidR="004161DC" w:rsidRPr="005A3967" w:rsidRDefault="004161DC" w:rsidP="00BA58BC">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“Can you recall a time when analytics improved the outcome of a business decision?”</w:t>
            </w:r>
          </w:p>
        </w:tc>
      </w:tr>
      <w:tr w:rsidR="004161DC" w:rsidRPr="005A3967" w14:paraId="5BB04DA6" w14:textId="77777777" w:rsidTr="004161D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008CAF" w14:textId="77777777" w:rsidR="004161DC" w:rsidRPr="005A3967" w:rsidRDefault="004161DC" w:rsidP="00BA58BC">
            <w:pPr>
              <w:spacing w:before="100" w:beforeAutospacing="1" w:after="100" w:afterAutospacing="1" w:line="276" w:lineRule="auto"/>
              <w:rPr>
                <w:sz w:val="22"/>
                <w:szCs w:val="22"/>
              </w:rPr>
            </w:pPr>
            <w:r w:rsidRPr="005A3967">
              <w:rPr>
                <w:sz w:val="22"/>
                <w:szCs w:val="22"/>
              </w:rPr>
              <w:t>Data Accessibility and Quality</w:t>
            </w:r>
          </w:p>
        </w:tc>
        <w:tc>
          <w:tcPr>
            <w:tcW w:w="0" w:type="auto"/>
            <w:vAlign w:val="center"/>
            <w:hideMark/>
          </w:tcPr>
          <w:p w14:paraId="78220FEE" w14:textId="77777777" w:rsidR="004161DC" w:rsidRPr="005A3967" w:rsidRDefault="004161DC" w:rsidP="00BA58BC">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Barriers or enablers in data infrastructure</w:t>
            </w:r>
          </w:p>
        </w:tc>
        <w:tc>
          <w:tcPr>
            <w:tcW w:w="0" w:type="auto"/>
            <w:vAlign w:val="center"/>
            <w:hideMark/>
          </w:tcPr>
          <w:p w14:paraId="4DCA0F0D" w14:textId="77777777" w:rsidR="004161DC" w:rsidRPr="005A3967" w:rsidRDefault="004161DC" w:rsidP="00BA58BC">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“What challenges do you face in accessing reliable data to support analytics?”</w:t>
            </w:r>
          </w:p>
        </w:tc>
      </w:tr>
      <w:tr w:rsidR="004161DC" w:rsidRPr="005A3967" w14:paraId="7CE94CA1" w14:textId="77777777" w:rsidTr="00416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9FB0AD" w14:textId="77777777" w:rsidR="004161DC" w:rsidRPr="005A3967" w:rsidRDefault="004161DC" w:rsidP="00BA58BC">
            <w:pPr>
              <w:spacing w:before="100" w:beforeAutospacing="1" w:after="100" w:afterAutospacing="1" w:line="276" w:lineRule="auto"/>
              <w:rPr>
                <w:sz w:val="22"/>
                <w:szCs w:val="22"/>
              </w:rPr>
            </w:pPr>
            <w:r w:rsidRPr="005A3967">
              <w:rPr>
                <w:sz w:val="22"/>
                <w:szCs w:val="22"/>
              </w:rPr>
              <w:t>Cultural Readiness</w:t>
            </w:r>
          </w:p>
        </w:tc>
        <w:tc>
          <w:tcPr>
            <w:tcW w:w="0" w:type="auto"/>
            <w:vAlign w:val="center"/>
            <w:hideMark/>
          </w:tcPr>
          <w:p w14:paraId="2A498862" w14:textId="77777777" w:rsidR="004161DC" w:rsidRPr="005A3967" w:rsidRDefault="004161DC" w:rsidP="00BA58BC">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Organisational attitudes toward data-driven strategies</w:t>
            </w:r>
          </w:p>
        </w:tc>
        <w:tc>
          <w:tcPr>
            <w:tcW w:w="0" w:type="auto"/>
            <w:vAlign w:val="center"/>
            <w:hideMark/>
          </w:tcPr>
          <w:p w14:paraId="6201DF88" w14:textId="77777777" w:rsidR="004161DC" w:rsidRPr="005A3967" w:rsidRDefault="004161DC" w:rsidP="00BA58BC">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“How would you describe your team’s or department’s attitude toward using data in decisions?”</w:t>
            </w:r>
          </w:p>
        </w:tc>
      </w:tr>
      <w:tr w:rsidR="004161DC" w:rsidRPr="005A3967" w14:paraId="3ACCFFFB" w14:textId="77777777" w:rsidTr="004161D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2DAFBB" w14:textId="77777777" w:rsidR="004161DC" w:rsidRPr="005A3967" w:rsidRDefault="004161DC" w:rsidP="00BA58BC">
            <w:pPr>
              <w:spacing w:before="100" w:beforeAutospacing="1" w:after="100" w:afterAutospacing="1" w:line="276" w:lineRule="auto"/>
              <w:rPr>
                <w:sz w:val="22"/>
                <w:szCs w:val="22"/>
              </w:rPr>
            </w:pPr>
            <w:r w:rsidRPr="005A3967">
              <w:rPr>
                <w:sz w:val="22"/>
                <w:szCs w:val="22"/>
              </w:rPr>
              <w:t>Leadership Support</w:t>
            </w:r>
          </w:p>
        </w:tc>
        <w:tc>
          <w:tcPr>
            <w:tcW w:w="0" w:type="auto"/>
            <w:vAlign w:val="center"/>
            <w:hideMark/>
          </w:tcPr>
          <w:p w14:paraId="7CBB5A58" w14:textId="77777777" w:rsidR="004161DC" w:rsidRPr="005A3967" w:rsidRDefault="004161DC" w:rsidP="00BA58BC">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Visibility and prioritisation from executive leadership</w:t>
            </w:r>
          </w:p>
        </w:tc>
        <w:tc>
          <w:tcPr>
            <w:tcW w:w="0" w:type="auto"/>
            <w:vAlign w:val="center"/>
            <w:hideMark/>
          </w:tcPr>
          <w:p w14:paraId="3A85D1C3" w14:textId="77777777" w:rsidR="004161DC" w:rsidRPr="005A3967" w:rsidRDefault="004161DC" w:rsidP="00BA58BC">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“What signals have you seen from leadership that show commitment to analytics adoption?”</w:t>
            </w:r>
          </w:p>
        </w:tc>
      </w:tr>
      <w:tr w:rsidR="004161DC" w:rsidRPr="005A3967" w14:paraId="53D36B3A" w14:textId="77777777" w:rsidTr="00416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85075D" w14:textId="77777777" w:rsidR="004161DC" w:rsidRPr="005A3967" w:rsidRDefault="004161DC" w:rsidP="00BA58BC">
            <w:pPr>
              <w:spacing w:before="100" w:beforeAutospacing="1" w:after="100" w:afterAutospacing="1" w:line="276" w:lineRule="auto"/>
              <w:rPr>
                <w:sz w:val="22"/>
                <w:szCs w:val="22"/>
              </w:rPr>
            </w:pPr>
            <w:r w:rsidRPr="005A3967">
              <w:rPr>
                <w:sz w:val="22"/>
                <w:szCs w:val="22"/>
              </w:rPr>
              <w:t>Skills and Capability Gaps</w:t>
            </w:r>
          </w:p>
        </w:tc>
        <w:tc>
          <w:tcPr>
            <w:tcW w:w="0" w:type="auto"/>
            <w:vAlign w:val="center"/>
            <w:hideMark/>
          </w:tcPr>
          <w:p w14:paraId="3B786A0E" w14:textId="77777777" w:rsidR="004161DC" w:rsidRPr="005A3967" w:rsidRDefault="004161DC" w:rsidP="00BA58BC">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Training, literacy, and confidence in using predictive analytics</w:t>
            </w:r>
          </w:p>
        </w:tc>
        <w:tc>
          <w:tcPr>
            <w:tcW w:w="0" w:type="auto"/>
            <w:vAlign w:val="center"/>
            <w:hideMark/>
          </w:tcPr>
          <w:p w14:paraId="15896AD0" w14:textId="77777777" w:rsidR="004161DC" w:rsidRPr="005A3967" w:rsidRDefault="004161DC" w:rsidP="00BA58BC">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“Do you feel staff have the necessary skills or support to work with predictive analytics?”</w:t>
            </w:r>
          </w:p>
        </w:tc>
      </w:tr>
      <w:tr w:rsidR="004161DC" w:rsidRPr="005A3967" w14:paraId="37A6D7EB" w14:textId="77777777" w:rsidTr="004161D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C57CB7" w14:textId="77777777" w:rsidR="004161DC" w:rsidRPr="005A3967" w:rsidRDefault="004161DC" w:rsidP="00BA58BC">
            <w:pPr>
              <w:spacing w:before="100" w:beforeAutospacing="1" w:after="100" w:afterAutospacing="1" w:line="276" w:lineRule="auto"/>
              <w:rPr>
                <w:sz w:val="22"/>
                <w:szCs w:val="22"/>
              </w:rPr>
            </w:pPr>
            <w:r w:rsidRPr="005A3967">
              <w:rPr>
                <w:sz w:val="22"/>
                <w:szCs w:val="22"/>
              </w:rPr>
              <w:lastRenderedPageBreak/>
              <w:t>Organisational Barriers</w:t>
            </w:r>
          </w:p>
        </w:tc>
        <w:tc>
          <w:tcPr>
            <w:tcW w:w="0" w:type="auto"/>
            <w:vAlign w:val="center"/>
            <w:hideMark/>
          </w:tcPr>
          <w:p w14:paraId="634E60DB" w14:textId="77777777" w:rsidR="004161DC" w:rsidRPr="005A3967" w:rsidRDefault="004161DC" w:rsidP="00BA58BC">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Structural, cultural, or resource-related obstacles</w:t>
            </w:r>
          </w:p>
        </w:tc>
        <w:tc>
          <w:tcPr>
            <w:tcW w:w="0" w:type="auto"/>
            <w:vAlign w:val="center"/>
            <w:hideMark/>
          </w:tcPr>
          <w:p w14:paraId="50E68C72" w14:textId="77777777" w:rsidR="004161DC" w:rsidRPr="005A3967" w:rsidRDefault="004161DC" w:rsidP="00BA58BC">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“What are the biggest challenges you see in scaling predictive analytics across the company?”</w:t>
            </w:r>
          </w:p>
        </w:tc>
      </w:tr>
      <w:tr w:rsidR="004161DC" w:rsidRPr="005A3967" w14:paraId="2C159320" w14:textId="77777777" w:rsidTr="00416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B6186F" w14:textId="77777777" w:rsidR="004161DC" w:rsidRPr="005A3967" w:rsidRDefault="004161DC" w:rsidP="00BA58BC">
            <w:pPr>
              <w:spacing w:before="100" w:beforeAutospacing="1" w:after="100" w:afterAutospacing="1" w:line="276" w:lineRule="auto"/>
              <w:rPr>
                <w:sz w:val="22"/>
                <w:szCs w:val="22"/>
              </w:rPr>
            </w:pPr>
            <w:r w:rsidRPr="005A3967">
              <w:rPr>
                <w:sz w:val="22"/>
                <w:szCs w:val="22"/>
              </w:rPr>
              <w:t>Successes and Lessons Learned</w:t>
            </w:r>
          </w:p>
        </w:tc>
        <w:tc>
          <w:tcPr>
            <w:tcW w:w="0" w:type="auto"/>
            <w:vAlign w:val="center"/>
            <w:hideMark/>
          </w:tcPr>
          <w:p w14:paraId="62D4076E" w14:textId="77777777" w:rsidR="004161DC" w:rsidRPr="005A3967" w:rsidRDefault="004161DC" w:rsidP="00BA58BC">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Examples of effective (or ineffective) analytics initiatives</w:t>
            </w:r>
          </w:p>
        </w:tc>
        <w:tc>
          <w:tcPr>
            <w:tcW w:w="0" w:type="auto"/>
            <w:vAlign w:val="center"/>
            <w:hideMark/>
          </w:tcPr>
          <w:p w14:paraId="7B2DEE22" w14:textId="77777777" w:rsidR="004161DC" w:rsidRPr="005A3967" w:rsidRDefault="004161DC" w:rsidP="00BA58BC">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“Can you share a successful predictive analytics initiative you’ve been involved in?”</w:t>
            </w:r>
          </w:p>
        </w:tc>
      </w:tr>
    </w:tbl>
    <w:p w14:paraId="4DB9DB67" w14:textId="5154D4DE" w:rsidR="00620D01" w:rsidRPr="005A3967" w:rsidRDefault="00620D01" w:rsidP="00620D01">
      <w:pPr>
        <w:spacing w:before="100" w:beforeAutospacing="1" w:after="100" w:afterAutospacing="1" w:line="360" w:lineRule="auto"/>
      </w:pPr>
      <w:r w:rsidRPr="005A3967">
        <w:rPr>
          <w:rStyle w:val="Strong"/>
          <w:rFonts w:eastAsiaTheme="majorEastAsia"/>
        </w:rPr>
        <w:t>Table B1.</w:t>
      </w:r>
      <w:r w:rsidR="004161DC" w:rsidRPr="005A3967">
        <w:rPr>
          <w:rStyle w:val="Strong"/>
          <w:rFonts w:eastAsiaTheme="majorEastAsia"/>
        </w:rPr>
        <w:t>2</w:t>
      </w:r>
      <w:r w:rsidRPr="005A3967">
        <w:rPr>
          <w:rStyle w:val="Strong"/>
          <w:rFonts w:eastAsiaTheme="majorEastAsia"/>
        </w:rPr>
        <w:t xml:space="preserve"> Thematic Areas, Inquiry Focus, and Sample Prompts</w:t>
      </w:r>
    </w:p>
    <w:tbl>
      <w:tblPr>
        <w:tblStyle w:val="GridTable4-Accent2"/>
        <w:tblW w:w="0" w:type="auto"/>
        <w:tblLook w:val="04A0" w:firstRow="1" w:lastRow="0" w:firstColumn="1" w:lastColumn="0" w:noHBand="0" w:noVBand="1"/>
      </w:tblPr>
      <w:tblGrid>
        <w:gridCol w:w="2383"/>
        <w:gridCol w:w="3074"/>
        <w:gridCol w:w="3559"/>
      </w:tblGrid>
      <w:tr w:rsidR="00620D01" w:rsidRPr="005A3967" w14:paraId="7DC35442" w14:textId="77777777" w:rsidTr="00BA58BC">
        <w:trPr>
          <w:cnfStyle w:val="100000000000" w:firstRow="1" w:lastRow="0" w:firstColumn="0" w:lastColumn="0" w:oddVBand="0" w:evenVBand="0" w:oddHBand="0"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22D21C" w14:textId="77777777" w:rsidR="00620D01" w:rsidRPr="005A3967" w:rsidRDefault="00620D01" w:rsidP="00BA58BC">
            <w:pPr>
              <w:spacing w:line="276" w:lineRule="auto"/>
              <w:jc w:val="center"/>
              <w:rPr>
                <w:b w:val="0"/>
                <w:bCs w:val="0"/>
                <w:sz w:val="22"/>
                <w:szCs w:val="22"/>
              </w:rPr>
            </w:pPr>
            <w:r w:rsidRPr="005A3967">
              <w:rPr>
                <w:rStyle w:val="Strong"/>
                <w:rFonts w:eastAsiaTheme="majorEastAsia"/>
                <w:b/>
                <w:bCs/>
                <w:sz w:val="22"/>
                <w:szCs w:val="22"/>
              </w:rPr>
              <w:t>Thematic Area</w:t>
            </w:r>
          </w:p>
        </w:tc>
        <w:tc>
          <w:tcPr>
            <w:tcW w:w="0" w:type="auto"/>
            <w:vAlign w:val="center"/>
            <w:hideMark/>
          </w:tcPr>
          <w:p w14:paraId="48E37841" w14:textId="77777777" w:rsidR="00620D01" w:rsidRPr="005A3967" w:rsidRDefault="00620D01" w:rsidP="00BA58BC">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5A3967">
              <w:rPr>
                <w:rStyle w:val="Strong"/>
                <w:rFonts w:eastAsiaTheme="majorEastAsia"/>
                <w:b/>
                <w:bCs/>
                <w:sz w:val="22"/>
                <w:szCs w:val="22"/>
              </w:rPr>
              <w:t>Focus of Inquiry</w:t>
            </w:r>
          </w:p>
        </w:tc>
        <w:tc>
          <w:tcPr>
            <w:tcW w:w="0" w:type="auto"/>
            <w:vAlign w:val="center"/>
            <w:hideMark/>
          </w:tcPr>
          <w:p w14:paraId="598927A9" w14:textId="77777777" w:rsidR="00620D01" w:rsidRPr="005A3967" w:rsidRDefault="00620D01" w:rsidP="00BA58BC">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5A3967">
              <w:rPr>
                <w:rStyle w:val="Strong"/>
                <w:rFonts w:eastAsiaTheme="majorEastAsia"/>
                <w:b/>
                <w:bCs/>
                <w:sz w:val="22"/>
                <w:szCs w:val="22"/>
              </w:rPr>
              <w:t>Example Prompt</w:t>
            </w:r>
          </w:p>
        </w:tc>
      </w:tr>
      <w:tr w:rsidR="00620D01" w:rsidRPr="005A3967" w14:paraId="39C94F04" w14:textId="77777777" w:rsidTr="00620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846E53" w14:textId="77777777" w:rsidR="00620D01" w:rsidRPr="005A3967" w:rsidRDefault="00620D01" w:rsidP="00BA58BC">
            <w:pPr>
              <w:spacing w:line="276" w:lineRule="auto"/>
              <w:rPr>
                <w:b w:val="0"/>
                <w:bCs w:val="0"/>
                <w:sz w:val="22"/>
                <w:szCs w:val="22"/>
              </w:rPr>
            </w:pPr>
            <w:r w:rsidRPr="005A3967">
              <w:rPr>
                <w:sz w:val="22"/>
                <w:szCs w:val="22"/>
              </w:rPr>
              <w:t>Use of Analytics in Role</w:t>
            </w:r>
          </w:p>
        </w:tc>
        <w:tc>
          <w:tcPr>
            <w:tcW w:w="0" w:type="auto"/>
            <w:vAlign w:val="center"/>
            <w:hideMark/>
          </w:tcPr>
          <w:p w14:paraId="788933DA"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Day-to-day usage of analytics, examples from practice</w:t>
            </w:r>
          </w:p>
        </w:tc>
        <w:tc>
          <w:tcPr>
            <w:tcW w:w="0" w:type="auto"/>
            <w:vAlign w:val="center"/>
            <w:hideMark/>
          </w:tcPr>
          <w:p w14:paraId="429719E5"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Describe how you use predictive analytics in your role.</w:t>
            </w:r>
          </w:p>
        </w:tc>
      </w:tr>
      <w:tr w:rsidR="00620D01" w:rsidRPr="005A3967" w14:paraId="390FEEE6" w14:textId="77777777" w:rsidTr="00620D0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E92AB6" w14:textId="77777777" w:rsidR="00620D01" w:rsidRPr="005A3967" w:rsidRDefault="00620D01" w:rsidP="00BA58BC">
            <w:pPr>
              <w:spacing w:line="276" w:lineRule="auto"/>
              <w:rPr>
                <w:sz w:val="22"/>
                <w:szCs w:val="22"/>
              </w:rPr>
            </w:pPr>
            <w:r w:rsidRPr="005A3967">
              <w:rPr>
                <w:sz w:val="22"/>
                <w:szCs w:val="22"/>
              </w:rPr>
              <w:t>Marketing Analytics Impact</w:t>
            </w:r>
          </w:p>
        </w:tc>
        <w:tc>
          <w:tcPr>
            <w:tcW w:w="0" w:type="auto"/>
            <w:vAlign w:val="center"/>
            <w:hideMark/>
          </w:tcPr>
          <w:p w14:paraId="5E187549"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Marketing performance, tools, and segmentation</w:t>
            </w:r>
          </w:p>
        </w:tc>
        <w:tc>
          <w:tcPr>
            <w:tcW w:w="0" w:type="auto"/>
            <w:vAlign w:val="center"/>
            <w:hideMark/>
          </w:tcPr>
          <w:p w14:paraId="6B586462"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Has predictive analytics influenced customer targeting?</w:t>
            </w:r>
          </w:p>
        </w:tc>
      </w:tr>
      <w:tr w:rsidR="00620D01" w:rsidRPr="005A3967" w14:paraId="1F6493EE" w14:textId="77777777" w:rsidTr="00620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4CCB97" w14:textId="77777777" w:rsidR="00620D01" w:rsidRPr="005A3967" w:rsidRDefault="00620D01" w:rsidP="00BA58BC">
            <w:pPr>
              <w:spacing w:line="276" w:lineRule="auto"/>
              <w:rPr>
                <w:sz w:val="22"/>
                <w:szCs w:val="22"/>
              </w:rPr>
            </w:pPr>
            <w:r w:rsidRPr="005A3967">
              <w:rPr>
                <w:sz w:val="22"/>
                <w:szCs w:val="22"/>
              </w:rPr>
              <w:t>Decision Effectiveness</w:t>
            </w:r>
          </w:p>
        </w:tc>
        <w:tc>
          <w:tcPr>
            <w:tcW w:w="0" w:type="auto"/>
            <w:vAlign w:val="center"/>
            <w:hideMark/>
          </w:tcPr>
          <w:p w14:paraId="242B381F"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Comparing intuition-based and data-informed decisions</w:t>
            </w:r>
          </w:p>
        </w:tc>
        <w:tc>
          <w:tcPr>
            <w:tcW w:w="0" w:type="auto"/>
            <w:vAlign w:val="center"/>
            <w:hideMark/>
          </w:tcPr>
          <w:p w14:paraId="2914D60E"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Can you recall a decision that succeeded or failed due to analytics?</w:t>
            </w:r>
          </w:p>
        </w:tc>
      </w:tr>
      <w:tr w:rsidR="00620D01" w:rsidRPr="005A3967" w14:paraId="0BB28763" w14:textId="77777777" w:rsidTr="00620D0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8BD7D1" w14:textId="77777777" w:rsidR="00620D01" w:rsidRPr="005A3967" w:rsidRDefault="00620D01" w:rsidP="00BA58BC">
            <w:pPr>
              <w:spacing w:line="276" w:lineRule="auto"/>
              <w:rPr>
                <w:sz w:val="22"/>
                <w:szCs w:val="22"/>
              </w:rPr>
            </w:pPr>
            <w:r w:rsidRPr="005A3967">
              <w:rPr>
                <w:sz w:val="22"/>
                <w:szCs w:val="22"/>
              </w:rPr>
              <w:t>Data Support and Challenges</w:t>
            </w:r>
          </w:p>
        </w:tc>
        <w:tc>
          <w:tcPr>
            <w:tcW w:w="0" w:type="auto"/>
            <w:vAlign w:val="center"/>
            <w:hideMark/>
          </w:tcPr>
          <w:p w14:paraId="3FE35C45"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Accessibility, quality, and governance of data</w:t>
            </w:r>
          </w:p>
        </w:tc>
        <w:tc>
          <w:tcPr>
            <w:tcW w:w="0" w:type="auto"/>
            <w:vAlign w:val="center"/>
            <w:hideMark/>
          </w:tcPr>
          <w:p w14:paraId="105799C3"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How would you assess data quality or governance issues?</w:t>
            </w:r>
          </w:p>
        </w:tc>
      </w:tr>
      <w:tr w:rsidR="00620D01" w:rsidRPr="005A3967" w14:paraId="029B9DB8" w14:textId="77777777" w:rsidTr="00620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00A79F" w14:textId="77777777" w:rsidR="00620D01" w:rsidRPr="005A3967" w:rsidRDefault="00620D01" w:rsidP="00BA58BC">
            <w:pPr>
              <w:spacing w:line="276" w:lineRule="auto"/>
              <w:rPr>
                <w:sz w:val="22"/>
                <w:szCs w:val="22"/>
              </w:rPr>
            </w:pPr>
            <w:r w:rsidRPr="005A3967">
              <w:rPr>
                <w:sz w:val="22"/>
                <w:szCs w:val="22"/>
              </w:rPr>
              <w:t>Organisational Culture and Skills</w:t>
            </w:r>
          </w:p>
        </w:tc>
        <w:tc>
          <w:tcPr>
            <w:tcW w:w="0" w:type="auto"/>
            <w:vAlign w:val="center"/>
            <w:hideMark/>
          </w:tcPr>
          <w:p w14:paraId="432B639E"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Workforce capability and receptiveness to analytics</w:t>
            </w:r>
          </w:p>
        </w:tc>
        <w:tc>
          <w:tcPr>
            <w:tcW w:w="0" w:type="auto"/>
            <w:vAlign w:val="center"/>
            <w:hideMark/>
          </w:tcPr>
          <w:p w14:paraId="72996A9A" w14:textId="29C2C686"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 xml:space="preserve">Do staff </w:t>
            </w:r>
            <w:r w:rsidR="00880CDB" w:rsidRPr="005A3967">
              <w:rPr>
                <w:sz w:val="22"/>
                <w:szCs w:val="22"/>
              </w:rPr>
              <w:t xml:space="preserve">members </w:t>
            </w:r>
            <w:r w:rsidRPr="005A3967">
              <w:rPr>
                <w:sz w:val="22"/>
                <w:szCs w:val="22"/>
              </w:rPr>
              <w:t xml:space="preserve">have the </w:t>
            </w:r>
            <w:r w:rsidR="00880CDB" w:rsidRPr="005A3967">
              <w:rPr>
                <w:sz w:val="22"/>
                <w:szCs w:val="22"/>
              </w:rPr>
              <w:t>necessary skills</w:t>
            </w:r>
            <w:r w:rsidRPr="005A3967">
              <w:rPr>
                <w:sz w:val="22"/>
                <w:szCs w:val="22"/>
              </w:rPr>
              <w:t xml:space="preserve"> to work with analytics tools?</w:t>
            </w:r>
          </w:p>
        </w:tc>
      </w:tr>
      <w:tr w:rsidR="00620D01" w:rsidRPr="005A3967" w14:paraId="636A9E49" w14:textId="77777777" w:rsidTr="00620D0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FE546B" w14:textId="77777777" w:rsidR="00620D01" w:rsidRPr="005A3967" w:rsidRDefault="00620D01" w:rsidP="00BA58BC">
            <w:pPr>
              <w:spacing w:line="276" w:lineRule="auto"/>
              <w:rPr>
                <w:sz w:val="22"/>
                <w:szCs w:val="22"/>
              </w:rPr>
            </w:pPr>
            <w:r w:rsidRPr="005A3967">
              <w:rPr>
                <w:sz w:val="22"/>
                <w:szCs w:val="22"/>
              </w:rPr>
              <w:t>Leadership Perspective</w:t>
            </w:r>
          </w:p>
        </w:tc>
        <w:tc>
          <w:tcPr>
            <w:tcW w:w="0" w:type="auto"/>
            <w:vAlign w:val="center"/>
            <w:hideMark/>
          </w:tcPr>
          <w:p w14:paraId="05F945AC"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Support, resources, and strategic direction</w:t>
            </w:r>
          </w:p>
        </w:tc>
        <w:tc>
          <w:tcPr>
            <w:tcW w:w="0" w:type="auto"/>
            <w:vAlign w:val="center"/>
            <w:hideMark/>
          </w:tcPr>
          <w:p w14:paraId="46F295D3"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How do you perceive leadership's support for analytics?</w:t>
            </w:r>
          </w:p>
        </w:tc>
      </w:tr>
      <w:tr w:rsidR="00620D01" w:rsidRPr="005A3967" w14:paraId="1513282F" w14:textId="77777777" w:rsidTr="00620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47402C" w14:textId="77777777" w:rsidR="00620D01" w:rsidRPr="005A3967" w:rsidRDefault="00620D01" w:rsidP="00BA58BC">
            <w:pPr>
              <w:spacing w:line="276" w:lineRule="auto"/>
              <w:rPr>
                <w:sz w:val="22"/>
                <w:szCs w:val="22"/>
              </w:rPr>
            </w:pPr>
            <w:r w:rsidRPr="005A3967">
              <w:rPr>
                <w:sz w:val="22"/>
                <w:szCs w:val="22"/>
              </w:rPr>
              <w:t>Barriers and Opportunities</w:t>
            </w:r>
          </w:p>
        </w:tc>
        <w:tc>
          <w:tcPr>
            <w:tcW w:w="0" w:type="auto"/>
            <w:vAlign w:val="center"/>
            <w:hideMark/>
          </w:tcPr>
          <w:p w14:paraId="24758FCF"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Internal and external challenges, proposed improvements</w:t>
            </w:r>
          </w:p>
        </w:tc>
        <w:tc>
          <w:tcPr>
            <w:tcW w:w="0" w:type="auto"/>
            <w:vAlign w:val="center"/>
            <w:hideMark/>
          </w:tcPr>
          <w:p w14:paraId="4D1AB80A" w14:textId="77777777" w:rsidR="00620D01" w:rsidRPr="005A3967" w:rsidRDefault="00620D01" w:rsidP="00BA58B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What are the biggest barriers to analytics adoption at SSE?</w:t>
            </w:r>
          </w:p>
        </w:tc>
      </w:tr>
      <w:tr w:rsidR="00620D01" w:rsidRPr="005A3967" w14:paraId="1B9F0FBB" w14:textId="77777777" w:rsidTr="00620D0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F950AB" w14:textId="77777777" w:rsidR="00620D01" w:rsidRPr="005A3967" w:rsidRDefault="00620D01" w:rsidP="00BA58BC">
            <w:pPr>
              <w:spacing w:line="276" w:lineRule="auto"/>
              <w:rPr>
                <w:sz w:val="22"/>
                <w:szCs w:val="22"/>
              </w:rPr>
            </w:pPr>
            <w:r w:rsidRPr="005A3967">
              <w:rPr>
                <w:sz w:val="22"/>
                <w:szCs w:val="22"/>
              </w:rPr>
              <w:t>Supplementary Probes</w:t>
            </w:r>
          </w:p>
        </w:tc>
        <w:tc>
          <w:tcPr>
            <w:tcW w:w="0" w:type="auto"/>
            <w:vAlign w:val="center"/>
            <w:hideMark/>
          </w:tcPr>
          <w:p w14:paraId="69986F6F"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Departmental differences, success/failure stories</w:t>
            </w:r>
          </w:p>
        </w:tc>
        <w:tc>
          <w:tcPr>
            <w:tcW w:w="0" w:type="auto"/>
            <w:vAlign w:val="center"/>
            <w:hideMark/>
          </w:tcPr>
          <w:p w14:paraId="17F7E1D3" w14:textId="77777777" w:rsidR="00620D01" w:rsidRPr="005A3967" w:rsidRDefault="00620D01" w:rsidP="00BA58B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Have you seen departmental differences in analytics use?</w:t>
            </w:r>
          </w:p>
        </w:tc>
      </w:tr>
    </w:tbl>
    <w:p w14:paraId="463A7D7C" w14:textId="56049725" w:rsidR="00E4124D" w:rsidRPr="005A3967" w:rsidRDefault="00E4124D" w:rsidP="0036721B">
      <w:pPr>
        <w:pStyle w:val="Heading2"/>
        <w:rPr>
          <w:rFonts w:ascii="Times New Roman" w:hAnsi="Times New Roman" w:cs="Times New Roman"/>
          <w:b/>
          <w:bCs/>
        </w:rPr>
      </w:pPr>
      <w:bookmarkStart w:id="97" w:name="_Toc202544533"/>
      <w:r w:rsidRPr="005A3967">
        <w:rPr>
          <w:rFonts w:ascii="Times New Roman" w:hAnsi="Times New Roman" w:cs="Times New Roman"/>
          <w:b/>
          <w:bCs/>
        </w:rPr>
        <w:t>Appendix C: One-Year Research Timeline</w:t>
      </w:r>
      <w:bookmarkEnd w:id="97"/>
    </w:p>
    <w:p w14:paraId="0F61E0AD" w14:textId="1F8E8B74" w:rsidR="001260D0" w:rsidRPr="005A3967" w:rsidRDefault="001260D0" w:rsidP="001260D0">
      <w:pPr>
        <w:spacing w:before="100" w:beforeAutospacing="1" w:after="100" w:afterAutospacing="1" w:line="360" w:lineRule="auto"/>
      </w:pPr>
      <w:r w:rsidRPr="005A3967">
        <w:t xml:space="preserve">The </w:t>
      </w:r>
      <w:r w:rsidRPr="005A3967">
        <w:rPr>
          <w:b/>
          <w:bCs/>
        </w:rPr>
        <w:t>Gantt chart</w:t>
      </w:r>
      <w:r w:rsidRPr="005A3967">
        <w:t xml:space="preserve"> presented in </w:t>
      </w:r>
      <w:r w:rsidRPr="005A3967">
        <w:rPr>
          <w:i/>
          <w:iCs/>
        </w:rPr>
        <w:t>Section 7</w:t>
      </w:r>
      <w:r w:rsidRPr="005A3967">
        <w:t xml:space="preserve"> (</w:t>
      </w:r>
      <w:r w:rsidRPr="005A3967">
        <w:rPr>
          <w:b/>
          <w:bCs/>
        </w:rPr>
        <w:t>Figure 11</w:t>
      </w:r>
      <w:r w:rsidRPr="005A3967">
        <w:t xml:space="preserve">) visually outlines the </w:t>
      </w:r>
      <w:r w:rsidRPr="005A3967">
        <w:rPr>
          <w:b/>
          <w:bCs/>
        </w:rPr>
        <w:t>proposed sequence</w:t>
      </w:r>
      <w:r w:rsidRPr="005A3967">
        <w:t xml:space="preserve"> and </w:t>
      </w:r>
      <w:r w:rsidRPr="005A3967">
        <w:rPr>
          <w:i/>
          <w:iCs/>
        </w:rPr>
        <w:t>overlap</w:t>
      </w:r>
      <w:r w:rsidRPr="005A3967">
        <w:t xml:space="preserve"> of key research activities over </w:t>
      </w:r>
      <w:r w:rsidR="0002751E">
        <w:t>twelve months</w:t>
      </w:r>
      <w:r w:rsidRPr="005A3967">
        <w:t xml:space="preserve">, spanning </w:t>
      </w:r>
      <w:r w:rsidR="0002751E">
        <w:t xml:space="preserve">from </w:t>
      </w:r>
      <w:r w:rsidRPr="005A3967">
        <w:rPr>
          <w:b/>
          <w:bCs/>
        </w:rPr>
        <w:t>October 2025 to September 2026</w:t>
      </w:r>
      <w:r w:rsidRPr="005A3967">
        <w:t xml:space="preserve">. This timeline reflects the major project phases, including the </w:t>
      </w:r>
      <w:r w:rsidRPr="005A3967">
        <w:rPr>
          <w:b/>
          <w:bCs/>
        </w:rPr>
        <w:t>literature review</w:t>
      </w:r>
      <w:r w:rsidRPr="005A3967">
        <w:t xml:space="preserve">, </w:t>
      </w:r>
      <w:r w:rsidRPr="005A3967">
        <w:rPr>
          <w:b/>
          <w:bCs/>
        </w:rPr>
        <w:t>instrument design</w:t>
      </w:r>
      <w:r w:rsidRPr="005A3967">
        <w:t xml:space="preserve">, </w:t>
      </w:r>
      <w:r w:rsidRPr="005A3967">
        <w:rPr>
          <w:b/>
          <w:bCs/>
        </w:rPr>
        <w:t>participant recruitment</w:t>
      </w:r>
      <w:r w:rsidRPr="005A3967">
        <w:t xml:space="preserve">, </w:t>
      </w:r>
      <w:r w:rsidRPr="005A3967">
        <w:rPr>
          <w:b/>
          <w:bCs/>
        </w:rPr>
        <w:t>data collection</w:t>
      </w:r>
      <w:r w:rsidRPr="005A3967">
        <w:t xml:space="preserve">, </w:t>
      </w:r>
      <w:r w:rsidRPr="005A3967">
        <w:rPr>
          <w:b/>
          <w:bCs/>
        </w:rPr>
        <w:t>analysis</w:t>
      </w:r>
      <w:r w:rsidRPr="005A3967">
        <w:t xml:space="preserve">, </w:t>
      </w:r>
      <w:r w:rsidRPr="005A3967">
        <w:rPr>
          <w:b/>
          <w:bCs/>
        </w:rPr>
        <w:t>integration of findings</w:t>
      </w:r>
      <w:r w:rsidRPr="005A3967">
        <w:t xml:space="preserve">, and </w:t>
      </w:r>
      <w:r w:rsidRPr="005A3967">
        <w:rPr>
          <w:b/>
          <w:bCs/>
        </w:rPr>
        <w:t>final dissertation writing</w:t>
      </w:r>
      <w:r w:rsidRPr="005A3967">
        <w:t>.</w:t>
      </w:r>
    </w:p>
    <w:p w14:paraId="38F51022" w14:textId="77777777" w:rsidR="001260D0" w:rsidRPr="005A3967" w:rsidRDefault="001260D0" w:rsidP="001260D0">
      <w:pPr>
        <w:spacing w:before="100" w:beforeAutospacing="1" w:after="100" w:afterAutospacing="1" w:line="360" w:lineRule="auto"/>
      </w:pPr>
      <w:r w:rsidRPr="005A3967">
        <w:rPr>
          <w:b/>
          <w:bCs/>
        </w:rPr>
        <w:t>Table C1</w:t>
      </w:r>
      <w:r w:rsidRPr="005A3967">
        <w:t xml:space="preserve"> complements the Gantt chart by providing a </w:t>
      </w:r>
      <w:r w:rsidRPr="005A3967">
        <w:rPr>
          <w:b/>
          <w:bCs/>
        </w:rPr>
        <w:t>detailed breakdown</w:t>
      </w:r>
      <w:r w:rsidRPr="005A3967">
        <w:t xml:space="preserve"> of each task’s </w:t>
      </w:r>
      <w:r w:rsidRPr="005A3967">
        <w:rPr>
          <w:b/>
          <w:bCs/>
        </w:rPr>
        <w:t>expected start and end dates</w:t>
      </w:r>
      <w:r w:rsidRPr="005A3967">
        <w:t xml:space="preserve">, </w:t>
      </w:r>
      <w:r w:rsidRPr="005A3967">
        <w:rPr>
          <w:i/>
          <w:iCs/>
        </w:rPr>
        <w:t>estimated duration (in days)</w:t>
      </w:r>
      <w:r w:rsidRPr="005A3967">
        <w:t xml:space="preserve">, and its corresponding </w:t>
      </w:r>
      <w:r w:rsidRPr="005A3967">
        <w:rPr>
          <w:b/>
          <w:bCs/>
        </w:rPr>
        <w:t>research phase</w:t>
      </w:r>
      <w:r w:rsidRPr="005A3967">
        <w:t xml:space="preserve">. This </w:t>
      </w:r>
      <w:r w:rsidRPr="005A3967">
        <w:rPr>
          <w:i/>
          <w:iCs/>
        </w:rPr>
        <w:t>structured tabular format</w:t>
      </w:r>
      <w:r w:rsidRPr="005A3967">
        <w:t xml:space="preserve"> enhances </w:t>
      </w:r>
      <w:r w:rsidRPr="005A3967">
        <w:rPr>
          <w:b/>
          <w:bCs/>
        </w:rPr>
        <w:t>clarity</w:t>
      </w:r>
      <w:r w:rsidRPr="005A3967">
        <w:t xml:space="preserve">, supports </w:t>
      </w:r>
      <w:r w:rsidRPr="005A3967">
        <w:rPr>
          <w:i/>
          <w:iCs/>
        </w:rPr>
        <w:t>effective time management</w:t>
      </w:r>
      <w:r w:rsidRPr="005A3967">
        <w:t xml:space="preserve">, and facilitates </w:t>
      </w:r>
      <w:r w:rsidRPr="005A3967">
        <w:rPr>
          <w:b/>
          <w:bCs/>
        </w:rPr>
        <w:t>resource planning</w:t>
      </w:r>
      <w:r w:rsidRPr="005A3967">
        <w:t xml:space="preserve"> and </w:t>
      </w:r>
      <w:r w:rsidRPr="005A3967">
        <w:rPr>
          <w:i/>
          <w:iCs/>
        </w:rPr>
        <w:t>risk monitoring</w:t>
      </w:r>
      <w:r w:rsidRPr="005A3967">
        <w:t>.</w:t>
      </w:r>
    </w:p>
    <w:p w14:paraId="2C78C68A" w14:textId="77777777" w:rsidR="001260D0" w:rsidRPr="005A3967" w:rsidRDefault="001260D0" w:rsidP="001260D0">
      <w:pPr>
        <w:spacing w:before="100" w:beforeAutospacing="1" w:after="100" w:afterAutospacing="1" w:line="360" w:lineRule="auto"/>
      </w:pPr>
      <w:r w:rsidRPr="005A3967">
        <w:t xml:space="preserve">Where feasible, specific activities—such as </w:t>
      </w:r>
      <w:r w:rsidRPr="005A3967">
        <w:rPr>
          <w:b/>
          <w:bCs/>
        </w:rPr>
        <w:t>survey distribution</w:t>
      </w:r>
      <w:r w:rsidRPr="005A3967">
        <w:t xml:space="preserve">, </w:t>
      </w:r>
      <w:r w:rsidRPr="005A3967">
        <w:rPr>
          <w:b/>
          <w:bCs/>
        </w:rPr>
        <w:t>qualitative interviews</w:t>
      </w:r>
      <w:r w:rsidRPr="005A3967">
        <w:t xml:space="preserve">, </w:t>
      </w:r>
      <w:r w:rsidRPr="005A3967">
        <w:rPr>
          <w:b/>
          <w:bCs/>
        </w:rPr>
        <w:t>data analysis</w:t>
      </w:r>
      <w:r w:rsidRPr="005A3967">
        <w:t xml:space="preserve">, and </w:t>
      </w:r>
      <w:r w:rsidRPr="005A3967">
        <w:rPr>
          <w:b/>
          <w:bCs/>
        </w:rPr>
        <w:t>dissertation drafting</w:t>
      </w:r>
      <w:r w:rsidRPr="005A3967">
        <w:t xml:space="preserve">—are scheduled to occur </w:t>
      </w:r>
      <w:r w:rsidRPr="005A3967">
        <w:rPr>
          <w:i/>
          <w:iCs/>
        </w:rPr>
        <w:t>concurrently</w:t>
      </w:r>
      <w:r w:rsidRPr="005A3967">
        <w:t xml:space="preserve">. This </w:t>
      </w:r>
      <w:r w:rsidRPr="005A3967">
        <w:rPr>
          <w:b/>
          <w:bCs/>
        </w:rPr>
        <w:lastRenderedPageBreak/>
        <w:t>intentional overlap</w:t>
      </w:r>
      <w:r w:rsidRPr="005A3967">
        <w:t xml:space="preserve"> is designed to maximise </w:t>
      </w:r>
      <w:r w:rsidRPr="005A3967">
        <w:rPr>
          <w:b/>
          <w:bCs/>
        </w:rPr>
        <w:t>time efficiency</w:t>
      </w:r>
      <w:r w:rsidRPr="005A3967">
        <w:t xml:space="preserve"> while maintaining </w:t>
      </w:r>
      <w:r w:rsidRPr="005A3967">
        <w:rPr>
          <w:i/>
          <w:iCs/>
        </w:rPr>
        <w:t>methodological rigour</w:t>
      </w:r>
      <w:r w:rsidRPr="005A3967">
        <w:t xml:space="preserve"> and ensuring </w:t>
      </w:r>
      <w:r w:rsidRPr="005A3967">
        <w:rPr>
          <w:b/>
          <w:bCs/>
        </w:rPr>
        <w:t>high research quality</w:t>
      </w:r>
      <w:r w:rsidRPr="005A3967">
        <w:t>.</w:t>
      </w:r>
    </w:p>
    <w:p w14:paraId="5E3A8B1F" w14:textId="69A466AB" w:rsidR="00E639F5" w:rsidRPr="005A3967" w:rsidRDefault="006918DD" w:rsidP="00462E03">
      <w:pPr>
        <w:spacing w:line="360" w:lineRule="auto"/>
        <w:rPr>
          <w:b/>
          <w:bCs/>
        </w:rPr>
      </w:pPr>
      <w:r w:rsidRPr="005A3967">
        <w:rPr>
          <w:b/>
          <w:bCs/>
        </w:rPr>
        <w:t>Table C1: Detailed Timeline of Research Activities and Duration</w:t>
      </w:r>
    </w:p>
    <w:tbl>
      <w:tblPr>
        <w:tblStyle w:val="GridTable4-Accent2"/>
        <w:tblW w:w="0" w:type="auto"/>
        <w:tblLook w:val="04A0" w:firstRow="1" w:lastRow="0" w:firstColumn="1" w:lastColumn="0" w:noHBand="0" w:noVBand="1"/>
      </w:tblPr>
      <w:tblGrid>
        <w:gridCol w:w="3966"/>
        <w:gridCol w:w="1219"/>
        <w:gridCol w:w="1219"/>
        <w:gridCol w:w="1243"/>
        <w:gridCol w:w="1369"/>
      </w:tblGrid>
      <w:tr w:rsidR="009A0E27" w:rsidRPr="005A3967" w14:paraId="6168E4FA" w14:textId="77777777" w:rsidTr="009A0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32BA8E" w14:textId="77777777" w:rsidR="009A0E27" w:rsidRPr="005A3967" w:rsidRDefault="009A0E27" w:rsidP="00C3413C">
            <w:pPr>
              <w:spacing w:line="276" w:lineRule="auto"/>
              <w:jc w:val="center"/>
              <w:rPr>
                <w:b w:val="0"/>
                <w:bCs w:val="0"/>
                <w:sz w:val="22"/>
                <w:szCs w:val="22"/>
              </w:rPr>
            </w:pPr>
            <w:r w:rsidRPr="005A3967">
              <w:rPr>
                <w:rStyle w:val="Strong"/>
                <w:rFonts w:eastAsiaTheme="majorEastAsia"/>
                <w:b/>
                <w:bCs/>
                <w:sz w:val="22"/>
                <w:szCs w:val="22"/>
              </w:rPr>
              <w:t>Task</w:t>
            </w:r>
          </w:p>
        </w:tc>
        <w:tc>
          <w:tcPr>
            <w:tcW w:w="0" w:type="auto"/>
            <w:vAlign w:val="center"/>
            <w:hideMark/>
          </w:tcPr>
          <w:p w14:paraId="072BE029" w14:textId="77777777" w:rsidR="009A0E27" w:rsidRPr="005A3967" w:rsidRDefault="009A0E27" w:rsidP="00C3413C">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5A3967">
              <w:rPr>
                <w:rStyle w:val="Strong"/>
                <w:rFonts w:eastAsiaTheme="majorEastAsia"/>
                <w:b/>
                <w:bCs/>
                <w:sz w:val="22"/>
                <w:szCs w:val="22"/>
              </w:rPr>
              <w:t>Start Date</w:t>
            </w:r>
          </w:p>
        </w:tc>
        <w:tc>
          <w:tcPr>
            <w:tcW w:w="0" w:type="auto"/>
            <w:vAlign w:val="center"/>
            <w:hideMark/>
          </w:tcPr>
          <w:p w14:paraId="39434110" w14:textId="77777777" w:rsidR="009A0E27" w:rsidRPr="005A3967" w:rsidRDefault="009A0E27" w:rsidP="00C3413C">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5A3967">
              <w:rPr>
                <w:rStyle w:val="Strong"/>
                <w:rFonts w:eastAsiaTheme="majorEastAsia"/>
                <w:b/>
                <w:bCs/>
                <w:sz w:val="22"/>
                <w:szCs w:val="22"/>
              </w:rPr>
              <w:t>End Date</w:t>
            </w:r>
          </w:p>
        </w:tc>
        <w:tc>
          <w:tcPr>
            <w:tcW w:w="0" w:type="auto"/>
            <w:vAlign w:val="center"/>
            <w:hideMark/>
          </w:tcPr>
          <w:p w14:paraId="6423D72E" w14:textId="77777777" w:rsidR="009A0E27" w:rsidRPr="005A3967" w:rsidRDefault="009A0E27" w:rsidP="00C3413C">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5A3967">
              <w:rPr>
                <w:rStyle w:val="Strong"/>
                <w:rFonts w:eastAsiaTheme="majorEastAsia"/>
                <w:b/>
                <w:bCs/>
                <w:sz w:val="22"/>
                <w:szCs w:val="22"/>
              </w:rPr>
              <w:t>Duration (Days)</w:t>
            </w:r>
          </w:p>
        </w:tc>
        <w:tc>
          <w:tcPr>
            <w:tcW w:w="0" w:type="auto"/>
            <w:vAlign w:val="center"/>
            <w:hideMark/>
          </w:tcPr>
          <w:p w14:paraId="4E02EDC8" w14:textId="77777777" w:rsidR="009A0E27" w:rsidRPr="005A3967" w:rsidRDefault="009A0E27" w:rsidP="00C3413C">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5A3967">
              <w:rPr>
                <w:rStyle w:val="Strong"/>
                <w:rFonts w:eastAsiaTheme="majorEastAsia"/>
                <w:b/>
                <w:bCs/>
                <w:sz w:val="22"/>
                <w:szCs w:val="22"/>
              </w:rPr>
              <w:t>Phase</w:t>
            </w:r>
          </w:p>
        </w:tc>
      </w:tr>
      <w:tr w:rsidR="009A0E27" w:rsidRPr="005A3967" w14:paraId="159D541B" w14:textId="77777777" w:rsidTr="009A0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87C684" w14:textId="77777777" w:rsidR="009A0E27" w:rsidRPr="005A3967" w:rsidRDefault="009A0E27" w:rsidP="00C3413C">
            <w:pPr>
              <w:spacing w:line="276" w:lineRule="auto"/>
              <w:rPr>
                <w:rStyle w:val="Strong"/>
                <w:rFonts w:eastAsiaTheme="majorEastAsia"/>
                <w:b/>
                <w:bCs/>
                <w:sz w:val="22"/>
                <w:szCs w:val="22"/>
              </w:rPr>
            </w:pPr>
            <w:r w:rsidRPr="005A3967">
              <w:rPr>
                <w:rStyle w:val="Strong"/>
                <w:rFonts w:eastAsiaTheme="majorEastAsia"/>
                <w:sz w:val="22"/>
                <w:szCs w:val="22"/>
              </w:rPr>
              <w:t>Literature Review &amp; Proposal Refinement</w:t>
            </w:r>
          </w:p>
          <w:p w14:paraId="3CAF4A3B" w14:textId="77777777" w:rsidR="009A0E27" w:rsidRPr="005A3967" w:rsidRDefault="009A0E27" w:rsidP="00C3413C">
            <w:pPr>
              <w:spacing w:line="276" w:lineRule="auto"/>
              <w:rPr>
                <w:rStyle w:val="Strong"/>
                <w:rFonts w:eastAsiaTheme="majorEastAsia"/>
                <w:b/>
                <w:bCs/>
                <w:sz w:val="22"/>
                <w:szCs w:val="22"/>
              </w:rPr>
            </w:pPr>
          </w:p>
          <w:p w14:paraId="10252410" w14:textId="2DD76E4D" w:rsidR="009A0E27" w:rsidRPr="005A3967" w:rsidRDefault="009A0E27" w:rsidP="00C3413C">
            <w:pPr>
              <w:spacing w:line="276" w:lineRule="auto"/>
              <w:rPr>
                <w:b w:val="0"/>
                <w:bCs w:val="0"/>
                <w:sz w:val="22"/>
                <w:szCs w:val="22"/>
              </w:rPr>
            </w:pPr>
            <w:r w:rsidRPr="005A3967">
              <w:rPr>
                <w:sz w:val="22"/>
                <w:szCs w:val="22"/>
              </w:rPr>
              <w:t>Conduct a detailed review of current literature, refine the research problem, and finalise the research proposal.</w:t>
            </w:r>
          </w:p>
        </w:tc>
        <w:tc>
          <w:tcPr>
            <w:tcW w:w="0" w:type="auto"/>
            <w:vAlign w:val="center"/>
            <w:hideMark/>
          </w:tcPr>
          <w:p w14:paraId="7BE53A19"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01/10/2025</w:t>
            </w:r>
          </w:p>
        </w:tc>
        <w:tc>
          <w:tcPr>
            <w:tcW w:w="0" w:type="auto"/>
            <w:vAlign w:val="center"/>
            <w:hideMark/>
          </w:tcPr>
          <w:p w14:paraId="23F2CB71"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31/10/2025</w:t>
            </w:r>
          </w:p>
        </w:tc>
        <w:tc>
          <w:tcPr>
            <w:tcW w:w="0" w:type="auto"/>
            <w:vAlign w:val="center"/>
            <w:hideMark/>
          </w:tcPr>
          <w:p w14:paraId="3473795B" w14:textId="77777777" w:rsidR="009A0E27" w:rsidRPr="005A3967" w:rsidRDefault="009A0E27" w:rsidP="00C3413C">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31</w:t>
            </w:r>
          </w:p>
        </w:tc>
        <w:tc>
          <w:tcPr>
            <w:tcW w:w="0" w:type="auto"/>
            <w:vAlign w:val="center"/>
            <w:hideMark/>
          </w:tcPr>
          <w:p w14:paraId="4D036097"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Planning</w:t>
            </w:r>
          </w:p>
        </w:tc>
      </w:tr>
      <w:tr w:rsidR="009A0E27" w:rsidRPr="005A3967" w14:paraId="49397609" w14:textId="77777777" w:rsidTr="009A0E2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3D1039" w14:textId="77777777" w:rsidR="009A0E27" w:rsidRPr="005A3967" w:rsidRDefault="009A0E27" w:rsidP="00C3413C">
            <w:pPr>
              <w:spacing w:line="276" w:lineRule="auto"/>
              <w:rPr>
                <w:rStyle w:val="Strong"/>
                <w:rFonts w:eastAsiaTheme="majorEastAsia"/>
                <w:b/>
                <w:bCs/>
                <w:sz w:val="22"/>
                <w:szCs w:val="22"/>
              </w:rPr>
            </w:pPr>
            <w:r w:rsidRPr="005A3967">
              <w:rPr>
                <w:rStyle w:val="Strong"/>
                <w:rFonts w:eastAsiaTheme="majorEastAsia"/>
                <w:sz w:val="22"/>
                <w:szCs w:val="22"/>
              </w:rPr>
              <w:t>Instrument Design &amp; Piloting</w:t>
            </w:r>
          </w:p>
          <w:p w14:paraId="6C748315" w14:textId="77777777" w:rsidR="009A0E27" w:rsidRPr="005A3967" w:rsidRDefault="009A0E27" w:rsidP="00C3413C">
            <w:pPr>
              <w:spacing w:line="276" w:lineRule="auto"/>
              <w:rPr>
                <w:rStyle w:val="Strong"/>
                <w:rFonts w:eastAsiaTheme="majorEastAsia"/>
                <w:b/>
                <w:bCs/>
                <w:sz w:val="22"/>
                <w:szCs w:val="22"/>
              </w:rPr>
            </w:pPr>
          </w:p>
          <w:p w14:paraId="4FB03BB7" w14:textId="5AA44EEB" w:rsidR="009A0E27" w:rsidRPr="005A3967" w:rsidRDefault="009A0E27" w:rsidP="00C3413C">
            <w:pPr>
              <w:spacing w:line="276" w:lineRule="auto"/>
              <w:rPr>
                <w:sz w:val="22"/>
                <w:szCs w:val="22"/>
              </w:rPr>
            </w:pPr>
            <w:r w:rsidRPr="005A3967">
              <w:rPr>
                <w:sz w:val="22"/>
                <w:szCs w:val="22"/>
              </w:rPr>
              <w:t>Develop and test survey instruments and interview guides to ensure clarity, relevance, and reliability.</w:t>
            </w:r>
          </w:p>
        </w:tc>
        <w:tc>
          <w:tcPr>
            <w:tcW w:w="0" w:type="auto"/>
            <w:vAlign w:val="center"/>
            <w:hideMark/>
          </w:tcPr>
          <w:p w14:paraId="36EFC641"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01/11/2025</w:t>
            </w:r>
          </w:p>
        </w:tc>
        <w:tc>
          <w:tcPr>
            <w:tcW w:w="0" w:type="auto"/>
            <w:vAlign w:val="center"/>
            <w:hideMark/>
          </w:tcPr>
          <w:p w14:paraId="27957F3C"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30/11/2025</w:t>
            </w:r>
          </w:p>
        </w:tc>
        <w:tc>
          <w:tcPr>
            <w:tcW w:w="0" w:type="auto"/>
            <w:vAlign w:val="center"/>
            <w:hideMark/>
          </w:tcPr>
          <w:p w14:paraId="2D3EEF8C" w14:textId="77777777" w:rsidR="009A0E27" w:rsidRPr="005A3967" w:rsidRDefault="009A0E27" w:rsidP="00C3413C">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30</w:t>
            </w:r>
          </w:p>
        </w:tc>
        <w:tc>
          <w:tcPr>
            <w:tcW w:w="0" w:type="auto"/>
            <w:vAlign w:val="center"/>
            <w:hideMark/>
          </w:tcPr>
          <w:p w14:paraId="6278A406"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Design</w:t>
            </w:r>
          </w:p>
        </w:tc>
      </w:tr>
      <w:tr w:rsidR="009A0E27" w:rsidRPr="005A3967" w14:paraId="51CDDF12" w14:textId="77777777" w:rsidTr="009A0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085399" w14:textId="77777777" w:rsidR="009A0E27" w:rsidRPr="005A3967" w:rsidRDefault="009A0E27" w:rsidP="00C3413C">
            <w:pPr>
              <w:spacing w:line="276" w:lineRule="auto"/>
              <w:rPr>
                <w:rStyle w:val="Strong"/>
                <w:rFonts w:eastAsiaTheme="majorEastAsia"/>
                <w:b/>
                <w:bCs/>
                <w:sz w:val="22"/>
                <w:szCs w:val="22"/>
              </w:rPr>
            </w:pPr>
            <w:r w:rsidRPr="005A3967">
              <w:rPr>
                <w:rStyle w:val="Strong"/>
                <w:rFonts w:eastAsiaTheme="majorEastAsia"/>
                <w:sz w:val="22"/>
                <w:szCs w:val="22"/>
              </w:rPr>
              <w:t>Participant Recruitment</w:t>
            </w:r>
          </w:p>
          <w:p w14:paraId="345C410D" w14:textId="77777777" w:rsidR="009A0E27" w:rsidRPr="005A3967" w:rsidRDefault="009A0E27" w:rsidP="00C3413C">
            <w:pPr>
              <w:spacing w:line="276" w:lineRule="auto"/>
              <w:rPr>
                <w:rStyle w:val="Strong"/>
                <w:rFonts w:eastAsiaTheme="majorEastAsia"/>
                <w:b/>
                <w:bCs/>
                <w:sz w:val="22"/>
                <w:szCs w:val="22"/>
              </w:rPr>
            </w:pPr>
          </w:p>
          <w:p w14:paraId="3C721AC6" w14:textId="29E48795" w:rsidR="009A0E27" w:rsidRPr="005A3967" w:rsidRDefault="009A0E27" w:rsidP="00C3413C">
            <w:pPr>
              <w:spacing w:line="276" w:lineRule="auto"/>
              <w:rPr>
                <w:sz w:val="22"/>
                <w:szCs w:val="22"/>
              </w:rPr>
            </w:pPr>
            <w:r w:rsidRPr="005A3967">
              <w:rPr>
                <w:sz w:val="22"/>
                <w:szCs w:val="22"/>
              </w:rPr>
              <w:t>Identify and invite suitable participants</w:t>
            </w:r>
            <w:r w:rsidR="0002751E">
              <w:rPr>
                <w:sz w:val="22"/>
                <w:szCs w:val="22"/>
              </w:rPr>
              <w:t>, ensuring that</w:t>
            </w:r>
            <w:r w:rsidRPr="005A3967">
              <w:rPr>
                <w:sz w:val="22"/>
                <w:szCs w:val="22"/>
              </w:rPr>
              <w:t xml:space="preserve"> ethical approvals and consent processes are completed.</w:t>
            </w:r>
          </w:p>
        </w:tc>
        <w:tc>
          <w:tcPr>
            <w:tcW w:w="0" w:type="auto"/>
            <w:vAlign w:val="center"/>
            <w:hideMark/>
          </w:tcPr>
          <w:p w14:paraId="007A002A"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01/12/2025</w:t>
            </w:r>
          </w:p>
        </w:tc>
        <w:tc>
          <w:tcPr>
            <w:tcW w:w="0" w:type="auto"/>
            <w:vAlign w:val="center"/>
            <w:hideMark/>
          </w:tcPr>
          <w:p w14:paraId="636503C0"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31/12/2025</w:t>
            </w:r>
          </w:p>
        </w:tc>
        <w:tc>
          <w:tcPr>
            <w:tcW w:w="0" w:type="auto"/>
            <w:vAlign w:val="center"/>
            <w:hideMark/>
          </w:tcPr>
          <w:p w14:paraId="354DDB4E" w14:textId="77777777" w:rsidR="009A0E27" w:rsidRPr="005A3967" w:rsidRDefault="009A0E27" w:rsidP="00C3413C">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31</w:t>
            </w:r>
          </w:p>
        </w:tc>
        <w:tc>
          <w:tcPr>
            <w:tcW w:w="0" w:type="auto"/>
            <w:vAlign w:val="center"/>
            <w:hideMark/>
          </w:tcPr>
          <w:p w14:paraId="06E31CA0"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Planning</w:t>
            </w:r>
          </w:p>
        </w:tc>
      </w:tr>
      <w:tr w:rsidR="009A0E27" w:rsidRPr="005A3967" w14:paraId="47A7338F" w14:textId="77777777" w:rsidTr="009A0E2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4235FA" w14:textId="77777777" w:rsidR="009A0E27" w:rsidRPr="005A3967" w:rsidRDefault="009A0E27" w:rsidP="00C3413C">
            <w:pPr>
              <w:spacing w:line="276" w:lineRule="auto"/>
              <w:rPr>
                <w:rStyle w:val="Strong"/>
                <w:rFonts w:eastAsiaTheme="majorEastAsia"/>
                <w:b/>
                <w:bCs/>
                <w:sz w:val="22"/>
                <w:szCs w:val="22"/>
              </w:rPr>
            </w:pPr>
            <w:r w:rsidRPr="005A3967">
              <w:rPr>
                <w:rStyle w:val="Strong"/>
                <w:rFonts w:eastAsiaTheme="majorEastAsia"/>
                <w:sz w:val="22"/>
                <w:szCs w:val="22"/>
              </w:rPr>
              <w:t>Data Collection – Survey</w:t>
            </w:r>
          </w:p>
          <w:p w14:paraId="2D192A2E" w14:textId="77777777" w:rsidR="009A0E27" w:rsidRPr="005A3967" w:rsidRDefault="009A0E27" w:rsidP="00C3413C">
            <w:pPr>
              <w:spacing w:line="276" w:lineRule="auto"/>
              <w:rPr>
                <w:rStyle w:val="Strong"/>
                <w:rFonts w:eastAsiaTheme="majorEastAsia"/>
                <w:b/>
                <w:bCs/>
                <w:sz w:val="22"/>
                <w:szCs w:val="22"/>
              </w:rPr>
            </w:pPr>
          </w:p>
          <w:p w14:paraId="61F3912D" w14:textId="7F1D963A" w:rsidR="009A0E27" w:rsidRPr="005A3967" w:rsidRDefault="009A0E27" w:rsidP="00C3413C">
            <w:pPr>
              <w:spacing w:line="276" w:lineRule="auto"/>
              <w:rPr>
                <w:sz w:val="22"/>
                <w:szCs w:val="22"/>
              </w:rPr>
            </w:pPr>
            <w:r w:rsidRPr="005A3967">
              <w:rPr>
                <w:sz w:val="22"/>
                <w:szCs w:val="22"/>
              </w:rPr>
              <w:t>Distribute the survey to selected participants and monitor responses to reach the target sample size.</w:t>
            </w:r>
          </w:p>
        </w:tc>
        <w:tc>
          <w:tcPr>
            <w:tcW w:w="0" w:type="auto"/>
            <w:vAlign w:val="center"/>
            <w:hideMark/>
          </w:tcPr>
          <w:p w14:paraId="58154ACE"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01/01/2026</w:t>
            </w:r>
          </w:p>
        </w:tc>
        <w:tc>
          <w:tcPr>
            <w:tcW w:w="0" w:type="auto"/>
            <w:vAlign w:val="center"/>
            <w:hideMark/>
          </w:tcPr>
          <w:p w14:paraId="43E3AA69"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31/01/2026</w:t>
            </w:r>
          </w:p>
        </w:tc>
        <w:tc>
          <w:tcPr>
            <w:tcW w:w="0" w:type="auto"/>
            <w:vAlign w:val="center"/>
            <w:hideMark/>
          </w:tcPr>
          <w:p w14:paraId="100D555D" w14:textId="77777777" w:rsidR="009A0E27" w:rsidRPr="005A3967" w:rsidRDefault="009A0E27" w:rsidP="00C3413C">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31</w:t>
            </w:r>
          </w:p>
        </w:tc>
        <w:tc>
          <w:tcPr>
            <w:tcW w:w="0" w:type="auto"/>
            <w:vAlign w:val="center"/>
            <w:hideMark/>
          </w:tcPr>
          <w:p w14:paraId="6A9094BE"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Data Collection</w:t>
            </w:r>
          </w:p>
        </w:tc>
      </w:tr>
      <w:tr w:rsidR="009A0E27" w:rsidRPr="005A3967" w14:paraId="0E944EFD" w14:textId="77777777" w:rsidTr="009A0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0A1824" w14:textId="77777777" w:rsidR="009A0E27" w:rsidRPr="005A3967" w:rsidRDefault="009A0E27" w:rsidP="00C3413C">
            <w:pPr>
              <w:spacing w:line="276" w:lineRule="auto"/>
              <w:rPr>
                <w:rStyle w:val="Strong"/>
                <w:rFonts w:eastAsiaTheme="majorEastAsia"/>
                <w:b/>
                <w:bCs/>
                <w:sz w:val="22"/>
                <w:szCs w:val="22"/>
              </w:rPr>
            </w:pPr>
            <w:r w:rsidRPr="005A3967">
              <w:rPr>
                <w:rStyle w:val="Strong"/>
                <w:rFonts w:eastAsiaTheme="majorEastAsia"/>
                <w:sz w:val="22"/>
                <w:szCs w:val="22"/>
              </w:rPr>
              <w:t>Data Collection – Interviews</w:t>
            </w:r>
          </w:p>
          <w:p w14:paraId="703C2BF4" w14:textId="77777777" w:rsidR="009A0E27" w:rsidRPr="005A3967" w:rsidRDefault="009A0E27" w:rsidP="00C3413C">
            <w:pPr>
              <w:spacing w:line="276" w:lineRule="auto"/>
              <w:rPr>
                <w:rStyle w:val="Strong"/>
                <w:rFonts w:eastAsiaTheme="majorEastAsia"/>
                <w:b/>
                <w:bCs/>
                <w:sz w:val="22"/>
                <w:szCs w:val="22"/>
              </w:rPr>
            </w:pPr>
          </w:p>
          <w:p w14:paraId="7471DC6C" w14:textId="3F3228A2" w:rsidR="009A0E27" w:rsidRPr="005A3967" w:rsidRDefault="009A0E27" w:rsidP="00C3413C">
            <w:pPr>
              <w:spacing w:line="276" w:lineRule="auto"/>
              <w:rPr>
                <w:sz w:val="22"/>
                <w:szCs w:val="22"/>
              </w:rPr>
            </w:pPr>
            <w:r w:rsidRPr="005A3967">
              <w:rPr>
                <w:sz w:val="22"/>
                <w:szCs w:val="22"/>
              </w:rPr>
              <w:t>Conduct semi-structured interviews to gather qualitative insights</w:t>
            </w:r>
            <w:r w:rsidR="0002751E">
              <w:rPr>
                <w:sz w:val="22"/>
                <w:szCs w:val="22"/>
              </w:rPr>
              <w:t>,</w:t>
            </w:r>
            <w:r w:rsidRPr="005A3967">
              <w:rPr>
                <w:sz w:val="22"/>
                <w:szCs w:val="22"/>
              </w:rPr>
              <w:t xml:space="preserve"> complementing the survey.</w:t>
            </w:r>
          </w:p>
        </w:tc>
        <w:tc>
          <w:tcPr>
            <w:tcW w:w="0" w:type="auto"/>
            <w:vAlign w:val="center"/>
            <w:hideMark/>
          </w:tcPr>
          <w:p w14:paraId="4F221584"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01/02/2026</w:t>
            </w:r>
          </w:p>
        </w:tc>
        <w:tc>
          <w:tcPr>
            <w:tcW w:w="0" w:type="auto"/>
            <w:vAlign w:val="center"/>
            <w:hideMark/>
          </w:tcPr>
          <w:p w14:paraId="69A05393"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29/02/2026</w:t>
            </w:r>
          </w:p>
        </w:tc>
        <w:tc>
          <w:tcPr>
            <w:tcW w:w="0" w:type="auto"/>
            <w:vAlign w:val="center"/>
            <w:hideMark/>
          </w:tcPr>
          <w:p w14:paraId="46B31A73" w14:textId="77777777" w:rsidR="009A0E27" w:rsidRPr="005A3967" w:rsidRDefault="009A0E27" w:rsidP="00C3413C">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29</w:t>
            </w:r>
          </w:p>
        </w:tc>
        <w:tc>
          <w:tcPr>
            <w:tcW w:w="0" w:type="auto"/>
            <w:vAlign w:val="center"/>
            <w:hideMark/>
          </w:tcPr>
          <w:p w14:paraId="600A84C4"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Data Collection</w:t>
            </w:r>
          </w:p>
        </w:tc>
      </w:tr>
      <w:tr w:rsidR="009A0E27" w:rsidRPr="005A3967" w14:paraId="73536449" w14:textId="77777777" w:rsidTr="009A0E2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F2BE8F" w14:textId="77777777" w:rsidR="009A0E27" w:rsidRPr="005A3967" w:rsidRDefault="009A0E27" w:rsidP="00C3413C">
            <w:pPr>
              <w:spacing w:line="276" w:lineRule="auto"/>
              <w:rPr>
                <w:rStyle w:val="Strong"/>
                <w:rFonts w:eastAsiaTheme="majorEastAsia"/>
                <w:b/>
                <w:bCs/>
                <w:sz w:val="22"/>
                <w:szCs w:val="22"/>
              </w:rPr>
            </w:pPr>
            <w:r w:rsidRPr="005A3967">
              <w:rPr>
                <w:rStyle w:val="Strong"/>
                <w:rFonts w:eastAsiaTheme="majorEastAsia"/>
                <w:sz w:val="22"/>
                <w:szCs w:val="22"/>
              </w:rPr>
              <w:t>Data Cleaning &amp; Integration</w:t>
            </w:r>
          </w:p>
          <w:p w14:paraId="34C39C03" w14:textId="77777777" w:rsidR="009A0E27" w:rsidRPr="005A3967" w:rsidRDefault="009A0E27" w:rsidP="00C3413C">
            <w:pPr>
              <w:spacing w:line="276" w:lineRule="auto"/>
              <w:rPr>
                <w:rStyle w:val="Strong"/>
                <w:rFonts w:eastAsiaTheme="majorEastAsia"/>
                <w:b/>
                <w:bCs/>
                <w:sz w:val="22"/>
                <w:szCs w:val="22"/>
              </w:rPr>
            </w:pPr>
          </w:p>
          <w:p w14:paraId="6AA6F615" w14:textId="36855967" w:rsidR="009A0E27" w:rsidRPr="005A3967" w:rsidRDefault="009A0E27" w:rsidP="00C3413C">
            <w:pPr>
              <w:spacing w:line="276" w:lineRule="auto"/>
              <w:rPr>
                <w:sz w:val="22"/>
                <w:szCs w:val="22"/>
              </w:rPr>
            </w:pPr>
            <w:r w:rsidRPr="005A3967">
              <w:rPr>
                <w:sz w:val="22"/>
                <w:szCs w:val="22"/>
              </w:rPr>
              <w:t>Validate, clean, and prepare combined data (survey + interviews) for analysis.</w:t>
            </w:r>
          </w:p>
        </w:tc>
        <w:tc>
          <w:tcPr>
            <w:tcW w:w="0" w:type="auto"/>
            <w:vAlign w:val="center"/>
            <w:hideMark/>
          </w:tcPr>
          <w:p w14:paraId="223B69FC"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01/03/2026</w:t>
            </w:r>
          </w:p>
        </w:tc>
        <w:tc>
          <w:tcPr>
            <w:tcW w:w="0" w:type="auto"/>
            <w:vAlign w:val="center"/>
            <w:hideMark/>
          </w:tcPr>
          <w:p w14:paraId="5C5DA0AB"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15/03/2026</w:t>
            </w:r>
          </w:p>
        </w:tc>
        <w:tc>
          <w:tcPr>
            <w:tcW w:w="0" w:type="auto"/>
            <w:vAlign w:val="center"/>
            <w:hideMark/>
          </w:tcPr>
          <w:p w14:paraId="0EE99BD6" w14:textId="77777777" w:rsidR="009A0E27" w:rsidRPr="005A3967" w:rsidRDefault="009A0E27" w:rsidP="00C3413C">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15</w:t>
            </w:r>
          </w:p>
        </w:tc>
        <w:tc>
          <w:tcPr>
            <w:tcW w:w="0" w:type="auto"/>
            <w:vAlign w:val="center"/>
            <w:hideMark/>
          </w:tcPr>
          <w:p w14:paraId="330C20CF"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Data Preparation</w:t>
            </w:r>
          </w:p>
        </w:tc>
      </w:tr>
      <w:tr w:rsidR="009A0E27" w:rsidRPr="005A3967" w14:paraId="21157074" w14:textId="77777777" w:rsidTr="009A0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401FFA" w14:textId="77777777" w:rsidR="009A0E27" w:rsidRPr="005A3967" w:rsidRDefault="009A0E27" w:rsidP="00C3413C">
            <w:pPr>
              <w:spacing w:line="276" w:lineRule="auto"/>
              <w:rPr>
                <w:rStyle w:val="Strong"/>
                <w:rFonts w:eastAsiaTheme="majorEastAsia"/>
                <w:b/>
                <w:bCs/>
                <w:sz w:val="22"/>
                <w:szCs w:val="22"/>
              </w:rPr>
            </w:pPr>
            <w:r w:rsidRPr="005A3967">
              <w:rPr>
                <w:rStyle w:val="Strong"/>
                <w:rFonts w:eastAsiaTheme="majorEastAsia"/>
                <w:sz w:val="22"/>
                <w:szCs w:val="22"/>
              </w:rPr>
              <w:t>Quantitative Data Analysis</w:t>
            </w:r>
          </w:p>
          <w:p w14:paraId="3B1BD383" w14:textId="77777777" w:rsidR="009A0E27" w:rsidRPr="005A3967" w:rsidRDefault="009A0E27" w:rsidP="00C3413C">
            <w:pPr>
              <w:spacing w:line="276" w:lineRule="auto"/>
              <w:rPr>
                <w:rStyle w:val="Strong"/>
                <w:rFonts w:eastAsiaTheme="majorEastAsia"/>
                <w:b/>
                <w:bCs/>
                <w:sz w:val="22"/>
                <w:szCs w:val="22"/>
              </w:rPr>
            </w:pPr>
          </w:p>
          <w:p w14:paraId="613B4279" w14:textId="57177CCE" w:rsidR="009A0E27" w:rsidRPr="005A3967" w:rsidRDefault="009A0E27" w:rsidP="00C3413C">
            <w:pPr>
              <w:spacing w:line="276" w:lineRule="auto"/>
              <w:rPr>
                <w:sz w:val="22"/>
                <w:szCs w:val="22"/>
              </w:rPr>
            </w:pPr>
            <w:r w:rsidRPr="005A3967">
              <w:rPr>
                <w:sz w:val="22"/>
                <w:szCs w:val="22"/>
              </w:rPr>
              <w:t>Perform descriptive and inferential statistical analysis of survey results.</w:t>
            </w:r>
          </w:p>
        </w:tc>
        <w:tc>
          <w:tcPr>
            <w:tcW w:w="0" w:type="auto"/>
            <w:vAlign w:val="center"/>
            <w:hideMark/>
          </w:tcPr>
          <w:p w14:paraId="397202D6"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16/03/2026</w:t>
            </w:r>
          </w:p>
        </w:tc>
        <w:tc>
          <w:tcPr>
            <w:tcW w:w="0" w:type="auto"/>
            <w:vAlign w:val="center"/>
            <w:hideMark/>
          </w:tcPr>
          <w:p w14:paraId="65E38E47"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31/03/2026</w:t>
            </w:r>
          </w:p>
        </w:tc>
        <w:tc>
          <w:tcPr>
            <w:tcW w:w="0" w:type="auto"/>
            <w:vAlign w:val="center"/>
            <w:hideMark/>
          </w:tcPr>
          <w:p w14:paraId="65D61F05" w14:textId="77777777" w:rsidR="009A0E27" w:rsidRPr="005A3967" w:rsidRDefault="009A0E27" w:rsidP="00C3413C">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16</w:t>
            </w:r>
          </w:p>
        </w:tc>
        <w:tc>
          <w:tcPr>
            <w:tcW w:w="0" w:type="auto"/>
            <w:vAlign w:val="center"/>
            <w:hideMark/>
          </w:tcPr>
          <w:p w14:paraId="6270EBDD"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Analysis</w:t>
            </w:r>
          </w:p>
        </w:tc>
      </w:tr>
      <w:tr w:rsidR="009A0E27" w:rsidRPr="005A3967" w14:paraId="02B83E95" w14:textId="77777777" w:rsidTr="009A0E2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5E980F" w14:textId="77777777" w:rsidR="009A0E27" w:rsidRPr="005A3967" w:rsidRDefault="009A0E27" w:rsidP="00C3413C">
            <w:pPr>
              <w:spacing w:line="276" w:lineRule="auto"/>
              <w:rPr>
                <w:rStyle w:val="Strong"/>
                <w:rFonts w:eastAsiaTheme="majorEastAsia"/>
                <w:b/>
                <w:bCs/>
                <w:sz w:val="22"/>
                <w:szCs w:val="22"/>
              </w:rPr>
            </w:pPr>
            <w:r w:rsidRPr="005A3967">
              <w:rPr>
                <w:rStyle w:val="Strong"/>
                <w:rFonts w:eastAsiaTheme="majorEastAsia"/>
                <w:sz w:val="22"/>
                <w:szCs w:val="22"/>
              </w:rPr>
              <w:t>Qualitative Data Analysis</w:t>
            </w:r>
          </w:p>
          <w:p w14:paraId="52A80DFF" w14:textId="77777777" w:rsidR="009A0E27" w:rsidRPr="005A3967" w:rsidRDefault="009A0E27" w:rsidP="00C3413C">
            <w:pPr>
              <w:spacing w:line="276" w:lineRule="auto"/>
              <w:rPr>
                <w:rStyle w:val="Strong"/>
                <w:rFonts w:eastAsiaTheme="majorEastAsia"/>
                <w:b/>
                <w:bCs/>
                <w:sz w:val="22"/>
                <w:szCs w:val="22"/>
              </w:rPr>
            </w:pPr>
          </w:p>
          <w:p w14:paraId="4E87CC96" w14:textId="024DAFF6" w:rsidR="009A0E27" w:rsidRPr="005A3967" w:rsidRDefault="009A0E27" w:rsidP="00C3413C">
            <w:pPr>
              <w:spacing w:line="276" w:lineRule="auto"/>
              <w:rPr>
                <w:sz w:val="22"/>
                <w:szCs w:val="22"/>
              </w:rPr>
            </w:pPr>
            <w:r w:rsidRPr="005A3967">
              <w:rPr>
                <w:sz w:val="22"/>
                <w:szCs w:val="22"/>
              </w:rPr>
              <w:t xml:space="preserve">Conduct </w:t>
            </w:r>
            <w:r w:rsidR="0002751E">
              <w:rPr>
                <w:sz w:val="22"/>
                <w:szCs w:val="22"/>
              </w:rPr>
              <w:t xml:space="preserve">a </w:t>
            </w:r>
            <w:r w:rsidRPr="005A3967">
              <w:rPr>
                <w:sz w:val="22"/>
                <w:szCs w:val="22"/>
              </w:rPr>
              <w:t>thematic analysis of interview transcripts to derive insights.</w:t>
            </w:r>
          </w:p>
        </w:tc>
        <w:tc>
          <w:tcPr>
            <w:tcW w:w="0" w:type="auto"/>
            <w:vAlign w:val="center"/>
            <w:hideMark/>
          </w:tcPr>
          <w:p w14:paraId="4AC0640B"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01/04/2026</w:t>
            </w:r>
          </w:p>
        </w:tc>
        <w:tc>
          <w:tcPr>
            <w:tcW w:w="0" w:type="auto"/>
            <w:vAlign w:val="center"/>
            <w:hideMark/>
          </w:tcPr>
          <w:p w14:paraId="51CAD3C2"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15/04/2026</w:t>
            </w:r>
          </w:p>
        </w:tc>
        <w:tc>
          <w:tcPr>
            <w:tcW w:w="0" w:type="auto"/>
            <w:vAlign w:val="center"/>
            <w:hideMark/>
          </w:tcPr>
          <w:p w14:paraId="6D2AAA8A" w14:textId="77777777" w:rsidR="009A0E27" w:rsidRPr="005A3967" w:rsidRDefault="009A0E27" w:rsidP="00C3413C">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15</w:t>
            </w:r>
          </w:p>
        </w:tc>
        <w:tc>
          <w:tcPr>
            <w:tcW w:w="0" w:type="auto"/>
            <w:vAlign w:val="center"/>
            <w:hideMark/>
          </w:tcPr>
          <w:p w14:paraId="18DD7402"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Analysis</w:t>
            </w:r>
          </w:p>
        </w:tc>
      </w:tr>
      <w:tr w:rsidR="009A0E27" w:rsidRPr="005A3967" w14:paraId="7D4935F0" w14:textId="77777777" w:rsidTr="009A0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464B98" w14:textId="77777777" w:rsidR="009A0E27" w:rsidRPr="005A3967" w:rsidRDefault="009A0E27" w:rsidP="00C3413C">
            <w:pPr>
              <w:spacing w:line="276" w:lineRule="auto"/>
              <w:rPr>
                <w:rStyle w:val="Strong"/>
                <w:rFonts w:eastAsiaTheme="majorEastAsia"/>
                <w:b/>
                <w:bCs/>
                <w:sz w:val="22"/>
                <w:szCs w:val="22"/>
              </w:rPr>
            </w:pPr>
            <w:r w:rsidRPr="005A3967">
              <w:rPr>
                <w:rStyle w:val="Strong"/>
                <w:rFonts w:eastAsiaTheme="majorEastAsia"/>
                <w:sz w:val="22"/>
                <w:szCs w:val="22"/>
              </w:rPr>
              <w:t>Integration of Findings</w:t>
            </w:r>
          </w:p>
          <w:p w14:paraId="36BE7966" w14:textId="77777777" w:rsidR="009A0E27" w:rsidRPr="005A3967" w:rsidRDefault="009A0E27" w:rsidP="00C3413C">
            <w:pPr>
              <w:spacing w:line="276" w:lineRule="auto"/>
              <w:rPr>
                <w:rStyle w:val="Strong"/>
                <w:rFonts w:eastAsiaTheme="majorEastAsia"/>
                <w:b/>
                <w:bCs/>
                <w:sz w:val="22"/>
                <w:szCs w:val="22"/>
              </w:rPr>
            </w:pPr>
          </w:p>
          <w:p w14:paraId="71458309" w14:textId="4CCEDB43" w:rsidR="009A0E27" w:rsidRPr="005A3967" w:rsidRDefault="009A0E27" w:rsidP="00C3413C">
            <w:pPr>
              <w:spacing w:line="276" w:lineRule="auto"/>
              <w:rPr>
                <w:sz w:val="22"/>
                <w:szCs w:val="22"/>
              </w:rPr>
            </w:pPr>
            <w:r w:rsidRPr="005A3967">
              <w:rPr>
                <w:sz w:val="22"/>
                <w:szCs w:val="22"/>
              </w:rPr>
              <w:lastRenderedPageBreak/>
              <w:t>Synthesise quantitative and qualitative insights for triangulation and interpretation.</w:t>
            </w:r>
          </w:p>
        </w:tc>
        <w:tc>
          <w:tcPr>
            <w:tcW w:w="0" w:type="auto"/>
            <w:vAlign w:val="center"/>
            <w:hideMark/>
          </w:tcPr>
          <w:p w14:paraId="12C0F739"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lastRenderedPageBreak/>
              <w:t>16/04/2026</w:t>
            </w:r>
          </w:p>
        </w:tc>
        <w:tc>
          <w:tcPr>
            <w:tcW w:w="0" w:type="auto"/>
            <w:vAlign w:val="center"/>
            <w:hideMark/>
          </w:tcPr>
          <w:p w14:paraId="0FD8EEFF"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15/05/2026</w:t>
            </w:r>
          </w:p>
        </w:tc>
        <w:tc>
          <w:tcPr>
            <w:tcW w:w="0" w:type="auto"/>
            <w:vAlign w:val="center"/>
            <w:hideMark/>
          </w:tcPr>
          <w:p w14:paraId="10556356" w14:textId="77777777" w:rsidR="009A0E27" w:rsidRPr="005A3967" w:rsidRDefault="009A0E27" w:rsidP="00C3413C">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30</w:t>
            </w:r>
          </w:p>
        </w:tc>
        <w:tc>
          <w:tcPr>
            <w:tcW w:w="0" w:type="auto"/>
            <w:vAlign w:val="center"/>
            <w:hideMark/>
          </w:tcPr>
          <w:p w14:paraId="36D0A4A6"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Analysis</w:t>
            </w:r>
          </w:p>
        </w:tc>
      </w:tr>
      <w:tr w:rsidR="009A0E27" w:rsidRPr="005A3967" w14:paraId="4B716F8A" w14:textId="77777777" w:rsidTr="009A0E2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8C46EC" w14:textId="77777777" w:rsidR="009A0E27" w:rsidRPr="005A3967" w:rsidRDefault="009A0E27" w:rsidP="00C3413C">
            <w:pPr>
              <w:spacing w:line="276" w:lineRule="auto"/>
              <w:rPr>
                <w:rStyle w:val="Strong"/>
                <w:rFonts w:eastAsiaTheme="majorEastAsia"/>
                <w:b/>
                <w:bCs/>
                <w:sz w:val="22"/>
                <w:szCs w:val="22"/>
              </w:rPr>
            </w:pPr>
            <w:r w:rsidRPr="005A3967">
              <w:rPr>
                <w:rStyle w:val="Strong"/>
                <w:rFonts w:eastAsiaTheme="majorEastAsia"/>
                <w:sz w:val="22"/>
                <w:szCs w:val="22"/>
              </w:rPr>
              <w:t>Drafting of Dissertation</w:t>
            </w:r>
          </w:p>
          <w:p w14:paraId="650DACE1" w14:textId="77777777" w:rsidR="009A0E27" w:rsidRPr="005A3967" w:rsidRDefault="009A0E27" w:rsidP="00C3413C">
            <w:pPr>
              <w:spacing w:line="276" w:lineRule="auto"/>
              <w:rPr>
                <w:rStyle w:val="Strong"/>
                <w:rFonts w:eastAsiaTheme="majorEastAsia"/>
                <w:b/>
                <w:bCs/>
                <w:sz w:val="22"/>
                <w:szCs w:val="22"/>
              </w:rPr>
            </w:pPr>
          </w:p>
          <w:p w14:paraId="7CA73CE2" w14:textId="5A896C54" w:rsidR="009A0E27" w:rsidRPr="005A3967" w:rsidRDefault="009A0E27" w:rsidP="00C3413C">
            <w:pPr>
              <w:spacing w:line="276" w:lineRule="auto"/>
              <w:rPr>
                <w:sz w:val="22"/>
                <w:szCs w:val="22"/>
              </w:rPr>
            </w:pPr>
            <w:r w:rsidRPr="005A3967">
              <w:rPr>
                <w:sz w:val="22"/>
                <w:szCs w:val="22"/>
              </w:rPr>
              <w:t>Write chapters based on integrated findings, including literature synthesis and methodology.</w:t>
            </w:r>
          </w:p>
        </w:tc>
        <w:tc>
          <w:tcPr>
            <w:tcW w:w="0" w:type="auto"/>
            <w:vAlign w:val="center"/>
            <w:hideMark/>
          </w:tcPr>
          <w:p w14:paraId="36D79E51"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16/05/2026</w:t>
            </w:r>
          </w:p>
        </w:tc>
        <w:tc>
          <w:tcPr>
            <w:tcW w:w="0" w:type="auto"/>
            <w:vAlign w:val="center"/>
            <w:hideMark/>
          </w:tcPr>
          <w:p w14:paraId="08E158C7"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30/06/2026</w:t>
            </w:r>
          </w:p>
        </w:tc>
        <w:tc>
          <w:tcPr>
            <w:tcW w:w="0" w:type="auto"/>
            <w:vAlign w:val="center"/>
            <w:hideMark/>
          </w:tcPr>
          <w:p w14:paraId="48178B7B" w14:textId="77777777" w:rsidR="009A0E27" w:rsidRPr="005A3967" w:rsidRDefault="009A0E27" w:rsidP="00C3413C">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46</w:t>
            </w:r>
          </w:p>
        </w:tc>
        <w:tc>
          <w:tcPr>
            <w:tcW w:w="0" w:type="auto"/>
            <w:vAlign w:val="center"/>
            <w:hideMark/>
          </w:tcPr>
          <w:p w14:paraId="4A4EC892"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Writing</w:t>
            </w:r>
          </w:p>
        </w:tc>
      </w:tr>
      <w:tr w:rsidR="009A0E27" w:rsidRPr="005A3967" w14:paraId="15D45A53" w14:textId="77777777" w:rsidTr="009A0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146CDB" w14:textId="77777777" w:rsidR="009A0E27" w:rsidRPr="005A3967" w:rsidRDefault="009A0E27" w:rsidP="00C3413C">
            <w:pPr>
              <w:spacing w:line="276" w:lineRule="auto"/>
              <w:rPr>
                <w:rStyle w:val="Strong"/>
                <w:rFonts w:eastAsiaTheme="majorEastAsia"/>
                <w:b/>
                <w:bCs/>
                <w:sz w:val="22"/>
                <w:szCs w:val="22"/>
              </w:rPr>
            </w:pPr>
            <w:r w:rsidRPr="005A3967">
              <w:rPr>
                <w:rStyle w:val="Strong"/>
                <w:rFonts w:eastAsiaTheme="majorEastAsia"/>
                <w:sz w:val="22"/>
                <w:szCs w:val="22"/>
              </w:rPr>
              <w:t>Revisions &amp; Final Write-Up</w:t>
            </w:r>
          </w:p>
          <w:p w14:paraId="04A0B3D4" w14:textId="77777777" w:rsidR="009A0E27" w:rsidRPr="005A3967" w:rsidRDefault="009A0E27" w:rsidP="00C3413C">
            <w:pPr>
              <w:spacing w:line="276" w:lineRule="auto"/>
              <w:rPr>
                <w:rStyle w:val="Strong"/>
                <w:rFonts w:eastAsiaTheme="majorEastAsia"/>
                <w:b/>
                <w:bCs/>
                <w:sz w:val="22"/>
                <w:szCs w:val="22"/>
              </w:rPr>
            </w:pPr>
          </w:p>
          <w:p w14:paraId="59D0ED8E" w14:textId="26A0DF3B" w:rsidR="009A0E27" w:rsidRPr="005A3967" w:rsidRDefault="009A0E27" w:rsidP="00C3413C">
            <w:pPr>
              <w:spacing w:line="276" w:lineRule="auto"/>
              <w:rPr>
                <w:sz w:val="22"/>
                <w:szCs w:val="22"/>
              </w:rPr>
            </w:pPr>
            <w:r w:rsidRPr="005A3967">
              <w:rPr>
                <w:sz w:val="22"/>
                <w:szCs w:val="22"/>
              </w:rPr>
              <w:t>Incorporate supervisor feedback, conduct final formatting, editing, and proofing.</w:t>
            </w:r>
          </w:p>
        </w:tc>
        <w:tc>
          <w:tcPr>
            <w:tcW w:w="0" w:type="auto"/>
            <w:vAlign w:val="center"/>
            <w:hideMark/>
          </w:tcPr>
          <w:p w14:paraId="3F36340E"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01/07/2026</w:t>
            </w:r>
          </w:p>
        </w:tc>
        <w:tc>
          <w:tcPr>
            <w:tcW w:w="0" w:type="auto"/>
            <w:vAlign w:val="center"/>
            <w:hideMark/>
          </w:tcPr>
          <w:p w14:paraId="1D77E444"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15/08/2026</w:t>
            </w:r>
          </w:p>
        </w:tc>
        <w:tc>
          <w:tcPr>
            <w:tcW w:w="0" w:type="auto"/>
            <w:vAlign w:val="center"/>
            <w:hideMark/>
          </w:tcPr>
          <w:p w14:paraId="1B7CBCC1" w14:textId="77777777" w:rsidR="009A0E27" w:rsidRPr="005A3967" w:rsidRDefault="009A0E27" w:rsidP="00C3413C">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46</w:t>
            </w:r>
          </w:p>
        </w:tc>
        <w:tc>
          <w:tcPr>
            <w:tcW w:w="0" w:type="auto"/>
            <w:vAlign w:val="center"/>
            <w:hideMark/>
          </w:tcPr>
          <w:p w14:paraId="1B61E67F" w14:textId="77777777" w:rsidR="009A0E27" w:rsidRPr="005A3967" w:rsidRDefault="009A0E27" w:rsidP="00C3413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Finalisation</w:t>
            </w:r>
          </w:p>
        </w:tc>
      </w:tr>
      <w:tr w:rsidR="009A0E27" w:rsidRPr="005A3967" w14:paraId="5B022B05" w14:textId="77777777" w:rsidTr="009A0E2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AD4A7D" w14:textId="77777777" w:rsidR="009A0E27" w:rsidRPr="005A3967" w:rsidRDefault="009A0E27" w:rsidP="00C3413C">
            <w:pPr>
              <w:spacing w:line="276" w:lineRule="auto"/>
              <w:rPr>
                <w:rStyle w:val="Strong"/>
                <w:rFonts w:eastAsiaTheme="majorEastAsia"/>
                <w:b/>
                <w:bCs/>
                <w:sz w:val="22"/>
                <w:szCs w:val="22"/>
              </w:rPr>
            </w:pPr>
            <w:r w:rsidRPr="005A3967">
              <w:rPr>
                <w:rStyle w:val="Strong"/>
                <w:rFonts w:eastAsiaTheme="majorEastAsia"/>
                <w:sz w:val="22"/>
                <w:szCs w:val="22"/>
              </w:rPr>
              <w:t>Submission &amp; Review</w:t>
            </w:r>
          </w:p>
          <w:p w14:paraId="240A99A2" w14:textId="77777777" w:rsidR="009A0E27" w:rsidRPr="005A3967" w:rsidRDefault="009A0E27" w:rsidP="00C3413C">
            <w:pPr>
              <w:spacing w:line="276" w:lineRule="auto"/>
              <w:rPr>
                <w:rStyle w:val="Strong"/>
                <w:rFonts w:eastAsiaTheme="majorEastAsia"/>
                <w:b/>
                <w:bCs/>
                <w:sz w:val="22"/>
                <w:szCs w:val="22"/>
              </w:rPr>
            </w:pPr>
          </w:p>
          <w:p w14:paraId="0E99E0DF" w14:textId="440F8FC0" w:rsidR="009A0E27" w:rsidRPr="005A3967" w:rsidRDefault="009A0E27" w:rsidP="00C3413C">
            <w:pPr>
              <w:spacing w:line="276" w:lineRule="auto"/>
              <w:rPr>
                <w:sz w:val="22"/>
                <w:szCs w:val="22"/>
              </w:rPr>
            </w:pPr>
            <w:r w:rsidRPr="005A3967">
              <w:rPr>
                <w:sz w:val="22"/>
                <w:szCs w:val="22"/>
              </w:rPr>
              <w:t>Submit the final dissertation and respond to minor corrections or comments if required.</w:t>
            </w:r>
          </w:p>
        </w:tc>
        <w:tc>
          <w:tcPr>
            <w:tcW w:w="0" w:type="auto"/>
            <w:vAlign w:val="center"/>
            <w:hideMark/>
          </w:tcPr>
          <w:p w14:paraId="40547FC3"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16/08/2026</w:t>
            </w:r>
          </w:p>
        </w:tc>
        <w:tc>
          <w:tcPr>
            <w:tcW w:w="0" w:type="auto"/>
            <w:vAlign w:val="center"/>
            <w:hideMark/>
          </w:tcPr>
          <w:p w14:paraId="04B630E3"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30/09/2026</w:t>
            </w:r>
          </w:p>
        </w:tc>
        <w:tc>
          <w:tcPr>
            <w:tcW w:w="0" w:type="auto"/>
            <w:vAlign w:val="center"/>
            <w:hideMark/>
          </w:tcPr>
          <w:p w14:paraId="5C7E2E29" w14:textId="77777777" w:rsidR="009A0E27" w:rsidRPr="005A3967" w:rsidRDefault="009A0E27" w:rsidP="00C3413C">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46</w:t>
            </w:r>
          </w:p>
        </w:tc>
        <w:tc>
          <w:tcPr>
            <w:tcW w:w="0" w:type="auto"/>
            <w:vAlign w:val="center"/>
            <w:hideMark/>
          </w:tcPr>
          <w:p w14:paraId="6FBDAF7C" w14:textId="77777777" w:rsidR="009A0E27" w:rsidRPr="005A3967" w:rsidRDefault="009A0E27" w:rsidP="00C3413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Finalisation</w:t>
            </w:r>
          </w:p>
        </w:tc>
      </w:tr>
    </w:tbl>
    <w:p w14:paraId="56E7E44D" w14:textId="77777777" w:rsidR="009A0E27" w:rsidRPr="005A3967" w:rsidRDefault="009A0E27" w:rsidP="00462E03">
      <w:pPr>
        <w:spacing w:line="360" w:lineRule="auto"/>
        <w:rPr>
          <w:b/>
          <w:bCs/>
        </w:rPr>
      </w:pPr>
    </w:p>
    <w:p w14:paraId="180275EE" w14:textId="304B902C" w:rsidR="00E4124D" w:rsidRPr="005A3967" w:rsidRDefault="00E4124D" w:rsidP="0036721B">
      <w:pPr>
        <w:pStyle w:val="Heading2"/>
        <w:rPr>
          <w:rFonts w:ascii="Times New Roman" w:hAnsi="Times New Roman" w:cs="Times New Roman"/>
          <w:b/>
          <w:bCs/>
        </w:rPr>
      </w:pPr>
      <w:r w:rsidRPr="005A3967">
        <w:rPr>
          <w:rFonts w:ascii="Times New Roman" w:hAnsi="Times New Roman" w:cs="Times New Roman"/>
          <w:b/>
          <w:bCs/>
        </w:rPr>
        <w:fldChar w:fldCharType="begin"/>
      </w:r>
      <w:r w:rsidRPr="005A3967">
        <w:rPr>
          <w:rFonts w:ascii="Times New Roman" w:hAnsi="Times New Roman" w:cs="Times New Roman"/>
          <w:b/>
          <w:bCs/>
        </w:rPr>
        <w:instrText xml:space="preserve"> INCLUDEPICTURE "blob:https://chatgpt.com/f0c212a7-dd2b-44bf-ad68-e8e98cc7f4c1" \* MERGEFORMATINET </w:instrText>
      </w:r>
      <w:r w:rsidRPr="005A3967">
        <w:rPr>
          <w:rFonts w:ascii="Times New Roman" w:hAnsi="Times New Roman" w:cs="Times New Roman"/>
          <w:b/>
          <w:bCs/>
        </w:rPr>
        <w:fldChar w:fldCharType="separate"/>
      </w:r>
      <w:r w:rsidRPr="005A3967">
        <w:rPr>
          <w:rFonts w:ascii="Times New Roman" w:hAnsi="Times New Roman" w:cs="Times New Roman"/>
          <w:b/>
          <w:bCs/>
        </w:rPr>
        <w:fldChar w:fldCharType="end"/>
      </w:r>
      <w:bookmarkStart w:id="98" w:name="_Toc202544534"/>
      <w:r w:rsidRPr="005A3967">
        <w:rPr>
          <w:rFonts w:ascii="Times New Roman" w:hAnsi="Times New Roman" w:cs="Times New Roman"/>
          <w:b/>
          <w:bCs/>
        </w:rPr>
        <w:t>Appendix D: Ethics and Consent Form (Template)</w:t>
      </w:r>
      <w:bookmarkEnd w:id="98"/>
    </w:p>
    <w:p w14:paraId="7EF43C86" w14:textId="77777777" w:rsidR="007D2B72" w:rsidRPr="005A3967" w:rsidRDefault="007D2B72" w:rsidP="007D2B72"/>
    <w:p w14:paraId="26C77C22" w14:textId="77777777" w:rsidR="007D2B72" w:rsidRPr="005A3967" w:rsidRDefault="007D2B72" w:rsidP="007D2B72">
      <w:pPr>
        <w:spacing w:line="360" w:lineRule="auto"/>
        <w:rPr>
          <w:b/>
          <w:bCs/>
        </w:rPr>
      </w:pPr>
      <w:r w:rsidRPr="005A3967">
        <w:rPr>
          <w:b/>
          <w:bCs/>
        </w:rPr>
        <w:t>Participant Information Sheet and Consent (Survey &amp; Interview)</w:t>
      </w:r>
    </w:p>
    <w:p w14:paraId="4DF1F4D3" w14:textId="77777777" w:rsidR="007D2B72" w:rsidRPr="005A3967" w:rsidRDefault="007D2B72" w:rsidP="007D2B72">
      <w:pPr>
        <w:spacing w:line="360" w:lineRule="auto"/>
      </w:pPr>
      <w:r w:rsidRPr="005A3967">
        <w:rPr>
          <w:b/>
          <w:bCs/>
        </w:rPr>
        <w:t>Project Title:</w:t>
      </w:r>
      <w:r w:rsidRPr="005A3967">
        <w:t xml:space="preserve"> </w:t>
      </w:r>
      <w:r w:rsidRPr="005A3967">
        <w:rPr>
          <w:i/>
          <w:iCs/>
        </w:rPr>
        <w:t>Integrating Predictive Analytics into Strategic Decision-Making at SSE PLC</w:t>
      </w:r>
      <w:r w:rsidRPr="005A3967">
        <w:br/>
      </w:r>
      <w:r w:rsidRPr="005A3967">
        <w:rPr>
          <w:b/>
          <w:bCs/>
        </w:rPr>
        <w:t>Researcher:</w:t>
      </w:r>
      <w:r w:rsidRPr="005A3967">
        <w:t xml:space="preserve"> </w:t>
      </w:r>
      <w:r w:rsidRPr="005A3967">
        <w:rPr>
          <w:i/>
          <w:iCs/>
        </w:rPr>
        <w:t>[Your Name]</w:t>
      </w:r>
      <w:r w:rsidRPr="005A3967">
        <w:t xml:space="preserve">, MBA Candidate, </w:t>
      </w:r>
      <w:r w:rsidRPr="005A3967">
        <w:rPr>
          <w:i/>
          <w:iCs/>
        </w:rPr>
        <w:t>[University Name]</w:t>
      </w:r>
      <w:r w:rsidRPr="005A3967">
        <w:br/>
      </w:r>
      <w:r w:rsidRPr="005A3967">
        <w:rPr>
          <w:b/>
          <w:bCs/>
        </w:rPr>
        <w:t>Contact:</w:t>
      </w:r>
      <w:r w:rsidRPr="005A3967">
        <w:t xml:space="preserve"> </w:t>
      </w:r>
      <w:r w:rsidRPr="005A3967">
        <w:rPr>
          <w:i/>
          <w:iCs/>
        </w:rPr>
        <w:t>[yourname@university.ac.uk]</w:t>
      </w:r>
      <w:r w:rsidRPr="005A3967">
        <w:t xml:space="preserve"> for any questions or clarifications</w:t>
      </w:r>
    </w:p>
    <w:p w14:paraId="564A1FA3" w14:textId="19910FA3" w:rsidR="007D2B72" w:rsidRPr="005A3967" w:rsidRDefault="007D2B72" w:rsidP="007D2B72">
      <w:pPr>
        <w:spacing w:line="360" w:lineRule="auto"/>
      </w:pPr>
    </w:p>
    <w:p w14:paraId="74AC9A03" w14:textId="77777777" w:rsidR="007D2B72" w:rsidRPr="005A3967" w:rsidRDefault="007D2B72" w:rsidP="007D2B72">
      <w:pPr>
        <w:spacing w:line="360" w:lineRule="auto"/>
        <w:rPr>
          <w:b/>
          <w:bCs/>
        </w:rPr>
      </w:pPr>
      <w:r w:rsidRPr="005A3967">
        <w:rPr>
          <w:b/>
          <w:bCs/>
        </w:rPr>
        <w:t>Purpose of the Study</w:t>
      </w:r>
    </w:p>
    <w:p w14:paraId="1C9D5137" w14:textId="77777777" w:rsidR="007D2B72" w:rsidRPr="005A3967" w:rsidRDefault="007D2B72" w:rsidP="007D2B72">
      <w:pPr>
        <w:spacing w:line="360" w:lineRule="auto"/>
      </w:pPr>
      <w:r w:rsidRPr="005A3967">
        <w:t>This research will examine how predictive analytics is currently applied in strategic decision-making at SSE PLC, and what organisational factors either support or hinder its effective use. The ultimate goal will be to develop practical recommendations for enhancing data-driven decision-making across the business.</w:t>
      </w:r>
    </w:p>
    <w:p w14:paraId="5A4162A7" w14:textId="6D119317" w:rsidR="007D2B72" w:rsidRPr="005A3967" w:rsidRDefault="007D2B72" w:rsidP="007D2B72">
      <w:pPr>
        <w:spacing w:line="360" w:lineRule="auto"/>
      </w:pPr>
    </w:p>
    <w:p w14:paraId="197278F0" w14:textId="77777777" w:rsidR="007D2B72" w:rsidRPr="005A3967" w:rsidRDefault="007D2B72" w:rsidP="007D2B72">
      <w:pPr>
        <w:spacing w:line="360" w:lineRule="auto"/>
        <w:rPr>
          <w:b/>
          <w:bCs/>
        </w:rPr>
      </w:pPr>
      <w:r w:rsidRPr="005A3967">
        <w:rPr>
          <w:b/>
          <w:bCs/>
        </w:rPr>
        <w:t>Why You Will Be Invited</w:t>
      </w:r>
    </w:p>
    <w:p w14:paraId="5796419D" w14:textId="77777777" w:rsidR="007D2B72" w:rsidRPr="005A3967" w:rsidRDefault="007D2B72" w:rsidP="007D2B72">
      <w:pPr>
        <w:spacing w:line="360" w:lineRule="auto"/>
      </w:pPr>
      <w:r w:rsidRPr="005A3967">
        <w:t>You will be invited to participate because your role at SSE is relevant to data use, analytics, or strategic planning. Your views will offer valuable insight into how predictive analytics is perceived and used across the organisation.</w:t>
      </w:r>
    </w:p>
    <w:p w14:paraId="3A60073E" w14:textId="5644C002" w:rsidR="007D2B72" w:rsidRPr="005A3967" w:rsidRDefault="007D2B72" w:rsidP="007D2B72">
      <w:pPr>
        <w:spacing w:line="360" w:lineRule="auto"/>
      </w:pPr>
    </w:p>
    <w:p w14:paraId="11029BE2" w14:textId="77777777" w:rsidR="007D2B72" w:rsidRPr="005A3967" w:rsidRDefault="007D2B72" w:rsidP="007D2B72">
      <w:pPr>
        <w:spacing w:line="360" w:lineRule="auto"/>
        <w:rPr>
          <w:b/>
          <w:bCs/>
        </w:rPr>
      </w:pPr>
      <w:r w:rsidRPr="005A3967">
        <w:rPr>
          <w:b/>
          <w:bCs/>
        </w:rPr>
        <w:t>What Participation Will Involve</w:t>
      </w:r>
    </w:p>
    <w:p w14:paraId="2C22F615" w14:textId="7CB0AF6D" w:rsidR="007D2B72" w:rsidRPr="005A3967" w:rsidRDefault="007D2B72" w:rsidP="008824B8">
      <w:pPr>
        <w:numPr>
          <w:ilvl w:val="0"/>
          <w:numId w:val="22"/>
        </w:numPr>
        <w:spacing w:line="360" w:lineRule="auto"/>
      </w:pPr>
      <w:r w:rsidRPr="005A3967">
        <w:rPr>
          <w:b/>
          <w:bCs/>
        </w:rPr>
        <w:t>Survey:</w:t>
      </w:r>
      <w:r w:rsidRPr="005A3967">
        <w:t xml:space="preserve"> You will be asked to complete an online questionnaire (~10 minutes) </w:t>
      </w:r>
      <w:r w:rsidR="007A3770" w:rsidRPr="005A3967">
        <w:t>that explores</w:t>
      </w:r>
      <w:r w:rsidRPr="005A3967">
        <w:t xml:space="preserve"> your experience with analytics and strategic </w:t>
      </w:r>
      <w:r w:rsidR="007A3770" w:rsidRPr="005A3967">
        <w:t>decision-making</w:t>
      </w:r>
      <w:r w:rsidRPr="005A3967">
        <w:t>.</w:t>
      </w:r>
    </w:p>
    <w:p w14:paraId="54475A52" w14:textId="77777777" w:rsidR="007D2B72" w:rsidRPr="005A3967" w:rsidRDefault="007D2B72" w:rsidP="008824B8">
      <w:pPr>
        <w:numPr>
          <w:ilvl w:val="0"/>
          <w:numId w:val="22"/>
        </w:numPr>
        <w:spacing w:line="360" w:lineRule="auto"/>
      </w:pPr>
      <w:r w:rsidRPr="005A3967">
        <w:rPr>
          <w:b/>
          <w:bCs/>
        </w:rPr>
        <w:lastRenderedPageBreak/>
        <w:t>Interview (if selected):</w:t>
      </w:r>
      <w:r w:rsidRPr="005A3967">
        <w:t xml:space="preserve"> You may also be invited to take part in a one-on-one interview (~1 hour) for a more in-depth discussion on the same themes.</w:t>
      </w:r>
    </w:p>
    <w:p w14:paraId="5060DBB2" w14:textId="2686E0B9" w:rsidR="007D2B72" w:rsidRPr="005A3967" w:rsidRDefault="007D2B72" w:rsidP="007D2B72">
      <w:pPr>
        <w:spacing w:line="360" w:lineRule="auto"/>
      </w:pPr>
    </w:p>
    <w:p w14:paraId="2ED928B0" w14:textId="77777777" w:rsidR="007D2B72" w:rsidRPr="005A3967" w:rsidRDefault="007D2B72" w:rsidP="007D2B72">
      <w:pPr>
        <w:spacing w:line="360" w:lineRule="auto"/>
        <w:rPr>
          <w:b/>
          <w:bCs/>
        </w:rPr>
      </w:pPr>
      <w:r w:rsidRPr="005A3967">
        <w:rPr>
          <w:b/>
          <w:bCs/>
        </w:rPr>
        <w:t>Voluntary Participation</w:t>
      </w:r>
    </w:p>
    <w:p w14:paraId="5BFAA66D" w14:textId="6E59619A" w:rsidR="007D2B72" w:rsidRPr="005A3967" w:rsidRDefault="007D2B72" w:rsidP="007D2B72">
      <w:pPr>
        <w:spacing w:line="360" w:lineRule="auto"/>
      </w:pPr>
      <w:r w:rsidRPr="005A3967">
        <w:t xml:space="preserve">Participation will be completely voluntary. You will be free to decline </w:t>
      </w:r>
      <w:r w:rsidR="007A3770" w:rsidRPr="005A3967">
        <w:t>participation</w:t>
      </w:r>
      <w:r w:rsidRPr="005A3967">
        <w:t xml:space="preserve"> or withdraw at any time without </w:t>
      </w:r>
      <w:r w:rsidR="007A3770" w:rsidRPr="005A3967">
        <w:t>providing</w:t>
      </w:r>
      <w:r w:rsidRPr="005A3967">
        <w:t xml:space="preserve"> a reason. There will be no penalties or impact on your relationship with SSE PLC or the university. You may also skip any question if you are not comfortable answering it.</w:t>
      </w:r>
    </w:p>
    <w:p w14:paraId="39CF902B" w14:textId="1F67E470" w:rsidR="007D2B72" w:rsidRPr="005A3967" w:rsidRDefault="007D2B72" w:rsidP="007D2B72">
      <w:pPr>
        <w:spacing w:line="360" w:lineRule="auto"/>
      </w:pPr>
    </w:p>
    <w:p w14:paraId="6ADAA307" w14:textId="77777777" w:rsidR="007D2B72" w:rsidRPr="005A3967" w:rsidRDefault="007D2B72" w:rsidP="007D2B72">
      <w:pPr>
        <w:spacing w:line="360" w:lineRule="auto"/>
        <w:rPr>
          <w:b/>
          <w:bCs/>
        </w:rPr>
      </w:pPr>
      <w:r w:rsidRPr="005A3967">
        <w:rPr>
          <w:b/>
          <w:bCs/>
        </w:rPr>
        <w:t>Confidentiality</w:t>
      </w:r>
    </w:p>
    <w:p w14:paraId="60AD227A" w14:textId="77777777" w:rsidR="007D2B72" w:rsidRPr="005A3967" w:rsidRDefault="007D2B72" w:rsidP="007D2B72">
      <w:pPr>
        <w:spacing w:line="360" w:lineRule="auto"/>
      </w:pPr>
      <w:r w:rsidRPr="005A3967">
        <w:t>All data will be treated as confidential:</w:t>
      </w:r>
    </w:p>
    <w:p w14:paraId="6D10818D" w14:textId="77777777" w:rsidR="007D2B72" w:rsidRPr="005A3967" w:rsidRDefault="007D2B72" w:rsidP="008824B8">
      <w:pPr>
        <w:numPr>
          <w:ilvl w:val="0"/>
          <w:numId w:val="23"/>
        </w:numPr>
        <w:spacing w:line="360" w:lineRule="auto"/>
      </w:pPr>
      <w:r w:rsidRPr="005A3967">
        <w:rPr>
          <w:b/>
          <w:bCs/>
        </w:rPr>
        <w:t>Survey responses</w:t>
      </w:r>
      <w:r w:rsidRPr="005A3967">
        <w:t xml:space="preserve"> will be anonymous (no names or traceable identifiers will be collected).</w:t>
      </w:r>
    </w:p>
    <w:p w14:paraId="2D46F942" w14:textId="77777777" w:rsidR="007D2B72" w:rsidRPr="005A3967" w:rsidRDefault="007D2B72" w:rsidP="008824B8">
      <w:pPr>
        <w:numPr>
          <w:ilvl w:val="0"/>
          <w:numId w:val="23"/>
        </w:numPr>
        <w:spacing w:line="360" w:lineRule="auto"/>
      </w:pPr>
      <w:r w:rsidRPr="005A3967">
        <w:rPr>
          <w:b/>
          <w:bCs/>
        </w:rPr>
        <w:t>Interview responses</w:t>
      </w:r>
      <w:r w:rsidRPr="005A3967">
        <w:t xml:space="preserve"> will be pseudonymised. No real names or identifiable information will appear in any report or publication. Direct quotes may be used but will be attributed using general role descriptors (e.g., “Senior Analyst – Operations”).</w:t>
      </w:r>
    </w:p>
    <w:p w14:paraId="16D51632" w14:textId="77777777" w:rsidR="007D2B72" w:rsidRPr="005A3967" w:rsidRDefault="007D2B72" w:rsidP="008824B8">
      <w:pPr>
        <w:numPr>
          <w:ilvl w:val="0"/>
          <w:numId w:val="23"/>
        </w:numPr>
        <w:spacing w:line="360" w:lineRule="auto"/>
      </w:pPr>
      <w:r w:rsidRPr="005A3967">
        <w:t>All data will be stored securely on encrypted, password-protected systems and accessed only by the researcher.</w:t>
      </w:r>
    </w:p>
    <w:p w14:paraId="07C13F01" w14:textId="6FB35E3F" w:rsidR="007D2B72" w:rsidRPr="005A3967" w:rsidRDefault="007D2B72" w:rsidP="007D2B72">
      <w:pPr>
        <w:spacing w:line="360" w:lineRule="auto"/>
      </w:pPr>
    </w:p>
    <w:p w14:paraId="1B9ABDBE" w14:textId="77777777" w:rsidR="007D2B72" w:rsidRPr="005A3967" w:rsidRDefault="007D2B72" w:rsidP="007D2B72">
      <w:pPr>
        <w:spacing w:line="360" w:lineRule="auto"/>
        <w:rPr>
          <w:b/>
          <w:bCs/>
        </w:rPr>
      </w:pPr>
      <w:r w:rsidRPr="005A3967">
        <w:rPr>
          <w:b/>
          <w:bCs/>
        </w:rPr>
        <w:t>Data Use and Storage</w:t>
      </w:r>
    </w:p>
    <w:p w14:paraId="1A6DD43A" w14:textId="5074819F" w:rsidR="007D2B72" w:rsidRPr="005A3967" w:rsidRDefault="007D2B72" w:rsidP="007D2B72">
      <w:pPr>
        <w:spacing w:line="360" w:lineRule="auto"/>
      </w:pPr>
      <w:r w:rsidRPr="005A3967">
        <w:t xml:space="preserve">The data collected will be used for the MBA dissertation and may be referenced in academic presentations or publications. No personal or sensitive company information will be disclosed. Raw data will not be shared </w:t>
      </w:r>
      <w:r w:rsidR="007A3770" w:rsidRPr="005A3967">
        <w:t>with anyone outside of</w:t>
      </w:r>
      <w:r w:rsidRPr="005A3967">
        <w:t xml:space="preserve"> the research team. In line with university policy, the data will be securely retained for up to 12 months after project completion and then permanently deleted.</w:t>
      </w:r>
    </w:p>
    <w:p w14:paraId="02738360" w14:textId="4F33949E" w:rsidR="007D2B72" w:rsidRPr="005A3967" w:rsidRDefault="007D2B72" w:rsidP="007D2B72">
      <w:pPr>
        <w:spacing w:line="360" w:lineRule="auto"/>
      </w:pPr>
    </w:p>
    <w:p w14:paraId="2483A63C" w14:textId="77777777" w:rsidR="007D2B72" w:rsidRPr="005A3967" w:rsidRDefault="007D2B72" w:rsidP="007D2B72">
      <w:pPr>
        <w:spacing w:line="360" w:lineRule="auto"/>
        <w:rPr>
          <w:b/>
          <w:bCs/>
        </w:rPr>
      </w:pPr>
      <w:r w:rsidRPr="005A3967">
        <w:rPr>
          <w:b/>
          <w:bCs/>
        </w:rPr>
        <w:t>Risks and Benefits</w:t>
      </w:r>
    </w:p>
    <w:p w14:paraId="698D13A7" w14:textId="209D9817" w:rsidR="007D2B72" w:rsidRPr="005A3967" w:rsidRDefault="007D2B72" w:rsidP="007D2B72">
      <w:pPr>
        <w:spacing w:line="360" w:lineRule="auto"/>
      </w:pPr>
      <w:r w:rsidRPr="005A3967">
        <w:t>There are no significant risks to participation. The study will focus on professional practices, not personal matters. However, if any question makes you uncomfortable, you may skip it. The benefits of participation include contributing to an internal improvement initiative and academic understanding of analytics adoption in corporate settings. Participants may also request a summary of the final findings.</w:t>
      </w:r>
    </w:p>
    <w:p w14:paraId="6437E5ED" w14:textId="6A1B49F6" w:rsidR="007D2B72" w:rsidRPr="005A3967" w:rsidRDefault="007D2B72" w:rsidP="007D2B72">
      <w:pPr>
        <w:spacing w:line="360" w:lineRule="auto"/>
      </w:pPr>
    </w:p>
    <w:p w14:paraId="4F7CA364" w14:textId="77777777" w:rsidR="007D2B72" w:rsidRPr="005A3967" w:rsidRDefault="007D2B72" w:rsidP="007D2B72">
      <w:pPr>
        <w:spacing w:line="360" w:lineRule="auto"/>
        <w:rPr>
          <w:b/>
          <w:bCs/>
        </w:rPr>
      </w:pPr>
      <w:r w:rsidRPr="005A3967">
        <w:rPr>
          <w:b/>
          <w:bCs/>
        </w:rPr>
        <w:t>Consent</w:t>
      </w:r>
    </w:p>
    <w:p w14:paraId="7B951B8D" w14:textId="77777777" w:rsidR="007D2B72" w:rsidRPr="005A3967" w:rsidRDefault="007D2B72" w:rsidP="007D2B72">
      <w:pPr>
        <w:spacing w:line="360" w:lineRule="auto"/>
        <w:rPr>
          <w:b/>
          <w:bCs/>
        </w:rPr>
      </w:pPr>
      <w:r w:rsidRPr="005A3967">
        <w:rPr>
          <w:b/>
          <w:bCs/>
        </w:rPr>
        <w:t>Survey Participation:</w:t>
      </w:r>
    </w:p>
    <w:p w14:paraId="224EE377" w14:textId="77777777" w:rsidR="007D2B72" w:rsidRPr="005A3967" w:rsidRDefault="007D2B72" w:rsidP="007D2B72">
      <w:pPr>
        <w:spacing w:line="360" w:lineRule="auto"/>
      </w:pPr>
      <w:r w:rsidRPr="005A3967">
        <w:lastRenderedPageBreak/>
        <w:t>By submitting your responses, you will be deemed to have understood the above and to have given your consent to participate anonymously in the survey.</w:t>
      </w:r>
    </w:p>
    <w:p w14:paraId="47790DA5" w14:textId="77777777" w:rsidR="007D2B72" w:rsidRPr="005A3967" w:rsidRDefault="007D2B72" w:rsidP="007D2B72">
      <w:pPr>
        <w:spacing w:line="360" w:lineRule="auto"/>
        <w:rPr>
          <w:b/>
          <w:bCs/>
        </w:rPr>
      </w:pPr>
      <w:r w:rsidRPr="005A3967">
        <w:rPr>
          <w:b/>
          <w:bCs/>
        </w:rPr>
        <w:t>Interview Participation:</w:t>
      </w:r>
    </w:p>
    <w:p w14:paraId="0A0D3C60" w14:textId="58E07056" w:rsidR="007D2B72" w:rsidRPr="005A3967" w:rsidRDefault="007D2B72" w:rsidP="007D2B72">
      <w:pPr>
        <w:spacing w:line="360" w:lineRule="auto"/>
      </w:pPr>
      <w:r w:rsidRPr="005A3967">
        <w:t>For interview participants, explicit consent will be sought. Please read and confirm</w:t>
      </w:r>
      <w:r w:rsidR="007A3770" w:rsidRPr="005A3967">
        <w:t xml:space="preserve"> the following</w:t>
      </w:r>
      <w:r w:rsidRPr="005A3967">
        <w:t>:</w:t>
      </w:r>
    </w:p>
    <w:p w14:paraId="38D1E2A7" w14:textId="77777777" w:rsidR="007D2B72" w:rsidRPr="005A3967" w:rsidRDefault="007D2B72" w:rsidP="008824B8">
      <w:pPr>
        <w:numPr>
          <w:ilvl w:val="0"/>
          <w:numId w:val="24"/>
        </w:numPr>
        <w:spacing w:line="360" w:lineRule="auto"/>
      </w:pPr>
      <w:r w:rsidRPr="005A3967">
        <w:t>I will have read and understood the study information above.</w:t>
      </w:r>
    </w:p>
    <w:p w14:paraId="66F0E7D9" w14:textId="77777777" w:rsidR="007D2B72" w:rsidRPr="005A3967" w:rsidRDefault="007D2B72" w:rsidP="008824B8">
      <w:pPr>
        <w:numPr>
          <w:ilvl w:val="0"/>
          <w:numId w:val="24"/>
        </w:numPr>
        <w:spacing w:line="360" w:lineRule="auto"/>
      </w:pPr>
      <w:r w:rsidRPr="005A3967">
        <w:t>I will have had the opportunity to ask questions and will be satisfied with the answers provided.</w:t>
      </w:r>
    </w:p>
    <w:p w14:paraId="42FB5F1A" w14:textId="77777777" w:rsidR="007D2B72" w:rsidRPr="005A3967" w:rsidRDefault="007D2B72" w:rsidP="008824B8">
      <w:pPr>
        <w:numPr>
          <w:ilvl w:val="0"/>
          <w:numId w:val="24"/>
        </w:numPr>
        <w:spacing w:line="360" w:lineRule="auto"/>
      </w:pPr>
      <w:r w:rsidRPr="005A3967">
        <w:t>I will understand that participation is voluntary and that I may withdraw at any time.</w:t>
      </w:r>
    </w:p>
    <w:p w14:paraId="407C382B" w14:textId="3542861C" w:rsidR="007D2B72" w:rsidRPr="005A3967" w:rsidRDefault="007D2B72" w:rsidP="008824B8">
      <w:pPr>
        <w:numPr>
          <w:ilvl w:val="0"/>
          <w:numId w:val="24"/>
        </w:numPr>
        <w:spacing w:line="360" w:lineRule="auto"/>
      </w:pPr>
      <w:r w:rsidRPr="005A3967">
        <w:t>I will consent to the interview being audio recorded. (</w:t>
      </w:r>
      <w:r w:rsidRPr="005A3967">
        <w:rPr>
          <w:b/>
          <w:bCs/>
        </w:rPr>
        <w:t>Yes/No</w:t>
      </w:r>
      <w:r w:rsidRPr="005A3967">
        <w:t xml:space="preserve"> – to be confirmed before </w:t>
      </w:r>
      <w:r w:rsidR="007A3770" w:rsidRPr="005A3967">
        <w:t xml:space="preserve">the </w:t>
      </w:r>
      <w:r w:rsidRPr="005A3967">
        <w:t>interview begins)</w:t>
      </w:r>
    </w:p>
    <w:p w14:paraId="7883ADA6" w14:textId="5F5B0956" w:rsidR="007D2B72" w:rsidRPr="005A3967" w:rsidRDefault="007D2B72" w:rsidP="008824B8">
      <w:pPr>
        <w:numPr>
          <w:ilvl w:val="0"/>
          <w:numId w:val="24"/>
        </w:numPr>
        <w:spacing w:line="360" w:lineRule="auto"/>
      </w:pPr>
      <w:r w:rsidRPr="005A3967">
        <w:t xml:space="preserve">I understand that my data will </w:t>
      </w:r>
      <w:r w:rsidR="0002751E">
        <w:t>be kept</w:t>
      </w:r>
      <w:r w:rsidRPr="005A3967">
        <w:t xml:space="preserve"> confidential and used solely for research purposes.</w:t>
      </w:r>
    </w:p>
    <w:p w14:paraId="6EA9A5F3" w14:textId="77777777" w:rsidR="007D2B72" w:rsidRPr="005A3967" w:rsidRDefault="007D2B72" w:rsidP="007D2B72">
      <w:pPr>
        <w:spacing w:line="360" w:lineRule="auto"/>
      </w:pPr>
      <w:r w:rsidRPr="005A3967">
        <w:rPr>
          <w:b/>
          <w:bCs/>
        </w:rPr>
        <w:t>Name (printed):</w:t>
      </w:r>
      <w:r w:rsidRPr="005A3967">
        <w:t xml:space="preserve"> __________________________________</w:t>
      </w:r>
      <w:r w:rsidRPr="005A3967">
        <w:br/>
      </w:r>
      <w:r w:rsidRPr="005A3967">
        <w:rPr>
          <w:b/>
          <w:bCs/>
        </w:rPr>
        <w:t>Participant Signature:</w:t>
      </w:r>
      <w:r w:rsidRPr="005A3967">
        <w:t xml:space="preserve"> ____________________________</w:t>
      </w:r>
      <w:r w:rsidRPr="005A3967">
        <w:br/>
      </w:r>
      <w:r w:rsidRPr="005A3967">
        <w:rPr>
          <w:b/>
          <w:bCs/>
        </w:rPr>
        <w:t>Date:</w:t>
      </w:r>
      <w:r w:rsidRPr="005A3967">
        <w:t xml:space="preserve"> _______________</w:t>
      </w:r>
    </w:p>
    <w:p w14:paraId="7D5043A6" w14:textId="77777777" w:rsidR="007D2B72" w:rsidRPr="005A3967" w:rsidRDefault="007D2B72" w:rsidP="007D2B72">
      <w:pPr>
        <w:spacing w:line="360" w:lineRule="auto"/>
      </w:pPr>
      <w:r w:rsidRPr="005A3967">
        <w:rPr>
          <w:b/>
          <w:bCs/>
        </w:rPr>
        <w:t>Researcher Signature (to acknowledge consent):</w:t>
      </w:r>
      <w:r w:rsidRPr="005A3967">
        <w:t xml:space="preserve"> __________________________</w:t>
      </w:r>
      <w:r w:rsidRPr="005A3967">
        <w:br/>
      </w:r>
      <w:r w:rsidRPr="005A3967">
        <w:rPr>
          <w:b/>
          <w:bCs/>
        </w:rPr>
        <w:t>Date:</w:t>
      </w:r>
      <w:r w:rsidRPr="005A3967">
        <w:t xml:space="preserve"> _______________</w:t>
      </w:r>
    </w:p>
    <w:p w14:paraId="0B40388F" w14:textId="5D0DDAD8" w:rsidR="007D2B72" w:rsidRPr="005A3967" w:rsidRDefault="007D2B72" w:rsidP="007D2B72">
      <w:pPr>
        <w:spacing w:line="360" w:lineRule="auto"/>
        <w:rPr>
          <w:i/>
          <w:iCs/>
        </w:rPr>
      </w:pPr>
      <w:r w:rsidRPr="005A3967">
        <w:rPr>
          <w:i/>
          <w:iCs/>
        </w:rPr>
        <w:t xml:space="preserve">This template will be used as </w:t>
      </w:r>
      <w:r w:rsidR="007A3770" w:rsidRPr="005A3967">
        <w:rPr>
          <w:i/>
          <w:iCs/>
        </w:rPr>
        <w:t xml:space="preserve">both </w:t>
      </w:r>
      <w:r w:rsidRPr="005A3967">
        <w:rPr>
          <w:i/>
          <w:iCs/>
        </w:rPr>
        <w:t>an introduction page in the survey (</w:t>
      </w:r>
      <w:r w:rsidR="007A3770" w:rsidRPr="005A3967">
        <w:rPr>
          <w:i/>
          <w:iCs/>
        </w:rPr>
        <w:t xml:space="preserve">for </w:t>
      </w:r>
      <w:r w:rsidRPr="005A3967">
        <w:rPr>
          <w:i/>
          <w:iCs/>
        </w:rPr>
        <w:t>implied consent) and as a signed or verbally recorded consent form during interviews. Ethical approval for this study will be obtained from the [University Name] Research Ethics Committee prior to data collection.</w:t>
      </w:r>
    </w:p>
    <w:p w14:paraId="6AC2CAA1" w14:textId="77777777" w:rsidR="00D1731D" w:rsidRPr="005A3967" w:rsidRDefault="00D1731D" w:rsidP="00D1731D">
      <w:pPr>
        <w:spacing w:before="100" w:beforeAutospacing="1" w:after="100" w:afterAutospacing="1" w:line="360" w:lineRule="auto"/>
        <w:rPr>
          <w:b/>
          <w:bCs/>
        </w:rPr>
      </w:pPr>
      <w:r w:rsidRPr="005A3967">
        <w:rPr>
          <w:b/>
          <w:bCs/>
        </w:rPr>
        <w:t>Appendix D.1: Ethics and Consent Form Structure Summary Table</w:t>
      </w:r>
    </w:p>
    <w:p w14:paraId="4DE4817E" w14:textId="2E721570" w:rsidR="00D1731D" w:rsidRPr="005A3967" w:rsidRDefault="00D1731D" w:rsidP="00D1731D">
      <w:pPr>
        <w:spacing w:before="100" w:beforeAutospacing="1" w:after="100" w:afterAutospacing="1" w:line="360" w:lineRule="auto"/>
      </w:pPr>
      <w:r w:rsidRPr="005A3967">
        <w:t>T</w:t>
      </w:r>
      <w:r w:rsidR="005A4B1B" w:rsidRPr="005A3967">
        <w:t xml:space="preserve">able D1 </w:t>
      </w:r>
      <w:r w:rsidRPr="005A3967">
        <w:t xml:space="preserve">summarises the key elements </w:t>
      </w:r>
      <w:r w:rsidR="00BA1C6E" w:rsidRPr="005A3967">
        <w:t>of</w:t>
      </w:r>
      <w:r w:rsidRPr="005A3967">
        <w:t xml:space="preserve"> the Ethics and Consent Form used for the SSE Predictive Analytics Study. It outlines each major section, its focus, and the assurances or expectations communicated to participants, ensuring ethical compliance.</w:t>
      </w:r>
    </w:p>
    <w:p w14:paraId="06114472" w14:textId="484EE408" w:rsidR="0005000C" w:rsidRPr="005A3967" w:rsidRDefault="0005000C" w:rsidP="00D1731D">
      <w:pPr>
        <w:spacing w:before="100" w:beforeAutospacing="1" w:after="100" w:afterAutospacing="1" w:line="360" w:lineRule="auto"/>
        <w:rPr>
          <w:b/>
          <w:bCs/>
        </w:rPr>
      </w:pPr>
      <w:r w:rsidRPr="005A3967">
        <w:rPr>
          <w:b/>
          <w:bCs/>
        </w:rPr>
        <w:t>Table D1. Participant Information Summary for Research on Predictive Analytics at SSE PLC</w:t>
      </w:r>
    </w:p>
    <w:tbl>
      <w:tblPr>
        <w:tblStyle w:val="GridTable4-Accent2"/>
        <w:tblW w:w="0" w:type="auto"/>
        <w:tblLook w:val="04A0" w:firstRow="1" w:lastRow="0" w:firstColumn="1" w:lastColumn="0" w:noHBand="0" w:noVBand="1"/>
      </w:tblPr>
      <w:tblGrid>
        <w:gridCol w:w="2972"/>
        <w:gridCol w:w="5668"/>
      </w:tblGrid>
      <w:tr w:rsidR="001A1F15" w:rsidRPr="005A3967" w14:paraId="4A162818" w14:textId="77777777" w:rsidTr="001E67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58666252" w14:textId="77777777" w:rsidR="001A1F15" w:rsidRPr="005A3967" w:rsidRDefault="001A1F15" w:rsidP="008E41B7">
            <w:pPr>
              <w:spacing w:before="100" w:beforeAutospacing="1" w:after="100" w:afterAutospacing="1" w:line="276" w:lineRule="auto"/>
              <w:jc w:val="center"/>
              <w:rPr>
                <w:sz w:val="22"/>
                <w:szCs w:val="22"/>
              </w:rPr>
            </w:pPr>
            <w:r w:rsidRPr="005A3967">
              <w:rPr>
                <w:sz w:val="22"/>
                <w:szCs w:val="22"/>
              </w:rPr>
              <w:t>Section</w:t>
            </w:r>
          </w:p>
        </w:tc>
        <w:tc>
          <w:tcPr>
            <w:tcW w:w="5668" w:type="dxa"/>
            <w:vAlign w:val="center"/>
          </w:tcPr>
          <w:p w14:paraId="6AD6B622" w14:textId="77777777" w:rsidR="001A1F15" w:rsidRPr="005A3967" w:rsidRDefault="001A1F15" w:rsidP="008E41B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Key Content</w:t>
            </w:r>
          </w:p>
        </w:tc>
      </w:tr>
      <w:tr w:rsidR="001A1F15" w:rsidRPr="005A3967" w14:paraId="45BCC53D" w14:textId="77777777" w:rsidTr="001E67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4F0CF038" w14:textId="77777777" w:rsidR="001A1F15" w:rsidRPr="005A3967" w:rsidRDefault="001A1F15" w:rsidP="008E41B7">
            <w:pPr>
              <w:spacing w:before="100" w:beforeAutospacing="1" w:after="100" w:afterAutospacing="1" w:line="276" w:lineRule="auto"/>
              <w:rPr>
                <w:sz w:val="22"/>
                <w:szCs w:val="22"/>
              </w:rPr>
            </w:pPr>
            <w:r w:rsidRPr="005A3967">
              <w:rPr>
                <w:sz w:val="22"/>
                <w:szCs w:val="22"/>
              </w:rPr>
              <w:t>Project Details</w:t>
            </w:r>
          </w:p>
        </w:tc>
        <w:tc>
          <w:tcPr>
            <w:tcW w:w="5668" w:type="dxa"/>
            <w:vAlign w:val="center"/>
          </w:tcPr>
          <w:p w14:paraId="3E686378" w14:textId="4281FE8F" w:rsidR="001A1F15" w:rsidRPr="005A3967" w:rsidRDefault="001A1F15" w:rsidP="008E41B7">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 xml:space="preserve">The researcher's name, university, and contact details </w:t>
            </w:r>
            <w:r w:rsidR="0002751E">
              <w:rPr>
                <w:sz w:val="22"/>
                <w:szCs w:val="22"/>
              </w:rPr>
              <w:t xml:space="preserve">are </w:t>
            </w:r>
            <w:r w:rsidRPr="005A3967">
              <w:rPr>
                <w:sz w:val="22"/>
                <w:szCs w:val="22"/>
              </w:rPr>
              <w:t>provided</w:t>
            </w:r>
          </w:p>
        </w:tc>
      </w:tr>
      <w:tr w:rsidR="001A1F15" w:rsidRPr="005A3967" w14:paraId="2972DE61" w14:textId="77777777" w:rsidTr="001E671D">
        <w:tc>
          <w:tcPr>
            <w:cnfStyle w:val="001000000000" w:firstRow="0" w:lastRow="0" w:firstColumn="1" w:lastColumn="0" w:oddVBand="0" w:evenVBand="0" w:oddHBand="0" w:evenHBand="0" w:firstRowFirstColumn="0" w:firstRowLastColumn="0" w:lastRowFirstColumn="0" w:lastRowLastColumn="0"/>
            <w:tcW w:w="2972" w:type="dxa"/>
            <w:vAlign w:val="center"/>
          </w:tcPr>
          <w:p w14:paraId="75E79C69" w14:textId="77777777" w:rsidR="001A1F15" w:rsidRPr="005A3967" w:rsidRDefault="001A1F15" w:rsidP="008E41B7">
            <w:pPr>
              <w:spacing w:before="100" w:beforeAutospacing="1" w:after="100" w:afterAutospacing="1" w:line="276" w:lineRule="auto"/>
              <w:rPr>
                <w:sz w:val="22"/>
                <w:szCs w:val="22"/>
              </w:rPr>
            </w:pPr>
            <w:r w:rsidRPr="005A3967">
              <w:rPr>
                <w:sz w:val="22"/>
                <w:szCs w:val="22"/>
              </w:rPr>
              <w:t>Purpose of Study</w:t>
            </w:r>
          </w:p>
        </w:tc>
        <w:tc>
          <w:tcPr>
            <w:tcW w:w="5668" w:type="dxa"/>
            <w:vAlign w:val="center"/>
          </w:tcPr>
          <w:p w14:paraId="51684D86" w14:textId="77777777" w:rsidR="001A1F15" w:rsidRPr="005A3967" w:rsidRDefault="001A1F15" w:rsidP="008E41B7">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The study explores predictive analytics in strategic decisions at SSE</w:t>
            </w:r>
          </w:p>
        </w:tc>
      </w:tr>
      <w:tr w:rsidR="001A1F15" w:rsidRPr="005A3967" w14:paraId="668C7075" w14:textId="77777777" w:rsidTr="001E67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36C9FAC4" w14:textId="77777777" w:rsidR="001A1F15" w:rsidRPr="005A3967" w:rsidRDefault="001A1F15" w:rsidP="008E41B7">
            <w:pPr>
              <w:spacing w:before="100" w:beforeAutospacing="1" w:after="100" w:afterAutospacing="1" w:line="276" w:lineRule="auto"/>
              <w:rPr>
                <w:sz w:val="22"/>
                <w:szCs w:val="22"/>
              </w:rPr>
            </w:pPr>
            <w:r w:rsidRPr="005A3967">
              <w:rPr>
                <w:sz w:val="22"/>
                <w:szCs w:val="22"/>
              </w:rPr>
              <w:lastRenderedPageBreak/>
              <w:t>Participant Selection</w:t>
            </w:r>
          </w:p>
        </w:tc>
        <w:tc>
          <w:tcPr>
            <w:tcW w:w="5668" w:type="dxa"/>
            <w:vAlign w:val="center"/>
          </w:tcPr>
          <w:p w14:paraId="7DA60EA3" w14:textId="77777777" w:rsidR="001A1F15" w:rsidRPr="005A3967" w:rsidRDefault="001A1F15" w:rsidP="008E41B7">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Participants were selected based on relevance to decision-making or analytics</w:t>
            </w:r>
          </w:p>
        </w:tc>
      </w:tr>
      <w:tr w:rsidR="001A1F15" w:rsidRPr="005A3967" w14:paraId="305D2164" w14:textId="77777777" w:rsidTr="001E671D">
        <w:tc>
          <w:tcPr>
            <w:cnfStyle w:val="001000000000" w:firstRow="0" w:lastRow="0" w:firstColumn="1" w:lastColumn="0" w:oddVBand="0" w:evenVBand="0" w:oddHBand="0" w:evenHBand="0" w:firstRowFirstColumn="0" w:firstRowLastColumn="0" w:lastRowFirstColumn="0" w:lastRowLastColumn="0"/>
            <w:tcW w:w="2972" w:type="dxa"/>
            <w:vAlign w:val="center"/>
          </w:tcPr>
          <w:p w14:paraId="34C33243" w14:textId="77777777" w:rsidR="001A1F15" w:rsidRPr="005A3967" w:rsidRDefault="001A1F15" w:rsidP="008E41B7">
            <w:pPr>
              <w:spacing w:before="100" w:beforeAutospacing="1" w:after="100" w:afterAutospacing="1" w:line="276" w:lineRule="auto"/>
              <w:rPr>
                <w:sz w:val="22"/>
                <w:szCs w:val="22"/>
              </w:rPr>
            </w:pPr>
            <w:r w:rsidRPr="005A3967">
              <w:rPr>
                <w:sz w:val="22"/>
                <w:szCs w:val="22"/>
              </w:rPr>
              <w:t>Participation Requirements</w:t>
            </w:r>
          </w:p>
        </w:tc>
        <w:tc>
          <w:tcPr>
            <w:tcW w:w="5668" w:type="dxa"/>
            <w:vAlign w:val="center"/>
          </w:tcPr>
          <w:p w14:paraId="3F6C148C" w14:textId="77777777" w:rsidR="001A1F15" w:rsidRPr="005A3967" w:rsidRDefault="001A1F15" w:rsidP="008E41B7">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Survey (~10 min) and optional interview (~1 hour)</w:t>
            </w:r>
          </w:p>
        </w:tc>
      </w:tr>
      <w:tr w:rsidR="001A1F15" w:rsidRPr="005A3967" w14:paraId="4167E6B1" w14:textId="77777777" w:rsidTr="001E67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7FD6CDB2" w14:textId="77777777" w:rsidR="001A1F15" w:rsidRPr="005A3967" w:rsidRDefault="001A1F15" w:rsidP="008E41B7">
            <w:pPr>
              <w:spacing w:before="100" w:beforeAutospacing="1" w:after="100" w:afterAutospacing="1" w:line="276" w:lineRule="auto"/>
              <w:rPr>
                <w:sz w:val="22"/>
                <w:szCs w:val="22"/>
              </w:rPr>
            </w:pPr>
            <w:r w:rsidRPr="005A3967">
              <w:rPr>
                <w:sz w:val="22"/>
                <w:szCs w:val="22"/>
              </w:rPr>
              <w:t>Voluntary Nature</w:t>
            </w:r>
          </w:p>
        </w:tc>
        <w:tc>
          <w:tcPr>
            <w:tcW w:w="5668" w:type="dxa"/>
            <w:vAlign w:val="center"/>
          </w:tcPr>
          <w:p w14:paraId="6E9E13BB" w14:textId="77777777" w:rsidR="001A1F15" w:rsidRPr="005A3967" w:rsidRDefault="001A1F15" w:rsidP="008E41B7">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Participation is voluntary; withdrawal is allowed anytime</w:t>
            </w:r>
          </w:p>
        </w:tc>
      </w:tr>
      <w:tr w:rsidR="001A1F15" w:rsidRPr="005A3967" w14:paraId="38F4ADBD" w14:textId="77777777" w:rsidTr="001E671D">
        <w:tc>
          <w:tcPr>
            <w:cnfStyle w:val="001000000000" w:firstRow="0" w:lastRow="0" w:firstColumn="1" w:lastColumn="0" w:oddVBand="0" w:evenVBand="0" w:oddHBand="0" w:evenHBand="0" w:firstRowFirstColumn="0" w:firstRowLastColumn="0" w:lastRowFirstColumn="0" w:lastRowLastColumn="0"/>
            <w:tcW w:w="2972" w:type="dxa"/>
            <w:vAlign w:val="center"/>
          </w:tcPr>
          <w:p w14:paraId="4A09F495" w14:textId="77777777" w:rsidR="001A1F15" w:rsidRPr="005A3967" w:rsidRDefault="001A1F15" w:rsidP="008E41B7">
            <w:pPr>
              <w:spacing w:before="100" w:beforeAutospacing="1" w:after="100" w:afterAutospacing="1" w:line="276" w:lineRule="auto"/>
              <w:rPr>
                <w:sz w:val="22"/>
                <w:szCs w:val="22"/>
              </w:rPr>
            </w:pPr>
            <w:r w:rsidRPr="005A3967">
              <w:rPr>
                <w:sz w:val="22"/>
                <w:szCs w:val="22"/>
              </w:rPr>
              <w:t>Confidentiality Assurance</w:t>
            </w:r>
          </w:p>
        </w:tc>
        <w:tc>
          <w:tcPr>
            <w:tcW w:w="5668" w:type="dxa"/>
            <w:vAlign w:val="center"/>
          </w:tcPr>
          <w:p w14:paraId="7AF8E1A0" w14:textId="77777777" w:rsidR="001A1F15" w:rsidRPr="005A3967" w:rsidRDefault="001A1F15" w:rsidP="008E41B7">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Data anonymised; confidentiality maintained throughout</w:t>
            </w:r>
          </w:p>
        </w:tc>
      </w:tr>
      <w:tr w:rsidR="001A1F15" w:rsidRPr="005A3967" w14:paraId="7488C02D" w14:textId="77777777" w:rsidTr="001E67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1DB9F3D2" w14:textId="77777777" w:rsidR="001A1F15" w:rsidRPr="005A3967" w:rsidRDefault="001A1F15" w:rsidP="008E41B7">
            <w:pPr>
              <w:spacing w:before="100" w:beforeAutospacing="1" w:after="100" w:afterAutospacing="1" w:line="276" w:lineRule="auto"/>
              <w:rPr>
                <w:sz w:val="22"/>
                <w:szCs w:val="22"/>
              </w:rPr>
            </w:pPr>
            <w:r w:rsidRPr="005A3967">
              <w:rPr>
                <w:sz w:val="22"/>
                <w:szCs w:val="22"/>
              </w:rPr>
              <w:t>Data Storage and Use</w:t>
            </w:r>
          </w:p>
        </w:tc>
        <w:tc>
          <w:tcPr>
            <w:tcW w:w="5668" w:type="dxa"/>
            <w:vAlign w:val="center"/>
          </w:tcPr>
          <w:p w14:paraId="01CB6FB2" w14:textId="77777777" w:rsidR="001A1F15" w:rsidRPr="005A3967" w:rsidRDefault="001A1F15" w:rsidP="008E41B7">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Data is stored securely, used only for research, and retained for 12 months</w:t>
            </w:r>
          </w:p>
        </w:tc>
      </w:tr>
      <w:tr w:rsidR="001A1F15" w:rsidRPr="005A3967" w14:paraId="00C6F704" w14:textId="77777777" w:rsidTr="001E671D">
        <w:tc>
          <w:tcPr>
            <w:cnfStyle w:val="001000000000" w:firstRow="0" w:lastRow="0" w:firstColumn="1" w:lastColumn="0" w:oddVBand="0" w:evenVBand="0" w:oddHBand="0" w:evenHBand="0" w:firstRowFirstColumn="0" w:firstRowLastColumn="0" w:lastRowFirstColumn="0" w:lastRowLastColumn="0"/>
            <w:tcW w:w="2972" w:type="dxa"/>
            <w:vAlign w:val="center"/>
          </w:tcPr>
          <w:p w14:paraId="3D416740" w14:textId="77777777" w:rsidR="001A1F15" w:rsidRPr="005A3967" w:rsidRDefault="001A1F15" w:rsidP="008E41B7">
            <w:pPr>
              <w:spacing w:before="100" w:beforeAutospacing="1" w:after="100" w:afterAutospacing="1" w:line="276" w:lineRule="auto"/>
              <w:rPr>
                <w:sz w:val="22"/>
                <w:szCs w:val="22"/>
              </w:rPr>
            </w:pPr>
            <w:r w:rsidRPr="005A3967">
              <w:rPr>
                <w:sz w:val="22"/>
                <w:szCs w:val="22"/>
              </w:rPr>
              <w:t>Risks and Benefits</w:t>
            </w:r>
          </w:p>
        </w:tc>
        <w:tc>
          <w:tcPr>
            <w:tcW w:w="5668" w:type="dxa"/>
            <w:vAlign w:val="center"/>
          </w:tcPr>
          <w:p w14:paraId="1122D80C" w14:textId="77777777" w:rsidR="001A1F15" w:rsidRPr="005A3967" w:rsidRDefault="001A1F15" w:rsidP="008E41B7">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 xml:space="preserve">Minimal </w:t>
            </w:r>
            <w:proofErr w:type="gramStart"/>
            <w:r w:rsidRPr="005A3967">
              <w:rPr>
                <w:sz w:val="22"/>
                <w:szCs w:val="22"/>
              </w:rPr>
              <w:t>risks;</w:t>
            </w:r>
            <w:proofErr w:type="gramEnd"/>
            <w:r w:rsidRPr="005A3967">
              <w:rPr>
                <w:sz w:val="22"/>
                <w:szCs w:val="22"/>
              </w:rPr>
              <w:t xml:space="preserve"> participants contribute to organisational improvement and academic research</w:t>
            </w:r>
          </w:p>
        </w:tc>
      </w:tr>
      <w:tr w:rsidR="001A1F15" w:rsidRPr="005A3967" w14:paraId="74C9DC16" w14:textId="77777777" w:rsidTr="001E67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6BFEFFD6" w14:textId="77777777" w:rsidR="001A1F15" w:rsidRPr="005A3967" w:rsidRDefault="001A1F15" w:rsidP="008E41B7">
            <w:pPr>
              <w:spacing w:before="100" w:beforeAutospacing="1" w:after="100" w:afterAutospacing="1" w:line="276" w:lineRule="auto"/>
              <w:rPr>
                <w:sz w:val="22"/>
                <w:szCs w:val="22"/>
              </w:rPr>
            </w:pPr>
            <w:r w:rsidRPr="005A3967">
              <w:rPr>
                <w:sz w:val="22"/>
                <w:szCs w:val="22"/>
              </w:rPr>
              <w:t>Consent Process</w:t>
            </w:r>
          </w:p>
        </w:tc>
        <w:tc>
          <w:tcPr>
            <w:tcW w:w="5668" w:type="dxa"/>
            <w:vAlign w:val="center"/>
          </w:tcPr>
          <w:p w14:paraId="30A9951A" w14:textId="77777777" w:rsidR="001A1F15" w:rsidRPr="005A3967" w:rsidRDefault="001A1F15" w:rsidP="008E41B7">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Survey completion implies consent; interviews require signed or verbal consent</w:t>
            </w:r>
          </w:p>
        </w:tc>
      </w:tr>
    </w:tbl>
    <w:p w14:paraId="31AA80D3" w14:textId="77777777" w:rsidR="001A1F15" w:rsidRPr="005A3967" w:rsidRDefault="001A1F15" w:rsidP="001A1F15"/>
    <w:p w14:paraId="46FE22B7" w14:textId="1D2F74B2" w:rsidR="00EB23BE" w:rsidRPr="005A3967" w:rsidRDefault="00EB23BE" w:rsidP="00D93441">
      <w:pPr>
        <w:spacing w:line="360" w:lineRule="auto"/>
        <w:rPr>
          <w:b/>
          <w:bCs/>
          <w:sz w:val="32"/>
          <w:szCs w:val="32"/>
        </w:rPr>
      </w:pPr>
      <w:r w:rsidRPr="005A3967">
        <w:rPr>
          <w:b/>
          <w:bCs/>
          <w:sz w:val="32"/>
          <w:szCs w:val="32"/>
        </w:rPr>
        <w:t>Appendix D2: Completed Ethics Approval Application Summary</w:t>
      </w:r>
    </w:p>
    <w:p w14:paraId="2DFAB8E0" w14:textId="0F2F6868" w:rsidR="00EB23BE" w:rsidRPr="005A3967" w:rsidRDefault="00EB23BE" w:rsidP="00D93441">
      <w:pPr>
        <w:spacing w:line="360" w:lineRule="auto"/>
      </w:pPr>
      <w:r w:rsidRPr="005A3967">
        <w:rPr>
          <w:b/>
          <w:bCs/>
        </w:rPr>
        <w:t>Ethical Approval Application Overview (PG2 Form)</w:t>
      </w:r>
      <w:r w:rsidRPr="005A3967">
        <w:br/>
      </w:r>
      <w:r w:rsidRPr="005A3967">
        <w:rPr>
          <w:b/>
          <w:bCs/>
        </w:rPr>
        <w:t>University of Wales Trinity Saint David</w:t>
      </w:r>
      <w:r w:rsidRPr="005A3967">
        <w:br/>
      </w:r>
      <w:r w:rsidRPr="005A3967">
        <w:rPr>
          <w:b/>
          <w:bCs/>
        </w:rPr>
        <w:t>Applicant:</w:t>
      </w:r>
      <w:r w:rsidRPr="005A3967">
        <w:t xml:space="preserve"> Joshua Depiver (Student ID: 2307234)</w:t>
      </w:r>
      <w:r w:rsidRPr="005A3967">
        <w:br/>
      </w:r>
      <w:r w:rsidRPr="005A3967">
        <w:rPr>
          <w:b/>
          <w:bCs/>
        </w:rPr>
        <w:t>Programme:</w:t>
      </w:r>
      <w:r w:rsidRPr="005A3967">
        <w:t xml:space="preserve"> MBA – University of Wales Trinity Saint David</w:t>
      </w:r>
      <w:r w:rsidRPr="005A3967">
        <w:br/>
      </w:r>
      <w:r w:rsidRPr="005A3967">
        <w:rPr>
          <w:b/>
          <w:bCs/>
        </w:rPr>
        <w:t>Research Title:</w:t>
      </w:r>
      <w:r w:rsidRPr="005A3967">
        <w:t xml:space="preserve"> </w:t>
      </w:r>
      <w:r w:rsidRPr="005A3967">
        <w:rPr>
          <w:i/>
          <w:iCs/>
        </w:rPr>
        <w:t>Integration of Predictive Analytics into Strategic Decision-Making, using SSE PLC as the Case Study</w:t>
      </w:r>
    </w:p>
    <w:p w14:paraId="06933D13" w14:textId="77777777" w:rsidR="00EB23BE" w:rsidRPr="005A3967" w:rsidRDefault="00EB23BE" w:rsidP="00D93441">
      <w:pPr>
        <w:spacing w:line="360" w:lineRule="auto"/>
        <w:rPr>
          <w:b/>
          <w:bCs/>
        </w:rPr>
      </w:pPr>
      <w:r w:rsidRPr="005A3967">
        <w:rPr>
          <w:b/>
          <w:bCs/>
        </w:rPr>
        <w:t>Purpose and Scope</w:t>
      </w:r>
    </w:p>
    <w:p w14:paraId="1E8F0307" w14:textId="50423146" w:rsidR="00EB23BE" w:rsidRPr="005A3967" w:rsidRDefault="00EB23BE" w:rsidP="00D93441">
      <w:pPr>
        <w:spacing w:line="360" w:lineRule="auto"/>
      </w:pPr>
      <w:r w:rsidRPr="005A3967">
        <w:t xml:space="preserve">The research aims to assess SSE PLC’s readiness and effectiveness in integrating predictive analytics into its strategic decision-making processes. This will involve analysing analytics maturity, data governance structures, and cultural enablers within a regulated UK energy sector context. The project involves </w:t>
      </w:r>
      <w:r w:rsidR="00880CDB" w:rsidRPr="005A3967">
        <w:t xml:space="preserve">the </w:t>
      </w:r>
      <w:r w:rsidRPr="005A3967">
        <w:t>collection and analysis of primary data (via surveys and semi-structured interviews) and secondary data (corporate disclosures, strategy papers, benchmarking reports).</w:t>
      </w:r>
      <w:r w:rsidR="00821F4B" w:rsidRPr="005A3967">
        <w:t xml:space="preserve"> </w:t>
      </w:r>
      <w:r w:rsidR="00880CDB" w:rsidRPr="005A3967">
        <w:t>The completed</w:t>
      </w:r>
      <w:r w:rsidR="00821F4B" w:rsidRPr="005A3967">
        <w:t xml:space="preserve"> </w:t>
      </w:r>
      <w:r w:rsidR="00880CDB" w:rsidRPr="005A3967">
        <w:t>ethics</w:t>
      </w:r>
      <w:r w:rsidR="00821F4B" w:rsidRPr="005A3967">
        <w:t xml:space="preserve"> form is </w:t>
      </w:r>
      <w:hyperlink r:id="rId103" w:history="1">
        <w:r w:rsidR="0002751E">
          <w:rPr>
            <w:rStyle w:val="Hyperlink"/>
          </w:rPr>
          <w:t>PG Ethics Approval Application form</w:t>
        </w:r>
      </w:hyperlink>
      <w:r w:rsidR="004A3A33" w:rsidRPr="005A3967">
        <w:t>.</w:t>
      </w:r>
      <w:r w:rsidR="00821F4B" w:rsidRPr="005A3967">
        <w:t xml:space="preserve"> </w:t>
      </w:r>
      <w:r w:rsidR="00333A61" w:rsidRPr="005A3967">
        <w:t xml:space="preserve">Table D2 is </w:t>
      </w:r>
      <w:r w:rsidR="007A3770" w:rsidRPr="005A3967">
        <w:t xml:space="preserve">a </w:t>
      </w:r>
      <w:r w:rsidR="00333A61" w:rsidRPr="005A3967">
        <w:t>summary of Ethical Considerations to be considered during the dissertation.</w:t>
      </w:r>
    </w:p>
    <w:p w14:paraId="6F73D30C" w14:textId="4361267B" w:rsidR="00EB23BE" w:rsidRPr="005A3967" w:rsidRDefault="00333A61" w:rsidP="00EB23BE">
      <w:pPr>
        <w:spacing w:line="360" w:lineRule="auto"/>
        <w:rPr>
          <w:b/>
          <w:bCs/>
        </w:rPr>
      </w:pPr>
      <w:r w:rsidRPr="005A3967">
        <w:rPr>
          <w:b/>
          <w:bCs/>
        </w:rPr>
        <w:t xml:space="preserve">Table D2: </w:t>
      </w:r>
      <w:r w:rsidR="00EB23BE" w:rsidRPr="005A3967">
        <w:rPr>
          <w:b/>
          <w:bCs/>
        </w:rPr>
        <w:t>Summary of Ethical Considerations</w:t>
      </w:r>
    </w:p>
    <w:tbl>
      <w:tblPr>
        <w:tblStyle w:val="GridTable4-Accent2"/>
        <w:tblW w:w="0" w:type="auto"/>
        <w:tblLook w:val="04A0" w:firstRow="1" w:lastRow="0" w:firstColumn="1" w:lastColumn="0" w:noHBand="0" w:noVBand="1"/>
      </w:tblPr>
      <w:tblGrid>
        <w:gridCol w:w="2067"/>
        <w:gridCol w:w="6949"/>
      </w:tblGrid>
      <w:tr w:rsidR="00EB23BE" w:rsidRPr="005A3967" w14:paraId="49C19BD2" w14:textId="77777777" w:rsidTr="00EB23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745358" w14:textId="77777777" w:rsidR="00EB23BE" w:rsidRPr="005A3967" w:rsidRDefault="00EB23BE" w:rsidP="00EB23BE">
            <w:pPr>
              <w:spacing w:line="360" w:lineRule="auto"/>
              <w:jc w:val="center"/>
              <w:rPr>
                <w:sz w:val="22"/>
                <w:szCs w:val="22"/>
              </w:rPr>
            </w:pPr>
            <w:r w:rsidRPr="005A3967">
              <w:rPr>
                <w:sz w:val="22"/>
                <w:szCs w:val="22"/>
              </w:rPr>
              <w:t>Item</w:t>
            </w:r>
          </w:p>
        </w:tc>
        <w:tc>
          <w:tcPr>
            <w:tcW w:w="0" w:type="auto"/>
            <w:vAlign w:val="center"/>
            <w:hideMark/>
          </w:tcPr>
          <w:p w14:paraId="0EAE24AC" w14:textId="77777777" w:rsidR="00EB23BE" w:rsidRPr="005A3967" w:rsidRDefault="00EB23BE" w:rsidP="00EB23BE">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Description</w:t>
            </w:r>
          </w:p>
        </w:tc>
      </w:tr>
      <w:tr w:rsidR="00EB23BE" w:rsidRPr="005A3967" w14:paraId="69C526EA" w14:textId="77777777" w:rsidTr="00EB23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83B01E" w14:textId="77777777" w:rsidR="00EB23BE" w:rsidRPr="005A3967" w:rsidRDefault="00EB23BE" w:rsidP="00EB23BE">
            <w:pPr>
              <w:spacing w:line="360" w:lineRule="auto"/>
              <w:rPr>
                <w:sz w:val="22"/>
                <w:szCs w:val="22"/>
              </w:rPr>
            </w:pPr>
            <w:r w:rsidRPr="005A3967">
              <w:rPr>
                <w:sz w:val="22"/>
                <w:szCs w:val="22"/>
              </w:rPr>
              <w:t>Research Methods</w:t>
            </w:r>
          </w:p>
        </w:tc>
        <w:tc>
          <w:tcPr>
            <w:tcW w:w="0" w:type="auto"/>
            <w:vAlign w:val="center"/>
            <w:hideMark/>
          </w:tcPr>
          <w:p w14:paraId="0E0826CC" w14:textId="64622862" w:rsidR="00EB23BE" w:rsidRPr="005A3967" w:rsidRDefault="00880CDB" w:rsidP="00EB23BE">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Mixed methods</w:t>
            </w:r>
            <w:r w:rsidR="00EB23BE" w:rsidRPr="005A3967">
              <w:rPr>
                <w:sz w:val="22"/>
                <w:szCs w:val="22"/>
              </w:rPr>
              <w:t xml:space="preserve"> (quantitative survey and qualitative interviews)</w:t>
            </w:r>
          </w:p>
        </w:tc>
      </w:tr>
      <w:tr w:rsidR="00EB23BE" w:rsidRPr="005A3967" w14:paraId="5DDEA1D8" w14:textId="77777777" w:rsidTr="00EB23B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72D1CC" w14:textId="77777777" w:rsidR="00EB23BE" w:rsidRPr="005A3967" w:rsidRDefault="00EB23BE" w:rsidP="00EB23BE">
            <w:pPr>
              <w:spacing w:line="360" w:lineRule="auto"/>
              <w:rPr>
                <w:sz w:val="22"/>
                <w:szCs w:val="22"/>
              </w:rPr>
            </w:pPr>
            <w:r w:rsidRPr="005A3967">
              <w:rPr>
                <w:sz w:val="22"/>
                <w:szCs w:val="22"/>
              </w:rPr>
              <w:t>Participant Groups</w:t>
            </w:r>
          </w:p>
        </w:tc>
        <w:tc>
          <w:tcPr>
            <w:tcW w:w="0" w:type="auto"/>
            <w:vAlign w:val="center"/>
            <w:hideMark/>
          </w:tcPr>
          <w:p w14:paraId="0EE76371" w14:textId="77777777" w:rsidR="00EB23BE" w:rsidRPr="005A3967" w:rsidRDefault="00EB23BE" w:rsidP="00EB23BE">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SSE PLC employees: executives, directors, analysts, data professionals</w:t>
            </w:r>
          </w:p>
        </w:tc>
      </w:tr>
      <w:tr w:rsidR="00EB23BE" w:rsidRPr="005A3967" w14:paraId="5FD379BE" w14:textId="77777777" w:rsidTr="00EB23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F3B35C" w14:textId="77777777" w:rsidR="00EB23BE" w:rsidRPr="005A3967" w:rsidRDefault="00EB23BE" w:rsidP="00EB23BE">
            <w:pPr>
              <w:spacing w:line="360" w:lineRule="auto"/>
              <w:rPr>
                <w:sz w:val="22"/>
                <w:szCs w:val="22"/>
              </w:rPr>
            </w:pPr>
            <w:r w:rsidRPr="005A3967">
              <w:rPr>
                <w:sz w:val="22"/>
                <w:szCs w:val="22"/>
              </w:rPr>
              <w:t>Consent and Confidentiality</w:t>
            </w:r>
          </w:p>
        </w:tc>
        <w:tc>
          <w:tcPr>
            <w:tcW w:w="0" w:type="auto"/>
            <w:vAlign w:val="center"/>
            <w:hideMark/>
          </w:tcPr>
          <w:p w14:paraId="6034ACBB" w14:textId="77777777" w:rsidR="00EB23BE" w:rsidRPr="005A3967" w:rsidRDefault="00EB23BE" w:rsidP="00EB23BE">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Informed consent will be obtained via Participant Information Sheets and Consent Forms (see attached in this report). All data will be anonymised and securely stored in compliance with GDPR. Participants may withdraw at any time.</w:t>
            </w:r>
          </w:p>
        </w:tc>
      </w:tr>
      <w:tr w:rsidR="00EB23BE" w:rsidRPr="005A3967" w14:paraId="68700792" w14:textId="77777777" w:rsidTr="00EB23B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F258DF" w14:textId="77777777" w:rsidR="00EB23BE" w:rsidRPr="005A3967" w:rsidRDefault="00EB23BE" w:rsidP="00EB23BE">
            <w:pPr>
              <w:spacing w:line="360" w:lineRule="auto"/>
              <w:rPr>
                <w:sz w:val="22"/>
                <w:szCs w:val="22"/>
              </w:rPr>
            </w:pPr>
            <w:r w:rsidRPr="005A3967">
              <w:rPr>
                <w:sz w:val="22"/>
                <w:szCs w:val="22"/>
              </w:rPr>
              <w:t>Data Storage</w:t>
            </w:r>
          </w:p>
        </w:tc>
        <w:tc>
          <w:tcPr>
            <w:tcW w:w="0" w:type="auto"/>
            <w:vAlign w:val="center"/>
            <w:hideMark/>
          </w:tcPr>
          <w:p w14:paraId="42483D9A" w14:textId="758181AA" w:rsidR="00EB23BE" w:rsidRPr="005A3967" w:rsidRDefault="00EB23BE" w:rsidP="00EB23BE">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 xml:space="preserve">All data </w:t>
            </w:r>
            <w:r w:rsidR="00880CDB" w:rsidRPr="005A3967">
              <w:rPr>
                <w:sz w:val="22"/>
                <w:szCs w:val="22"/>
              </w:rPr>
              <w:t xml:space="preserve">is </w:t>
            </w:r>
            <w:r w:rsidRPr="005A3967">
              <w:rPr>
                <w:sz w:val="22"/>
                <w:szCs w:val="22"/>
              </w:rPr>
              <w:t>stored on encrypted and password-protected devices. No personal identifiers will be published.</w:t>
            </w:r>
          </w:p>
        </w:tc>
      </w:tr>
      <w:tr w:rsidR="00EB23BE" w:rsidRPr="005A3967" w14:paraId="08521C5E" w14:textId="77777777" w:rsidTr="00EB23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DF68F2" w14:textId="77777777" w:rsidR="00EB23BE" w:rsidRPr="005A3967" w:rsidRDefault="00EB23BE" w:rsidP="00EB23BE">
            <w:pPr>
              <w:spacing w:line="360" w:lineRule="auto"/>
              <w:rPr>
                <w:sz w:val="22"/>
                <w:szCs w:val="22"/>
              </w:rPr>
            </w:pPr>
            <w:r w:rsidRPr="005A3967">
              <w:rPr>
                <w:sz w:val="22"/>
                <w:szCs w:val="22"/>
              </w:rPr>
              <w:t>Data Protection Compliance</w:t>
            </w:r>
          </w:p>
        </w:tc>
        <w:tc>
          <w:tcPr>
            <w:tcW w:w="0" w:type="auto"/>
            <w:vAlign w:val="center"/>
            <w:hideMark/>
          </w:tcPr>
          <w:p w14:paraId="11C9DDE4" w14:textId="77777777" w:rsidR="00EB23BE" w:rsidRPr="005A3967" w:rsidRDefault="00EB23BE" w:rsidP="00EB23BE">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The study complies with the GDPR 2016 and the Data Protection Act 2018. No special category data is collected.</w:t>
            </w:r>
          </w:p>
        </w:tc>
      </w:tr>
      <w:tr w:rsidR="00EB23BE" w:rsidRPr="005A3967" w14:paraId="5A413285" w14:textId="77777777" w:rsidTr="00EB23B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16FFE3" w14:textId="77777777" w:rsidR="00EB23BE" w:rsidRPr="005A3967" w:rsidRDefault="00EB23BE" w:rsidP="00EB23BE">
            <w:pPr>
              <w:spacing w:line="360" w:lineRule="auto"/>
              <w:rPr>
                <w:sz w:val="22"/>
                <w:szCs w:val="22"/>
              </w:rPr>
            </w:pPr>
            <w:r w:rsidRPr="005A3967">
              <w:rPr>
                <w:sz w:val="22"/>
                <w:szCs w:val="22"/>
              </w:rPr>
              <w:lastRenderedPageBreak/>
              <w:t>Risk Assessment</w:t>
            </w:r>
          </w:p>
        </w:tc>
        <w:tc>
          <w:tcPr>
            <w:tcW w:w="0" w:type="auto"/>
            <w:vAlign w:val="center"/>
            <w:hideMark/>
          </w:tcPr>
          <w:p w14:paraId="7A639B13" w14:textId="022FF347" w:rsidR="00EB23BE" w:rsidRPr="005A3967" w:rsidRDefault="00EB23BE" w:rsidP="00EB23BE">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 xml:space="preserve">Low-risk study. No vulnerable participants. No deception. Risks are limited to standard data protection concerns, </w:t>
            </w:r>
            <w:r w:rsidR="00880CDB" w:rsidRPr="005A3967">
              <w:rPr>
                <w:sz w:val="22"/>
                <w:szCs w:val="22"/>
              </w:rPr>
              <w:t xml:space="preserve">which are </w:t>
            </w:r>
            <w:r w:rsidRPr="005A3967">
              <w:rPr>
                <w:sz w:val="22"/>
                <w:szCs w:val="22"/>
              </w:rPr>
              <w:t xml:space="preserve">mitigated </w:t>
            </w:r>
            <w:r w:rsidR="00880CDB" w:rsidRPr="005A3967">
              <w:rPr>
                <w:sz w:val="22"/>
                <w:szCs w:val="22"/>
              </w:rPr>
              <w:t>through</w:t>
            </w:r>
            <w:r w:rsidRPr="005A3967">
              <w:rPr>
                <w:sz w:val="22"/>
                <w:szCs w:val="22"/>
              </w:rPr>
              <w:t xml:space="preserve"> anonymisation and secure storage.</w:t>
            </w:r>
          </w:p>
        </w:tc>
      </w:tr>
      <w:tr w:rsidR="00EB23BE" w:rsidRPr="005A3967" w14:paraId="1D78A850" w14:textId="77777777" w:rsidTr="00EB23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3BF382" w14:textId="77777777" w:rsidR="00EB23BE" w:rsidRPr="005A3967" w:rsidRDefault="00EB23BE" w:rsidP="00EB23BE">
            <w:pPr>
              <w:spacing w:line="360" w:lineRule="auto"/>
              <w:rPr>
                <w:sz w:val="22"/>
                <w:szCs w:val="22"/>
              </w:rPr>
            </w:pPr>
            <w:r w:rsidRPr="005A3967">
              <w:rPr>
                <w:sz w:val="22"/>
                <w:szCs w:val="22"/>
              </w:rPr>
              <w:t>Ethical Approval Status</w:t>
            </w:r>
          </w:p>
        </w:tc>
        <w:tc>
          <w:tcPr>
            <w:tcW w:w="0" w:type="auto"/>
            <w:vAlign w:val="center"/>
            <w:hideMark/>
          </w:tcPr>
          <w:p w14:paraId="20F977E1" w14:textId="77777777" w:rsidR="00EB23BE" w:rsidRPr="005A3967" w:rsidRDefault="00EB23BE" w:rsidP="00EB23BE">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Application submitted via PG2 Form to UWTSD Ethics Committee. Awaiting formal approval prior to primary data collection.</w:t>
            </w:r>
          </w:p>
        </w:tc>
      </w:tr>
      <w:tr w:rsidR="00EB23BE" w:rsidRPr="005A3967" w14:paraId="1B11385B" w14:textId="77777777" w:rsidTr="00EB23B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DDDA08" w14:textId="77777777" w:rsidR="00EB23BE" w:rsidRPr="005A3967" w:rsidRDefault="00EB23BE" w:rsidP="00EB23BE">
            <w:pPr>
              <w:spacing w:line="360" w:lineRule="auto"/>
              <w:rPr>
                <w:sz w:val="22"/>
                <w:szCs w:val="22"/>
              </w:rPr>
            </w:pPr>
            <w:r w:rsidRPr="005A3967">
              <w:rPr>
                <w:sz w:val="22"/>
                <w:szCs w:val="22"/>
              </w:rPr>
              <w:t>Data Access and Custodianship</w:t>
            </w:r>
          </w:p>
        </w:tc>
        <w:tc>
          <w:tcPr>
            <w:tcW w:w="0" w:type="auto"/>
            <w:vAlign w:val="center"/>
            <w:hideMark/>
          </w:tcPr>
          <w:p w14:paraId="32023DFF" w14:textId="55A24211" w:rsidR="00EB23BE" w:rsidRPr="005A3967" w:rsidRDefault="00EB23BE" w:rsidP="00EB23BE">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 xml:space="preserve">Only the researcher and supervisor will have access to raw data. Data will be retained securely for the duration of the research and archived </w:t>
            </w:r>
            <w:r w:rsidR="00880CDB" w:rsidRPr="005A3967">
              <w:rPr>
                <w:sz w:val="22"/>
                <w:szCs w:val="22"/>
              </w:rPr>
              <w:t>in accordance with</w:t>
            </w:r>
            <w:r w:rsidRPr="005A3967">
              <w:rPr>
                <w:sz w:val="22"/>
                <w:szCs w:val="22"/>
              </w:rPr>
              <w:t xml:space="preserve"> university policy.</w:t>
            </w:r>
          </w:p>
        </w:tc>
      </w:tr>
    </w:tbl>
    <w:p w14:paraId="7EABB0EE" w14:textId="0CAF880D" w:rsidR="00EB23BE" w:rsidRPr="005A3967" w:rsidRDefault="00EB23BE" w:rsidP="00EB23BE">
      <w:pPr>
        <w:spacing w:line="360" w:lineRule="auto"/>
      </w:pPr>
    </w:p>
    <w:p w14:paraId="1BAF8B4E" w14:textId="77777777" w:rsidR="00EB23BE" w:rsidRPr="005A3967" w:rsidRDefault="00EB23BE" w:rsidP="00EB23BE">
      <w:pPr>
        <w:spacing w:line="360" w:lineRule="auto"/>
        <w:rPr>
          <w:b/>
          <w:bCs/>
        </w:rPr>
      </w:pPr>
      <w:r w:rsidRPr="005A3967">
        <w:rPr>
          <w:b/>
          <w:bCs/>
        </w:rPr>
        <w:t>Alignment with Ethical Guidelines</w:t>
      </w:r>
    </w:p>
    <w:p w14:paraId="387FF7F1" w14:textId="77777777" w:rsidR="00EB23BE" w:rsidRPr="005A3967" w:rsidRDefault="00EB23BE" w:rsidP="00EB23BE">
      <w:pPr>
        <w:spacing w:line="360" w:lineRule="auto"/>
      </w:pPr>
      <w:r w:rsidRPr="005A3967">
        <w:t>This study adheres to:</w:t>
      </w:r>
    </w:p>
    <w:p w14:paraId="2057B2C4" w14:textId="77777777" w:rsidR="00EB23BE" w:rsidRPr="005A3967" w:rsidRDefault="00EB23BE" w:rsidP="008824B8">
      <w:pPr>
        <w:numPr>
          <w:ilvl w:val="0"/>
          <w:numId w:val="11"/>
        </w:numPr>
        <w:spacing w:line="360" w:lineRule="auto"/>
      </w:pPr>
      <w:r w:rsidRPr="005A3967">
        <w:t>UWTSD Research Ethics &amp; Integrity Code of Practice</w:t>
      </w:r>
    </w:p>
    <w:p w14:paraId="5F71D75A" w14:textId="77777777" w:rsidR="00EB23BE" w:rsidRPr="005A3967" w:rsidRDefault="00EB23BE" w:rsidP="008824B8">
      <w:pPr>
        <w:numPr>
          <w:ilvl w:val="0"/>
          <w:numId w:val="11"/>
        </w:numPr>
        <w:spacing w:line="360" w:lineRule="auto"/>
      </w:pPr>
      <w:r w:rsidRPr="005A3967">
        <w:t>UWTSD Research Data Management Policy</w:t>
      </w:r>
    </w:p>
    <w:p w14:paraId="2D5F82D8" w14:textId="77777777" w:rsidR="00EB23BE" w:rsidRPr="005A3967" w:rsidRDefault="00EB23BE" w:rsidP="008824B8">
      <w:pPr>
        <w:numPr>
          <w:ilvl w:val="0"/>
          <w:numId w:val="11"/>
        </w:numPr>
        <w:spacing w:line="360" w:lineRule="auto"/>
      </w:pPr>
      <w:r w:rsidRPr="005A3967">
        <w:t>British Educational Research Association (BERA, 2018)</w:t>
      </w:r>
    </w:p>
    <w:p w14:paraId="5057632F" w14:textId="06A05938" w:rsidR="00EB23BE" w:rsidRPr="005A3967" w:rsidRDefault="00EB23BE" w:rsidP="008824B8">
      <w:pPr>
        <w:numPr>
          <w:ilvl w:val="0"/>
          <w:numId w:val="11"/>
        </w:numPr>
        <w:spacing w:line="360" w:lineRule="auto"/>
      </w:pPr>
      <w:r w:rsidRPr="005A3967">
        <w:t>GDPR 2016 and the Data Protection Act 2018</w:t>
      </w:r>
    </w:p>
    <w:p w14:paraId="4384DA1D" w14:textId="77777777" w:rsidR="00EB23BE" w:rsidRPr="005A3967" w:rsidRDefault="00EB23BE" w:rsidP="00EB23BE">
      <w:pPr>
        <w:spacing w:line="360" w:lineRule="auto"/>
        <w:rPr>
          <w:b/>
          <w:bCs/>
        </w:rPr>
      </w:pPr>
      <w:r w:rsidRPr="005A3967">
        <w:rPr>
          <w:b/>
          <w:bCs/>
        </w:rPr>
        <w:t>Attachments Supporting Ethics Application</w:t>
      </w:r>
    </w:p>
    <w:p w14:paraId="5AB074C8" w14:textId="77777777" w:rsidR="00EB23BE" w:rsidRPr="005A3967" w:rsidRDefault="00EB23BE" w:rsidP="008824B8">
      <w:pPr>
        <w:numPr>
          <w:ilvl w:val="0"/>
          <w:numId w:val="12"/>
        </w:numPr>
        <w:spacing w:line="360" w:lineRule="auto"/>
      </w:pPr>
      <w:r w:rsidRPr="005A3967">
        <w:t>Participant Information Sheet</w:t>
      </w:r>
    </w:p>
    <w:p w14:paraId="3E7D0C3A" w14:textId="77777777" w:rsidR="00EB23BE" w:rsidRPr="005A3967" w:rsidRDefault="00EB23BE" w:rsidP="008824B8">
      <w:pPr>
        <w:numPr>
          <w:ilvl w:val="0"/>
          <w:numId w:val="12"/>
        </w:numPr>
        <w:spacing w:line="360" w:lineRule="auto"/>
      </w:pPr>
      <w:r w:rsidRPr="005A3967">
        <w:t>Informed Consent Form</w:t>
      </w:r>
    </w:p>
    <w:p w14:paraId="5E4AD24D" w14:textId="77777777" w:rsidR="00EB23BE" w:rsidRPr="005A3967" w:rsidRDefault="00EB23BE" w:rsidP="008824B8">
      <w:pPr>
        <w:numPr>
          <w:ilvl w:val="0"/>
          <w:numId w:val="12"/>
        </w:numPr>
        <w:spacing w:line="360" w:lineRule="auto"/>
      </w:pPr>
      <w:r w:rsidRPr="005A3967">
        <w:t>Survey Questionnaire (Appendix A)</w:t>
      </w:r>
    </w:p>
    <w:p w14:paraId="7772CDE1" w14:textId="77777777" w:rsidR="00EB23BE" w:rsidRPr="005A3967" w:rsidRDefault="00EB23BE" w:rsidP="008824B8">
      <w:pPr>
        <w:numPr>
          <w:ilvl w:val="0"/>
          <w:numId w:val="12"/>
        </w:numPr>
        <w:spacing w:line="360" w:lineRule="auto"/>
      </w:pPr>
      <w:r w:rsidRPr="005A3967">
        <w:t>Interview Guide (Appendix B)</w:t>
      </w:r>
    </w:p>
    <w:p w14:paraId="0A511EE3" w14:textId="77777777" w:rsidR="00EB23BE" w:rsidRPr="005A3967" w:rsidRDefault="00EB23BE" w:rsidP="008824B8">
      <w:pPr>
        <w:numPr>
          <w:ilvl w:val="0"/>
          <w:numId w:val="12"/>
        </w:numPr>
        <w:spacing w:line="360" w:lineRule="auto"/>
      </w:pPr>
      <w:r w:rsidRPr="005A3967">
        <w:t>Research Timeline (Appendix C)</w:t>
      </w:r>
    </w:p>
    <w:p w14:paraId="493B3772" w14:textId="0C831AF2" w:rsidR="00EB23BE" w:rsidRPr="005A3967" w:rsidRDefault="00EB23BE" w:rsidP="008824B8">
      <w:pPr>
        <w:numPr>
          <w:ilvl w:val="0"/>
          <w:numId w:val="12"/>
        </w:numPr>
        <w:spacing w:line="360" w:lineRule="auto"/>
      </w:pPr>
      <w:r w:rsidRPr="005A3967">
        <w:t>Risk and Data Management Statement (Section 5.10 of Proposal)</w:t>
      </w:r>
    </w:p>
    <w:p w14:paraId="7FCAF770" w14:textId="7E42391B" w:rsidR="00EB23BE" w:rsidRPr="005A3967" w:rsidRDefault="00EB23BE" w:rsidP="00EB23BE">
      <w:pPr>
        <w:spacing w:line="360" w:lineRule="auto"/>
      </w:pPr>
      <w:r w:rsidRPr="005A3967">
        <w:t xml:space="preserve">This ethics summary affirms the research’s ethical integrity and alignment with institutional and national guidelines. Full approval will be secured </w:t>
      </w:r>
      <w:r w:rsidR="00880CDB" w:rsidRPr="005A3967">
        <w:t>before</w:t>
      </w:r>
      <w:r w:rsidRPr="005A3967">
        <w:t xml:space="preserve"> engaging participants in primary data collection.</w:t>
      </w:r>
    </w:p>
    <w:p w14:paraId="100CA29A" w14:textId="40C2BB37" w:rsidR="00EB23BE" w:rsidRPr="005A3967" w:rsidRDefault="006B4F98" w:rsidP="00EB23BE">
      <w:r w:rsidRPr="005A3967">
        <w:t xml:space="preserve">Link: </w:t>
      </w:r>
    </w:p>
    <w:p w14:paraId="15378C25" w14:textId="77777777" w:rsidR="00EB23BE" w:rsidRPr="005A3967" w:rsidRDefault="00EB23BE" w:rsidP="001A1F15"/>
    <w:p w14:paraId="065D90E4" w14:textId="41D450F2" w:rsidR="00E4124D" w:rsidRPr="005A3967" w:rsidRDefault="00E4124D" w:rsidP="005A2B29">
      <w:pPr>
        <w:pStyle w:val="Heading2"/>
        <w:spacing w:line="276" w:lineRule="auto"/>
        <w:rPr>
          <w:rFonts w:ascii="Times New Roman" w:hAnsi="Times New Roman" w:cs="Times New Roman"/>
          <w:b/>
          <w:bCs/>
        </w:rPr>
      </w:pPr>
      <w:bookmarkStart w:id="99" w:name="_Toc202544535"/>
      <w:r w:rsidRPr="005A3967">
        <w:rPr>
          <w:rFonts w:ascii="Times New Roman" w:hAnsi="Times New Roman" w:cs="Times New Roman"/>
          <w:b/>
          <w:bCs/>
        </w:rPr>
        <w:t>Appendix E: Analytical Frameworks – SWOT, PESTEL, and SOAR Analyses</w:t>
      </w:r>
      <w:bookmarkEnd w:id="99"/>
    </w:p>
    <w:p w14:paraId="001821CE" w14:textId="62A7A845" w:rsidR="0008226D" w:rsidRPr="005A3967" w:rsidRDefault="0008226D" w:rsidP="0008226D">
      <w:pPr>
        <w:spacing w:line="360" w:lineRule="auto"/>
      </w:pPr>
      <w:r w:rsidRPr="005A3967">
        <w:t>This appendix will present three complementary strategic frameworks—</w:t>
      </w:r>
      <w:r w:rsidRPr="005A3967">
        <w:rPr>
          <w:b/>
          <w:bCs/>
        </w:rPr>
        <w:t>SWOT</w:t>
      </w:r>
      <w:r w:rsidRPr="005A3967">
        <w:t xml:space="preserve">, </w:t>
      </w:r>
      <w:r w:rsidRPr="005A3967">
        <w:rPr>
          <w:b/>
          <w:bCs/>
        </w:rPr>
        <w:t>PESTEL</w:t>
      </w:r>
      <w:r w:rsidRPr="005A3967">
        <w:t xml:space="preserve">, and </w:t>
      </w:r>
      <w:r w:rsidRPr="005A3967">
        <w:rPr>
          <w:b/>
          <w:bCs/>
        </w:rPr>
        <w:t>SOAR</w:t>
      </w:r>
      <w:r w:rsidRPr="005A3967">
        <w:t>—that will be applied to contextualise the internal and external environment in which predictive analytics integration is expected to unfold at SSE PLC. These frameworks will synthesise insights gathered from survey responses, semi-structured interviews, and internal</w:t>
      </w:r>
      <w:r w:rsidR="007A3770" w:rsidRPr="005A3967">
        <w:t xml:space="preserve"> and </w:t>
      </w:r>
      <w:r w:rsidRPr="005A3967">
        <w:t>external documentation. Each framework will provide a structured analytical lens to evaluate SSE’s current analytical maturity, its organisational challenges, and its strategic potential.</w:t>
      </w:r>
    </w:p>
    <w:p w14:paraId="38D58EF0" w14:textId="0BAF6E90" w:rsidR="0008226D" w:rsidRPr="005A3967" w:rsidRDefault="0008226D" w:rsidP="0008226D">
      <w:pPr>
        <w:spacing w:line="360" w:lineRule="auto"/>
      </w:pPr>
    </w:p>
    <w:p w14:paraId="73D96261" w14:textId="77777777" w:rsidR="0008226D" w:rsidRPr="005A3967" w:rsidRDefault="0008226D" w:rsidP="0008226D">
      <w:pPr>
        <w:spacing w:line="360" w:lineRule="auto"/>
        <w:rPr>
          <w:b/>
          <w:bCs/>
        </w:rPr>
      </w:pPr>
      <w:r w:rsidRPr="005A3967">
        <w:rPr>
          <w:b/>
          <w:bCs/>
        </w:rPr>
        <w:t>E.1 SWOT Analysis – Predictive Analytics Adoption at SSE PLC</w:t>
      </w:r>
    </w:p>
    <w:p w14:paraId="75A01EDE" w14:textId="77777777" w:rsidR="0008226D" w:rsidRPr="005A3967" w:rsidRDefault="0008226D" w:rsidP="0008226D">
      <w:pPr>
        <w:spacing w:line="360" w:lineRule="auto"/>
      </w:pPr>
      <w:r w:rsidRPr="005A3967">
        <w:t xml:space="preserve">A </w:t>
      </w:r>
      <w:r w:rsidRPr="005A3967">
        <w:rPr>
          <w:b/>
          <w:bCs/>
        </w:rPr>
        <w:t>SWOT analysis</w:t>
      </w:r>
      <w:r w:rsidRPr="005A3967">
        <w:t xml:space="preserve"> (Strengths, Weaknesses, Opportunities, and Threats) will be developed to summarise the internal capabilities and external factors likely to influence the successful integration of predictive analytics at SSE PLC. The analysis will be informed by primary research findings and SSE’s corporate context.</w:t>
      </w:r>
    </w:p>
    <w:p w14:paraId="1ACD1F9D" w14:textId="77777777" w:rsidR="0008226D" w:rsidRPr="005A3967" w:rsidRDefault="0008226D" w:rsidP="0008226D">
      <w:pPr>
        <w:spacing w:line="360" w:lineRule="auto"/>
        <w:rPr>
          <w:b/>
          <w:bCs/>
        </w:rPr>
      </w:pPr>
      <w:r w:rsidRPr="005A3967">
        <w:rPr>
          <w:b/>
          <w:bCs/>
        </w:rPr>
        <w:t>Strengths (Internal, Positive Factors)</w:t>
      </w:r>
    </w:p>
    <w:p w14:paraId="4A429257" w14:textId="77777777" w:rsidR="0008226D" w:rsidRPr="005A3967" w:rsidRDefault="0008226D" w:rsidP="008824B8">
      <w:pPr>
        <w:numPr>
          <w:ilvl w:val="0"/>
          <w:numId w:val="25"/>
        </w:numPr>
        <w:spacing w:line="360" w:lineRule="auto"/>
      </w:pPr>
      <w:r w:rsidRPr="005A3967">
        <w:rPr>
          <w:i/>
          <w:iCs/>
        </w:rPr>
        <w:t>Executive Sponsorship &amp; Vision</w:t>
      </w:r>
      <w:r w:rsidRPr="005A3967">
        <w:t>: SSE leadership, including the Chief Data Officer and CEO, will be identified as champions of analytics, supporting strategic prioritisation.</w:t>
      </w:r>
    </w:p>
    <w:p w14:paraId="76F4F84E" w14:textId="77777777" w:rsidR="0008226D" w:rsidRPr="005A3967" w:rsidRDefault="0008226D" w:rsidP="008824B8">
      <w:pPr>
        <w:numPr>
          <w:ilvl w:val="0"/>
          <w:numId w:val="25"/>
        </w:numPr>
        <w:spacing w:line="360" w:lineRule="auto"/>
      </w:pPr>
      <w:r w:rsidRPr="005A3967">
        <w:rPr>
          <w:i/>
          <w:iCs/>
        </w:rPr>
        <w:t>Investment in Data Literacy</w:t>
      </w:r>
      <w:r w:rsidRPr="005A3967">
        <w:t>: Training of over 500 employees in data skills will be highlighted as a foundational strength.</w:t>
      </w:r>
    </w:p>
    <w:p w14:paraId="2EE6CD56" w14:textId="77777777" w:rsidR="0008226D" w:rsidRPr="005A3967" w:rsidRDefault="0008226D" w:rsidP="008824B8">
      <w:pPr>
        <w:numPr>
          <w:ilvl w:val="0"/>
          <w:numId w:val="25"/>
        </w:numPr>
        <w:spacing w:line="360" w:lineRule="auto"/>
      </w:pPr>
      <w:r w:rsidRPr="005A3967">
        <w:rPr>
          <w:i/>
          <w:iCs/>
        </w:rPr>
        <w:t>Data Assets &amp; Pilot Successes</w:t>
      </w:r>
      <w:r w:rsidRPr="005A3967">
        <w:t>: Existing initiatives (e.g., smart meter data analytics, marketing segmentation, demand forecasting) will be referenced as early proof points.</w:t>
      </w:r>
    </w:p>
    <w:p w14:paraId="67601F9A" w14:textId="77777777" w:rsidR="0008226D" w:rsidRPr="005A3967" w:rsidRDefault="0008226D" w:rsidP="008824B8">
      <w:pPr>
        <w:numPr>
          <w:ilvl w:val="0"/>
          <w:numId w:val="25"/>
        </w:numPr>
        <w:spacing w:line="360" w:lineRule="auto"/>
      </w:pPr>
      <w:r w:rsidRPr="005A3967">
        <w:rPr>
          <w:i/>
          <w:iCs/>
        </w:rPr>
        <w:t>Strategic Data Culture</w:t>
      </w:r>
      <w:r w:rsidRPr="005A3967">
        <w:t>: Organisational efforts in governance and analytics teams will signal an emerging data-driven culture.</w:t>
      </w:r>
    </w:p>
    <w:p w14:paraId="6DA93C19" w14:textId="77777777" w:rsidR="0008226D" w:rsidRPr="005A3967" w:rsidRDefault="0008226D" w:rsidP="0008226D">
      <w:pPr>
        <w:spacing w:line="360" w:lineRule="auto"/>
        <w:rPr>
          <w:b/>
          <w:bCs/>
        </w:rPr>
      </w:pPr>
      <w:r w:rsidRPr="005A3967">
        <w:rPr>
          <w:b/>
          <w:bCs/>
        </w:rPr>
        <w:t>Weaknesses (Internal, Negative Factors)</w:t>
      </w:r>
    </w:p>
    <w:p w14:paraId="10736D2B" w14:textId="6C19B2F2" w:rsidR="0008226D" w:rsidRPr="005A3967" w:rsidRDefault="0008226D" w:rsidP="008824B8">
      <w:pPr>
        <w:numPr>
          <w:ilvl w:val="0"/>
          <w:numId w:val="26"/>
        </w:numPr>
        <w:spacing w:line="360" w:lineRule="auto"/>
      </w:pPr>
      <w:r w:rsidRPr="005A3967">
        <w:rPr>
          <w:i/>
          <w:iCs/>
        </w:rPr>
        <w:t>Skills Gap &amp; Resourcing</w:t>
      </w:r>
      <w:r w:rsidRPr="005A3967">
        <w:t xml:space="preserve">: </w:t>
      </w:r>
      <w:r w:rsidR="00622DD9">
        <w:t>The</w:t>
      </w:r>
      <w:r w:rsidRPr="005A3967">
        <w:t xml:space="preserve"> limited number of in-house data scientists and reported skill insufficiency among staff suggest </w:t>
      </w:r>
      <w:r w:rsidR="0002751E">
        <w:t>potential</w:t>
      </w:r>
      <w:r w:rsidRPr="005A3967">
        <w:t xml:space="preserve"> barriers</w:t>
      </w:r>
      <w:r w:rsidR="0002751E">
        <w:t xml:space="preserve"> to </w:t>
      </w:r>
      <w:r w:rsidR="00622DD9">
        <w:t>scaling up</w:t>
      </w:r>
      <w:r w:rsidRPr="005A3967">
        <w:t>.</w:t>
      </w:r>
    </w:p>
    <w:p w14:paraId="372FB542" w14:textId="77777777" w:rsidR="0008226D" w:rsidRPr="005A3967" w:rsidRDefault="0008226D" w:rsidP="008824B8">
      <w:pPr>
        <w:numPr>
          <w:ilvl w:val="0"/>
          <w:numId w:val="26"/>
        </w:numPr>
        <w:spacing w:line="360" w:lineRule="auto"/>
      </w:pPr>
      <w:r w:rsidRPr="005A3967">
        <w:rPr>
          <w:i/>
          <w:iCs/>
        </w:rPr>
        <w:t>Data Fragmentation &amp; Quality</w:t>
      </w:r>
      <w:r w:rsidRPr="005A3967">
        <w:t>: Issues with legacy systems and siloed data will be noted as major inhibitors to analytics reliability.</w:t>
      </w:r>
    </w:p>
    <w:p w14:paraId="3C496604" w14:textId="4BE0A5E4" w:rsidR="0008226D" w:rsidRPr="005A3967" w:rsidRDefault="0008226D" w:rsidP="008824B8">
      <w:pPr>
        <w:numPr>
          <w:ilvl w:val="0"/>
          <w:numId w:val="26"/>
        </w:numPr>
        <w:spacing w:line="360" w:lineRule="auto"/>
      </w:pPr>
      <w:r w:rsidRPr="005A3967">
        <w:rPr>
          <w:i/>
          <w:iCs/>
        </w:rPr>
        <w:t>Cultural Inertia</w:t>
      </w:r>
      <w:r w:rsidRPr="005A3967">
        <w:t xml:space="preserve">: Some departments </w:t>
      </w:r>
      <w:r w:rsidR="007A3770" w:rsidRPr="005A3967">
        <w:t>may</w:t>
      </w:r>
      <w:r w:rsidRPr="005A3967">
        <w:t xml:space="preserve"> </w:t>
      </w:r>
      <w:r w:rsidR="00E368FB" w:rsidRPr="005A3967">
        <w:t>appear</w:t>
      </w:r>
      <w:r w:rsidRPr="005A3967">
        <w:t xml:space="preserve"> resistant to data-centric change, </w:t>
      </w:r>
      <w:r w:rsidR="007A3770" w:rsidRPr="005A3967">
        <w:t>necessitating a</w:t>
      </w:r>
      <w:r w:rsidRPr="005A3967">
        <w:t xml:space="preserve"> </w:t>
      </w:r>
      <w:r w:rsidR="00E368FB" w:rsidRPr="005A3967">
        <w:t xml:space="preserve">focus on </w:t>
      </w:r>
      <w:r w:rsidRPr="005A3967">
        <w:t>change management.</w:t>
      </w:r>
    </w:p>
    <w:p w14:paraId="66DB7467" w14:textId="77777777" w:rsidR="0008226D" w:rsidRPr="005A3967" w:rsidRDefault="0008226D" w:rsidP="008824B8">
      <w:pPr>
        <w:numPr>
          <w:ilvl w:val="0"/>
          <w:numId w:val="26"/>
        </w:numPr>
        <w:spacing w:line="360" w:lineRule="auto"/>
      </w:pPr>
      <w:r w:rsidRPr="005A3967">
        <w:rPr>
          <w:i/>
          <w:iCs/>
        </w:rPr>
        <w:t>Dependence on Vendors</w:t>
      </w:r>
      <w:r w:rsidRPr="005A3967">
        <w:t>: Reliance on third-party analytics providers will be flagged as a sustainability and knowledge-retention concern.</w:t>
      </w:r>
    </w:p>
    <w:p w14:paraId="0C0D822A" w14:textId="77777777" w:rsidR="0008226D" w:rsidRPr="005A3967" w:rsidRDefault="0008226D" w:rsidP="0008226D">
      <w:pPr>
        <w:spacing w:line="360" w:lineRule="auto"/>
        <w:rPr>
          <w:b/>
          <w:bCs/>
        </w:rPr>
      </w:pPr>
      <w:r w:rsidRPr="005A3967">
        <w:rPr>
          <w:b/>
          <w:bCs/>
        </w:rPr>
        <w:t>Opportunities (External, Positive Factors)</w:t>
      </w:r>
    </w:p>
    <w:p w14:paraId="7D474A90" w14:textId="77777777" w:rsidR="0008226D" w:rsidRPr="005A3967" w:rsidRDefault="0008226D" w:rsidP="008824B8">
      <w:pPr>
        <w:numPr>
          <w:ilvl w:val="0"/>
          <w:numId w:val="27"/>
        </w:numPr>
        <w:spacing w:line="360" w:lineRule="auto"/>
      </w:pPr>
      <w:r w:rsidRPr="005A3967">
        <w:rPr>
          <w:i/>
          <w:iCs/>
        </w:rPr>
        <w:t>Sectoral Transformation</w:t>
      </w:r>
      <w:r w:rsidRPr="005A3967">
        <w:t>: Energy transition and decentralisation will create rich use cases for predictive modelling.</w:t>
      </w:r>
    </w:p>
    <w:p w14:paraId="33047731" w14:textId="77777777" w:rsidR="0008226D" w:rsidRPr="005A3967" w:rsidRDefault="0008226D" w:rsidP="008824B8">
      <w:pPr>
        <w:numPr>
          <w:ilvl w:val="0"/>
          <w:numId w:val="27"/>
        </w:numPr>
        <w:spacing w:line="360" w:lineRule="auto"/>
      </w:pPr>
      <w:r w:rsidRPr="005A3967">
        <w:rPr>
          <w:i/>
          <w:iCs/>
        </w:rPr>
        <w:t>Regulatory Incentives</w:t>
      </w:r>
      <w:r w:rsidRPr="005A3967">
        <w:t>: Net Zero and digitalisation policies will bolster the analytics investment case.</w:t>
      </w:r>
    </w:p>
    <w:p w14:paraId="4D5D5676" w14:textId="77777777" w:rsidR="0008226D" w:rsidRPr="005A3967" w:rsidRDefault="0008226D" w:rsidP="008824B8">
      <w:pPr>
        <w:numPr>
          <w:ilvl w:val="0"/>
          <w:numId w:val="27"/>
        </w:numPr>
        <w:spacing w:line="360" w:lineRule="auto"/>
      </w:pPr>
      <w:r w:rsidRPr="005A3967">
        <w:rPr>
          <w:i/>
          <w:iCs/>
        </w:rPr>
        <w:t>Tech Maturity</w:t>
      </w:r>
      <w:r w:rsidRPr="005A3967">
        <w:t>: Tools such as AI, machine learning, and IoT will expand SSE’s analytical capabilities.</w:t>
      </w:r>
    </w:p>
    <w:p w14:paraId="10CAC789" w14:textId="77495A68" w:rsidR="0008226D" w:rsidRPr="005A3967" w:rsidRDefault="0008226D" w:rsidP="008824B8">
      <w:pPr>
        <w:numPr>
          <w:ilvl w:val="0"/>
          <w:numId w:val="27"/>
        </w:numPr>
        <w:spacing w:line="360" w:lineRule="auto"/>
      </w:pPr>
      <w:r w:rsidRPr="005A3967">
        <w:rPr>
          <w:i/>
          <w:iCs/>
        </w:rPr>
        <w:t>Customer Centricity</w:t>
      </w:r>
      <w:r w:rsidRPr="005A3967">
        <w:t>: Analytics will enable tailored service delivery and proactive interventions</w:t>
      </w:r>
      <w:r w:rsidR="007A3770" w:rsidRPr="005A3967">
        <w:t>, enhancing the overall customer experience</w:t>
      </w:r>
      <w:r w:rsidRPr="005A3967">
        <w:t>.</w:t>
      </w:r>
    </w:p>
    <w:p w14:paraId="4E557E01" w14:textId="77777777" w:rsidR="0008226D" w:rsidRPr="005A3967" w:rsidRDefault="0008226D" w:rsidP="0008226D">
      <w:pPr>
        <w:spacing w:line="360" w:lineRule="auto"/>
        <w:rPr>
          <w:b/>
          <w:bCs/>
        </w:rPr>
      </w:pPr>
      <w:r w:rsidRPr="005A3967">
        <w:rPr>
          <w:b/>
          <w:bCs/>
        </w:rPr>
        <w:t>Threats (External, Negative Factors)</w:t>
      </w:r>
    </w:p>
    <w:p w14:paraId="40CFBEC9" w14:textId="77777777" w:rsidR="0008226D" w:rsidRPr="005A3967" w:rsidRDefault="0008226D" w:rsidP="008824B8">
      <w:pPr>
        <w:numPr>
          <w:ilvl w:val="0"/>
          <w:numId w:val="28"/>
        </w:numPr>
        <w:spacing w:line="360" w:lineRule="auto"/>
      </w:pPr>
      <w:r w:rsidRPr="005A3967">
        <w:rPr>
          <w:i/>
          <w:iCs/>
        </w:rPr>
        <w:lastRenderedPageBreak/>
        <w:t>Market Competition</w:t>
      </w:r>
      <w:r w:rsidRPr="005A3967">
        <w:t>: Rivals with advanced data capabilities may outpace SSE if internal maturity lags.</w:t>
      </w:r>
    </w:p>
    <w:p w14:paraId="7CD6F75D" w14:textId="77777777" w:rsidR="0008226D" w:rsidRPr="005A3967" w:rsidRDefault="0008226D" w:rsidP="008824B8">
      <w:pPr>
        <w:numPr>
          <w:ilvl w:val="0"/>
          <w:numId w:val="28"/>
        </w:numPr>
        <w:spacing w:line="360" w:lineRule="auto"/>
      </w:pPr>
      <w:r w:rsidRPr="005A3967">
        <w:rPr>
          <w:i/>
          <w:iCs/>
        </w:rPr>
        <w:t>Disruptive Entrants</w:t>
      </w:r>
      <w:r w:rsidRPr="005A3967">
        <w:t>: Tech-native energy firms may disrupt SSE’s traditional models.</w:t>
      </w:r>
    </w:p>
    <w:p w14:paraId="5DDC9C86" w14:textId="54A16879" w:rsidR="0008226D" w:rsidRPr="005A3967" w:rsidRDefault="0008226D" w:rsidP="008824B8">
      <w:pPr>
        <w:numPr>
          <w:ilvl w:val="0"/>
          <w:numId w:val="28"/>
        </w:numPr>
        <w:spacing w:line="360" w:lineRule="auto"/>
      </w:pPr>
      <w:r w:rsidRPr="005A3967">
        <w:rPr>
          <w:i/>
          <w:iCs/>
        </w:rPr>
        <w:t>Regulatory Compliance</w:t>
      </w:r>
      <w:r w:rsidRPr="005A3967">
        <w:t xml:space="preserve">: </w:t>
      </w:r>
      <w:r w:rsidR="007A3770" w:rsidRPr="005A3967">
        <w:t xml:space="preserve">The </w:t>
      </w:r>
      <w:r w:rsidRPr="005A3967">
        <w:t xml:space="preserve">GDPR and related data ethics laws will constrain </w:t>
      </w:r>
      <w:r w:rsidR="007A3770" w:rsidRPr="005A3967">
        <w:t>the</w:t>
      </w:r>
      <w:r w:rsidRPr="005A3967">
        <w:t xml:space="preserve"> design and deployment</w:t>
      </w:r>
      <w:r w:rsidR="007A3770" w:rsidRPr="005A3967">
        <w:t xml:space="preserve"> of analytics</w:t>
      </w:r>
      <w:r w:rsidRPr="005A3967">
        <w:t>.</w:t>
      </w:r>
    </w:p>
    <w:p w14:paraId="736DB68A" w14:textId="77777777" w:rsidR="0008226D" w:rsidRPr="005A3967" w:rsidRDefault="0008226D" w:rsidP="008824B8">
      <w:pPr>
        <w:numPr>
          <w:ilvl w:val="0"/>
          <w:numId w:val="28"/>
        </w:numPr>
        <w:spacing w:line="360" w:lineRule="auto"/>
      </w:pPr>
      <w:r w:rsidRPr="005A3967">
        <w:rPr>
          <w:i/>
          <w:iCs/>
        </w:rPr>
        <w:t>Execution Risks</w:t>
      </w:r>
      <w:r w:rsidRPr="005A3967">
        <w:t>: Failed initiatives may reduce internal support or damage stakeholder confidence.</w:t>
      </w:r>
    </w:p>
    <w:p w14:paraId="5300C19F" w14:textId="77777777" w:rsidR="0008226D" w:rsidRPr="005A3967" w:rsidRDefault="0008226D" w:rsidP="0008226D">
      <w:pPr>
        <w:spacing w:line="360" w:lineRule="auto"/>
      </w:pPr>
      <w:r w:rsidRPr="005A3967">
        <w:rPr>
          <w:b/>
          <w:bCs/>
        </w:rPr>
        <w:t>Interpretation:</w:t>
      </w:r>
      <w:r w:rsidRPr="005A3967">
        <w:t xml:space="preserve"> The SWOT analysis will indicate that while SSE benefits from strong leadership and early progress, internal capability gaps—particularly in skills and governance—must be addressed. External momentum will favour analytics advancement, but only if execution risks are proactively managed.</w:t>
      </w:r>
    </w:p>
    <w:p w14:paraId="65D13E5D" w14:textId="77777777" w:rsidR="005061A2" w:rsidRPr="005A3967" w:rsidRDefault="005061A2" w:rsidP="0008226D">
      <w:pPr>
        <w:spacing w:line="360" w:lineRule="auto"/>
      </w:pPr>
    </w:p>
    <w:p w14:paraId="21255409" w14:textId="577CB24E" w:rsidR="0008226D" w:rsidRPr="005A3967" w:rsidRDefault="0008226D" w:rsidP="0008226D">
      <w:pPr>
        <w:spacing w:line="360" w:lineRule="auto"/>
        <w:rPr>
          <w:b/>
          <w:bCs/>
        </w:rPr>
      </w:pPr>
      <w:r w:rsidRPr="005A3967">
        <w:rPr>
          <w:b/>
          <w:bCs/>
        </w:rPr>
        <w:t>E.2 PESTEL Analysis – External Factors Affecting Analytics Integration</w:t>
      </w:r>
    </w:p>
    <w:p w14:paraId="30159C49" w14:textId="77777777" w:rsidR="0008226D" w:rsidRPr="005A3967" w:rsidRDefault="0008226D" w:rsidP="0008226D">
      <w:pPr>
        <w:spacing w:line="360" w:lineRule="auto"/>
      </w:pPr>
      <w:r w:rsidRPr="005A3967">
        <w:t xml:space="preserve">A </w:t>
      </w:r>
      <w:r w:rsidRPr="005A3967">
        <w:rPr>
          <w:b/>
          <w:bCs/>
        </w:rPr>
        <w:t>PESTEL analysis</w:t>
      </w:r>
      <w:r w:rsidRPr="005A3967">
        <w:t xml:space="preserve"> will be employed to explore macro-environmental conditions influencing SSE’s analytics journey. This will identify how political, economic, and social contexts intersect with technological readiness and regulatory constraints.</w:t>
      </w:r>
    </w:p>
    <w:p w14:paraId="48196D24" w14:textId="77777777" w:rsidR="0008226D" w:rsidRPr="005A3967" w:rsidRDefault="0008226D" w:rsidP="008824B8">
      <w:pPr>
        <w:numPr>
          <w:ilvl w:val="0"/>
          <w:numId w:val="29"/>
        </w:numPr>
        <w:spacing w:line="360" w:lineRule="auto"/>
      </w:pPr>
      <w:r w:rsidRPr="005A3967">
        <w:rPr>
          <w:b/>
          <w:bCs/>
        </w:rPr>
        <w:t>Political:</w:t>
      </w:r>
      <w:r w:rsidRPr="005A3967">
        <w:t xml:space="preserve"> UK decarbonisation and digitalisation policies, including Ofgem initiatives, will encourage data-led innovation.</w:t>
      </w:r>
    </w:p>
    <w:p w14:paraId="127CE901" w14:textId="77777777" w:rsidR="0008226D" w:rsidRPr="005A3967" w:rsidRDefault="0008226D" w:rsidP="008824B8">
      <w:pPr>
        <w:numPr>
          <w:ilvl w:val="0"/>
          <w:numId w:val="29"/>
        </w:numPr>
        <w:spacing w:line="360" w:lineRule="auto"/>
      </w:pPr>
      <w:r w:rsidRPr="005A3967">
        <w:rPr>
          <w:b/>
          <w:bCs/>
        </w:rPr>
        <w:t>Economic:</w:t>
      </w:r>
      <w:r w:rsidRPr="005A3967">
        <w:t xml:space="preserve"> Margin pressures and price volatility will create strong business cases for forecasting, optimisation, and efficiency through analytics.</w:t>
      </w:r>
    </w:p>
    <w:p w14:paraId="5D03868E" w14:textId="4259A47B" w:rsidR="0008226D" w:rsidRPr="005A3967" w:rsidRDefault="0008226D" w:rsidP="008824B8">
      <w:pPr>
        <w:numPr>
          <w:ilvl w:val="0"/>
          <w:numId w:val="29"/>
        </w:numPr>
        <w:spacing w:line="360" w:lineRule="auto"/>
      </w:pPr>
      <w:r w:rsidRPr="005A3967">
        <w:rPr>
          <w:b/>
          <w:bCs/>
        </w:rPr>
        <w:t>Social:</w:t>
      </w:r>
      <w:r w:rsidRPr="005A3967">
        <w:t xml:space="preserve"> </w:t>
      </w:r>
      <w:r w:rsidR="007A3770" w:rsidRPr="005A3967">
        <w:t>Digital awareness of the workforce</w:t>
      </w:r>
      <w:r w:rsidRPr="005A3967">
        <w:t xml:space="preserve"> and customer expectations for personalisation will support adoption. Transparency will remain essential.</w:t>
      </w:r>
    </w:p>
    <w:p w14:paraId="6B4DE274" w14:textId="77777777" w:rsidR="0008226D" w:rsidRPr="005A3967" w:rsidRDefault="0008226D" w:rsidP="008824B8">
      <w:pPr>
        <w:numPr>
          <w:ilvl w:val="0"/>
          <w:numId w:val="29"/>
        </w:numPr>
        <w:spacing w:line="360" w:lineRule="auto"/>
      </w:pPr>
      <w:r w:rsidRPr="005A3967">
        <w:rPr>
          <w:b/>
          <w:bCs/>
        </w:rPr>
        <w:t>Technological:</w:t>
      </w:r>
      <w:r w:rsidRPr="005A3967">
        <w:t xml:space="preserve"> Access to smart meter data, real-time systems, and AI tools will enhance predictive capabilities.</w:t>
      </w:r>
    </w:p>
    <w:p w14:paraId="25F5796C" w14:textId="77777777" w:rsidR="0008226D" w:rsidRPr="005A3967" w:rsidRDefault="0008226D" w:rsidP="008824B8">
      <w:pPr>
        <w:numPr>
          <w:ilvl w:val="0"/>
          <w:numId w:val="29"/>
        </w:numPr>
        <w:spacing w:line="360" w:lineRule="auto"/>
      </w:pPr>
      <w:r w:rsidRPr="005A3967">
        <w:rPr>
          <w:b/>
          <w:bCs/>
        </w:rPr>
        <w:t>Environmental:</w:t>
      </w:r>
      <w:r w:rsidRPr="005A3967">
        <w:t xml:space="preserve"> Climate-driven uncertainty will increase demand for forecasting tools to support sustainability goals.</w:t>
      </w:r>
    </w:p>
    <w:p w14:paraId="553FF2AF" w14:textId="77777777" w:rsidR="0008226D" w:rsidRPr="005A3967" w:rsidRDefault="0008226D" w:rsidP="008824B8">
      <w:pPr>
        <w:numPr>
          <w:ilvl w:val="0"/>
          <w:numId w:val="29"/>
        </w:numPr>
        <w:spacing w:line="360" w:lineRule="auto"/>
      </w:pPr>
      <w:r w:rsidRPr="005A3967">
        <w:rPr>
          <w:b/>
          <w:bCs/>
        </w:rPr>
        <w:t>Legal:</w:t>
      </w:r>
      <w:r w:rsidRPr="005A3967">
        <w:t xml:space="preserve"> GDPR, algorithmic transparency, and ethical AI usage guidelines will require thoughtful compliance strategies.</w:t>
      </w:r>
    </w:p>
    <w:p w14:paraId="114E043C" w14:textId="5C1D2392" w:rsidR="0008226D" w:rsidRPr="005A3967" w:rsidRDefault="0008226D" w:rsidP="0008226D">
      <w:pPr>
        <w:spacing w:line="360" w:lineRule="auto"/>
      </w:pPr>
      <w:r w:rsidRPr="005A3967">
        <w:rPr>
          <w:b/>
          <w:bCs/>
        </w:rPr>
        <w:t>Interpretation:</w:t>
      </w:r>
      <w:r w:rsidRPr="005A3967">
        <w:t xml:space="preserve"> External drivers will largely support </w:t>
      </w:r>
      <w:r w:rsidR="007A3770" w:rsidRPr="005A3967">
        <w:t>the</w:t>
      </w:r>
      <w:r w:rsidRPr="005A3967">
        <w:t xml:space="preserve"> integration </w:t>
      </w:r>
      <w:r w:rsidR="007A3770" w:rsidRPr="005A3967">
        <w:t xml:space="preserve">of analytics </w:t>
      </w:r>
      <w:r w:rsidRPr="005A3967">
        <w:t>at SSE PLC. However, legal and ethical considerations must be embedded early to avoid compliance setbacks or reputational harm.</w:t>
      </w:r>
    </w:p>
    <w:p w14:paraId="79053168" w14:textId="50B77912" w:rsidR="0008226D" w:rsidRPr="005A3967" w:rsidRDefault="0008226D" w:rsidP="0008226D">
      <w:pPr>
        <w:spacing w:line="360" w:lineRule="auto"/>
      </w:pPr>
    </w:p>
    <w:p w14:paraId="57456B26" w14:textId="77777777" w:rsidR="0008226D" w:rsidRPr="005A3967" w:rsidRDefault="0008226D" w:rsidP="0008226D">
      <w:pPr>
        <w:spacing w:line="360" w:lineRule="auto"/>
        <w:rPr>
          <w:b/>
          <w:bCs/>
        </w:rPr>
      </w:pPr>
      <w:r w:rsidRPr="005A3967">
        <w:rPr>
          <w:b/>
          <w:bCs/>
        </w:rPr>
        <w:t>E.3 SOAR Analysis – Aspirations for Analytics at SSE PLC</w:t>
      </w:r>
    </w:p>
    <w:p w14:paraId="1D2C8120" w14:textId="77777777" w:rsidR="0008226D" w:rsidRPr="005A3967" w:rsidRDefault="0008226D" w:rsidP="0008226D">
      <w:pPr>
        <w:spacing w:line="360" w:lineRule="auto"/>
      </w:pPr>
      <w:r w:rsidRPr="005A3967">
        <w:t xml:space="preserve">The </w:t>
      </w:r>
      <w:r w:rsidRPr="005A3967">
        <w:rPr>
          <w:b/>
          <w:bCs/>
        </w:rPr>
        <w:t>SOAR framework</w:t>
      </w:r>
      <w:r w:rsidRPr="005A3967">
        <w:t xml:space="preserve"> (Strengths, Opportunities, Aspirations, Results) will be used to explore the organisation’s positive core and vision for future analytics maturity.</w:t>
      </w:r>
    </w:p>
    <w:p w14:paraId="4F6266D1" w14:textId="77777777" w:rsidR="0008226D" w:rsidRPr="005A3967" w:rsidRDefault="0008226D" w:rsidP="0008226D">
      <w:pPr>
        <w:spacing w:line="360" w:lineRule="auto"/>
        <w:rPr>
          <w:b/>
          <w:bCs/>
        </w:rPr>
      </w:pPr>
      <w:r w:rsidRPr="005A3967">
        <w:rPr>
          <w:b/>
          <w:bCs/>
        </w:rPr>
        <w:lastRenderedPageBreak/>
        <w:t>Strengths</w:t>
      </w:r>
    </w:p>
    <w:p w14:paraId="0D0F30A1" w14:textId="77777777" w:rsidR="0008226D" w:rsidRPr="005A3967" w:rsidRDefault="0008226D" w:rsidP="008824B8">
      <w:pPr>
        <w:numPr>
          <w:ilvl w:val="0"/>
          <w:numId w:val="30"/>
        </w:numPr>
        <w:spacing w:line="360" w:lineRule="auto"/>
      </w:pPr>
      <w:r w:rsidRPr="005A3967">
        <w:t>Leadership commitment and C-suite support.</w:t>
      </w:r>
    </w:p>
    <w:p w14:paraId="1AC935A8" w14:textId="77777777" w:rsidR="0008226D" w:rsidRPr="005A3967" w:rsidRDefault="0008226D" w:rsidP="008824B8">
      <w:pPr>
        <w:numPr>
          <w:ilvl w:val="0"/>
          <w:numId w:val="30"/>
        </w:numPr>
        <w:spacing w:line="360" w:lineRule="auto"/>
      </w:pPr>
      <w:r w:rsidRPr="005A3967">
        <w:t>Pilot projects demonstrating tangible value (e.g., marketing uplift, better forecasting).</w:t>
      </w:r>
    </w:p>
    <w:p w14:paraId="341C251B" w14:textId="5C3FB4E2" w:rsidR="0008226D" w:rsidRPr="005A3967" w:rsidRDefault="0008226D" w:rsidP="008824B8">
      <w:pPr>
        <w:numPr>
          <w:ilvl w:val="0"/>
          <w:numId w:val="30"/>
        </w:numPr>
        <w:spacing w:line="360" w:lineRule="auto"/>
      </w:pPr>
      <w:r w:rsidRPr="005A3967">
        <w:t>Data platforms (</w:t>
      </w:r>
      <w:r w:rsidR="007A3770" w:rsidRPr="005A3967">
        <w:t xml:space="preserve">both </w:t>
      </w:r>
      <w:r w:rsidRPr="005A3967">
        <w:t xml:space="preserve">cloud and </w:t>
      </w:r>
      <w:r w:rsidR="007A3770" w:rsidRPr="005A3967">
        <w:t>on-premises</w:t>
      </w:r>
      <w:r w:rsidRPr="005A3967">
        <w:t xml:space="preserve">) </w:t>
      </w:r>
      <w:r w:rsidR="007A3770" w:rsidRPr="005A3967">
        <w:t xml:space="preserve">are </w:t>
      </w:r>
      <w:r w:rsidRPr="005A3967">
        <w:t>already in place.</w:t>
      </w:r>
    </w:p>
    <w:p w14:paraId="36C843B1" w14:textId="77777777" w:rsidR="0008226D" w:rsidRPr="005A3967" w:rsidRDefault="0008226D" w:rsidP="008824B8">
      <w:pPr>
        <w:numPr>
          <w:ilvl w:val="0"/>
          <w:numId w:val="30"/>
        </w:numPr>
        <w:spacing w:line="360" w:lineRule="auto"/>
      </w:pPr>
      <w:r w:rsidRPr="005A3967">
        <w:t>Emerging collaboration between business units and IT.</w:t>
      </w:r>
    </w:p>
    <w:p w14:paraId="3BD9B0B2" w14:textId="77777777" w:rsidR="0008226D" w:rsidRPr="005A3967" w:rsidRDefault="0008226D" w:rsidP="0008226D">
      <w:pPr>
        <w:spacing w:line="360" w:lineRule="auto"/>
        <w:rPr>
          <w:b/>
          <w:bCs/>
        </w:rPr>
      </w:pPr>
      <w:r w:rsidRPr="005A3967">
        <w:rPr>
          <w:b/>
          <w:bCs/>
        </w:rPr>
        <w:t>Opportunities</w:t>
      </w:r>
    </w:p>
    <w:p w14:paraId="295C7CE0" w14:textId="77777777" w:rsidR="0008226D" w:rsidRPr="005A3967" w:rsidRDefault="0008226D" w:rsidP="008824B8">
      <w:pPr>
        <w:numPr>
          <w:ilvl w:val="0"/>
          <w:numId w:val="31"/>
        </w:numPr>
        <w:spacing w:line="360" w:lineRule="auto"/>
      </w:pPr>
      <w:r w:rsidRPr="005A3967">
        <w:t>Energy digitalisation trends (e.g., smart grids, decentralised energy).</w:t>
      </w:r>
    </w:p>
    <w:p w14:paraId="5C2F598B" w14:textId="77777777" w:rsidR="0008226D" w:rsidRPr="005A3967" w:rsidRDefault="0008226D" w:rsidP="008824B8">
      <w:pPr>
        <w:numPr>
          <w:ilvl w:val="0"/>
          <w:numId w:val="31"/>
        </w:numPr>
        <w:spacing w:line="360" w:lineRule="auto"/>
      </w:pPr>
      <w:r w:rsidRPr="005A3967">
        <w:t>Strategic agility through predictive insights.</w:t>
      </w:r>
    </w:p>
    <w:p w14:paraId="1F8AFDDE" w14:textId="77777777" w:rsidR="0008226D" w:rsidRPr="005A3967" w:rsidRDefault="0008226D" w:rsidP="008824B8">
      <w:pPr>
        <w:numPr>
          <w:ilvl w:val="0"/>
          <w:numId w:val="31"/>
        </w:numPr>
        <w:spacing w:line="360" w:lineRule="auto"/>
      </w:pPr>
      <w:r w:rsidRPr="005A3967">
        <w:t>University partnerships and innovation labs.</w:t>
      </w:r>
    </w:p>
    <w:p w14:paraId="3239F55B" w14:textId="77777777" w:rsidR="0008226D" w:rsidRPr="005A3967" w:rsidRDefault="0008226D" w:rsidP="008824B8">
      <w:pPr>
        <w:numPr>
          <w:ilvl w:val="0"/>
          <w:numId w:val="31"/>
        </w:numPr>
        <w:spacing w:line="360" w:lineRule="auto"/>
      </w:pPr>
      <w:r w:rsidRPr="005A3967">
        <w:t>Regulatory sandboxes that promote experimentation.</w:t>
      </w:r>
    </w:p>
    <w:p w14:paraId="74867760" w14:textId="77777777" w:rsidR="0008226D" w:rsidRPr="005A3967" w:rsidRDefault="0008226D" w:rsidP="0008226D">
      <w:pPr>
        <w:spacing w:line="360" w:lineRule="auto"/>
        <w:rPr>
          <w:b/>
          <w:bCs/>
        </w:rPr>
      </w:pPr>
      <w:r w:rsidRPr="005A3967">
        <w:rPr>
          <w:b/>
          <w:bCs/>
        </w:rPr>
        <w:t>Aspirations</w:t>
      </w:r>
    </w:p>
    <w:p w14:paraId="659E9D7A" w14:textId="77777777" w:rsidR="0008226D" w:rsidRPr="005A3967" w:rsidRDefault="0008226D" w:rsidP="008824B8">
      <w:pPr>
        <w:numPr>
          <w:ilvl w:val="0"/>
          <w:numId w:val="32"/>
        </w:numPr>
        <w:spacing w:line="360" w:lineRule="auto"/>
      </w:pPr>
      <w:r w:rsidRPr="005A3967">
        <w:t>An enterprise-wide, data-literate workforce.</w:t>
      </w:r>
    </w:p>
    <w:p w14:paraId="110C380D" w14:textId="77777777" w:rsidR="0008226D" w:rsidRPr="005A3967" w:rsidRDefault="0008226D" w:rsidP="008824B8">
      <w:pPr>
        <w:numPr>
          <w:ilvl w:val="0"/>
          <w:numId w:val="32"/>
        </w:numPr>
        <w:spacing w:line="360" w:lineRule="auto"/>
      </w:pPr>
      <w:r w:rsidRPr="005A3967">
        <w:t>Seamless integration of analytics into day-to-day decisions.</w:t>
      </w:r>
    </w:p>
    <w:p w14:paraId="1CCEFF53" w14:textId="77777777" w:rsidR="0008226D" w:rsidRPr="005A3967" w:rsidRDefault="0008226D" w:rsidP="008824B8">
      <w:pPr>
        <w:numPr>
          <w:ilvl w:val="0"/>
          <w:numId w:val="32"/>
        </w:numPr>
        <w:spacing w:line="360" w:lineRule="auto"/>
      </w:pPr>
      <w:r w:rsidRPr="005A3967">
        <w:t>Personalised, customer-centric service models.</w:t>
      </w:r>
    </w:p>
    <w:p w14:paraId="4C25DA42" w14:textId="77777777" w:rsidR="0008226D" w:rsidRPr="005A3967" w:rsidRDefault="0008226D" w:rsidP="008824B8">
      <w:pPr>
        <w:numPr>
          <w:ilvl w:val="0"/>
          <w:numId w:val="32"/>
        </w:numPr>
        <w:spacing w:line="360" w:lineRule="auto"/>
      </w:pPr>
      <w:r w:rsidRPr="005A3967">
        <w:t>Analytics-led leadership in the Net Zero transition.</w:t>
      </w:r>
    </w:p>
    <w:p w14:paraId="6332FE46" w14:textId="77777777" w:rsidR="0008226D" w:rsidRPr="005A3967" w:rsidRDefault="0008226D" w:rsidP="0008226D">
      <w:pPr>
        <w:spacing w:line="360" w:lineRule="auto"/>
        <w:rPr>
          <w:b/>
          <w:bCs/>
        </w:rPr>
      </w:pPr>
      <w:r w:rsidRPr="005A3967">
        <w:rPr>
          <w:b/>
          <w:bCs/>
        </w:rPr>
        <w:t>Results</w:t>
      </w:r>
    </w:p>
    <w:p w14:paraId="3651BDA3" w14:textId="77777777" w:rsidR="0008226D" w:rsidRPr="005A3967" w:rsidRDefault="0008226D" w:rsidP="008824B8">
      <w:pPr>
        <w:numPr>
          <w:ilvl w:val="0"/>
          <w:numId w:val="33"/>
        </w:numPr>
        <w:spacing w:line="360" w:lineRule="auto"/>
      </w:pPr>
      <w:r w:rsidRPr="005A3967">
        <w:t>Improved scenario modelling and forecasting accuracy.</w:t>
      </w:r>
    </w:p>
    <w:p w14:paraId="78E4F9DE" w14:textId="77777777" w:rsidR="0008226D" w:rsidRPr="005A3967" w:rsidRDefault="0008226D" w:rsidP="008824B8">
      <w:pPr>
        <w:numPr>
          <w:ilvl w:val="0"/>
          <w:numId w:val="33"/>
        </w:numPr>
        <w:spacing w:line="360" w:lineRule="auto"/>
      </w:pPr>
      <w:r w:rsidRPr="005A3967">
        <w:t>Maturity benchmarking aligned with DCAM standards.</w:t>
      </w:r>
    </w:p>
    <w:p w14:paraId="0352A9D2" w14:textId="77777777" w:rsidR="0008226D" w:rsidRPr="005A3967" w:rsidRDefault="0008226D" w:rsidP="008824B8">
      <w:pPr>
        <w:numPr>
          <w:ilvl w:val="0"/>
          <w:numId w:val="33"/>
        </w:numPr>
        <w:spacing w:line="360" w:lineRule="auto"/>
      </w:pPr>
      <w:r w:rsidRPr="005A3967">
        <w:t>Increased confidence and participation in analytics across the business.</w:t>
      </w:r>
    </w:p>
    <w:p w14:paraId="15498D9F" w14:textId="77777777" w:rsidR="0008226D" w:rsidRPr="005A3967" w:rsidRDefault="0008226D" w:rsidP="008824B8">
      <w:pPr>
        <w:numPr>
          <w:ilvl w:val="0"/>
          <w:numId w:val="33"/>
        </w:numPr>
        <w:spacing w:line="360" w:lineRule="auto"/>
      </w:pPr>
      <w:r w:rsidRPr="005A3967">
        <w:t>Tangible returns from analytics-led projects and pilots.</w:t>
      </w:r>
    </w:p>
    <w:p w14:paraId="41CAC64F" w14:textId="77777777" w:rsidR="0008226D" w:rsidRPr="005A3967" w:rsidRDefault="0008226D" w:rsidP="0008226D">
      <w:pPr>
        <w:spacing w:line="360" w:lineRule="auto"/>
      </w:pPr>
      <w:r w:rsidRPr="005A3967">
        <w:rPr>
          <w:b/>
          <w:bCs/>
        </w:rPr>
        <w:t>Interpretation:</w:t>
      </w:r>
      <w:r w:rsidRPr="005A3967">
        <w:t xml:space="preserve"> SOAR analysis will help articulate SSE’s long-term vision and transformation goals. This strengths-based approach will complement the more risk-oriented insights from the SWOT analysis and provide a motivational anchor for internal engagement.</w:t>
      </w:r>
    </w:p>
    <w:p w14:paraId="1B26A25D" w14:textId="29AC8893" w:rsidR="0008226D" w:rsidRPr="005A3967" w:rsidRDefault="0008226D" w:rsidP="0008226D">
      <w:pPr>
        <w:spacing w:line="360" w:lineRule="auto"/>
      </w:pPr>
    </w:p>
    <w:p w14:paraId="342F7F36" w14:textId="77777777" w:rsidR="0008226D" w:rsidRPr="005A3967" w:rsidRDefault="0008226D" w:rsidP="0008226D">
      <w:pPr>
        <w:spacing w:line="360" w:lineRule="auto"/>
        <w:rPr>
          <w:b/>
          <w:bCs/>
        </w:rPr>
      </w:pPr>
      <w:r w:rsidRPr="005A3967">
        <w:rPr>
          <w:b/>
          <w:bCs/>
        </w:rPr>
        <w:t>E.4 Marketing Strategy Comparison Table</w:t>
      </w:r>
    </w:p>
    <w:p w14:paraId="1D3001A7" w14:textId="77777777" w:rsidR="0008226D" w:rsidRPr="005A3967" w:rsidRDefault="0008226D" w:rsidP="0008226D">
      <w:pPr>
        <w:spacing w:line="360" w:lineRule="auto"/>
      </w:pPr>
      <w:r w:rsidRPr="005A3967">
        <w:rPr>
          <w:b/>
          <w:bCs/>
        </w:rPr>
        <w:t>Table E1</w:t>
      </w:r>
      <w:r w:rsidRPr="005A3967">
        <w:t xml:space="preserve"> will provide a comparative summary of predictive analytics use in marketing. It will map:</w:t>
      </w:r>
    </w:p>
    <w:p w14:paraId="55BC1EA3" w14:textId="77777777" w:rsidR="0008226D" w:rsidRPr="005A3967" w:rsidRDefault="0008226D" w:rsidP="008824B8">
      <w:pPr>
        <w:numPr>
          <w:ilvl w:val="0"/>
          <w:numId w:val="34"/>
        </w:numPr>
        <w:spacing w:line="360" w:lineRule="auto"/>
      </w:pPr>
      <w:r w:rsidRPr="005A3967">
        <w:rPr>
          <w:b/>
          <w:bCs/>
        </w:rPr>
        <w:t>Use Cases:</w:t>
      </w:r>
      <w:r w:rsidRPr="005A3967">
        <w:t xml:space="preserve"> Campaign targeting, churn prediction, demand forecasting</w:t>
      </w:r>
    </w:p>
    <w:p w14:paraId="2CF02B2F" w14:textId="77777777" w:rsidR="0008226D" w:rsidRPr="005A3967" w:rsidRDefault="0008226D" w:rsidP="008824B8">
      <w:pPr>
        <w:numPr>
          <w:ilvl w:val="0"/>
          <w:numId w:val="34"/>
        </w:numPr>
        <w:spacing w:line="360" w:lineRule="auto"/>
      </w:pPr>
      <w:r w:rsidRPr="005A3967">
        <w:rPr>
          <w:b/>
          <w:bCs/>
        </w:rPr>
        <w:t>Techniques:</w:t>
      </w:r>
      <w:r w:rsidRPr="005A3967">
        <w:t xml:space="preserve"> Logistic regression, random forest, clustering</w:t>
      </w:r>
    </w:p>
    <w:p w14:paraId="14B566FE" w14:textId="77777777" w:rsidR="0008226D" w:rsidRPr="005A3967" w:rsidRDefault="0008226D" w:rsidP="008824B8">
      <w:pPr>
        <w:numPr>
          <w:ilvl w:val="0"/>
          <w:numId w:val="34"/>
        </w:numPr>
        <w:spacing w:line="360" w:lineRule="auto"/>
      </w:pPr>
      <w:r w:rsidRPr="005A3967">
        <w:rPr>
          <w:b/>
          <w:bCs/>
        </w:rPr>
        <w:t>Business Benefits:</w:t>
      </w:r>
      <w:r w:rsidRPr="005A3967">
        <w:t xml:space="preserve"> Higher ROI, reduced acquisition cost, improved retention</w:t>
      </w:r>
    </w:p>
    <w:p w14:paraId="0E3CEB9A" w14:textId="77777777" w:rsidR="0008226D" w:rsidRPr="005A3967" w:rsidRDefault="0008226D" w:rsidP="008824B8">
      <w:pPr>
        <w:numPr>
          <w:ilvl w:val="0"/>
          <w:numId w:val="34"/>
        </w:numPr>
        <w:spacing w:line="360" w:lineRule="auto"/>
      </w:pPr>
      <w:r w:rsidRPr="005A3967">
        <w:rPr>
          <w:b/>
          <w:bCs/>
        </w:rPr>
        <w:t>Examples:</w:t>
      </w:r>
      <w:r w:rsidRPr="005A3967">
        <w:t xml:space="preserve"> Based on real or simulated scenarios from SSE's business operations</w:t>
      </w:r>
    </w:p>
    <w:p w14:paraId="522737CE" w14:textId="77777777" w:rsidR="0008226D" w:rsidRPr="005A3967" w:rsidRDefault="0008226D" w:rsidP="0008226D">
      <w:pPr>
        <w:spacing w:line="360" w:lineRule="auto"/>
      </w:pPr>
      <w:r w:rsidRPr="005A3967">
        <w:rPr>
          <w:i/>
          <w:iCs/>
        </w:rPr>
        <w:t>This table will be located in the final appendix and referenced in the discussion of marketing analytics in Section 6 of the dissertation.</w:t>
      </w:r>
    </w:p>
    <w:p w14:paraId="199788A6" w14:textId="2D0D7DA9" w:rsidR="001A1F15" w:rsidRPr="005A3967" w:rsidRDefault="001A1F15" w:rsidP="001A1F15">
      <w:pPr>
        <w:spacing w:line="360" w:lineRule="auto"/>
      </w:pPr>
      <w:r w:rsidRPr="005A3967">
        <w:rPr>
          <w:b/>
          <w:bCs/>
        </w:rPr>
        <w:t>Table E1. Predictive Analytics Use Cases in Marketing Strategy at SSE PLC</w:t>
      </w:r>
    </w:p>
    <w:tbl>
      <w:tblPr>
        <w:tblStyle w:val="GridTable4-Accent2"/>
        <w:tblW w:w="0" w:type="auto"/>
        <w:tblLook w:val="04A0" w:firstRow="1" w:lastRow="0" w:firstColumn="1" w:lastColumn="0" w:noHBand="0" w:noVBand="1"/>
      </w:tblPr>
      <w:tblGrid>
        <w:gridCol w:w="1705"/>
        <w:gridCol w:w="1728"/>
        <w:gridCol w:w="1872"/>
        <w:gridCol w:w="1708"/>
        <w:gridCol w:w="2003"/>
      </w:tblGrid>
      <w:tr w:rsidR="001A1F15" w:rsidRPr="005A3967" w14:paraId="189FFFFA" w14:textId="77777777" w:rsidTr="001A1F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61F63C" w14:textId="77777777" w:rsidR="001A1F15" w:rsidRPr="005A3967" w:rsidRDefault="001A1F15" w:rsidP="00542941">
            <w:pPr>
              <w:spacing w:line="276" w:lineRule="auto"/>
              <w:jc w:val="center"/>
              <w:rPr>
                <w:sz w:val="22"/>
                <w:szCs w:val="22"/>
              </w:rPr>
            </w:pPr>
            <w:r w:rsidRPr="005A3967">
              <w:rPr>
                <w:sz w:val="22"/>
                <w:szCs w:val="22"/>
              </w:rPr>
              <w:lastRenderedPageBreak/>
              <w:t>Marketing Strategy</w:t>
            </w:r>
          </w:p>
        </w:tc>
        <w:tc>
          <w:tcPr>
            <w:tcW w:w="0" w:type="auto"/>
            <w:vAlign w:val="center"/>
            <w:hideMark/>
          </w:tcPr>
          <w:p w14:paraId="7A3042E5" w14:textId="77777777" w:rsidR="001A1F15" w:rsidRPr="005A3967" w:rsidRDefault="001A1F15" w:rsidP="00542941">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Purpose</w:t>
            </w:r>
          </w:p>
        </w:tc>
        <w:tc>
          <w:tcPr>
            <w:tcW w:w="0" w:type="auto"/>
            <w:vAlign w:val="center"/>
            <w:hideMark/>
          </w:tcPr>
          <w:p w14:paraId="288348FF" w14:textId="77777777" w:rsidR="001A1F15" w:rsidRPr="005A3967" w:rsidRDefault="001A1F15" w:rsidP="00542941">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Analytics Techniques</w:t>
            </w:r>
          </w:p>
        </w:tc>
        <w:tc>
          <w:tcPr>
            <w:tcW w:w="0" w:type="auto"/>
            <w:vAlign w:val="center"/>
            <w:hideMark/>
          </w:tcPr>
          <w:p w14:paraId="4F943793" w14:textId="77777777" w:rsidR="001A1F15" w:rsidRPr="005A3967" w:rsidRDefault="001A1F15" w:rsidP="00542941">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Benefits</w:t>
            </w:r>
          </w:p>
        </w:tc>
        <w:tc>
          <w:tcPr>
            <w:tcW w:w="0" w:type="auto"/>
            <w:vAlign w:val="center"/>
            <w:hideMark/>
          </w:tcPr>
          <w:p w14:paraId="0424F38C" w14:textId="77777777" w:rsidR="001A1F15" w:rsidRPr="005A3967" w:rsidRDefault="001A1F15" w:rsidP="00542941">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SSE Use Case (Illustrative)</w:t>
            </w:r>
          </w:p>
        </w:tc>
      </w:tr>
      <w:tr w:rsidR="001A1F15" w:rsidRPr="005A3967" w14:paraId="4DF87394" w14:textId="77777777" w:rsidTr="001A1F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2BE38D" w14:textId="77777777" w:rsidR="001A1F15" w:rsidRPr="005A3967" w:rsidRDefault="001A1F15" w:rsidP="00135329">
            <w:pPr>
              <w:spacing w:line="276" w:lineRule="auto"/>
              <w:rPr>
                <w:sz w:val="22"/>
                <w:szCs w:val="22"/>
              </w:rPr>
            </w:pPr>
            <w:r w:rsidRPr="005A3967">
              <w:rPr>
                <w:sz w:val="22"/>
                <w:szCs w:val="22"/>
              </w:rPr>
              <w:t>Customer Segmentation</w:t>
            </w:r>
          </w:p>
        </w:tc>
        <w:tc>
          <w:tcPr>
            <w:tcW w:w="0" w:type="auto"/>
            <w:vAlign w:val="center"/>
            <w:hideMark/>
          </w:tcPr>
          <w:p w14:paraId="27C567E0" w14:textId="77777777" w:rsidR="001A1F15" w:rsidRPr="005A3967" w:rsidRDefault="001A1F15" w:rsidP="00135329">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Group customers based on behaviours for targeting</w:t>
            </w:r>
          </w:p>
        </w:tc>
        <w:tc>
          <w:tcPr>
            <w:tcW w:w="0" w:type="auto"/>
            <w:vAlign w:val="center"/>
            <w:hideMark/>
          </w:tcPr>
          <w:p w14:paraId="5B2EB312" w14:textId="77777777" w:rsidR="001A1F15" w:rsidRPr="005A3967" w:rsidRDefault="001A1F15" w:rsidP="00135329">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Clustering (e.g., K-means, DBSCAN)</w:t>
            </w:r>
          </w:p>
        </w:tc>
        <w:tc>
          <w:tcPr>
            <w:tcW w:w="0" w:type="auto"/>
            <w:vAlign w:val="center"/>
            <w:hideMark/>
          </w:tcPr>
          <w:p w14:paraId="2998AA4F" w14:textId="77777777" w:rsidR="001A1F15" w:rsidRPr="005A3967" w:rsidRDefault="001A1F15" w:rsidP="00135329">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Improved targeting and product alignment</w:t>
            </w:r>
          </w:p>
        </w:tc>
        <w:tc>
          <w:tcPr>
            <w:tcW w:w="0" w:type="auto"/>
            <w:vAlign w:val="center"/>
            <w:hideMark/>
          </w:tcPr>
          <w:p w14:paraId="60CA5A56" w14:textId="77777777" w:rsidR="001A1F15" w:rsidRPr="005A3967" w:rsidRDefault="001A1F15" w:rsidP="00135329">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Smart meter data used to create tailored energy plans</w:t>
            </w:r>
          </w:p>
        </w:tc>
      </w:tr>
      <w:tr w:rsidR="001A1F15" w:rsidRPr="005A3967" w14:paraId="6E1CFA90" w14:textId="77777777" w:rsidTr="001A1F1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76C28A" w14:textId="77777777" w:rsidR="001A1F15" w:rsidRPr="005A3967" w:rsidRDefault="001A1F15" w:rsidP="00135329">
            <w:pPr>
              <w:spacing w:line="276" w:lineRule="auto"/>
              <w:rPr>
                <w:sz w:val="22"/>
                <w:szCs w:val="22"/>
              </w:rPr>
            </w:pPr>
            <w:r w:rsidRPr="005A3967">
              <w:rPr>
                <w:sz w:val="22"/>
                <w:szCs w:val="22"/>
              </w:rPr>
              <w:t>Predictive Targeting</w:t>
            </w:r>
          </w:p>
        </w:tc>
        <w:tc>
          <w:tcPr>
            <w:tcW w:w="0" w:type="auto"/>
            <w:vAlign w:val="center"/>
            <w:hideMark/>
          </w:tcPr>
          <w:p w14:paraId="1A1216CE" w14:textId="77777777" w:rsidR="001A1F15" w:rsidRPr="005A3967" w:rsidRDefault="001A1F15" w:rsidP="00135329">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Identify high-conversion customer segments</w:t>
            </w:r>
          </w:p>
        </w:tc>
        <w:tc>
          <w:tcPr>
            <w:tcW w:w="0" w:type="auto"/>
            <w:vAlign w:val="center"/>
            <w:hideMark/>
          </w:tcPr>
          <w:p w14:paraId="43019B2D" w14:textId="77777777" w:rsidR="001A1F15" w:rsidRPr="005A3967" w:rsidRDefault="001A1F15" w:rsidP="00135329">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Logistic Regression, Decision Trees</w:t>
            </w:r>
          </w:p>
        </w:tc>
        <w:tc>
          <w:tcPr>
            <w:tcW w:w="0" w:type="auto"/>
            <w:vAlign w:val="center"/>
            <w:hideMark/>
          </w:tcPr>
          <w:p w14:paraId="2FAAEBFC" w14:textId="77777777" w:rsidR="001A1F15" w:rsidRPr="005A3967" w:rsidRDefault="001A1F15" w:rsidP="00135329">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Higher conversion rates and reduced waste</w:t>
            </w:r>
          </w:p>
        </w:tc>
        <w:tc>
          <w:tcPr>
            <w:tcW w:w="0" w:type="auto"/>
            <w:vAlign w:val="center"/>
            <w:hideMark/>
          </w:tcPr>
          <w:p w14:paraId="4B2BE5D5" w14:textId="77777777" w:rsidR="001A1F15" w:rsidRPr="005A3967" w:rsidRDefault="001A1F15" w:rsidP="00135329">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Targeted switching offers for business customers</w:t>
            </w:r>
          </w:p>
        </w:tc>
      </w:tr>
      <w:tr w:rsidR="001A1F15" w:rsidRPr="005A3967" w14:paraId="6282FC8B" w14:textId="77777777" w:rsidTr="001A1F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C54C83" w14:textId="77777777" w:rsidR="001A1F15" w:rsidRPr="005A3967" w:rsidRDefault="001A1F15" w:rsidP="00135329">
            <w:pPr>
              <w:spacing w:line="276" w:lineRule="auto"/>
              <w:rPr>
                <w:sz w:val="22"/>
                <w:szCs w:val="22"/>
              </w:rPr>
            </w:pPr>
            <w:r w:rsidRPr="005A3967">
              <w:rPr>
                <w:sz w:val="22"/>
                <w:szCs w:val="22"/>
              </w:rPr>
              <w:t>Personalised Campaigns</w:t>
            </w:r>
          </w:p>
        </w:tc>
        <w:tc>
          <w:tcPr>
            <w:tcW w:w="0" w:type="auto"/>
            <w:vAlign w:val="center"/>
            <w:hideMark/>
          </w:tcPr>
          <w:p w14:paraId="74153480" w14:textId="77777777" w:rsidR="001A1F15" w:rsidRPr="005A3967" w:rsidRDefault="001A1F15" w:rsidP="00135329">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Deliver relevant content to increase engagement</w:t>
            </w:r>
          </w:p>
        </w:tc>
        <w:tc>
          <w:tcPr>
            <w:tcW w:w="0" w:type="auto"/>
            <w:vAlign w:val="center"/>
            <w:hideMark/>
          </w:tcPr>
          <w:p w14:paraId="6C8BF674" w14:textId="77777777" w:rsidR="001A1F15" w:rsidRPr="005A3967" w:rsidRDefault="001A1F15" w:rsidP="00135329">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Collaborative Filtering, Natural Language Processing</w:t>
            </w:r>
          </w:p>
        </w:tc>
        <w:tc>
          <w:tcPr>
            <w:tcW w:w="0" w:type="auto"/>
            <w:vAlign w:val="center"/>
            <w:hideMark/>
          </w:tcPr>
          <w:p w14:paraId="507AA5D1" w14:textId="77777777" w:rsidR="001A1F15" w:rsidRPr="005A3967" w:rsidRDefault="001A1F15" w:rsidP="00135329">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Increased satisfaction and loyalty</w:t>
            </w:r>
          </w:p>
        </w:tc>
        <w:tc>
          <w:tcPr>
            <w:tcW w:w="0" w:type="auto"/>
            <w:vAlign w:val="center"/>
            <w:hideMark/>
          </w:tcPr>
          <w:p w14:paraId="0C382F80" w14:textId="77777777" w:rsidR="001A1F15" w:rsidRPr="005A3967" w:rsidRDefault="001A1F15" w:rsidP="00135329">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Custom energy-saving tips based on usage profiles</w:t>
            </w:r>
          </w:p>
        </w:tc>
      </w:tr>
      <w:tr w:rsidR="001A1F15" w:rsidRPr="005A3967" w14:paraId="3EB9EFB9" w14:textId="77777777" w:rsidTr="001A1F1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1F3F6E" w14:textId="77777777" w:rsidR="001A1F15" w:rsidRPr="005A3967" w:rsidRDefault="001A1F15" w:rsidP="00135329">
            <w:pPr>
              <w:spacing w:line="276" w:lineRule="auto"/>
              <w:rPr>
                <w:sz w:val="22"/>
                <w:szCs w:val="22"/>
              </w:rPr>
            </w:pPr>
            <w:r w:rsidRPr="005A3967">
              <w:rPr>
                <w:sz w:val="22"/>
                <w:szCs w:val="22"/>
              </w:rPr>
              <w:t>Churn Prediction &amp; Retention</w:t>
            </w:r>
          </w:p>
        </w:tc>
        <w:tc>
          <w:tcPr>
            <w:tcW w:w="0" w:type="auto"/>
            <w:vAlign w:val="center"/>
            <w:hideMark/>
          </w:tcPr>
          <w:p w14:paraId="07D13E20" w14:textId="77777777" w:rsidR="001A1F15" w:rsidRPr="005A3967" w:rsidRDefault="001A1F15" w:rsidP="00135329">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Proactively retain at-risk customers</w:t>
            </w:r>
          </w:p>
        </w:tc>
        <w:tc>
          <w:tcPr>
            <w:tcW w:w="0" w:type="auto"/>
            <w:vAlign w:val="center"/>
            <w:hideMark/>
          </w:tcPr>
          <w:p w14:paraId="0148F8F7" w14:textId="77777777" w:rsidR="001A1F15" w:rsidRPr="005A3967" w:rsidRDefault="001A1F15" w:rsidP="00135329">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Survival Analysis, Random Forests</w:t>
            </w:r>
          </w:p>
        </w:tc>
        <w:tc>
          <w:tcPr>
            <w:tcW w:w="0" w:type="auto"/>
            <w:vAlign w:val="center"/>
            <w:hideMark/>
          </w:tcPr>
          <w:p w14:paraId="6783DD11" w14:textId="77777777" w:rsidR="001A1F15" w:rsidRPr="005A3967" w:rsidRDefault="001A1F15" w:rsidP="00135329">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Reduced churn, improved retention</w:t>
            </w:r>
          </w:p>
        </w:tc>
        <w:tc>
          <w:tcPr>
            <w:tcW w:w="0" w:type="auto"/>
            <w:vAlign w:val="center"/>
            <w:hideMark/>
          </w:tcPr>
          <w:p w14:paraId="48C4BE00" w14:textId="77777777" w:rsidR="001A1F15" w:rsidRPr="005A3967" w:rsidRDefault="001A1F15" w:rsidP="00135329">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Predictive alerts triggered for high-risk customers</w:t>
            </w:r>
          </w:p>
        </w:tc>
      </w:tr>
      <w:tr w:rsidR="001A1F15" w:rsidRPr="005A3967" w14:paraId="61070530" w14:textId="77777777" w:rsidTr="001A1F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2E715B" w14:textId="77777777" w:rsidR="001A1F15" w:rsidRPr="005A3967" w:rsidRDefault="001A1F15" w:rsidP="00135329">
            <w:pPr>
              <w:spacing w:line="276" w:lineRule="auto"/>
              <w:rPr>
                <w:sz w:val="22"/>
                <w:szCs w:val="22"/>
              </w:rPr>
            </w:pPr>
            <w:r w:rsidRPr="005A3967">
              <w:rPr>
                <w:sz w:val="22"/>
                <w:szCs w:val="22"/>
              </w:rPr>
              <w:t>Marketing ROI Optimisation</w:t>
            </w:r>
          </w:p>
        </w:tc>
        <w:tc>
          <w:tcPr>
            <w:tcW w:w="0" w:type="auto"/>
            <w:vAlign w:val="center"/>
            <w:hideMark/>
          </w:tcPr>
          <w:p w14:paraId="56BFB881" w14:textId="77777777" w:rsidR="001A1F15" w:rsidRPr="005A3967" w:rsidRDefault="001A1F15" w:rsidP="00135329">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Allocate budget more efficiently across channels</w:t>
            </w:r>
          </w:p>
        </w:tc>
        <w:tc>
          <w:tcPr>
            <w:tcW w:w="0" w:type="auto"/>
            <w:vAlign w:val="center"/>
            <w:hideMark/>
          </w:tcPr>
          <w:p w14:paraId="1415FDDD" w14:textId="77777777" w:rsidR="001A1F15" w:rsidRPr="005A3967" w:rsidRDefault="001A1F15" w:rsidP="00135329">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A/B Testing, Attribution Modelling</w:t>
            </w:r>
          </w:p>
        </w:tc>
        <w:tc>
          <w:tcPr>
            <w:tcW w:w="0" w:type="auto"/>
            <w:vAlign w:val="center"/>
            <w:hideMark/>
          </w:tcPr>
          <w:p w14:paraId="2AB8C853" w14:textId="77777777" w:rsidR="001A1F15" w:rsidRPr="005A3967" w:rsidRDefault="001A1F15" w:rsidP="00135329">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Maximised campaign effectiveness</w:t>
            </w:r>
          </w:p>
        </w:tc>
        <w:tc>
          <w:tcPr>
            <w:tcW w:w="0" w:type="auto"/>
            <w:vAlign w:val="center"/>
            <w:hideMark/>
          </w:tcPr>
          <w:p w14:paraId="0DE9E51B" w14:textId="77777777" w:rsidR="001A1F15" w:rsidRPr="005A3967" w:rsidRDefault="001A1F15" w:rsidP="00135329">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ROI assessments using machine learning across media campaigns</w:t>
            </w:r>
          </w:p>
        </w:tc>
      </w:tr>
    </w:tbl>
    <w:p w14:paraId="5A66410C" w14:textId="1FBF7CDD" w:rsidR="00FF3A8C" w:rsidRPr="005A3967" w:rsidRDefault="007A119A" w:rsidP="00FF3A8C">
      <w:pPr>
        <w:pStyle w:val="Heading2"/>
        <w:spacing w:line="360" w:lineRule="auto"/>
        <w:rPr>
          <w:rFonts w:ascii="Times New Roman" w:eastAsia="Times New Roman" w:hAnsi="Times New Roman" w:cs="Times New Roman"/>
          <w:b/>
          <w:bCs/>
        </w:rPr>
      </w:pPr>
      <w:bookmarkStart w:id="100" w:name="_Toc202544536"/>
      <w:r w:rsidRPr="005A3967">
        <w:rPr>
          <w:rFonts w:ascii="Times New Roman" w:eastAsia="Times New Roman" w:hAnsi="Times New Roman" w:cs="Times New Roman"/>
          <w:b/>
          <w:bCs/>
        </w:rPr>
        <w:t>Appendix F: Data Collection &amp; Analysis Plan</w:t>
      </w:r>
      <w:bookmarkEnd w:id="100"/>
    </w:p>
    <w:p w14:paraId="43E30122" w14:textId="1F76AAE1" w:rsidR="00FF3A8C" w:rsidRPr="005A3967" w:rsidRDefault="00FF3A8C" w:rsidP="00FF3A8C">
      <w:pPr>
        <w:spacing w:line="360" w:lineRule="auto"/>
      </w:pPr>
      <w:r w:rsidRPr="005A3967">
        <w:t xml:space="preserve">This appendix </w:t>
      </w:r>
      <w:r w:rsidR="007A3770" w:rsidRPr="005A3967">
        <w:t>outlines</w:t>
      </w:r>
      <w:r w:rsidRPr="005A3967">
        <w:t xml:space="preserve"> the approach to data collection</w:t>
      </w:r>
      <w:r w:rsidR="007A3770" w:rsidRPr="005A3967">
        <w:t>. It presents</w:t>
      </w:r>
      <w:r w:rsidRPr="005A3967">
        <w:t xml:space="preserve"> anticipated formats for data visualisations and statistical summaries that support the quantitative analysis described in the main body of the dissertation. The figures and outputs to be generated will aim to deepen the understanding of employee perceptions regarding key dimensions of predictive analytics adoption at SSE PLC.</w:t>
      </w:r>
    </w:p>
    <w:p w14:paraId="3D082D49" w14:textId="7E41073C" w:rsidR="00FF3A8C" w:rsidRPr="005A3967" w:rsidRDefault="00FF3A8C" w:rsidP="00FF3A8C">
      <w:pPr>
        <w:spacing w:line="360" w:lineRule="auto"/>
      </w:pPr>
      <w:r w:rsidRPr="005A3967">
        <w:t xml:space="preserve">The planned data visualisations will serve as diagnostic tools, providing both </w:t>
      </w:r>
      <w:r w:rsidRPr="005A3967">
        <w:rPr>
          <w:b/>
          <w:bCs/>
        </w:rPr>
        <w:t>descriptive</w:t>
      </w:r>
      <w:r w:rsidRPr="005A3967">
        <w:t xml:space="preserve"> and </w:t>
      </w:r>
      <w:r w:rsidRPr="005A3967">
        <w:rPr>
          <w:b/>
          <w:bCs/>
        </w:rPr>
        <w:t>comparative</w:t>
      </w:r>
      <w:r w:rsidRPr="005A3967">
        <w:t xml:space="preserve"> insights into organisational readiness, cultural enablers, and strategic impacts of analytics integration.</w:t>
      </w:r>
    </w:p>
    <w:p w14:paraId="3E21ECAF" w14:textId="77777777" w:rsidR="007D5FCC" w:rsidRPr="005A3967" w:rsidRDefault="007D5FCC" w:rsidP="00FF3A8C">
      <w:pPr>
        <w:spacing w:line="360" w:lineRule="auto"/>
      </w:pPr>
    </w:p>
    <w:p w14:paraId="7DBE218F" w14:textId="77777777" w:rsidR="00FF3A8C" w:rsidRPr="005A3967" w:rsidRDefault="00FF3A8C" w:rsidP="00FF3A8C">
      <w:pPr>
        <w:spacing w:line="360" w:lineRule="auto"/>
        <w:rPr>
          <w:b/>
          <w:bCs/>
        </w:rPr>
      </w:pPr>
      <w:r w:rsidRPr="005A3967">
        <w:rPr>
          <w:b/>
          <w:bCs/>
        </w:rPr>
        <w:t>Appendix F.1: Average Survey Ratings Across Research Themes</w:t>
      </w:r>
    </w:p>
    <w:p w14:paraId="021A5534" w14:textId="26863742" w:rsidR="00FF3A8C" w:rsidRPr="005A3967" w:rsidRDefault="00FF3A8C" w:rsidP="00FF3A8C">
      <w:pPr>
        <w:spacing w:line="360" w:lineRule="auto"/>
      </w:pPr>
      <w:r w:rsidRPr="005A3967">
        <w:t xml:space="preserve">One of the primary visual outputs will display the </w:t>
      </w:r>
      <w:r w:rsidRPr="005A3967">
        <w:rPr>
          <w:b/>
          <w:bCs/>
        </w:rPr>
        <w:t>average Likert-scale ratings</w:t>
      </w:r>
      <w:r w:rsidRPr="005A3967">
        <w:t xml:space="preserve"> across each of the core themes explored through the survey instrument. Responses will be captured using a 5-point scale (1 = Strongly Disagree to 5 = Strongly Agree), and the themes will correspond to key constructs</w:t>
      </w:r>
      <w:r w:rsidR="007A3770" w:rsidRPr="005A3967">
        <w:t>,</w:t>
      </w:r>
      <w:r w:rsidRPr="005A3967">
        <w:t xml:space="preserve"> including:</w:t>
      </w:r>
    </w:p>
    <w:p w14:paraId="47434EBB" w14:textId="77777777" w:rsidR="00FF3A8C" w:rsidRPr="005A3967" w:rsidRDefault="00FF3A8C" w:rsidP="008824B8">
      <w:pPr>
        <w:numPr>
          <w:ilvl w:val="0"/>
          <w:numId w:val="35"/>
        </w:numPr>
        <w:spacing w:line="360" w:lineRule="auto"/>
      </w:pPr>
      <w:r w:rsidRPr="005A3967">
        <w:rPr>
          <w:b/>
          <w:bCs/>
        </w:rPr>
        <w:t>Predictive Analytics Usage</w:t>
      </w:r>
    </w:p>
    <w:p w14:paraId="7C304788" w14:textId="77777777" w:rsidR="00FF3A8C" w:rsidRPr="005A3967" w:rsidRDefault="00FF3A8C" w:rsidP="008824B8">
      <w:pPr>
        <w:numPr>
          <w:ilvl w:val="0"/>
          <w:numId w:val="35"/>
        </w:numPr>
        <w:spacing w:line="360" w:lineRule="auto"/>
      </w:pPr>
      <w:r w:rsidRPr="005A3967">
        <w:rPr>
          <w:b/>
          <w:bCs/>
        </w:rPr>
        <w:t>Marketing Outcomes</w:t>
      </w:r>
    </w:p>
    <w:p w14:paraId="633516F4" w14:textId="77777777" w:rsidR="00FF3A8C" w:rsidRPr="005A3967" w:rsidRDefault="00FF3A8C" w:rsidP="008824B8">
      <w:pPr>
        <w:numPr>
          <w:ilvl w:val="0"/>
          <w:numId w:val="35"/>
        </w:numPr>
        <w:spacing w:line="360" w:lineRule="auto"/>
      </w:pPr>
      <w:r w:rsidRPr="005A3967">
        <w:rPr>
          <w:b/>
          <w:bCs/>
        </w:rPr>
        <w:t>Decision Effectiveness</w:t>
      </w:r>
    </w:p>
    <w:p w14:paraId="06BE73B9" w14:textId="77777777" w:rsidR="00FF3A8C" w:rsidRPr="005A3967" w:rsidRDefault="00FF3A8C" w:rsidP="008824B8">
      <w:pPr>
        <w:numPr>
          <w:ilvl w:val="0"/>
          <w:numId w:val="35"/>
        </w:numPr>
        <w:spacing w:line="360" w:lineRule="auto"/>
      </w:pPr>
      <w:r w:rsidRPr="005A3967">
        <w:rPr>
          <w:b/>
          <w:bCs/>
        </w:rPr>
        <w:t>Data Governance</w:t>
      </w:r>
    </w:p>
    <w:p w14:paraId="536A34F5" w14:textId="77777777" w:rsidR="00FF3A8C" w:rsidRPr="005A3967" w:rsidRDefault="00FF3A8C" w:rsidP="008824B8">
      <w:pPr>
        <w:numPr>
          <w:ilvl w:val="0"/>
          <w:numId w:val="35"/>
        </w:numPr>
        <w:spacing w:line="360" w:lineRule="auto"/>
      </w:pPr>
      <w:r w:rsidRPr="005A3967">
        <w:rPr>
          <w:b/>
          <w:bCs/>
        </w:rPr>
        <w:lastRenderedPageBreak/>
        <w:t>Organisational Readiness</w:t>
      </w:r>
    </w:p>
    <w:p w14:paraId="2C7E700D" w14:textId="321C9743" w:rsidR="00FF3A8C" w:rsidRPr="005A3967" w:rsidRDefault="00FF3A8C" w:rsidP="00FF3A8C">
      <w:pPr>
        <w:spacing w:line="360" w:lineRule="auto"/>
      </w:pPr>
      <w:r w:rsidRPr="005A3967">
        <w:t xml:space="preserve">This descriptive analysis is expected to reveal </w:t>
      </w:r>
      <w:r w:rsidR="007A3770" w:rsidRPr="005A3967">
        <w:t>variations</w:t>
      </w:r>
      <w:r w:rsidRPr="005A3967">
        <w:t xml:space="preserve"> in perceived maturity across different areas of the business. Based on preliminary pilot feedback and literature trends, it is anticipated that </w:t>
      </w:r>
      <w:r w:rsidRPr="005A3967">
        <w:rPr>
          <w:b/>
          <w:bCs/>
        </w:rPr>
        <w:t>Decision Effectiveness</w:t>
      </w:r>
      <w:r w:rsidRPr="005A3967">
        <w:t xml:space="preserve"> and </w:t>
      </w:r>
      <w:r w:rsidRPr="005A3967">
        <w:rPr>
          <w:b/>
          <w:bCs/>
        </w:rPr>
        <w:t>Marketing Outcomes</w:t>
      </w:r>
      <w:r w:rsidRPr="005A3967">
        <w:t xml:space="preserve"> </w:t>
      </w:r>
      <w:r w:rsidR="007A3770" w:rsidRPr="005A3967">
        <w:t>will</w:t>
      </w:r>
      <w:r w:rsidRPr="005A3967">
        <w:t xml:space="preserve"> receive higher average ratings</w:t>
      </w:r>
      <w:r w:rsidR="007A3770" w:rsidRPr="005A3967">
        <w:t xml:space="preserve">, </w:t>
      </w:r>
      <w:r w:rsidRPr="005A3967">
        <w:t xml:space="preserve">suggesting that respondents experience measurable benefits in these areas. In contrast, </w:t>
      </w:r>
      <w:r w:rsidRPr="005A3967">
        <w:rPr>
          <w:b/>
          <w:bCs/>
        </w:rPr>
        <w:t>Data Governance</w:t>
      </w:r>
      <w:r w:rsidRPr="005A3967">
        <w:t xml:space="preserve"> may emerge as the lowest-rated domain, flagging it as a potential organisational pain point.</w:t>
      </w:r>
    </w:p>
    <w:p w14:paraId="22CCF074" w14:textId="77777777" w:rsidR="007D5FCC" w:rsidRPr="005A3967" w:rsidRDefault="007D5FCC" w:rsidP="00FF3A8C">
      <w:pPr>
        <w:spacing w:line="360" w:lineRule="auto"/>
      </w:pPr>
    </w:p>
    <w:p w14:paraId="099D5C6C" w14:textId="77777777" w:rsidR="00FF3A8C" w:rsidRPr="005A3967" w:rsidRDefault="00FF3A8C" w:rsidP="00FF3A8C">
      <w:pPr>
        <w:spacing w:line="360" w:lineRule="auto"/>
      </w:pPr>
      <w:r w:rsidRPr="005A3967">
        <w:t xml:space="preserve">These anticipated trends will reinforce key themes identified through interviews (see </w:t>
      </w:r>
      <w:r w:rsidRPr="005A3967">
        <w:rPr>
          <w:b/>
          <w:bCs/>
        </w:rPr>
        <w:t>Appendix B</w:t>
      </w:r>
      <w:r w:rsidRPr="005A3967">
        <w:t xml:space="preserve">) and the SWOT analysis (see </w:t>
      </w:r>
      <w:r w:rsidRPr="005A3967">
        <w:rPr>
          <w:b/>
          <w:bCs/>
        </w:rPr>
        <w:t>Appendix E.1</w:t>
      </w:r>
      <w:r w:rsidRPr="005A3967">
        <w:t>), particularly in regard to internal weaknesses linked to data quality, fragmentation, and governance capability gaps.</w:t>
      </w:r>
    </w:p>
    <w:p w14:paraId="7C0D0138" w14:textId="16848195" w:rsidR="00FF3A8C" w:rsidRPr="005A3967" w:rsidRDefault="00FF3A8C" w:rsidP="007D5FCC">
      <w:pPr>
        <w:spacing w:line="360" w:lineRule="auto"/>
      </w:pPr>
      <w:r w:rsidRPr="005A3967">
        <w:rPr>
          <w:b/>
          <w:bCs/>
        </w:rPr>
        <w:t>Note:</w:t>
      </w:r>
      <w:r w:rsidRPr="005A3967">
        <w:t xml:space="preserve"> The corresponding visualisation will be produced using the final, anonymised survey dataset (target: </w:t>
      </w:r>
      <w:r w:rsidRPr="005A3967">
        <w:rPr>
          <w:i/>
          <w:iCs/>
        </w:rPr>
        <w:t>n = 100 responses</w:t>
      </w:r>
      <w:r w:rsidRPr="005A3967">
        <w:t xml:space="preserve">). </w:t>
      </w:r>
      <w:r w:rsidR="007A3770" w:rsidRPr="005A3967">
        <w:t>This section</w:t>
      </w:r>
      <w:r w:rsidRPr="005A3967">
        <w:t xml:space="preserve"> will be </w:t>
      </w:r>
      <w:r w:rsidR="007A3770" w:rsidRPr="005A3967">
        <w:t>updated</w:t>
      </w:r>
      <w:r w:rsidRPr="005A3967">
        <w:t xml:space="preserve"> once data collection is </w:t>
      </w:r>
      <w:r w:rsidR="007B4B4C" w:rsidRPr="005A3967">
        <w:t>complete,</w:t>
      </w:r>
      <w:r w:rsidRPr="005A3967">
        <w:t xml:space="preserve"> and descriptive statistics have been compiled.</w:t>
      </w:r>
    </w:p>
    <w:p w14:paraId="0F40CC98" w14:textId="2ED9AC05" w:rsidR="00354C93" w:rsidRPr="005A3967" w:rsidRDefault="00354C93" w:rsidP="00354C93">
      <w:pPr>
        <w:spacing w:before="100" w:beforeAutospacing="1" w:after="100" w:afterAutospacing="1" w:line="360" w:lineRule="auto"/>
        <w:ind w:left="720"/>
        <w:jc w:val="center"/>
      </w:pPr>
      <w:r w:rsidRPr="005A3967">
        <w:rPr>
          <w:noProof/>
        </w:rPr>
        <w:drawing>
          <wp:inline distT="0" distB="0" distL="0" distR="0" wp14:anchorId="6FA912F5" wp14:editId="35831A19">
            <wp:extent cx="4666753" cy="2599617"/>
            <wp:effectExtent l="0" t="0" r="0" b="4445"/>
            <wp:docPr id="1546445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445833" name=""/>
                    <pic:cNvPicPr/>
                  </pic:nvPicPr>
                  <pic:blipFill rotWithShape="1">
                    <a:blip r:embed="rId104"/>
                    <a:srcRect l="-1" t="7158" r="-7"/>
                    <a:stretch/>
                  </pic:blipFill>
                  <pic:spPr bwMode="auto">
                    <a:xfrm>
                      <a:off x="0" y="0"/>
                      <a:ext cx="4890980" cy="2724523"/>
                    </a:xfrm>
                    <a:prstGeom prst="rect">
                      <a:avLst/>
                    </a:prstGeom>
                    <a:ln>
                      <a:noFill/>
                    </a:ln>
                    <a:extLst>
                      <a:ext uri="{53640926-AAD7-44D8-BBD7-CCE9431645EC}">
                        <a14:shadowObscured xmlns:a14="http://schemas.microsoft.com/office/drawing/2010/main"/>
                      </a:ext>
                    </a:extLst>
                  </pic:spPr>
                </pic:pic>
              </a:graphicData>
            </a:graphic>
          </wp:inline>
        </w:drawing>
      </w:r>
    </w:p>
    <w:p w14:paraId="144DAA9B" w14:textId="3BB459E8" w:rsidR="00354C93" w:rsidRPr="005A3967" w:rsidRDefault="00354C93" w:rsidP="007D5FCC">
      <w:pPr>
        <w:spacing w:before="100" w:beforeAutospacing="1" w:after="100" w:afterAutospacing="1"/>
        <w:ind w:left="720"/>
        <w:jc w:val="center"/>
        <w:rPr>
          <w:rFonts w:eastAsiaTheme="majorEastAsia"/>
          <w:i/>
          <w:iCs/>
          <w:sz w:val="22"/>
          <w:szCs w:val="22"/>
        </w:rPr>
      </w:pPr>
      <w:r w:rsidRPr="005A3967">
        <w:rPr>
          <w:rStyle w:val="Strong"/>
          <w:rFonts w:eastAsiaTheme="majorEastAsia"/>
          <w:sz w:val="22"/>
          <w:szCs w:val="22"/>
        </w:rPr>
        <w:t>Figure F1: Average Survey Ratings Across Key Research Constructs</w:t>
      </w:r>
      <w:r w:rsidRPr="005A3967">
        <w:rPr>
          <w:sz w:val="22"/>
          <w:szCs w:val="22"/>
        </w:rPr>
        <w:br/>
      </w:r>
      <w:r w:rsidRPr="005A3967">
        <w:rPr>
          <w:rStyle w:val="Emphasis"/>
          <w:rFonts w:eastAsiaTheme="majorEastAsia"/>
          <w:sz w:val="22"/>
          <w:szCs w:val="22"/>
        </w:rPr>
        <w:t>This figure presents mean Likert-scale scores (1 = Strongly Disagree to 5 = Strongly Agree) across the core themes of the study, highlighting perceived strengths and weaknesses in predictive analytics integration at SSE PLC.</w:t>
      </w:r>
    </w:p>
    <w:p w14:paraId="7CF0A0B7" w14:textId="4335D694" w:rsidR="005F4ABA" w:rsidRPr="005A3967" w:rsidRDefault="00E61946" w:rsidP="0095412F">
      <w:pPr>
        <w:spacing w:before="100" w:beforeAutospacing="1" w:after="100" w:afterAutospacing="1" w:line="360" w:lineRule="auto"/>
      </w:pPr>
      <w:r w:rsidRPr="005A3967">
        <w:rPr>
          <w:rStyle w:val="Strong"/>
          <w:rFonts w:eastAsiaTheme="majorEastAsia"/>
        </w:rPr>
        <w:t xml:space="preserve">Appendix </w:t>
      </w:r>
      <w:r w:rsidR="00C87C38" w:rsidRPr="005A3967">
        <w:rPr>
          <w:rStyle w:val="Strong"/>
          <w:rFonts w:eastAsiaTheme="majorEastAsia"/>
        </w:rPr>
        <w:t>F</w:t>
      </w:r>
      <w:r w:rsidR="00983625" w:rsidRPr="005A3967">
        <w:rPr>
          <w:rStyle w:val="Strong"/>
          <w:rFonts w:eastAsiaTheme="majorEastAsia"/>
        </w:rPr>
        <w:t>.</w:t>
      </w:r>
      <w:r w:rsidR="00C87C38" w:rsidRPr="005A3967">
        <w:rPr>
          <w:rStyle w:val="Strong"/>
          <w:rFonts w:eastAsiaTheme="majorEastAsia"/>
        </w:rPr>
        <w:t>2: Correlation Matrix of Survey Constructs</w:t>
      </w:r>
    </w:p>
    <w:p w14:paraId="31E30868" w14:textId="77777777" w:rsidR="005F4ABA" w:rsidRPr="005A3967" w:rsidRDefault="005F4ABA" w:rsidP="005F4ABA">
      <w:pPr>
        <w:spacing w:before="100" w:beforeAutospacing="1" w:after="100" w:afterAutospacing="1" w:line="360" w:lineRule="auto"/>
      </w:pPr>
      <w:r w:rsidRPr="005A3967">
        <w:t xml:space="preserve">This section will present a </w:t>
      </w:r>
      <w:r w:rsidRPr="005A3967">
        <w:rPr>
          <w:b/>
          <w:bCs/>
        </w:rPr>
        <w:t>correlation matrix</w:t>
      </w:r>
      <w:r w:rsidRPr="005A3967">
        <w:t xml:space="preserve"> in the form of a </w:t>
      </w:r>
      <w:r w:rsidRPr="005A3967">
        <w:rPr>
          <w:b/>
          <w:bCs/>
        </w:rPr>
        <w:t>heatmap</w:t>
      </w:r>
      <w:r w:rsidRPr="005A3967">
        <w:t>, designed to illustrate the interrelationships among the principal constructs measured in the survey. The constructs will include:</w:t>
      </w:r>
    </w:p>
    <w:p w14:paraId="6DC63F1E" w14:textId="77777777" w:rsidR="005F4ABA" w:rsidRPr="005A3967" w:rsidRDefault="005F4ABA" w:rsidP="008824B8">
      <w:pPr>
        <w:numPr>
          <w:ilvl w:val="0"/>
          <w:numId w:val="36"/>
        </w:numPr>
        <w:spacing w:before="100" w:beforeAutospacing="1" w:after="100" w:afterAutospacing="1" w:line="360" w:lineRule="auto"/>
      </w:pPr>
      <w:r w:rsidRPr="005A3967">
        <w:rPr>
          <w:b/>
          <w:bCs/>
        </w:rPr>
        <w:t>Marketing Impact</w:t>
      </w:r>
    </w:p>
    <w:p w14:paraId="69704AB9" w14:textId="77777777" w:rsidR="005F4ABA" w:rsidRPr="005A3967" w:rsidRDefault="005F4ABA" w:rsidP="008824B8">
      <w:pPr>
        <w:numPr>
          <w:ilvl w:val="0"/>
          <w:numId w:val="36"/>
        </w:numPr>
        <w:spacing w:before="100" w:beforeAutospacing="1" w:after="100" w:afterAutospacing="1" w:line="360" w:lineRule="auto"/>
      </w:pPr>
      <w:r w:rsidRPr="005A3967">
        <w:rPr>
          <w:b/>
          <w:bCs/>
        </w:rPr>
        <w:lastRenderedPageBreak/>
        <w:t>Data Governance</w:t>
      </w:r>
    </w:p>
    <w:p w14:paraId="13EF798B" w14:textId="77777777" w:rsidR="005F4ABA" w:rsidRPr="005A3967" w:rsidRDefault="005F4ABA" w:rsidP="008824B8">
      <w:pPr>
        <w:numPr>
          <w:ilvl w:val="0"/>
          <w:numId w:val="36"/>
        </w:numPr>
        <w:spacing w:before="100" w:beforeAutospacing="1" w:after="100" w:afterAutospacing="1" w:line="360" w:lineRule="auto"/>
      </w:pPr>
      <w:r w:rsidRPr="005A3967">
        <w:rPr>
          <w:b/>
          <w:bCs/>
        </w:rPr>
        <w:t>Organisational Readiness</w:t>
      </w:r>
    </w:p>
    <w:p w14:paraId="65169745" w14:textId="77777777" w:rsidR="005F4ABA" w:rsidRPr="005A3967" w:rsidRDefault="005F4ABA" w:rsidP="008824B8">
      <w:pPr>
        <w:numPr>
          <w:ilvl w:val="0"/>
          <w:numId w:val="36"/>
        </w:numPr>
        <w:spacing w:before="100" w:beforeAutospacing="1" w:after="100" w:afterAutospacing="1" w:line="360" w:lineRule="auto"/>
      </w:pPr>
      <w:r w:rsidRPr="005A3967">
        <w:rPr>
          <w:b/>
          <w:bCs/>
        </w:rPr>
        <w:t>Decision Effectiveness</w:t>
      </w:r>
    </w:p>
    <w:p w14:paraId="2EB620BD" w14:textId="77777777" w:rsidR="005F4ABA" w:rsidRPr="005A3967" w:rsidRDefault="005F4ABA" w:rsidP="005F4ABA">
      <w:pPr>
        <w:spacing w:before="100" w:beforeAutospacing="1" w:after="100" w:afterAutospacing="1" w:line="360" w:lineRule="auto"/>
      </w:pPr>
      <w:r w:rsidRPr="005A3967">
        <w:rPr>
          <w:b/>
          <w:bCs/>
        </w:rPr>
        <w:t>Pearson’s correlation coefficients</w:t>
      </w:r>
      <w:r w:rsidRPr="005A3967">
        <w:t xml:space="preserve"> will be calculated to evaluate the </w:t>
      </w:r>
      <w:r w:rsidRPr="005A3967">
        <w:rPr>
          <w:b/>
          <w:bCs/>
        </w:rPr>
        <w:t>strength and direction</w:t>
      </w:r>
      <w:r w:rsidRPr="005A3967">
        <w:t xml:space="preserve"> of linear relationships between these variables. The matrix will serve as a quantitative tool to validate thematic linkages discussed elsewhere in the study and will contribute to the triangulation of findings.</w:t>
      </w:r>
    </w:p>
    <w:p w14:paraId="1C12B101" w14:textId="77777777" w:rsidR="005F4ABA" w:rsidRPr="005A3967" w:rsidRDefault="005F4ABA" w:rsidP="005F4ABA">
      <w:pPr>
        <w:spacing w:before="100" w:beforeAutospacing="1" w:after="100" w:afterAutospacing="1" w:line="360" w:lineRule="auto"/>
      </w:pPr>
      <w:r w:rsidRPr="005A3967">
        <w:t xml:space="preserve">It is anticipated that the heatmap visualisation will highlight </w:t>
      </w:r>
      <w:r w:rsidRPr="005A3967">
        <w:rPr>
          <w:b/>
          <w:bCs/>
        </w:rPr>
        <w:t>statistically significant associations</w:t>
      </w:r>
      <w:r w:rsidRPr="005A3967">
        <w:t xml:space="preserve"> among key constructs. Based on expected patterns and preliminary feedback, the following relationships are likely to emerge:</w:t>
      </w:r>
    </w:p>
    <w:p w14:paraId="141D2BA3" w14:textId="77777777" w:rsidR="005F4ABA" w:rsidRPr="005A3967" w:rsidRDefault="005F4ABA" w:rsidP="008824B8">
      <w:pPr>
        <w:numPr>
          <w:ilvl w:val="0"/>
          <w:numId w:val="37"/>
        </w:numPr>
        <w:spacing w:before="100" w:beforeAutospacing="1" w:after="100" w:afterAutospacing="1" w:line="360" w:lineRule="auto"/>
      </w:pPr>
      <w:r w:rsidRPr="005A3967">
        <w:t xml:space="preserve">A </w:t>
      </w:r>
      <w:r w:rsidRPr="005A3967">
        <w:rPr>
          <w:b/>
          <w:bCs/>
        </w:rPr>
        <w:t>very strong positive correlation</w:t>
      </w:r>
      <w:r w:rsidRPr="005A3967">
        <w:t xml:space="preserve"> is expected between </w:t>
      </w:r>
      <w:r w:rsidRPr="005A3967">
        <w:rPr>
          <w:i/>
          <w:iCs/>
        </w:rPr>
        <w:t>Marketing Impact</w:t>
      </w:r>
      <w:r w:rsidRPr="005A3967">
        <w:t xml:space="preserve"> and </w:t>
      </w:r>
      <w:r w:rsidRPr="005A3967">
        <w:rPr>
          <w:i/>
          <w:iCs/>
        </w:rPr>
        <w:t>Data Governance</w:t>
      </w:r>
      <w:r w:rsidRPr="005A3967">
        <w:t xml:space="preserve"> (e.g., </w:t>
      </w:r>
      <w:r w:rsidRPr="005A3967">
        <w:rPr>
          <w:i/>
          <w:iCs/>
        </w:rPr>
        <w:t>r</w:t>
      </w:r>
      <w:r w:rsidRPr="005A3967">
        <w:t xml:space="preserve"> ≈ 0.92), suggesting that respondents who perceive strong governance practices are also more likely to report effective marketing outcomes from predictive analytics.</w:t>
      </w:r>
    </w:p>
    <w:p w14:paraId="3E1FCF80" w14:textId="77777777" w:rsidR="005F4ABA" w:rsidRPr="005A3967" w:rsidRDefault="005F4ABA" w:rsidP="008824B8">
      <w:pPr>
        <w:numPr>
          <w:ilvl w:val="0"/>
          <w:numId w:val="37"/>
        </w:numPr>
        <w:spacing w:before="100" w:beforeAutospacing="1" w:after="100" w:afterAutospacing="1" w:line="360" w:lineRule="auto"/>
      </w:pPr>
      <w:r w:rsidRPr="005A3967">
        <w:t xml:space="preserve">A </w:t>
      </w:r>
      <w:r w:rsidRPr="005A3967">
        <w:rPr>
          <w:b/>
          <w:bCs/>
        </w:rPr>
        <w:t>strong positive correlation</w:t>
      </w:r>
      <w:r w:rsidRPr="005A3967">
        <w:t xml:space="preserve"> is anticipated between </w:t>
      </w:r>
      <w:r w:rsidRPr="005A3967">
        <w:rPr>
          <w:i/>
          <w:iCs/>
        </w:rPr>
        <w:t>Organisational Readiness</w:t>
      </w:r>
      <w:r w:rsidRPr="005A3967">
        <w:t xml:space="preserve"> and </w:t>
      </w:r>
      <w:r w:rsidRPr="005A3967">
        <w:rPr>
          <w:i/>
          <w:iCs/>
        </w:rPr>
        <w:t>Decision Effectiveness</w:t>
      </w:r>
      <w:r w:rsidRPr="005A3967">
        <w:t xml:space="preserve"> (e.g., </w:t>
      </w:r>
      <w:r w:rsidRPr="005A3967">
        <w:rPr>
          <w:i/>
          <w:iCs/>
        </w:rPr>
        <w:t>r</w:t>
      </w:r>
      <w:r w:rsidRPr="005A3967">
        <w:t xml:space="preserve"> ≈ 0.74), indicating that factors such as leadership support, data literacy, and cultural alignment are closely associated with improved decision-making capabilities.</w:t>
      </w:r>
    </w:p>
    <w:p w14:paraId="65683FAF" w14:textId="77777777" w:rsidR="005F4ABA" w:rsidRPr="005A3967" w:rsidRDefault="005F4ABA" w:rsidP="005F4ABA">
      <w:pPr>
        <w:spacing w:before="100" w:beforeAutospacing="1" w:after="100" w:afterAutospacing="1" w:line="360" w:lineRule="auto"/>
      </w:pPr>
      <w:r w:rsidRPr="005A3967">
        <w:t xml:space="preserve">These statistical relationships will reinforce qualitative findings drawn from interviews (see </w:t>
      </w:r>
      <w:r w:rsidRPr="005A3967">
        <w:rPr>
          <w:b/>
          <w:bCs/>
        </w:rPr>
        <w:t>Appendix B</w:t>
      </w:r>
      <w:r w:rsidRPr="005A3967">
        <w:t xml:space="preserve">) and provide further evidence supporting the diagnostic conclusions outlined in the SWOT and SOAR analyses (Appendix </w:t>
      </w:r>
      <w:r w:rsidRPr="005A3967">
        <w:rPr>
          <w:b/>
          <w:bCs/>
        </w:rPr>
        <w:t>E.1</w:t>
      </w:r>
      <w:r w:rsidRPr="005A3967">
        <w:t xml:space="preserve"> and </w:t>
      </w:r>
      <w:r w:rsidRPr="005A3967">
        <w:rPr>
          <w:b/>
          <w:bCs/>
        </w:rPr>
        <w:t>E.3</w:t>
      </w:r>
      <w:r w:rsidRPr="005A3967">
        <w:t xml:space="preserve">). In particular, the findings will suggest that improvements in </w:t>
      </w:r>
      <w:r w:rsidRPr="005A3967">
        <w:rPr>
          <w:b/>
          <w:bCs/>
        </w:rPr>
        <w:t>data governance</w:t>
      </w:r>
      <w:r w:rsidRPr="005A3967">
        <w:t xml:space="preserve"> and </w:t>
      </w:r>
      <w:r w:rsidRPr="005A3967">
        <w:rPr>
          <w:b/>
          <w:bCs/>
        </w:rPr>
        <w:t>organisational readiness</w:t>
      </w:r>
      <w:r w:rsidRPr="005A3967">
        <w:t xml:space="preserve"> may serve as high-leverage interventions to accelerate the strategic benefits of predictive analytics within SSE PLC.</w:t>
      </w:r>
    </w:p>
    <w:p w14:paraId="4D9E1A7D" w14:textId="4A49CAD0" w:rsidR="0095412F" w:rsidRPr="005A3967" w:rsidRDefault="005F4ABA" w:rsidP="00E61946">
      <w:pPr>
        <w:spacing w:before="100" w:beforeAutospacing="1" w:after="100" w:afterAutospacing="1" w:line="360" w:lineRule="auto"/>
      </w:pPr>
      <w:r w:rsidRPr="005A3967">
        <w:rPr>
          <w:b/>
          <w:bCs/>
        </w:rPr>
        <w:t>Note:</w:t>
      </w:r>
      <w:r w:rsidRPr="005A3967">
        <w:t xml:space="preserve"> The correlation heatmap will be generated using aggregated responses from a sample of 100 participants. All correlations will be calculated using pairwise complete observations and tested for internal consistency.</w:t>
      </w:r>
    </w:p>
    <w:p w14:paraId="62AC8438" w14:textId="351DC57F" w:rsidR="00354C93" w:rsidRPr="005A3967" w:rsidRDefault="00354C93" w:rsidP="00354C93">
      <w:pPr>
        <w:spacing w:before="100" w:beforeAutospacing="1" w:after="100" w:afterAutospacing="1" w:line="360" w:lineRule="auto"/>
        <w:ind w:left="720"/>
        <w:jc w:val="center"/>
      </w:pPr>
      <w:r w:rsidRPr="005A3967">
        <w:rPr>
          <w:noProof/>
        </w:rPr>
        <w:lastRenderedPageBreak/>
        <w:drawing>
          <wp:inline distT="0" distB="0" distL="0" distR="0" wp14:anchorId="522E6ABC" wp14:editId="42E62006">
            <wp:extent cx="4617805" cy="3763399"/>
            <wp:effectExtent l="0" t="0" r="5080" b="0"/>
            <wp:docPr id="734795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95718" name=""/>
                    <pic:cNvPicPr/>
                  </pic:nvPicPr>
                  <pic:blipFill rotWithShape="1">
                    <a:blip r:embed="rId105"/>
                    <a:srcRect l="7572" t="4234" b="1611"/>
                    <a:stretch/>
                  </pic:blipFill>
                  <pic:spPr bwMode="auto">
                    <a:xfrm>
                      <a:off x="0" y="0"/>
                      <a:ext cx="4715222" cy="3842791"/>
                    </a:xfrm>
                    <a:prstGeom prst="rect">
                      <a:avLst/>
                    </a:prstGeom>
                    <a:ln>
                      <a:noFill/>
                    </a:ln>
                    <a:extLst>
                      <a:ext uri="{53640926-AAD7-44D8-BBD7-CCE9431645EC}">
                        <a14:shadowObscured xmlns:a14="http://schemas.microsoft.com/office/drawing/2010/main"/>
                      </a:ext>
                    </a:extLst>
                  </pic:spPr>
                </pic:pic>
              </a:graphicData>
            </a:graphic>
          </wp:inline>
        </w:drawing>
      </w:r>
    </w:p>
    <w:p w14:paraId="6572491E" w14:textId="4224ADEA" w:rsidR="00354C93" w:rsidRPr="005A3967" w:rsidRDefault="00354C93" w:rsidP="00B779FE">
      <w:pPr>
        <w:spacing w:before="100" w:beforeAutospacing="1" w:after="100" w:afterAutospacing="1"/>
        <w:ind w:left="720"/>
        <w:jc w:val="center"/>
        <w:rPr>
          <w:i/>
          <w:iCs/>
          <w:sz w:val="22"/>
          <w:szCs w:val="22"/>
        </w:rPr>
      </w:pPr>
      <w:r w:rsidRPr="005A3967">
        <w:rPr>
          <w:b/>
          <w:bCs/>
          <w:sz w:val="22"/>
          <w:szCs w:val="22"/>
        </w:rPr>
        <w:t>Figure F2: Pearson Correlation Matrix of Survey Constructs</w:t>
      </w:r>
      <w:r w:rsidRPr="005A3967">
        <w:rPr>
          <w:sz w:val="22"/>
          <w:szCs w:val="22"/>
        </w:rPr>
        <w:br/>
      </w:r>
      <w:r w:rsidRPr="005A3967">
        <w:rPr>
          <w:i/>
          <w:iCs/>
          <w:sz w:val="22"/>
          <w:szCs w:val="22"/>
        </w:rPr>
        <w:t>This heatmap displays the strength and direction of linear relationships between the primary survey constructs, revealing key associations such as the strong positive correlation between Marketing Impact and Data Governance.</w:t>
      </w:r>
    </w:p>
    <w:p w14:paraId="453C5D5F" w14:textId="05FFBB5B" w:rsidR="00B779FE" w:rsidRPr="005A3967" w:rsidRDefault="00B779FE" w:rsidP="00B779FE">
      <w:pPr>
        <w:spacing w:line="360" w:lineRule="auto"/>
        <w:rPr>
          <w:b/>
          <w:bCs/>
        </w:rPr>
      </w:pPr>
      <w:r w:rsidRPr="005A3967">
        <w:rPr>
          <w:b/>
          <w:bCs/>
        </w:rPr>
        <w:t>Appendix F.3: Average Survey Ratings Across Key Research Themes</w:t>
      </w:r>
    </w:p>
    <w:p w14:paraId="6F6EDBC0" w14:textId="3B253634" w:rsidR="00B779FE" w:rsidRPr="005A3967" w:rsidRDefault="00B779FE" w:rsidP="00B779FE">
      <w:pPr>
        <w:spacing w:line="360" w:lineRule="auto"/>
      </w:pPr>
      <w:r w:rsidRPr="005A3967">
        <w:t>This section</w:t>
      </w:r>
      <w:r w:rsidR="00330CEB" w:rsidRPr="005A3967">
        <w:t xml:space="preserve"> and Table F1</w:t>
      </w:r>
      <w:r w:rsidRPr="005A3967">
        <w:t xml:space="preserve"> will present a tabular summary of the </w:t>
      </w:r>
      <w:r w:rsidRPr="005A3967">
        <w:rPr>
          <w:b/>
          <w:bCs/>
        </w:rPr>
        <w:t>aggregated average Likert-scale scores</w:t>
      </w:r>
      <w:r w:rsidRPr="005A3967">
        <w:t xml:space="preserve"> across five core research constructs. These constructs will reflect critical dimensions in the exploration of </w:t>
      </w:r>
      <w:r w:rsidRPr="005A3967">
        <w:rPr>
          <w:b/>
          <w:bCs/>
        </w:rPr>
        <w:t>predictive analytics integration</w:t>
      </w:r>
      <w:r w:rsidRPr="005A3967">
        <w:t xml:space="preserve"> at SSE PLC. All ratings will be gathered on a </w:t>
      </w:r>
      <w:r w:rsidRPr="005A3967">
        <w:rPr>
          <w:b/>
          <w:bCs/>
        </w:rPr>
        <w:t>5-point Likert scale</w:t>
      </w:r>
      <w:r w:rsidRPr="005A3967">
        <w:t xml:space="preserve">, where 1 indicates </w:t>
      </w:r>
      <w:r w:rsidRPr="005A3967">
        <w:rPr>
          <w:i/>
          <w:iCs/>
        </w:rPr>
        <w:t>“Very Weak”</w:t>
      </w:r>
      <w:r w:rsidRPr="005A3967">
        <w:t xml:space="preserve"> and 5 indicates </w:t>
      </w:r>
      <w:r w:rsidRPr="005A3967">
        <w:rPr>
          <w:i/>
          <w:iCs/>
        </w:rPr>
        <w:t>“Very Strong”</w:t>
      </w:r>
      <w:r w:rsidRPr="005A3967">
        <w:t xml:space="preserve">. The analysis will focus on perceptions of </w:t>
      </w:r>
      <w:r w:rsidRPr="005A3967">
        <w:rPr>
          <w:b/>
          <w:bCs/>
        </w:rPr>
        <w:t>maturity</w:t>
      </w:r>
      <w:r w:rsidRPr="005A3967">
        <w:t xml:space="preserve">, </w:t>
      </w:r>
      <w:r w:rsidRPr="005A3967">
        <w:rPr>
          <w:b/>
          <w:bCs/>
        </w:rPr>
        <w:t>effectiveness</w:t>
      </w:r>
      <w:r w:rsidRPr="005A3967">
        <w:t xml:space="preserve">, and </w:t>
      </w:r>
      <w:r w:rsidRPr="005A3967">
        <w:rPr>
          <w:b/>
          <w:bCs/>
        </w:rPr>
        <w:t>readiness</w:t>
      </w:r>
      <w:r w:rsidRPr="005A3967">
        <w:t xml:space="preserve"> related to predictive analytics within the organisation.</w:t>
      </w:r>
    </w:p>
    <w:p w14:paraId="0AF14B84" w14:textId="77777777" w:rsidR="00B779FE" w:rsidRPr="005A3967" w:rsidRDefault="00B779FE" w:rsidP="00B779FE">
      <w:pPr>
        <w:spacing w:line="360" w:lineRule="auto"/>
      </w:pPr>
      <w:r w:rsidRPr="005A3967">
        <w:t>The constructs to be analysed are:</w:t>
      </w:r>
    </w:p>
    <w:p w14:paraId="65EAB6AE" w14:textId="77777777" w:rsidR="00B779FE" w:rsidRPr="005A3967" w:rsidRDefault="00B779FE" w:rsidP="008824B8">
      <w:pPr>
        <w:numPr>
          <w:ilvl w:val="0"/>
          <w:numId w:val="38"/>
        </w:numPr>
        <w:spacing w:line="360" w:lineRule="auto"/>
      </w:pPr>
      <w:r w:rsidRPr="005A3967">
        <w:rPr>
          <w:b/>
          <w:bCs/>
        </w:rPr>
        <w:t>Decision Effectiveness</w:t>
      </w:r>
    </w:p>
    <w:p w14:paraId="786F2619" w14:textId="77777777" w:rsidR="00B779FE" w:rsidRPr="005A3967" w:rsidRDefault="00B779FE" w:rsidP="008824B8">
      <w:pPr>
        <w:numPr>
          <w:ilvl w:val="0"/>
          <w:numId w:val="38"/>
        </w:numPr>
        <w:spacing w:line="360" w:lineRule="auto"/>
      </w:pPr>
      <w:r w:rsidRPr="005A3967">
        <w:rPr>
          <w:b/>
          <w:bCs/>
        </w:rPr>
        <w:t>Marketing Impact</w:t>
      </w:r>
    </w:p>
    <w:p w14:paraId="5B1574B5" w14:textId="77777777" w:rsidR="00B779FE" w:rsidRPr="005A3967" w:rsidRDefault="00B779FE" w:rsidP="008824B8">
      <w:pPr>
        <w:numPr>
          <w:ilvl w:val="0"/>
          <w:numId w:val="38"/>
        </w:numPr>
        <w:spacing w:line="360" w:lineRule="auto"/>
      </w:pPr>
      <w:r w:rsidRPr="005A3967">
        <w:rPr>
          <w:b/>
          <w:bCs/>
        </w:rPr>
        <w:t>Predictive Analytics Usage</w:t>
      </w:r>
    </w:p>
    <w:p w14:paraId="612B25AF" w14:textId="77777777" w:rsidR="00B779FE" w:rsidRPr="005A3967" w:rsidRDefault="00B779FE" w:rsidP="008824B8">
      <w:pPr>
        <w:numPr>
          <w:ilvl w:val="0"/>
          <w:numId w:val="38"/>
        </w:numPr>
        <w:spacing w:line="360" w:lineRule="auto"/>
      </w:pPr>
      <w:r w:rsidRPr="005A3967">
        <w:rPr>
          <w:b/>
          <w:bCs/>
        </w:rPr>
        <w:t>Organisational Readiness</w:t>
      </w:r>
    </w:p>
    <w:p w14:paraId="4F5193EC" w14:textId="77777777" w:rsidR="00B779FE" w:rsidRPr="005A3967" w:rsidRDefault="00B779FE" w:rsidP="008824B8">
      <w:pPr>
        <w:numPr>
          <w:ilvl w:val="0"/>
          <w:numId w:val="38"/>
        </w:numPr>
        <w:spacing w:line="360" w:lineRule="auto"/>
      </w:pPr>
      <w:r w:rsidRPr="005A3967">
        <w:rPr>
          <w:b/>
          <w:bCs/>
        </w:rPr>
        <w:t>Data Governance</w:t>
      </w:r>
    </w:p>
    <w:p w14:paraId="07A4AD6A" w14:textId="421BB421" w:rsidR="00B779FE" w:rsidRPr="005A3967" w:rsidRDefault="00B779FE" w:rsidP="00B779FE">
      <w:pPr>
        <w:spacing w:line="360" w:lineRule="auto"/>
      </w:pPr>
    </w:p>
    <w:p w14:paraId="539D6577" w14:textId="4424EACB" w:rsidR="00B779FE" w:rsidRPr="005A3967" w:rsidRDefault="00330CEB" w:rsidP="00B779FE">
      <w:pPr>
        <w:spacing w:line="360" w:lineRule="auto"/>
        <w:rPr>
          <w:b/>
          <w:bCs/>
        </w:rPr>
      </w:pPr>
      <w:r w:rsidRPr="005A3967">
        <w:rPr>
          <w:b/>
          <w:bCs/>
        </w:rPr>
        <w:t xml:space="preserve">Table F1: </w:t>
      </w:r>
      <w:r w:rsidR="00B779FE" w:rsidRPr="005A3967">
        <w:rPr>
          <w:b/>
          <w:bCs/>
        </w:rPr>
        <w:t>Anticipated Survey Rating Table</w:t>
      </w:r>
    </w:p>
    <w:tbl>
      <w:tblPr>
        <w:tblStyle w:val="GridTable4-Accent2"/>
        <w:tblW w:w="0" w:type="auto"/>
        <w:tblLook w:val="04A0" w:firstRow="1" w:lastRow="0" w:firstColumn="1" w:lastColumn="0" w:noHBand="0" w:noVBand="1"/>
      </w:tblPr>
      <w:tblGrid>
        <w:gridCol w:w="2078"/>
        <w:gridCol w:w="1567"/>
        <w:gridCol w:w="5371"/>
      </w:tblGrid>
      <w:tr w:rsidR="00B779FE" w:rsidRPr="005A3967" w14:paraId="6F387691" w14:textId="77777777" w:rsidTr="00B779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4A7BA4" w14:textId="77777777" w:rsidR="00B779FE" w:rsidRPr="005A3967" w:rsidRDefault="00B779FE" w:rsidP="007D5FCC">
            <w:pPr>
              <w:spacing w:line="276" w:lineRule="auto"/>
              <w:jc w:val="center"/>
              <w:rPr>
                <w:sz w:val="22"/>
                <w:szCs w:val="22"/>
              </w:rPr>
            </w:pPr>
            <w:r w:rsidRPr="005A3967">
              <w:rPr>
                <w:sz w:val="22"/>
                <w:szCs w:val="22"/>
              </w:rPr>
              <w:t>Construct</w:t>
            </w:r>
          </w:p>
        </w:tc>
        <w:tc>
          <w:tcPr>
            <w:tcW w:w="0" w:type="auto"/>
            <w:vAlign w:val="center"/>
            <w:hideMark/>
          </w:tcPr>
          <w:p w14:paraId="3C76349F" w14:textId="77777777" w:rsidR="00B779FE" w:rsidRPr="005A3967" w:rsidRDefault="00B779FE" w:rsidP="007D5FCC">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Mean Score (Likert 1–5)</w:t>
            </w:r>
          </w:p>
        </w:tc>
        <w:tc>
          <w:tcPr>
            <w:tcW w:w="0" w:type="auto"/>
            <w:vAlign w:val="center"/>
            <w:hideMark/>
          </w:tcPr>
          <w:p w14:paraId="1DCD7CC6" w14:textId="77777777" w:rsidR="00B779FE" w:rsidRPr="005A3967" w:rsidRDefault="00B779FE" w:rsidP="007D5FCC">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Interpretation</w:t>
            </w:r>
          </w:p>
        </w:tc>
      </w:tr>
      <w:tr w:rsidR="00B779FE" w:rsidRPr="005A3967" w14:paraId="4B7E9A7A" w14:textId="77777777" w:rsidTr="00B779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29932F" w14:textId="77777777" w:rsidR="00B779FE" w:rsidRPr="005A3967" w:rsidRDefault="00B779FE" w:rsidP="007D5FCC">
            <w:pPr>
              <w:spacing w:line="276" w:lineRule="auto"/>
              <w:rPr>
                <w:sz w:val="22"/>
                <w:szCs w:val="22"/>
              </w:rPr>
            </w:pPr>
            <w:r w:rsidRPr="005A3967">
              <w:rPr>
                <w:sz w:val="22"/>
                <w:szCs w:val="22"/>
              </w:rPr>
              <w:lastRenderedPageBreak/>
              <w:t>Decision Effectiveness</w:t>
            </w:r>
          </w:p>
        </w:tc>
        <w:tc>
          <w:tcPr>
            <w:tcW w:w="0" w:type="auto"/>
            <w:vAlign w:val="center"/>
            <w:hideMark/>
          </w:tcPr>
          <w:p w14:paraId="2A004B51" w14:textId="77777777" w:rsidR="00B779FE" w:rsidRPr="005A3967" w:rsidRDefault="00B779FE" w:rsidP="007D5FCC">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4.2</w:t>
            </w:r>
          </w:p>
        </w:tc>
        <w:tc>
          <w:tcPr>
            <w:tcW w:w="0" w:type="auto"/>
            <w:vAlign w:val="center"/>
            <w:hideMark/>
          </w:tcPr>
          <w:p w14:paraId="685622B6" w14:textId="24B5A6CB" w:rsidR="00B779FE" w:rsidRPr="005A3967" w:rsidRDefault="00B779FE" w:rsidP="007D5FC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 xml:space="preserve">Strong confidence in analytics-driven decisions; reflects </w:t>
            </w:r>
            <w:r w:rsidR="007A3770" w:rsidRPr="005A3967">
              <w:rPr>
                <w:sz w:val="22"/>
                <w:szCs w:val="22"/>
              </w:rPr>
              <w:t xml:space="preserve">the </w:t>
            </w:r>
            <w:r w:rsidRPr="005A3967">
              <w:rPr>
                <w:sz w:val="22"/>
                <w:szCs w:val="22"/>
              </w:rPr>
              <w:t>impact on speed and quality.</w:t>
            </w:r>
          </w:p>
        </w:tc>
      </w:tr>
      <w:tr w:rsidR="00B779FE" w:rsidRPr="005A3967" w14:paraId="137490DD" w14:textId="77777777" w:rsidTr="00B779F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F9058C" w14:textId="77777777" w:rsidR="00B779FE" w:rsidRPr="005A3967" w:rsidRDefault="00B779FE" w:rsidP="007D5FCC">
            <w:pPr>
              <w:spacing w:line="276" w:lineRule="auto"/>
              <w:rPr>
                <w:sz w:val="22"/>
                <w:szCs w:val="22"/>
              </w:rPr>
            </w:pPr>
            <w:r w:rsidRPr="005A3967">
              <w:rPr>
                <w:sz w:val="22"/>
                <w:szCs w:val="22"/>
              </w:rPr>
              <w:t>Marketing Impact</w:t>
            </w:r>
          </w:p>
        </w:tc>
        <w:tc>
          <w:tcPr>
            <w:tcW w:w="0" w:type="auto"/>
            <w:vAlign w:val="center"/>
            <w:hideMark/>
          </w:tcPr>
          <w:p w14:paraId="3656B3C9" w14:textId="77777777" w:rsidR="00B779FE" w:rsidRPr="005A3967" w:rsidRDefault="00B779FE" w:rsidP="007D5FCC">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4.0</w:t>
            </w:r>
          </w:p>
        </w:tc>
        <w:tc>
          <w:tcPr>
            <w:tcW w:w="0" w:type="auto"/>
            <w:vAlign w:val="center"/>
            <w:hideMark/>
          </w:tcPr>
          <w:p w14:paraId="373BFD63" w14:textId="7C8A03DC" w:rsidR="00B779FE" w:rsidRPr="005A3967" w:rsidRDefault="00B779FE" w:rsidP="007D5FC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 xml:space="preserve">Indicates </w:t>
            </w:r>
            <w:r w:rsidR="007A3770" w:rsidRPr="005A3967">
              <w:rPr>
                <w:sz w:val="22"/>
                <w:szCs w:val="22"/>
              </w:rPr>
              <w:t xml:space="preserve">a </w:t>
            </w:r>
            <w:r w:rsidRPr="005A3967">
              <w:rPr>
                <w:sz w:val="22"/>
                <w:szCs w:val="22"/>
              </w:rPr>
              <w:t xml:space="preserve">widespread belief in </w:t>
            </w:r>
            <w:r w:rsidR="007A3770" w:rsidRPr="005A3967">
              <w:rPr>
                <w:sz w:val="22"/>
                <w:szCs w:val="22"/>
              </w:rPr>
              <w:t>the</w:t>
            </w:r>
            <w:r w:rsidRPr="005A3967">
              <w:rPr>
                <w:sz w:val="22"/>
                <w:szCs w:val="22"/>
              </w:rPr>
              <w:t xml:space="preserve"> contribution </w:t>
            </w:r>
            <w:r w:rsidR="007A3770" w:rsidRPr="005A3967">
              <w:rPr>
                <w:sz w:val="22"/>
                <w:szCs w:val="22"/>
              </w:rPr>
              <w:t xml:space="preserve">of analytics </w:t>
            </w:r>
            <w:r w:rsidRPr="005A3967">
              <w:rPr>
                <w:sz w:val="22"/>
                <w:szCs w:val="22"/>
              </w:rPr>
              <w:t xml:space="preserve">to customer segmentation and </w:t>
            </w:r>
            <w:r w:rsidR="00E368FB" w:rsidRPr="005A3967">
              <w:rPr>
                <w:sz w:val="22"/>
                <w:szCs w:val="22"/>
              </w:rPr>
              <w:t>return on investment (</w:t>
            </w:r>
            <w:r w:rsidRPr="005A3967">
              <w:rPr>
                <w:sz w:val="22"/>
                <w:szCs w:val="22"/>
              </w:rPr>
              <w:t>ROI</w:t>
            </w:r>
            <w:r w:rsidR="00E368FB" w:rsidRPr="005A3967">
              <w:rPr>
                <w:sz w:val="22"/>
                <w:szCs w:val="22"/>
              </w:rPr>
              <w:t>)</w:t>
            </w:r>
            <w:r w:rsidRPr="005A3967">
              <w:rPr>
                <w:sz w:val="22"/>
                <w:szCs w:val="22"/>
              </w:rPr>
              <w:t>.</w:t>
            </w:r>
          </w:p>
        </w:tc>
      </w:tr>
      <w:tr w:rsidR="00B779FE" w:rsidRPr="005A3967" w14:paraId="7E29A3A2" w14:textId="77777777" w:rsidTr="00B779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E63637" w14:textId="77777777" w:rsidR="00B779FE" w:rsidRPr="005A3967" w:rsidRDefault="00B779FE" w:rsidP="007D5FCC">
            <w:pPr>
              <w:spacing w:line="276" w:lineRule="auto"/>
              <w:rPr>
                <w:sz w:val="22"/>
                <w:szCs w:val="22"/>
              </w:rPr>
            </w:pPr>
            <w:r w:rsidRPr="005A3967">
              <w:rPr>
                <w:sz w:val="22"/>
                <w:szCs w:val="22"/>
              </w:rPr>
              <w:t>Predictive Analytics Usage</w:t>
            </w:r>
          </w:p>
        </w:tc>
        <w:tc>
          <w:tcPr>
            <w:tcW w:w="0" w:type="auto"/>
            <w:vAlign w:val="center"/>
            <w:hideMark/>
          </w:tcPr>
          <w:p w14:paraId="0FBAC436" w14:textId="77777777" w:rsidR="00B779FE" w:rsidRPr="005A3967" w:rsidRDefault="00B779FE" w:rsidP="007D5FCC">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3.9</w:t>
            </w:r>
          </w:p>
        </w:tc>
        <w:tc>
          <w:tcPr>
            <w:tcW w:w="0" w:type="auto"/>
            <w:vAlign w:val="center"/>
            <w:hideMark/>
          </w:tcPr>
          <w:p w14:paraId="0B05F235" w14:textId="77777777" w:rsidR="00B779FE" w:rsidRPr="005A3967" w:rsidRDefault="00B779FE" w:rsidP="007D5FC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Shows moderate yet rising adoption of analytics in daily and strategic processes.</w:t>
            </w:r>
          </w:p>
        </w:tc>
      </w:tr>
      <w:tr w:rsidR="00B779FE" w:rsidRPr="005A3967" w14:paraId="3D203435" w14:textId="77777777" w:rsidTr="00B779F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776987" w14:textId="77777777" w:rsidR="00B779FE" w:rsidRPr="005A3967" w:rsidRDefault="00B779FE" w:rsidP="007D5FCC">
            <w:pPr>
              <w:spacing w:line="276" w:lineRule="auto"/>
              <w:rPr>
                <w:sz w:val="22"/>
                <w:szCs w:val="22"/>
              </w:rPr>
            </w:pPr>
            <w:r w:rsidRPr="005A3967">
              <w:rPr>
                <w:sz w:val="22"/>
                <w:szCs w:val="22"/>
              </w:rPr>
              <w:t>Organisational Readiness</w:t>
            </w:r>
          </w:p>
        </w:tc>
        <w:tc>
          <w:tcPr>
            <w:tcW w:w="0" w:type="auto"/>
            <w:vAlign w:val="center"/>
            <w:hideMark/>
          </w:tcPr>
          <w:p w14:paraId="66181444" w14:textId="77777777" w:rsidR="00B779FE" w:rsidRPr="005A3967" w:rsidRDefault="00B779FE" w:rsidP="007D5FCC">
            <w:pPr>
              <w:spacing w:line="276"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3.6</w:t>
            </w:r>
          </w:p>
        </w:tc>
        <w:tc>
          <w:tcPr>
            <w:tcW w:w="0" w:type="auto"/>
            <w:vAlign w:val="center"/>
            <w:hideMark/>
          </w:tcPr>
          <w:p w14:paraId="44CE65B2" w14:textId="77777777" w:rsidR="00B779FE" w:rsidRPr="005A3967" w:rsidRDefault="00B779FE" w:rsidP="007D5FCC">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Reflects uneven levels of leadership support, cultural fit, and workforce skills.</w:t>
            </w:r>
          </w:p>
        </w:tc>
      </w:tr>
      <w:tr w:rsidR="00B779FE" w:rsidRPr="005A3967" w14:paraId="22F181C8" w14:textId="77777777" w:rsidTr="00B779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7FA73A" w14:textId="77777777" w:rsidR="00B779FE" w:rsidRPr="005A3967" w:rsidRDefault="00B779FE" w:rsidP="007D5FCC">
            <w:pPr>
              <w:spacing w:line="276" w:lineRule="auto"/>
              <w:rPr>
                <w:sz w:val="22"/>
                <w:szCs w:val="22"/>
              </w:rPr>
            </w:pPr>
            <w:r w:rsidRPr="005A3967">
              <w:rPr>
                <w:sz w:val="22"/>
                <w:szCs w:val="22"/>
              </w:rPr>
              <w:t>Data Governance</w:t>
            </w:r>
          </w:p>
        </w:tc>
        <w:tc>
          <w:tcPr>
            <w:tcW w:w="0" w:type="auto"/>
            <w:vAlign w:val="center"/>
            <w:hideMark/>
          </w:tcPr>
          <w:p w14:paraId="173F2AF9" w14:textId="77777777" w:rsidR="00B779FE" w:rsidRPr="005A3967" w:rsidRDefault="00B779FE" w:rsidP="007D5FCC">
            <w:pPr>
              <w:spacing w:line="276" w:lineRule="auto"/>
              <w:jc w:val="center"/>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2.8</w:t>
            </w:r>
          </w:p>
        </w:tc>
        <w:tc>
          <w:tcPr>
            <w:tcW w:w="0" w:type="auto"/>
            <w:vAlign w:val="center"/>
            <w:hideMark/>
          </w:tcPr>
          <w:p w14:paraId="6D605032" w14:textId="77777777" w:rsidR="00B779FE" w:rsidRPr="005A3967" w:rsidRDefault="00B779FE" w:rsidP="007D5FCC">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Identifies a key gap in data management and policy enforcement across the business.</w:t>
            </w:r>
          </w:p>
        </w:tc>
      </w:tr>
    </w:tbl>
    <w:p w14:paraId="260C93A0" w14:textId="778920CC" w:rsidR="00B779FE" w:rsidRPr="005A3967" w:rsidRDefault="00B779FE" w:rsidP="00B779FE">
      <w:pPr>
        <w:spacing w:line="360" w:lineRule="auto"/>
      </w:pPr>
    </w:p>
    <w:p w14:paraId="4B881CEB" w14:textId="77777777" w:rsidR="00B779FE" w:rsidRPr="005A3967" w:rsidRDefault="00B779FE" w:rsidP="00B779FE">
      <w:pPr>
        <w:spacing w:line="360" w:lineRule="auto"/>
        <w:rPr>
          <w:b/>
          <w:bCs/>
        </w:rPr>
      </w:pPr>
      <w:r w:rsidRPr="005A3967">
        <w:rPr>
          <w:b/>
          <w:bCs/>
        </w:rPr>
        <w:t>Detailed Interpretation and Analysis</w:t>
      </w:r>
    </w:p>
    <w:p w14:paraId="3FCA3B43" w14:textId="5EC2CFAC" w:rsidR="00B779FE" w:rsidRPr="005A3967" w:rsidRDefault="00B779FE" w:rsidP="00B779FE">
      <w:pPr>
        <w:spacing w:line="360" w:lineRule="auto"/>
      </w:pPr>
      <w:r w:rsidRPr="005A3967">
        <w:t xml:space="preserve">The </w:t>
      </w:r>
      <w:r w:rsidRPr="005A3967">
        <w:rPr>
          <w:b/>
          <w:bCs/>
        </w:rPr>
        <w:t>highest-rated construct</w:t>
      </w:r>
      <w:r w:rsidRPr="005A3967">
        <w:t xml:space="preserve">, </w:t>
      </w:r>
      <w:r w:rsidRPr="00666EC6">
        <w:rPr>
          <w:b/>
          <w:bCs/>
          <w:i/>
          <w:iCs/>
        </w:rPr>
        <w:t>Decision Effectiveness</w:t>
      </w:r>
      <w:r w:rsidRPr="005A3967">
        <w:t xml:space="preserve"> (mean ≈ 4.2), is expected to demonstrate broad confidence among employees in the tangible benefits of predictive analytics. Responses in this category will likely reflect improvements in decision speed, accuracy, consistency, and evidence-based planning. This finding will also align with strong support from senior leadership, suggesting that data-driven decision-making is recognised and encouraged at the strategic level.</w:t>
      </w:r>
    </w:p>
    <w:p w14:paraId="4B318229" w14:textId="77777777" w:rsidR="00FB49BF" w:rsidRPr="005A3967" w:rsidRDefault="00FB49BF" w:rsidP="00B779FE">
      <w:pPr>
        <w:spacing w:line="360" w:lineRule="auto"/>
      </w:pPr>
    </w:p>
    <w:p w14:paraId="4C5055A7" w14:textId="77777777" w:rsidR="00B779FE" w:rsidRPr="005A3967" w:rsidRDefault="00B779FE" w:rsidP="00B779FE">
      <w:pPr>
        <w:spacing w:line="360" w:lineRule="auto"/>
      </w:pPr>
      <w:r w:rsidRPr="005A3967">
        <w:t xml:space="preserve">Similarly, </w:t>
      </w:r>
      <w:r w:rsidRPr="00666EC6">
        <w:rPr>
          <w:b/>
          <w:bCs/>
          <w:i/>
          <w:iCs/>
        </w:rPr>
        <w:t>Marketing Impact</w:t>
      </w:r>
      <w:r w:rsidRPr="005A3967">
        <w:t xml:space="preserve"> (mean ≈ 4.0) is anticipated to score well, with participants highlighting improvements in targeting, customer segmentation, and campaign success rates. This rating will reinforce the strategic advantage that predictive analytics brings to customer-facing functions, especially in aligning messages with customer behaviours and preferences. It will also support the organisation’s ambition to become more customer-centric in a competitive and regulated energy market.</w:t>
      </w:r>
    </w:p>
    <w:p w14:paraId="3C240A8B" w14:textId="77777777" w:rsidR="00FB49BF" w:rsidRPr="005A3967" w:rsidRDefault="00FB49BF" w:rsidP="00B779FE">
      <w:pPr>
        <w:spacing w:line="360" w:lineRule="auto"/>
      </w:pPr>
    </w:p>
    <w:p w14:paraId="40F2B91E" w14:textId="026F0B0B" w:rsidR="00B779FE" w:rsidRPr="005A3967" w:rsidRDefault="00B779FE" w:rsidP="00B779FE">
      <w:pPr>
        <w:spacing w:line="360" w:lineRule="auto"/>
      </w:pPr>
      <w:r w:rsidRPr="00666EC6">
        <w:rPr>
          <w:b/>
          <w:bCs/>
          <w:i/>
          <w:iCs/>
        </w:rPr>
        <w:t>Predictive Analytics Usage</w:t>
      </w:r>
      <w:r w:rsidRPr="005A3967">
        <w:t xml:space="preserve"> (mean ≈ 3.9) is expected to occupy the mid-range of the spectrum. While indicative of growing adoption, this score may suggest that predictive tools are not yet fully embedded in all core business functions. For instance, some departments may be in earlier stages of analytics maturity, relying more heavily on traditional methods or descriptive reporting. This </w:t>
      </w:r>
      <w:r w:rsidR="007A3770" w:rsidRPr="005A3967">
        <w:t>aligns</w:t>
      </w:r>
      <w:r w:rsidRPr="005A3967">
        <w:t xml:space="preserve"> with evidence from interviews (Appendix B)</w:t>
      </w:r>
      <w:r w:rsidR="007A3770" w:rsidRPr="005A3967">
        <w:t>,</w:t>
      </w:r>
      <w:r w:rsidRPr="005A3967">
        <w:t xml:space="preserve"> </w:t>
      </w:r>
      <w:r w:rsidR="007A3770" w:rsidRPr="005A3967">
        <w:t>which shows</w:t>
      </w:r>
      <w:r w:rsidRPr="005A3967">
        <w:t xml:space="preserve"> variance across departments in tool adoption and data literacy.</w:t>
      </w:r>
    </w:p>
    <w:p w14:paraId="4158F396" w14:textId="77777777" w:rsidR="00FB49BF" w:rsidRPr="005A3967" w:rsidRDefault="00FB49BF" w:rsidP="00B779FE">
      <w:pPr>
        <w:spacing w:line="360" w:lineRule="auto"/>
      </w:pPr>
    </w:p>
    <w:p w14:paraId="3AB47862" w14:textId="77777777" w:rsidR="00B779FE" w:rsidRPr="005A3967" w:rsidRDefault="00B779FE" w:rsidP="00B779FE">
      <w:pPr>
        <w:spacing w:line="360" w:lineRule="auto"/>
      </w:pPr>
      <w:r w:rsidRPr="00666EC6">
        <w:rPr>
          <w:b/>
          <w:bCs/>
          <w:i/>
          <w:iCs/>
        </w:rPr>
        <w:t>Organisational Readiness</w:t>
      </w:r>
      <w:r w:rsidRPr="005A3967">
        <w:t xml:space="preserve"> (mean ≈ 3.6) will likely indicate inconsistency in SSE’s preparedness for scaling predictive analytics. While some business units will benefit from analytics champions and training programmes, others may lack support or clarity on their role in a data-driven strategy. This theme will be particularly evident in qualitative findings, </w:t>
      </w:r>
      <w:r w:rsidRPr="005A3967">
        <w:lastRenderedPageBreak/>
        <w:t>where respondents may cite gaps in cultural buy-in, executive visibility, or cross-functional collaboration.</w:t>
      </w:r>
    </w:p>
    <w:p w14:paraId="7A4EF873" w14:textId="77777777" w:rsidR="00FB49BF" w:rsidRPr="005A3967" w:rsidRDefault="00FB49BF" w:rsidP="00B779FE">
      <w:pPr>
        <w:spacing w:line="360" w:lineRule="auto"/>
      </w:pPr>
    </w:p>
    <w:p w14:paraId="387B2231" w14:textId="6816E28D" w:rsidR="00B779FE" w:rsidRPr="005A3967" w:rsidRDefault="00B779FE" w:rsidP="00B779FE">
      <w:pPr>
        <w:spacing w:line="360" w:lineRule="auto"/>
      </w:pPr>
      <w:r w:rsidRPr="005A3967">
        <w:t xml:space="preserve">The </w:t>
      </w:r>
      <w:r w:rsidRPr="005A3967">
        <w:rPr>
          <w:b/>
          <w:bCs/>
        </w:rPr>
        <w:t>lowest-rated dimension</w:t>
      </w:r>
      <w:r w:rsidRPr="005A3967">
        <w:t xml:space="preserve">, </w:t>
      </w:r>
      <w:r w:rsidRPr="00666EC6">
        <w:rPr>
          <w:b/>
          <w:bCs/>
          <w:i/>
          <w:iCs/>
        </w:rPr>
        <w:t>Data Governance</w:t>
      </w:r>
      <w:r w:rsidRPr="005A3967">
        <w:t xml:space="preserve"> (mean ≈ 2.8), will highlight significant structural barriers to predictive analytics maturity. Survey comments and interviews are expected to reveal ongoing challenges</w:t>
      </w:r>
      <w:r w:rsidR="007A3770" w:rsidRPr="005A3967">
        <w:t>, including</w:t>
      </w:r>
      <w:r w:rsidRPr="005A3967">
        <w:t xml:space="preserve"> fragmented data ownership, </w:t>
      </w:r>
      <w:r w:rsidR="00E368FB" w:rsidRPr="005A3967">
        <w:t>constraints imposed by legacy systems</w:t>
      </w:r>
      <w:r w:rsidRPr="005A3967">
        <w:t xml:space="preserve">, limited metadata documentation, and </w:t>
      </w:r>
      <w:r w:rsidR="00E368FB" w:rsidRPr="005A3967">
        <w:t>inadequate</w:t>
      </w:r>
      <w:r w:rsidRPr="005A3967">
        <w:t xml:space="preserve"> data stewardship practices. This score will closely correlate with the risks and weaknesses outlined in the </w:t>
      </w:r>
      <w:r w:rsidRPr="005A3967">
        <w:rPr>
          <w:b/>
          <w:bCs/>
        </w:rPr>
        <w:t>SWOT analysis (Appendix E.1)</w:t>
      </w:r>
      <w:r w:rsidRPr="005A3967">
        <w:t>. It will also support the broader conclusion that data governance improvements must precede or occur in tandem with analytics scale-up initiatives.</w:t>
      </w:r>
    </w:p>
    <w:p w14:paraId="66DB7C6D" w14:textId="455B3536" w:rsidR="00B779FE" w:rsidRPr="005A3967" w:rsidRDefault="00B779FE" w:rsidP="00B779FE">
      <w:pPr>
        <w:spacing w:line="360" w:lineRule="auto"/>
      </w:pPr>
    </w:p>
    <w:p w14:paraId="0D415E82" w14:textId="77777777" w:rsidR="00B779FE" w:rsidRPr="005A3967" w:rsidRDefault="00B779FE" w:rsidP="00B779FE">
      <w:pPr>
        <w:spacing w:line="360" w:lineRule="auto"/>
        <w:rPr>
          <w:b/>
          <w:bCs/>
        </w:rPr>
      </w:pPr>
      <w:r w:rsidRPr="005A3967">
        <w:rPr>
          <w:b/>
          <w:bCs/>
        </w:rPr>
        <w:t>Strategic Implications</w:t>
      </w:r>
    </w:p>
    <w:p w14:paraId="1FD34CD6" w14:textId="77777777" w:rsidR="00B779FE" w:rsidRPr="005A3967" w:rsidRDefault="00B779FE" w:rsidP="00B779FE">
      <w:pPr>
        <w:spacing w:line="360" w:lineRule="auto"/>
      </w:pPr>
      <w:r w:rsidRPr="005A3967">
        <w:t>These comparative averages will provide key diagnostic value to SSE PLC as it charts a path toward analytics transformation. The findings will:</w:t>
      </w:r>
    </w:p>
    <w:p w14:paraId="08377CA5" w14:textId="77777777" w:rsidR="00B779FE" w:rsidRPr="005A3967" w:rsidRDefault="00B779FE" w:rsidP="008824B8">
      <w:pPr>
        <w:numPr>
          <w:ilvl w:val="0"/>
          <w:numId w:val="39"/>
        </w:numPr>
        <w:spacing w:line="360" w:lineRule="auto"/>
      </w:pPr>
      <w:r w:rsidRPr="005A3967">
        <w:rPr>
          <w:b/>
          <w:bCs/>
        </w:rPr>
        <w:t>Confirm existing progress</w:t>
      </w:r>
      <w:r w:rsidRPr="005A3967">
        <w:t xml:space="preserve"> in decision-making and marketing performance through data insights.</w:t>
      </w:r>
    </w:p>
    <w:p w14:paraId="53B583AE" w14:textId="77777777" w:rsidR="00B779FE" w:rsidRPr="005A3967" w:rsidRDefault="00B779FE" w:rsidP="008824B8">
      <w:pPr>
        <w:numPr>
          <w:ilvl w:val="0"/>
          <w:numId w:val="39"/>
        </w:numPr>
        <w:spacing w:line="360" w:lineRule="auto"/>
      </w:pPr>
      <w:r w:rsidRPr="005A3967">
        <w:rPr>
          <w:b/>
          <w:bCs/>
        </w:rPr>
        <w:t>Highlight adoption gaps</w:t>
      </w:r>
      <w:r w:rsidRPr="005A3967">
        <w:t>, especially where predictive analytics is not yet routine or fully supported.</w:t>
      </w:r>
    </w:p>
    <w:p w14:paraId="75899DD3" w14:textId="77777777" w:rsidR="00B779FE" w:rsidRPr="005A3967" w:rsidRDefault="00B779FE" w:rsidP="008824B8">
      <w:pPr>
        <w:numPr>
          <w:ilvl w:val="0"/>
          <w:numId w:val="39"/>
        </w:numPr>
        <w:spacing w:line="360" w:lineRule="auto"/>
      </w:pPr>
      <w:r w:rsidRPr="005A3967">
        <w:rPr>
          <w:b/>
          <w:bCs/>
        </w:rPr>
        <w:t>Identify governance as a critical enabler</w:t>
      </w:r>
      <w:r w:rsidRPr="005A3967">
        <w:t>—one that currently constrains trust, quality, and integration of predictive models.</w:t>
      </w:r>
    </w:p>
    <w:p w14:paraId="3B788BE8" w14:textId="0EDC4985" w:rsidR="00B779FE" w:rsidRPr="005A3967" w:rsidRDefault="00B779FE" w:rsidP="00B779FE">
      <w:pPr>
        <w:spacing w:line="360" w:lineRule="auto"/>
      </w:pPr>
      <w:r w:rsidRPr="005A3967">
        <w:t xml:space="preserve">These insights will guide actionable recommendations in </w:t>
      </w:r>
      <w:r w:rsidRPr="005A3967">
        <w:rPr>
          <w:b/>
          <w:bCs/>
        </w:rPr>
        <w:t>Section 7</w:t>
      </w:r>
      <w:r w:rsidRPr="005A3967">
        <w:t xml:space="preserve"> of the dissertation, particularly around workforce development, cross-departmental collaboration, and the implementation of a fit-for-purpose data governance framework aligned with </w:t>
      </w:r>
      <w:r w:rsidR="007A3770" w:rsidRPr="005A3967">
        <w:t xml:space="preserve">an </w:t>
      </w:r>
      <w:r w:rsidRPr="005A3967">
        <w:t>analytics strategy.</w:t>
      </w:r>
    </w:p>
    <w:p w14:paraId="1A9C1E79" w14:textId="2CC487A7" w:rsidR="00B779FE" w:rsidRDefault="00B779FE" w:rsidP="00B779FE">
      <w:pPr>
        <w:spacing w:line="360" w:lineRule="auto"/>
      </w:pPr>
      <w:r w:rsidRPr="005A3967">
        <w:rPr>
          <w:b/>
          <w:bCs/>
        </w:rPr>
        <w:t>Note:</w:t>
      </w:r>
      <w:r w:rsidRPr="005A3967">
        <w:t xml:space="preserve"> The final table and accompanying bar chart will be generated using the completed survey dataset (target</w:t>
      </w:r>
      <w:r w:rsidR="007A3770" w:rsidRPr="005A3967">
        <w:t xml:space="preserve"> sample size</w:t>
      </w:r>
      <w:r w:rsidRPr="005A3967">
        <w:t xml:space="preserve">: </w:t>
      </w:r>
      <w:r w:rsidRPr="005A3967">
        <w:rPr>
          <w:i/>
          <w:iCs/>
        </w:rPr>
        <w:t>n = 100</w:t>
      </w:r>
      <w:r w:rsidRPr="005A3967">
        <w:t xml:space="preserve">). All visualisations will be created using SPSS or Excel and included in this appendix. </w:t>
      </w:r>
      <w:r w:rsidR="007A3770" w:rsidRPr="005A3967">
        <w:t>The findings</w:t>
      </w:r>
      <w:r w:rsidRPr="005A3967">
        <w:t xml:space="preserve"> discussed here will also feed into Sections </w:t>
      </w:r>
      <w:r w:rsidRPr="005A3967">
        <w:rPr>
          <w:b/>
          <w:bCs/>
        </w:rPr>
        <w:t>6.3 (Survey Results)</w:t>
      </w:r>
      <w:r w:rsidRPr="005A3967">
        <w:t xml:space="preserve"> and </w:t>
      </w:r>
      <w:r w:rsidRPr="005A3967">
        <w:rPr>
          <w:b/>
          <w:bCs/>
        </w:rPr>
        <w:t>6.4 (Integrated Analysis)</w:t>
      </w:r>
      <w:r w:rsidRPr="005A3967">
        <w:t xml:space="preserve"> of the main report.</w:t>
      </w:r>
    </w:p>
    <w:p w14:paraId="2203E6C7" w14:textId="77777777" w:rsidR="001171F1" w:rsidRPr="005A3967" w:rsidRDefault="001171F1" w:rsidP="00B779FE">
      <w:pPr>
        <w:spacing w:line="360" w:lineRule="auto"/>
      </w:pPr>
    </w:p>
    <w:p w14:paraId="60E05FC6" w14:textId="33C2A0DE" w:rsidR="009F14C0" w:rsidRPr="005A3967" w:rsidRDefault="009F14C0" w:rsidP="00462E03">
      <w:pPr>
        <w:spacing w:line="360" w:lineRule="auto"/>
        <w:rPr>
          <w:b/>
          <w:bCs/>
        </w:rPr>
      </w:pPr>
      <w:r w:rsidRPr="005A3967">
        <w:rPr>
          <w:b/>
          <w:bCs/>
        </w:rPr>
        <w:t>Table F</w:t>
      </w:r>
      <w:r w:rsidR="00330CEB" w:rsidRPr="005A3967">
        <w:rPr>
          <w:b/>
          <w:bCs/>
        </w:rPr>
        <w:t>2</w:t>
      </w:r>
      <w:r w:rsidRPr="005A3967">
        <w:rPr>
          <w:b/>
          <w:bCs/>
        </w:rPr>
        <w:t>: Average Perceived Ratings of Key Research Themes (1–5 Scale)</w:t>
      </w:r>
    </w:p>
    <w:tbl>
      <w:tblPr>
        <w:tblStyle w:val="GridTable4-Accent2"/>
        <w:tblW w:w="0" w:type="auto"/>
        <w:tblLook w:val="04A0" w:firstRow="1" w:lastRow="0" w:firstColumn="1" w:lastColumn="0" w:noHBand="0" w:noVBand="1"/>
      </w:tblPr>
      <w:tblGrid>
        <w:gridCol w:w="4673"/>
        <w:gridCol w:w="4320"/>
      </w:tblGrid>
      <w:tr w:rsidR="00C87C38" w:rsidRPr="005A3967" w14:paraId="5C057F37" w14:textId="77777777" w:rsidTr="00FB49BF">
        <w:trPr>
          <w:cnfStyle w:val="100000000000" w:firstRow="1" w:lastRow="0" w:firstColumn="0" w:lastColumn="0" w:oddVBand="0" w:evenVBand="0" w:oddHBand="0"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4673" w:type="dxa"/>
          </w:tcPr>
          <w:p w14:paraId="1D9824FA" w14:textId="77777777" w:rsidR="00C87C38" w:rsidRPr="005A3967" w:rsidRDefault="00C87C38" w:rsidP="008E41B7">
            <w:pPr>
              <w:spacing w:line="276" w:lineRule="auto"/>
              <w:rPr>
                <w:sz w:val="22"/>
                <w:szCs w:val="22"/>
              </w:rPr>
            </w:pPr>
            <w:r w:rsidRPr="005A3967">
              <w:rPr>
                <w:sz w:val="22"/>
                <w:szCs w:val="22"/>
              </w:rPr>
              <w:t>Research Theme</w:t>
            </w:r>
          </w:p>
        </w:tc>
        <w:tc>
          <w:tcPr>
            <w:tcW w:w="4320" w:type="dxa"/>
          </w:tcPr>
          <w:p w14:paraId="70CF4E8E" w14:textId="77777777" w:rsidR="00C87C38" w:rsidRPr="005A3967" w:rsidRDefault="00C87C38" w:rsidP="008E41B7">
            <w:pPr>
              <w:spacing w:line="276" w:lineRule="auto"/>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Average Rating (1–5)</w:t>
            </w:r>
          </w:p>
        </w:tc>
      </w:tr>
      <w:tr w:rsidR="00C87C38" w:rsidRPr="005A3967" w14:paraId="37B3B7B5" w14:textId="77777777" w:rsidTr="00FB49BF">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4673" w:type="dxa"/>
          </w:tcPr>
          <w:p w14:paraId="59EE54E5" w14:textId="77777777" w:rsidR="00C87C38" w:rsidRPr="005A3967" w:rsidRDefault="00C87C38" w:rsidP="008E41B7">
            <w:pPr>
              <w:spacing w:line="276" w:lineRule="auto"/>
              <w:rPr>
                <w:sz w:val="22"/>
                <w:szCs w:val="22"/>
              </w:rPr>
            </w:pPr>
            <w:r w:rsidRPr="005A3967">
              <w:rPr>
                <w:sz w:val="22"/>
                <w:szCs w:val="22"/>
              </w:rPr>
              <w:t>Decision Effectiveness</w:t>
            </w:r>
          </w:p>
        </w:tc>
        <w:tc>
          <w:tcPr>
            <w:tcW w:w="4320" w:type="dxa"/>
          </w:tcPr>
          <w:p w14:paraId="273BAEF5" w14:textId="77777777" w:rsidR="00C87C38" w:rsidRPr="005A3967" w:rsidRDefault="00C87C38" w:rsidP="008E41B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4.2</w:t>
            </w:r>
          </w:p>
        </w:tc>
      </w:tr>
      <w:tr w:rsidR="00C87C38" w:rsidRPr="005A3967" w14:paraId="49D994DC" w14:textId="77777777" w:rsidTr="00FB49BF">
        <w:trPr>
          <w:trHeight w:val="356"/>
        </w:trPr>
        <w:tc>
          <w:tcPr>
            <w:cnfStyle w:val="001000000000" w:firstRow="0" w:lastRow="0" w:firstColumn="1" w:lastColumn="0" w:oddVBand="0" w:evenVBand="0" w:oddHBand="0" w:evenHBand="0" w:firstRowFirstColumn="0" w:firstRowLastColumn="0" w:lastRowFirstColumn="0" w:lastRowLastColumn="0"/>
            <w:tcW w:w="4673" w:type="dxa"/>
          </w:tcPr>
          <w:p w14:paraId="049B7845" w14:textId="77777777" w:rsidR="00C87C38" w:rsidRPr="005A3967" w:rsidRDefault="00C87C38" w:rsidP="008E41B7">
            <w:pPr>
              <w:spacing w:line="276" w:lineRule="auto"/>
              <w:rPr>
                <w:sz w:val="22"/>
                <w:szCs w:val="22"/>
              </w:rPr>
            </w:pPr>
            <w:r w:rsidRPr="005A3967">
              <w:rPr>
                <w:sz w:val="22"/>
                <w:szCs w:val="22"/>
              </w:rPr>
              <w:t>Marketing Impact</w:t>
            </w:r>
          </w:p>
        </w:tc>
        <w:tc>
          <w:tcPr>
            <w:tcW w:w="4320" w:type="dxa"/>
          </w:tcPr>
          <w:p w14:paraId="5B61968D" w14:textId="77777777" w:rsidR="00C87C38" w:rsidRPr="005A3967" w:rsidRDefault="00C87C38" w:rsidP="008E41B7">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4.0</w:t>
            </w:r>
          </w:p>
        </w:tc>
      </w:tr>
      <w:tr w:rsidR="00C87C38" w:rsidRPr="005A3967" w14:paraId="7DC95423" w14:textId="77777777" w:rsidTr="00FB49BF">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4673" w:type="dxa"/>
          </w:tcPr>
          <w:p w14:paraId="3B309C81" w14:textId="77777777" w:rsidR="00C87C38" w:rsidRPr="005A3967" w:rsidRDefault="00C87C38" w:rsidP="008E41B7">
            <w:pPr>
              <w:spacing w:line="276" w:lineRule="auto"/>
              <w:rPr>
                <w:sz w:val="22"/>
                <w:szCs w:val="22"/>
              </w:rPr>
            </w:pPr>
            <w:r w:rsidRPr="005A3967">
              <w:rPr>
                <w:sz w:val="22"/>
                <w:szCs w:val="22"/>
              </w:rPr>
              <w:t>Predictive Analytics Usage</w:t>
            </w:r>
          </w:p>
        </w:tc>
        <w:tc>
          <w:tcPr>
            <w:tcW w:w="4320" w:type="dxa"/>
          </w:tcPr>
          <w:p w14:paraId="52F0DFDF" w14:textId="77777777" w:rsidR="00C87C38" w:rsidRPr="005A3967" w:rsidRDefault="00C87C38" w:rsidP="008E41B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3.9</w:t>
            </w:r>
          </w:p>
        </w:tc>
      </w:tr>
      <w:tr w:rsidR="00C87C38" w:rsidRPr="005A3967" w14:paraId="18CF541D" w14:textId="77777777" w:rsidTr="00FB49BF">
        <w:trPr>
          <w:trHeight w:val="356"/>
        </w:trPr>
        <w:tc>
          <w:tcPr>
            <w:cnfStyle w:val="001000000000" w:firstRow="0" w:lastRow="0" w:firstColumn="1" w:lastColumn="0" w:oddVBand="0" w:evenVBand="0" w:oddHBand="0" w:evenHBand="0" w:firstRowFirstColumn="0" w:firstRowLastColumn="0" w:lastRowFirstColumn="0" w:lastRowLastColumn="0"/>
            <w:tcW w:w="4673" w:type="dxa"/>
          </w:tcPr>
          <w:p w14:paraId="2FADB2A9" w14:textId="77777777" w:rsidR="00C87C38" w:rsidRPr="005A3967" w:rsidRDefault="00C87C38" w:rsidP="008E41B7">
            <w:pPr>
              <w:spacing w:line="276" w:lineRule="auto"/>
              <w:rPr>
                <w:sz w:val="22"/>
                <w:szCs w:val="22"/>
              </w:rPr>
            </w:pPr>
            <w:r w:rsidRPr="005A3967">
              <w:rPr>
                <w:sz w:val="22"/>
                <w:szCs w:val="22"/>
              </w:rPr>
              <w:lastRenderedPageBreak/>
              <w:t>Organisational Readiness</w:t>
            </w:r>
          </w:p>
        </w:tc>
        <w:tc>
          <w:tcPr>
            <w:tcW w:w="4320" w:type="dxa"/>
          </w:tcPr>
          <w:p w14:paraId="35ABBF1C" w14:textId="77777777" w:rsidR="00C87C38" w:rsidRPr="005A3967" w:rsidRDefault="00C87C38" w:rsidP="008E41B7">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3.6</w:t>
            </w:r>
          </w:p>
        </w:tc>
      </w:tr>
      <w:tr w:rsidR="00C87C38" w:rsidRPr="005A3967" w14:paraId="646945DD" w14:textId="77777777" w:rsidTr="00FB49BF">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4673" w:type="dxa"/>
          </w:tcPr>
          <w:p w14:paraId="64DAA630" w14:textId="77777777" w:rsidR="00C87C38" w:rsidRPr="005A3967" w:rsidRDefault="00C87C38" w:rsidP="008E41B7">
            <w:pPr>
              <w:spacing w:line="276" w:lineRule="auto"/>
              <w:rPr>
                <w:sz w:val="22"/>
                <w:szCs w:val="22"/>
              </w:rPr>
            </w:pPr>
            <w:r w:rsidRPr="005A3967">
              <w:rPr>
                <w:sz w:val="22"/>
                <w:szCs w:val="22"/>
              </w:rPr>
              <w:t>Data Governance</w:t>
            </w:r>
          </w:p>
        </w:tc>
        <w:tc>
          <w:tcPr>
            <w:tcW w:w="4320" w:type="dxa"/>
          </w:tcPr>
          <w:p w14:paraId="33266E7B" w14:textId="77777777" w:rsidR="00C87C38" w:rsidRPr="005A3967" w:rsidRDefault="00C87C38" w:rsidP="008E41B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2.8</w:t>
            </w:r>
          </w:p>
        </w:tc>
      </w:tr>
    </w:tbl>
    <w:p w14:paraId="0CC0BD0F" w14:textId="153D1B20" w:rsidR="007A119A" w:rsidRPr="005A3967" w:rsidRDefault="007A119A" w:rsidP="00462E03">
      <w:pPr>
        <w:spacing w:line="360" w:lineRule="auto"/>
      </w:pPr>
    </w:p>
    <w:p w14:paraId="0C4329AF" w14:textId="3B23BE0D" w:rsidR="00791C61" w:rsidRPr="005A3967" w:rsidRDefault="009F14C0" w:rsidP="00E61946">
      <w:pPr>
        <w:spacing w:line="360" w:lineRule="auto"/>
        <w:rPr>
          <w:b/>
          <w:bCs/>
        </w:rPr>
      </w:pPr>
      <w:r w:rsidRPr="005A3967">
        <w:rPr>
          <w:b/>
          <w:bCs/>
        </w:rPr>
        <w:t xml:space="preserve">Appendix </w:t>
      </w:r>
      <w:r w:rsidR="00791C61" w:rsidRPr="005A3967">
        <w:rPr>
          <w:b/>
          <w:bCs/>
        </w:rPr>
        <w:t>F</w:t>
      </w:r>
      <w:r w:rsidR="00983625" w:rsidRPr="005A3967">
        <w:rPr>
          <w:b/>
          <w:bCs/>
        </w:rPr>
        <w:t>.</w:t>
      </w:r>
      <w:r w:rsidR="00E61946" w:rsidRPr="005A3967">
        <w:rPr>
          <w:b/>
          <w:bCs/>
        </w:rPr>
        <w:t>4</w:t>
      </w:r>
      <w:r w:rsidR="00791C61" w:rsidRPr="005A3967">
        <w:rPr>
          <w:b/>
          <w:bCs/>
        </w:rPr>
        <w:t>: Correlation Matrix of Survey Constructs</w:t>
      </w:r>
    </w:p>
    <w:p w14:paraId="6D461805" w14:textId="77777777" w:rsidR="00240195" w:rsidRPr="005A3967" w:rsidRDefault="00240195" w:rsidP="00240195">
      <w:pPr>
        <w:spacing w:line="360" w:lineRule="auto"/>
      </w:pPr>
      <w:r w:rsidRPr="005A3967">
        <w:t xml:space="preserve">This appendix will provide a </w:t>
      </w:r>
      <w:r w:rsidRPr="005A3967">
        <w:rPr>
          <w:b/>
          <w:bCs/>
        </w:rPr>
        <w:t>tabulated summary</w:t>
      </w:r>
      <w:r w:rsidRPr="005A3967">
        <w:t xml:space="preserve"> of </w:t>
      </w:r>
      <w:r w:rsidRPr="005A3967">
        <w:rPr>
          <w:b/>
          <w:bCs/>
        </w:rPr>
        <w:t>Pearson correlation coefficients</w:t>
      </w:r>
      <w:r w:rsidRPr="005A3967">
        <w:t xml:space="preserve"> calculated between the five core constructs measured in the quantitative survey:</w:t>
      </w:r>
    </w:p>
    <w:p w14:paraId="35146B48" w14:textId="77777777" w:rsidR="00240195" w:rsidRPr="005A3967" w:rsidRDefault="00240195" w:rsidP="008824B8">
      <w:pPr>
        <w:numPr>
          <w:ilvl w:val="0"/>
          <w:numId w:val="40"/>
        </w:numPr>
        <w:spacing w:line="360" w:lineRule="auto"/>
      </w:pPr>
      <w:r w:rsidRPr="005A3967">
        <w:rPr>
          <w:b/>
          <w:bCs/>
        </w:rPr>
        <w:t>Predictive Analytics Usage</w:t>
      </w:r>
    </w:p>
    <w:p w14:paraId="6B647F8C" w14:textId="77777777" w:rsidR="00240195" w:rsidRPr="005A3967" w:rsidRDefault="00240195" w:rsidP="008824B8">
      <w:pPr>
        <w:numPr>
          <w:ilvl w:val="0"/>
          <w:numId w:val="40"/>
        </w:numPr>
        <w:spacing w:line="360" w:lineRule="auto"/>
      </w:pPr>
      <w:r w:rsidRPr="005A3967">
        <w:rPr>
          <w:b/>
          <w:bCs/>
        </w:rPr>
        <w:t>Marketing Impact</w:t>
      </w:r>
    </w:p>
    <w:p w14:paraId="097E0843" w14:textId="77777777" w:rsidR="00240195" w:rsidRPr="005A3967" w:rsidRDefault="00240195" w:rsidP="008824B8">
      <w:pPr>
        <w:numPr>
          <w:ilvl w:val="0"/>
          <w:numId w:val="40"/>
        </w:numPr>
        <w:spacing w:line="360" w:lineRule="auto"/>
      </w:pPr>
      <w:r w:rsidRPr="005A3967">
        <w:rPr>
          <w:b/>
          <w:bCs/>
        </w:rPr>
        <w:t>Decision Effectiveness</w:t>
      </w:r>
    </w:p>
    <w:p w14:paraId="430FA31E" w14:textId="77777777" w:rsidR="00240195" w:rsidRPr="005A3967" w:rsidRDefault="00240195" w:rsidP="008824B8">
      <w:pPr>
        <w:numPr>
          <w:ilvl w:val="0"/>
          <w:numId w:val="40"/>
        </w:numPr>
        <w:spacing w:line="360" w:lineRule="auto"/>
      </w:pPr>
      <w:r w:rsidRPr="005A3967">
        <w:rPr>
          <w:b/>
          <w:bCs/>
        </w:rPr>
        <w:t>Data Governance</w:t>
      </w:r>
    </w:p>
    <w:p w14:paraId="49F19941" w14:textId="77777777" w:rsidR="00240195" w:rsidRPr="005A3967" w:rsidRDefault="00240195" w:rsidP="008824B8">
      <w:pPr>
        <w:numPr>
          <w:ilvl w:val="0"/>
          <w:numId w:val="40"/>
        </w:numPr>
        <w:spacing w:line="360" w:lineRule="auto"/>
      </w:pPr>
      <w:r w:rsidRPr="005A3967">
        <w:rPr>
          <w:b/>
          <w:bCs/>
        </w:rPr>
        <w:t>Organisational Readiness</w:t>
      </w:r>
    </w:p>
    <w:p w14:paraId="5F8E7962" w14:textId="77A49CDF" w:rsidR="00240195" w:rsidRDefault="00240195" w:rsidP="00240195">
      <w:pPr>
        <w:spacing w:line="360" w:lineRule="auto"/>
      </w:pPr>
      <w:r w:rsidRPr="005A3967">
        <w:t xml:space="preserve">Each coefficient will reflect the </w:t>
      </w:r>
      <w:r w:rsidRPr="005A3967">
        <w:rPr>
          <w:b/>
          <w:bCs/>
        </w:rPr>
        <w:t>strength and direction</w:t>
      </w:r>
      <w:r w:rsidRPr="005A3967">
        <w:t xml:space="preserve"> of the linear association between pairs of variables, with values ranging from </w:t>
      </w:r>
      <w:r w:rsidRPr="005A3967">
        <w:rPr>
          <w:b/>
          <w:bCs/>
        </w:rPr>
        <w:t>1.00 (perfect negative correlation)</w:t>
      </w:r>
      <w:r w:rsidRPr="005A3967">
        <w:t xml:space="preserve"> to </w:t>
      </w:r>
      <w:r w:rsidRPr="005A3967">
        <w:rPr>
          <w:b/>
          <w:bCs/>
        </w:rPr>
        <w:t>+1.00 (perfect positive correlation)</w:t>
      </w:r>
      <w:r w:rsidRPr="005A3967">
        <w:t xml:space="preserve">. All correlations will be computed using </w:t>
      </w:r>
      <w:r w:rsidRPr="005A3967">
        <w:rPr>
          <w:b/>
          <w:bCs/>
        </w:rPr>
        <w:t>pairwise complete observations</w:t>
      </w:r>
      <w:r w:rsidRPr="005A3967">
        <w:t>, ensuring that the maximum number of valid responses informs each relationship.</w:t>
      </w:r>
    </w:p>
    <w:p w14:paraId="7A2F731D" w14:textId="77777777" w:rsidR="001171F1" w:rsidRPr="005A3967" w:rsidRDefault="001171F1" w:rsidP="00240195">
      <w:pPr>
        <w:spacing w:line="360" w:lineRule="auto"/>
      </w:pPr>
    </w:p>
    <w:p w14:paraId="77D37C0A" w14:textId="77777777" w:rsidR="00240195" w:rsidRPr="005A3967" w:rsidRDefault="00240195" w:rsidP="00240195">
      <w:pPr>
        <w:spacing w:line="360" w:lineRule="auto"/>
        <w:rPr>
          <w:b/>
          <w:bCs/>
        </w:rPr>
      </w:pPr>
      <w:r w:rsidRPr="005A3967">
        <w:rPr>
          <w:b/>
          <w:bCs/>
        </w:rPr>
        <w:t>Anticipated Analytical Purpose</w:t>
      </w:r>
    </w:p>
    <w:p w14:paraId="074A8ADD" w14:textId="77777777" w:rsidR="00240195" w:rsidRPr="005A3967" w:rsidRDefault="00240195" w:rsidP="00240195">
      <w:pPr>
        <w:spacing w:line="360" w:lineRule="auto"/>
      </w:pPr>
      <w:r w:rsidRPr="005A3967">
        <w:t xml:space="preserve">The correlation matrix will be used to uncover statistically significant relationships between critical constructs and to inform understanding of how different elements of predictive analytics integration interact within the organisational environment at SSE PLC. These interrelationships will support the </w:t>
      </w:r>
      <w:r w:rsidRPr="005A3967">
        <w:rPr>
          <w:b/>
          <w:bCs/>
        </w:rPr>
        <w:t>triangulation of findings</w:t>
      </w:r>
      <w:r w:rsidRPr="005A3967">
        <w:t xml:space="preserve"> across the qualitative and quantitative components of the research.</w:t>
      </w:r>
    </w:p>
    <w:p w14:paraId="51BE0418" w14:textId="45AC2CA2" w:rsidR="00240195" w:rsidRPr="005A3967" w:rsidRDefault="00240195" w:rsidP="00240195">
      <w:pPr>
        <w:spacing w:line="360" w:lineRule="auto"/>
      </w:pPr>
    </w:p>
    <w:p w14:paraId="01AFF553" w14:textId="77777777" w:rsidR="00240195" w:rsidRPr="005A3967" w:rsidRDefault="00240195" w:rsidP="00240195">
      <w:pPr>
        <w:spacing w:line="360" w:lineRule="auto"/>
        <w:rPr>
          <w:b/>
          <w:bCs/>
        </w:rPr>
      </w:pPr>
      <w:r w:rsidRPr="005A3967">
        <w:rPr>
          <w:b/>
          <w:bCs/>
        </w:rPr>
        <w:t>Key Expected Observations</w:t>
      </w:r>
    </w:p>
    <w:p w14:paraId="56631425" w14:textId="77777777" w:rsidR="00240195" w:rsidRPr="005A3967" w:rsidRDefault="00240195" w:rsidP="00240195">
      <w:pPr>
        <w:spacing w:line="360" w:lineRule="auto"/>
      </w:pPr>
      <w:r w:rsidRPr="005A3967">
        <w:t xml:space="preserve">Based on preliminary insights and theoretical expectations, several </w:t>
      </w:r>
      <w:r w:rsidRPr="005A3967">
        <w:rPr>
          <w:b/>
          <w:bCs/>
        </w:rPr>
        <w:t>noteworthy correlations</w:t>
      </w:r>
      <w:r w:rsidRPr="005A3967">
        <w:t xml:space="preserve"> are anticipated:</w:t>
      </w:r>
    </w:p>
    <w:p w14:paraId="3208A29E" w14:textId="3834872B" w:rsidR="00240195" w:rsidRPr="005A3967" w:rsidRDefault="00240195" w:rsidP="008824B8">
      <w:pPr>
        <w:numPr>
          <w:ilvl w:val="0"/>
          <w:numId w:val="41"/>
        </w:numPr>
        <w:spacing w:line="360" w:lineRule="auto"/>
      </w:pPr>
      <w:r w:rsidRPr="005A3967">
        <w:rPr>
          <w:b/>
          <w:bCs/>
        </w:rPr>
        <w:t>Predictive Analytics Usage</w:t>
      </w:r>
      <w:r w:rsidRPr="005A3967">
        <w:t xml:space="preserve"> is expected to show </w:t>
      </w:r>
      <w:r w:rsidRPr="005A3967">
        <w:rPr>
          <w:b/>
          <w:bCs/>
        </w:rPr>
        <w:t>moderate-to-strong correlations</w:t>
      </w:r>
      <w:r w:rsidRPr="005A3967">
        <w:t xml:space="preserve"> with both </w:t>
      </w:r>
      <w:r w:rsidRPr="005A3967">
        <w:rPr>
          <w:i/>
          <w:iCs/>
        </w:rPr>
        <w:t>Marketing Impact</w:t>
      </w:r>
      <w:r w:rsidRPr="005A3967">
        <w:t xml:space="preserve"> (</w:t>
      </w:r>
      <w:r w:rsidRPr="005A3967">
        <w:rPr>
          <w:b/>
          <w:bCs/>
        </w:rPr>
        <w:t>r ≈ 0.68</w:t>
      </w:r>
      <w:r w:rsidRPr="005A3967">
        <w:t xml:space="preserve">) and </w:t>
      </w:r>
      <w:r w:rsidRPr="005A3967">
        <w:rPr>
          <w:i/>
          <w:iCs/>
        </w:rPr>
        <w:t>Decision Effectiveness</w:t>
      </w:r>
      <w:r w:rsidRPr="005A3967">
        <w:t xml:space="preserve"> (</w:t>
      </w:r>
      <w:r w:rsidRPr="005A3967">
        <w:rPr>
          <w:b/>
          <w:bCs/>
        </w:rPr>
        <w:t>r ≈ 0.62</w:t>
      </w:r>
      <w:r w:rsidRPr="005A3967">
        <w:t xml:space="preserve">). These values </w:t>
      </w:r>
      <w:r w:rsidR="007A3770" w:rsidRPr="005A3967">
        <w:t>suggest</w:t>
      </w:r>
      <w:r w:rsidRPr="005A3967">
        <w:t xml:space="preserve"> that a wider and more integrated use of predictive analytics tools is positively associated with enhanced marketing outcomes and better-quality decisions </w:t>
      </w:r>
      <w:r w:rsidR="007A3770" w:rsidRPr="005A3967">
        <w:t>throughout</w:t>
      </w:r>
      <w:r w:rsidRPr="005A3967">
        <w:t xml:space="preserve"> the organisation.</w:t>
      </w:r>
    </w:p>
    <w:p w14:paraId="10534358" w14:textId="77777777" w:rsidR="00240195" w:rsidRPr="005A3967" w:rsidRDefault="00240195" w:rsidP="008824B8">
      <w:pPr>
        <w:numPr>
          <w:ilvl w:val="0"/>
          <w:numId w:val="41"/>
        </w:numPr>
        <w:spacing w:line="360" w:lineRule="auto"/>
      </w:pPr>
      <w:r w:rsidRPr="005A3967">
        <w:rPr>
          <w:b/>
          <w:bCs/>
        </w:rPr>
        <w:t>Organisational Readiness</w:t>
      </w:r>
      <w:r w:rsidRPr="005A3967">
        <w:t xml:space="preserve"> is projected to have a </w:t>
      </w:r>
      <w:r w:rsidRPr="005A3967">
        <w:rPr>
          <w:b/>
          <w:bCs/>
        </w:rPr>
        <w:t>strong positive correlation</w:t>
      </w:r>
      <w:r w:rsidRPr="005A3967">
        <w:t xml:space="preserve"> with </w:t>
      </w:r>
      <w:r w:rsidRPr="005A3967">
        <w:rPr>
          <w:i/>
          <w:iCs/>
        </w:rPr>
        <w:t>Decision Effectiveness</w:t>
      </w:r>
      <w:r w:rsidRPr="005A3967">
        <w:t xml:space="preserve"> (</w:t>
      </w:r>
      <w:r w:rsidRPr="005A3967">
        <w:rPr>
          <w:b/>
          <w:bCs/>
        </w:rPr>
        <w:t>r ≈ 0.74</w:t>
      </w:r>
      <w:r w:rsidRPr="005A3967">
        <w:t xml:space="preserve">), highlighting the central role of leadership </w:t>
      </w:r>
      <w:r w:rsidRPr="005A3967">
        <w:lastRenderedPageBreak/>
        <w:t>commitment, workforce data capability, and cultural support in enabling analytics to deliver strategic impact.</w:t>
      </w:r>
    </w:p>
    <w:p w14:paraId="654B466E" w14:textId="0EFE5E91" w:rsidR="00240195" w:rsidRPr="005A3967" w:rsidRDefault="00240195" w:rsidP="008824B8">
      <w:pPr>
        <w:numPr>
          <w:ilvl w:val="0"/>
          <w:numId w:val="41"/>
        </w:numPr>
        <w:spacing w:line="360" w:lineRule="auto"/>
      </w:pPr>
      <w:r w:rsidRPr="005A3967">
        <w:rPr>
          <w:b/>
          <w:bCs/>
        </w:rPr>
        <w:t>Data Governance</w:t>
      </w:r>
      <w:r w:rsidRPr="005A3967">
        <w:t xml:space="preserve"> is anticipated to demonstrate the </w:t>
      </w:r>
      <w:r w:rsidRPr="005A3967">
        <w:rPr>
          <w:b/>
          <w:bCs/>
        </w:rPr>
        <w:t>strongest observed relationship</w:t>
      </w:r>
      <w:r w:rsidRPr="005A3967">
        <w:t xml:space="preserve"> with </w:t>
      </w:r>
      <w:r w:rsidRPr="005A3967">
        <w:rPr>
          <w:i/>
          <w:iCs/>
        </w:rPr>
        <w:t>Marketing Impact</w:t>
      </w:r>
      <w:r w:rsidRPr="005A3967">
        <w:t xml:space="preserve"> (</w:t>
      </w:r>
      <w:r w:rsidRPr="005A3967">
        <w:rPr>
          <w:b/>
          <w:bCs/>
        </w:rPr>
        <w:t>r ≈ 0.92</w:t>
      </w:r>
      <w:r w:rsidRPr="005A3967">
        <w:t xml:space="preserve">). This near-perfect correlation </w:t>
      </w:r>
      <w:r w:rsidR="007A3770" w:rsidRPr="005A3967">
        <w:t>suggests</w:t>
      </w:r>
      <w:r w:rsidRPr="005A3967">
        <w:t xml:space="preserve"> that high-quality, well-managed data assets and </w:t>
      </w:r>
      <w:r w:rsidR="007A3770" w:rsidRPr="005A3967">
        <w:t xml:space="preserve">effective </w:t>
      </w:r>
      <w:r w:rsidRPr="005A3967">
        <w:t>governance frameworks are essential prerequisites for executing successful, targeted marketing strategies.</w:t>
      </w:r>
    </w:p>
    <w:p w14:paraId="291BC8E4" w14:textId="510DBF5D" w:rsidR="00240195" w:rsidRPr="005A3967" w:rsidRDefault="00240195" w:rsidP="00240195">
      <w:pPr>
        <w:spacing w:line="360" w:lineRule="auto"/>
      </w:pPr>
      <w:r w:rsidRPr="005A3967">
        <w:t xml:space="preserve">These expected results will substantiate one of the central contentions of the dissertation: that </w:t>
      </w:r>
      <w:r w:rsidRPr="005A3967">
        <w:rPr>
          <w:b/>
          <w:bCs/>
        </w:rPr>
        <w:t>analytics maturity is a multidimensional capability</w:t>
      </w:r>
      <w:r w:rsidRPr="005A3967">
        <w:t xml:space="preserve"> that relies not only on technical tools, but also on well-aligned organisational systems, leadership backing, and cultural readiness.</w:t>
      </w:r>
    </w:p>
    <w:p w14:paraId="5871B400" w14:textId="77777777" w:rsidR="00A0306C" w:rsidRPr="005A3967" w:rsidRDefault="00A0306C" w:rsidP="00240195">
      <w:pPr>
        <w:spacing w:line="360" w:lineRule="auto"/>
      </w:pPr>
    </w:p>
    <w:p w14:paraId="01CE565E" w14:textId="5B7097E2" w:rsidR="00356C27" w:rsidRPr="005A3967" w:rsidRDefault="00356C27" w:rsidP="00356C27">
      <w:pPr>
        <w:spacing w:line="360" w:lineRule="auto"/>
        <w:rPr>
          <w:b/>
          <w:bCs/>
        </w:rPr>
      </w:pPr>
      <w:r w:rsidRPr="005A3967">
        <w:rPr>
          <w:b/>
          <w:bCs/>
        </w:rPr>
        <w:t>Planned Table F</w:t>
      </w:r>
      <w:r w:rsidR="00330CEB" w:rsidRPr="005A3967">
        <w:rPr>
          <w:b/>
          <w:bCs/>
        </w:rPr>
        <w:t>3</w:t>
      </w:r>
      <w:r w:rsidRPr="005A3967">
        <w:rPr>
          <w:b/>
          <w:bCs/>
        </w:rPr>
        <w:t>: Pearson Correlation Coefficients Between Survey Constructs</w:t>
      </w:r>
    </w:p>
    <w:tbl>
      <w:tblPr>
        <w:tblStyle w:val="GridTable4-Accent2"/>
        <w:tblW w:w="0" w:type="auto"/>
        <w:tblLook w:val="04A0" w:firstRow="1" w:lastRow="0" w:firstColumn="1" w:lastColumn="0" w:noHBand="0" w:noVBand="1"/>
      </w:tblPr>
      <w:tblGrid>
        <w:gridCol w:w="1754"/>
        <w:gridCol w:w="1755"/>
        <w:gridCol w:w="1552"/>
        <w:gridCol w:w="1316"/>
        <w:gridCol w:w="1218"/>
        <w:gridCol w:w="1421"/>
      </w:tblGrid>
      <w:tr w:rsidR="00356C27" w:rsidRPr="005A3967" w14:paraId="5AE5532D" w14:textId="77777777" w:rsidTr="00356C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D40A8B" w14:textId="77777777" w:rsidR="00356C27" w:rsidRPr="005A3967" w:rsidRDefault="00356C27" w:rsidP="00356C27">
            <w:pPr>
              <w:spacing w:line="276" w:lineRule="auto"/>
              <w:jc w:val="center"/>
              <w:rPr>
                <w:sz w:val="22"/>
                <w:szCs w:val="22"/>
              </w:rPr>
            </w:pPr>
            <w:r w:rsidRPr="005A3967">
              <w:rPr>
                <w:sz w:val="22"/>
                <w:szCs w:val="22"/>
              </w:rPr>
              <w:t>Construct</w:t>
            </w:r>
          </w:p>
        </w:tc>
        <w:tc>
          <w:tcPr>
            <w:tcW w:w="0" w:type="auto"/>
            <w:vAlign w:val="center"/>
            <w:hideMark/>
          </w:tcPr>
          <w:p w14:paraId="58A571C1" w14:textId="77777777" w:rsidR="00356C27" w:rsidRPr="005A3967" w:rsidRDefault="00356C27" w:rsidP="00356C27">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Organisational Readiness</w:t>
            </w:r>
          </w:p>
        </w:tc>
        <w:tc>
          <w:tcPr>
            <w:tcW w:w="0" w:type="auto"/>
            <w:vAlign w:val="center"/>
            <w:hideMark/>
          </w:tcPr>
          <w:p w14:paraId="5E09E23C" w14:textId="77777777" w:rsidR="00356C27" w:rsidRPr="005A3967" w:rsidRDefault="00356C27" w:rsidP="00356C27">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Decision Effectiveness</w:t>
            </w:r>
          </w:p>
        </w:tc>
        <w:tc>
          <w:tcPr>
            <w:tcW w:w="0" w:type="auto"/>
            <w:vAlign w:val="center"/>
            <w:hideMark/>
          </w:tcPr>
          <w:p w14:paraId="3C3911EE" w14:textId="77777777" w:rsidR="00356C27" w:rsidRPr="005A3967" w:rsidRDefault="00356C27" w:rsidP="00356C27">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Marketing Impact</w:t>
            </w:r>
          </w:p>
        </w:tc>
        <w:tc>
          <w:tcPr>
            <w:tcW w:w="0" w:type="auto"/>
            <w:vAlign w:val="center"/>
            <w:hideMark/>
          </w:tcPr>
          <w:p w14:paraId="7471B425" w14:textId="77777777" w:rsidR="00356C27" w:rsidRPr="005A3967" w:rsidRDefault="00356C27" w:rsidP="00356C27">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Analytics Maturity</w:t>
            </w:r>
          </w:p>
        </w:tc>
        <w:tc>
          <w:tcPr>
            <w:tcW w:w="0" w:type="auto"/>
            <w:vAlign w:val="center"/>
            <w:hideMark/>
          </w:tcPr>
          <w:p w14:paraId="4918E3BB" w14:textId="77777777" w:rsidR="00356C27" w:rsidRPr="005A3967" w:rsidRDefault="00356C27" w:rsidP="00356C27">
            <w:pPr>
              <w:spacing w:line="276"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5A3967">
              <w:rPr>
                <w:sz w:val="22"/>
                <w:szCs w:val="22"/>
              </w:rPr>
              <w:t>Data Governance</w:t>
            </w:r>
          </w:p>
        </w:tc>
      </w:tr>
      <w:tr w:rsidR="00356C27" w:rsidRPr="005A3967" w14:paraId="08DD633C" w14:textId="77777777" w:rsidTr="00356C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B4C1D0" w14:textId="77777777" w:rsidR="00356C27" w:rsidRPr="005A3967" w:rsidRDefault="00356C27" w:rsidP="00356C27">
            <w:pPr>
              <w:spacing w:line="276" w:lineRule="auto"/>
              <w:rPr>
                <w:sz w:val="22"/>
                <w:szCs w:val="22"/>
              </w:rPr>
            </w:pPr>
            <w:r w:rsidRPr="005A3967">
              <w:rPr>
                <w:sz w:val="22"/>
                <w:szCs w:val="22"/>
              </w:rPr>
              <w:t>Organisational Readiness</w:t>
            </w:r>
          </w:p>
        </w:tc>
        <w:tc>
          <w:tcPr>
            <w:tcW w:w="0" w:type="auto"/>
            <w:vAlign w:val="center"/>
            <w:hideMark/>
          </w:tcPr>
          <w:p w14:paraId="737C0195"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1.00</w:t>
            </w:r>
          </w:p>
        </w:tc>
        <w:tc>
          <w:tcPr>
            <w:tcW w:w="0" w:type="auto"/>
            <w:vAlign w:val="center"/>
            <w:hideMark/>
          </w:tcPr>
          <w:p w14:paraId="775593BB"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0.74</w:t>
            </w:r>
          </w:p>
        </w:tc>
        <w:tc>
          <w:tcPr>
            <w:tcW w:w="0" w:type="auto"/>
            <w:vAlign w:val="center"/>
            <w:hideMark/>
          </w:tcPr>
          <w:p w14:paraId="29116EA3"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0.60</w:t>
            </w:r>
          </w:p>
        </w:tc>
        <w:tc>
          <w:tcPr>
            <w:tcW w:w="0" w:type="auto"/>
            <w:vAlign w:val="center"/>
            <w:hideMark/>
          </w:tcPr>
          <w:p w14:paraId="1CCE26E1"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0.58</w:t>
            </w:r>
          </w:p>
        </w:tc>
        <w:tc>
          <w:tcPr>
            <w:tcW w:w="0" w:type="auto"/>
            <w:vAlign w:val="center"/>
            <w:hideMark/>
          </w:tcPr>
          <w:p w14:paraId="2BB63A0A"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0.65</w:t>
            </w:r>
          </w:p>
        </w:tc>
      </w:tr>
      <w:tr w:rsidR="00356C27" w:rsidRPr="005A3967" w14:paraId="450807CA" w14:textId="77777777" w:rsidTr="00356C2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34A0DB" w14:textId="77777777" w:rsidR="00356C27" w:rsidRPr="005A3967" w:rsidRDefault="00356C27" w:rsidP="00356C27">
            <w:pPr>
              <w:spacing w:line="276" w:lineRule="auto"/>
              <w:rPr>
                <w:sz w:val="22"/>
                <w:szCs w:val="22"/>
              </w:rPr>
            </w:pPr>
            <w:r w:rsidRPr="005A3967">
              <w:rPr>
                <w:sz w:val="22"/>
                <w:szCs w:val="22"/>
              </w:rPr>
              <w:t>Decision Effectiveness</w:t>
            </w:r>
          </w:p>
        </w:tc>
        <w:tc>
          <w:tcPr>
            <w:tcW w:w="0" w:type="auto"/>
            <w:vAlign w:val="center"/>
            <w:hideMark/>
          </w:tcPr>
          <w:p w14:paraId="6E0BC3E7" w14:textId="77777777" w:rsidR="00356C27" w:rsidRPr="005A3967" w:rsidRDefault="00356C27" w:rsidP="00356C27">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0.74</w:t>
            </w:r>
          </w:p>
        </w:tc>
        <w:tc>
          <w:tcPr>
            <w:tcW w:w="0" w:type="auto"/>
            <w:vAlign w:val="center"/>
            <w:hideMark/>
          </w:tcPr>
          <w:p w14:paraId="546766A8" w14:textId="77777777" w:rsidR="00356C27" w:rsidRPr="005A3967" w:rsidRDefault="00356C27" w:rsidP="00356C27">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1.00</w:t>
            </w:r>
          </w:p>
        </w:tc>
        <w:tc>
          <w:tcPr>
            <w:tcW w:w="0" w:type="auto"/>
            <w:vAlign w:val="center"/>
            <w:hideMark/>
          </w:tcPr>
          <w:p w14:paraId="1DDA30E5" w14:textId="77777777" w:rsidR="00356C27" w:rsidRPr="005A3967" w:rsidRDefault="00356C27" w:rsidP="00356C27">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0.68</w:t>
            </w:r>
          </w:p>
        </w:tc>
        <w:tc>
          <w:tcPr>
            <w:tcW w:w="0" w:type="auto"/>
            <w:vAlign w:val="center"/>
            <w:hideMark/>
          </w:tcPr>
          <w:p w14:paraId="56929051" w14:textId="77777777" w:rsidR="00356C27" w:rsidRPr="005A3967" w:rsidRDefault="00356C27" w:rsidP="00356C27">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0.62</w:t>
            </w:r>
          </w:p>
        </w:tc>
        <w:tc>
          <w:tcPr>
            <w:tcW w:w="0" w:type="auto"/>
            <w:vAlign w:val="center"/>
            <w:hideMark/>
          </w:tcPr>
          <w:p w14:paraId="4FB74612" w14:textId="77777777" w:rsidR="00356C27" w:rsidRPr="005A3967" w:rsidRDefault="00356C27" w:rsidP="00356C27">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0.70</w:t>
            </w:r>
          </w:p>
        </w:tc>
      </w:tr>
      <w:tr w:rsidR="00356C27" w:rsidRPr="005A3967" w14:paraId="2F518F9A" w14:textId="77777777" w:rsidTr="00356C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1FB5C2" w14:textId="77777777" w:rsidR="00356C27" w:rsidRPr="005A3967" w:rsidRDefault="00356C27" w:rsidP="00356C27">
            <w:pPr>
              <w:spacing w:line="276" w:lineRule="auto"/>
              <w:rPr>
                <w:sz w:val="22"/>
                <w:szCs w:val="22"/>
              </w:rPr>
            </w:pPr>
            <w:r w:rsidRPr="005A3967">
              <w:rPr>
                <w:sz w:val="22"/>
                <w:szCs w:val="22"/>
              </w:rPr>
              <w:t>Marketing Impact</w:t>
            </w:r>
          </w:p>
        </w:tc>
        <w:tc>
          <w:tcPr>
            <w:tcW w:w="0" w:type="auto"/>
            <w:vAlign w:val="center"/>
            <w:hideMark/>
          </w:tcPr>
          <w:p w14:paraId="3B8CCA77"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0.60</w:t>
            </w:r>
          </w:p>
        </w:tc>
        <w:tc>
          <w:tcPr>
            <w:tcW w:w="0" w:type="auto"/>
            <w:vAlign w:val="center"/>
            <w:hideMark/>
          </w:tcPr>
          <w:p w14:paraId="233FFBCB"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0.68</w:t>
            </w:r>
          </w:p>
        </w:tc>
        <w:tc>
          <w:tcPr>
            <w:tcW w:w="0" w:type="auto"/>
            <w:vAlign w:val="center"/>
            <w:hideMark/>
          </w:tcPr>
          <w:p w14:paraId="68AB55F0"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1.00</w:t>
            </w:r>
          </w:p>
        </w:tc>
        <w:tc>
          <w:tcPr>
            <w:tcW w:w="0" w:type="auto"/>
            <w:vAlign w:val="center"/>
            <w:hideMark/>
          </w:tcPr>
          <w:p w14:paraId="100CC510"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0.55</w:t>
            </w:r>
          </w:p>
        </w:tc>
        <w:tc>
          <w:tcPr>
            <w:tcW w:w="0" w:type="auto"/>
            <w:vAlign w:val="center"/>
            <w:hideMark/>
          </w:tcPr>
          <w:p w14:paraId="54F0A75D"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0.92</w:t>
            </w:r>
          </w:p>
        </w:tc>
      </w:tr>
      <w:tr w:rsidR="00356C27" w:rsidRPr="005A3967" w14:paraId="5CA74AD9" w14:textId="77777777" w:rsidTr="00356C2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FEC13D" w14:textId="77777777" w:rsidR="00356C27" w:rsidRPr="005A3967" w:rsidRDefault="00356C27" w:rsidP="00356C27">
            <w:pPr>
              <w:spacing w:line="276" w:lineRule="auto"/>
              <w:rPr>
                <w:sz w:val="22"/>
                <w:szCs w:val="22"/>
              </w:rPr>
            </w:pPr>
            <w:r w:rsidRPr="005A3967">
              <w:rPr>
                <w:sz w:val="22"/>
                <w:szCs w:val="22"/>
              </w:rPr>
              <w:t>Analytics Maturity</w:t>
            </w:r>
          </w:p>
        </w:tc>
        <w:tc>
          <w:tcPr>
            <w:tcW w:w="0" w:type="auto"/>
            <w:vAlign w:val="center"/>
            <w:hideMark/>
          </w:tcPr>
          <w:p w14:paraId="56482723" w14:textId="77777777" w:rsidR="00356C27" w:rsidRPr="005A3967" w:rsidRDefault="00356C27" w:rsidP="00356C27">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0.58</w:t>
            </w:r>
          </w:p>
        </w:tc>
        <w:tc>
          <w:tcPr>
            <w:tcW w:w="0" w:type="auto"/>
            <w:vAlign w:val="center"/>
            <w:hideMark/>
          </w:tcPr>
          <w:p w14:paraId="29124BB9" w14:textId="77777777" w:rsidR="00356C27" w:rsidRPr="005A3967" w:rsidRDefault="00356C27" w:rsidP="00356C27">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0.62</w:t>
            </w:r>
          </w:p>
        </w:tc>
        <w:tc>
          <w:tcPr>
            <w:tcW w:w="0" w:type="auto"/>
            <w:vAlign w:val="center"/>
            <w:hideMark/>
          </w:tcPr>
          <w:p w14:paraId="3DEFC229" w14:textId="77777777" w:rsidR="00356C27" w:rsidRPr="005A3967" w:rsidRDefault="00356C27" w:rsidP="00356C27">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0.55</w:t>
            </w:r>
          </w:p>
        </w:tc>
        <w:tc>
          <w:tcPr>
            <w:tcW w:w="0" w:type="auto"/>
            <w:vAlign w:val="center"/>
            <w:hideMark/>
          </w:tcPr>
          <w:p w14:paraId="31F88373" w14:textId="77777777" w:rsidR="00356C27" w:rsidRPr="005A3967" w:rsidRDefault="00356C27" w:rsidP="00356C27">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1.00</w:t>
            </w:r>
          </w:p>
        </w:tc>
        <w:tc>
          <w:tcPr>
            <w:tcW w:w="0" w:type="auto"/>
            <w:vAlign w:val="center"/>
            <w:hideMark/>
          </w:tcPr>
          <w:p w14:paraId="25D7A37A" w14:textId="77777777" w:rsidR="00356C27" w:rsidRPr="005A3967" w:rsidRDefault="00356C27" w:rsidP="00356C27">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0.66</w:t>
            </w:r>
          </w:p>
        </w:tc>
      </w:tr>
      <w:tr w:rsidR="00356C27" w:rsidRPr="005A3967" w14:paraId="3CFC2075" w14:textId="77777777" w:rsidTr="00356C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EF4445" w14:textId="77777777" w:rsidR="00356C27" w:rsidRPr="005A3967" w:rsidRDefault="00356C27" w:rsidP="00356C27">
            <w:pPr>
              <w:spacing w:line="276" w:lineRule="auto"/>
              <w:rPr>
                <w:sz w:val="22"/>
                <w:szCs w:val="22"/>
              </w:rPr>
            </w:pPr>
            <w:r w:rsidRPr="005A3967">
              <w:rPr>
                <w:sz w:val="22"/>
                <w:szCs w:val="22"/>
              </w:rPr>
              <w:t>Data Governance</w:t>
            </w:r>
          </w:p>
        </w:tc>
        <w:tc>
          <w:tcPr>
            <w:tcW w:w="0" w:type="auto"/>
            <w:vAlign w:val="center"/>
            <w:hideMark/>
          </w:tcPr>
          <w:p w14:paraId="2E1AD1F3"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0.65</w:t>
            </w:r>
          </w:p>
        </w:tc>
        <w:tc>
          <w:tcPr>
            <w:tcW w:w="0" w:type="auto"/>
            <w:vAlign w:val="center"/>
            <w:hideMark/>
          </w:tcPr>
          <w:p w14:paraId="55F52AAC"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0.70</w:t>
            </w:r>
          </w:p>
        </w:tc>
        <w:tc>
          <w:tcPr>
            <w:tcW w:w="0" w:type="auto"/>
            <w:vAlign w:val="center"/>
            <w:hideMark/>
          </w:tcPr>
          <w:p w14:paraId="3972E8B1"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0.92</w:t>
            </w:r>
          </w:p>
        </w:tc>
        <w:tc>
          <w:tcPr>
            <w:tcW w:w="0" w:type="auto"/>
            <w:vAlign w:val="center"/>
            <w:hideMark/>
          </w:tcPr>
          <w:p w14:paraId="0855B0D6"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0.66</w:t>
            </w:r>
          </w:p>
        </w:tc>
        <w:tc>
          <w:tcPr>
            <w:tcW w:w="0" w:type="auto"/>
            <w:vAlign w:val="center"/>
            <w:hideMark/>
          </w:tcPr>
          <w:p w14:paraId="5A6DAFBF" w14:textId="77777777" w:rsidR="00356C27" w:rsidRPr="005A3967" w:rsidRDefault="00356C27" w:rsidP="00356C27">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1.00</w:t>
            </w:r>
          </w:p>
        </w:tc>
      </w:tr>
    </w:tbl>
    <w:p w14:paraId="2F75FBD3" w14:textId="29FF9423" w:rsidR="00356C27" w:rsidRPr="005A3967" w:rsidRDefault="00356C27" w:rsidP="00356C27">
      <w:pPr>
        <w:spacing w:line="360" w:lineRule="auto"/>
      </w:pPr>
    </w:p>
    <w:p w14:paraId="5C4AA6E4" w14:textId="77777777" w:rsidR="00356C27" w:rsidRPr="005A3967" w:rsidRDefault="00356C27" w:rsidP="00356C27">
      <w:pPr>
        <w:spacing w:line="360" w:lineRule="auto"/>
        <w:rPr>
          <w:i/>
          <w:iCs/>
        </w:rPr>
      </w:pPr>
      <w:r w:rsidRPr="005A3967">
        <w:rPr>
          <w:b/>
          <w:bCs/>
          <w:i/>
          <w:iCs/>
        </w:rPr>
        <w:t>Note:</w:t>
      </w:r>
      <w:r w:rsidRPr="005A3967">
        <w:rPr>
          <w:i/>
          <w:iCs/>
        </w:rPr>
        <w:t xml:space="preserve"> All values represent </w:t>
      </w:r>
      <w:r w:rsidRPr="005A3967">
        <w:rPr>
          <w:b/>
          <w:bCs/>
          <w:i/>
          <w:iCs/>
        </w:rPr>
        <w:t>Pearson correlation coefficients</w:t>
      </w:r>
      <w:r w:rsidRPr="005A3967">
        <w:rPr>
          <w:i/>
          <w:iCs/>
        </w:rPr>
        <w:t xml:space="preserve"> computed using pairwise complete observations. Values closer to </w:t>
      </w:r>
      <w:r w:rsidRPr="005A3967">
        <w:rPr>
          <w:b/>
          <w:bCs/>
          <w:i/>
          <w:iCs/>
        </w:rPr>
        <w:t>+1.00</w:t>
      </w:r>
      <w:r w:rsidRPr="005A3967">
        <w:rPr>
          <w:i/>
          <w:iCs/>
        </w:rPr>
        <w:t xml:space="preserve"> indicate stronger positive linear relationships between constructs. These coefficients support the visual representation provided in </w:t>
      </w:r>
      <w:r w:rsidRPr="005A3967">
        <w:rPr>
          <w:b/>
          <w:bCs/>
          <w:i/>
          <w:iCs/>
        </w:rPr>
        <w:t>Appendix F.2</w:t>
      </w:r>
      <w:r w:rsidRPr="005A3967">
        <w:rPr>
          <w:i/>
          <w:iCs/>
        </w:rPr>
        <w:t xml:space="preserve"> and substantiate insights discussed in </w:t>
      </w:r>
      <w:r w:rsidRPr="005A3967">
        <w:rPr>
          <w:b/>
          <w:bCs/>
          <w:i/>
          <w:iCs/>
        </w:rPr>
        <w:t>Sections 6.3 and 6.4</w:t>
      </w:r>
      <w:r w:rsidRPr="005A3967">
        <w:rPr>
          <w:i/>
          <w:iCs/>
        </w:rPr>
        <w:t xml:space="preserve"> of the main report.</w:t>
      </w:r>
    </w:p>
    <w:p w14:paraId="5C12B795" w14:textId="77777777" w:rsidR="00356C27" w:rsidRPr="005A3967" w:rsidRDefault="00356C27" w:rsidP="00240195">
      <w:pPr>
        <w:spacing w:line="360" w:lineRule="auto"/>
      </w:pPr>
    </w:p>
    <w:p w14:paraId="538F940A" w14:textId="77777777" w:rsidR="00240195" w:rsidRPr="005A3967" w:rsidRDefault="00240195" w:rsidP="00240195">
      <w:pPr>
        <w:spacing w:line="360" w:lineRule="auto"/>
        <w:rPr>
          <w:b/>
          <w:bCs/>
        </w:rPr>
      </w:pPr>
      <w:r w:rsidRPr="005A3967">
        <w:rPr>
          <w:b/>
          <w:bCs/>
        </w:rPr>
        <w:t>Strategic Relevance</w:t>
      </w:r>
    </w:p>
    <w:p w14:paraId="462F1BE6" w14:textId="77777777" w:rsidR="00240195" w:rsidRPr="005A3967" w:rsidRDefault="00240195" w:rsidP="00240195">
      <w:pPr>
        <w:spacing w:line="360" w:lineRule="auto"/>
      </w:pPr>
      <w:r w:rsidRPr="005A3967">
        <w:t xml:space="preserve">The correlation matrix will provide critical empirical validation for broader observations made in </w:t>
      </w:r>
      <w:r w:rsidRPr="005A3967">
        <w:rPr>
          <w:b/>
          <w:bCs/>
        </w:rPr>
        <w:t>Sections 6.3 and 6.4</w:t>
      </w:r>
      <w:r w:rsidRPr="005A3967">
        <w:t xml:space="preserve"> of the main report. In particular, it will highlight:</w:t>
      </w:r>
    </w:p>
    <w:p w14:paraId="184E1F59" w14:textId="77777777" w:rsidR="00240195" w:rsidRPr="005A3967" w:rsidRDefault="00240195" w:rsidP="008824B8">
      <w:pPr>
        <w:numPr>
          <w:ilvl w:val="0"/>
          <w:numId w:val="42"/>
        </w:numPr>
        <w:spacing w:line="360" w:lineRule="auto"/>
      </w:pPr>
      <w:r w:rsidRPr="005A3967">
        <w:t xml:space="preserve">The </w:t>
      </w:r>
      <w:r w:rsidRPr="005A3967">
        <w:rPr>
          <w:b/>
          <w:bCs/>
        </w:rPr>
        <w:t>centrality of data governance</w:t>
      </w:r>
      <w:r w:rsidRPr="005A3967">
        <w:t xml:space="preserve"> in delivering practical value from analytics.</w:t>
      </w:r>
    </w:p>
    <w:p w14:paraId="0815562D" w14:textId="77777777" w:rsidR="00240195" w:rsidRPr="005A3967" w:rsidRDefault="00240195" w:rsidP="008824B8">
      <w:pPr>
        <w:numPr>
          <w:ilvl w:val="0"/>
          <w:numId w:val="42"/>
        </w:numPr>
        <w:spacing w:line="360" w:lineRule="auto"/>
      </w:pPr>
      <w:r w:rsidRPr="005A3967">
        <w:t xml:space="preserve">The </w:t>
      </w:r>
      <w:r w:rsidRPr="005A3967">
        <w:rPr>
          <w:b/>
          <w:bCs/>
        </w:rPr>
        <w:t>interdependency</w:t>
      </w:r>
      <w:r w:rsidRPr="005A3967">
        <w:t xml:space="preserve"> between cultural and technical enablers (e.g., readiness and decision quality).</w:t>
      </w:r>
    </w:p>
    <w:p w14:paraId="3597C2B5" w14:textId="77777777" w:rsidR="00240195" w:rsidRPr="005A3967" w:rsidRDefault="00240195" w:rsidP="008824B8">
      <w:pPr>
        <w:numPr>
          <w:ilvl w:val="0"/>
          <w:numId w:val="42"/>
        </w:numPr>
        <w:spacing w:line="360" w:lineRule="auto"/>
      </w:pPr>
      <w:r w:rsidRPr="005A3967">
        <w:t xml:space="preserve">The </w:t>
      </w:r>
      <w:r w:rsidRPr="005A3967">
        <w:rPr>
          <w:b/>
          <w:bCs/>
        </w:rPr>
        <w:t>importance of aligning organisational systems</w:t>
      </w:r>
      <w:r w:rsidRPr="005A3967">
        <w:t xml:space="preserve"> (skills, leadership, governance) to accelerate value realisation.</w:t>
      </w:r>
    </w:p>
    <w:p w14:paraId="1A1562BD" w14:textId="77777777" w:rsidR="00240195" w:rsidRPr="005A3967" w:rsidRDefault="00240195" w:rsidP="00240195">
      <w:pPr>
        <w:spacing w:line="360" w:lineRule="auto"/>
      </w:pPr>
      <w:r w:rsidRPr="005A3967">
        <w:lastRenderedPageBreak/>
        <w:t xml:space="preserve">These insights will guide the development of recommendations in </w:t>
      </w:r>
      <w:r w:rsidRPr="005A3967">
        <w:rPr>
          <w:b/>
          <w:bCs/>
        </w:rPr>
        <w:t>Section 7</w:t>
      </w:r>
      <w:r w:rsidRPr="005A3967">
        <w:t>, especially in relation to prioritising internal interventions for scalable and sustainable predictive analytics deployment.</w:t>
      </w:r>
    </w:p>
    <w:p w14:paraId="41799CFD" w14:textId="45876E70" w:rsidR="00240195" w:rsidRPr="005A3967" w:rsidRDefault="00240195" w:rsidP="00240195">
      <w:pPr>
        <w:spacing w:line="360" w:lineRule="auto"/>
      </w:pPr>
      <w:r w:rsidRPr="005A3967">
        <w:rPr>
          <w:b/>
          <w:bCs/>
        </w:rPr>
        <w:t>Cross-Reference:</w:t>
      </w:r>
      <w:r w:rsidRPr="005A3967">
        <w:t xml:space="preserve"> This table </w:t>
      </w:r>
      <w:r w:rsidR="007A3770" w:rsidRPr="005A3967">
        <w:t>complements</w:t>
      </w:r>
      <w:r w:rsidRPr="005A3967">
        <w:t xml:space="preserve"> the </w:t>
      </w:r>
      <w:r w:rsidRPr="005A3967">
        <w:rPr>
          <w:b/>
          <w:bCs/>
        </w:rPr>
        <w:t>visual heatmap presented in Appendix F.2</w:t>
      </w:r>
      <w:r w:rsidRPr="005A3967">
        <w:t xml:space="preserve"> and </w:t>
      </w:r>
      <w:r w:rsidR="007A3770" w:rsidRPr="005A3967">
        <w:t>supports</w:t>
      </w:r>
      <w:r w:rsidRPr="005A3967">
        <w:t xml:space="preserve"> the interpretive narrative developed in </w:t>
      </w:r>
      <w:r w:rsidRPr="005A3967">
        <w:rPr>
          <w:b/>
          <w:bCs/>
        </w:rPr>
        <w:t>Appendix F.3</w:t>
      </w:r>
      <w:r w:rsidR="0002751E">
        <w:rPr>
          <w:b/>
          <w:bCs/>
        </w:rPr>
        <w:t>,</w:t>
      </w:r>
      <w:r w:rsidRPr="005A3967">
        <w:t xml:space="preserve"> </w:t>
      </w:r>
      <w:r w:rsidR="0002751E">
        <w:t>which examines</w:t>
      </w:r>
      <w:r w:rsidRPr="005A3967">
        <w:t xml:space="preserve"> </w:t>
      </w:r>
      <w:r w:rsidR="00E368FB" w:rsidRPr="005A3967">
        <w:t>the average</w:t>
      </w:r>
      <w:r w:rsidRPr="005A3967">
        <w:t xml:space="preserve"> performance</w:t>
      </w:r>
      <w:r w:rsidR="00E368FB" w:rsidRPr="005A3967">
        <w:t xml:space="preserve"> of constructs</w:t>
      </w:r>
      <w:r w:rsidRPr="005A3967">
        <w:t>.</w:t>
      </w:r>
    </w:p>
    <w:p w14:paraId="5CA636C6" w14:textId="2FB931FB" w:rsidR="00D36B95" w:rsidRPr="005A3967" w:rsidRDefault="007E5539" w:rsidP="00D36B95">
      <w:pPr>
        <w:pStyle w:val="Heading2"/>
        <w:spacing w:line="360" w:lineRule="auto"/>
        <w:rPr>
          <w:rFonts w:ascii="Times New Roman" w:hAnsi="Times New Roman" w:cs="Times New Roman"/>
          <w:b/>
          <w:bCs/>
        </w:rPr>
      </w:pPr>
      <w:bookmarkStart w:id="101" w:name="_Toc202544537"/>
      <w:r w:rsidRPr="005A3967">
        <w:rPr>
          <w:rStyle w:val="Strong"/>
          <w:rFonts w:ascii="Times New Roman" w:hAnsi="Times New Roman" w:cs="Times New Roman"/>
        </w:rPr>
        <w:t>Appendix G: Glossary of Key Terms</w:t>
      </w:r>
      <w:bookmarkEnd w:id="101"/>
    </w:p>
    <w:p w14:paraId="1894217A" w14:textId="5AD1666E" w:rsidR="00D36B95" w:rsidRPr="005A3967" w:rsidRDefault="00D36B95" w:rsidP="00D36B95">
      <w:pPr>
        <w:spacing w:line="360" w:lineRule="auto"/>
      </w:pPr>
      <w:r w:rsidRPr="005A3967">
        <w:t xml:space="preserve">This appendix </w:t>
      </w:r>
      <w:r w:rsidR="007A3770" w:rsidRPr="005A3967">
        <w:t>defines</w:t>
      </w:r>
      <w:r w:rsidRPr="005A3967">
        <w:t xml:space="preserve"> key terms and concepts that will be used throughout the research on </w:t>
      </w:r>
      <w:r w:rsidR="007A3770" w:rsidRPr="005A3967">
        <w:t xml:space="preserve">integrating </w:t>
      </w:r>
      <w:r w:rsidRPr="005A3967">
        <w:rPr>
          <w:b/>
          <w:bCs/>
        </w:rPr>
        <w:t>predictive analytics into strategic decision-making at SSE PLC</w:t>
      </w:r>
      <w:r w:rsidRPr="005A3967">
        <w:t>. The glossary will aim to enhance reader comprehension by clarifying technical terminology, conceptual frameworks, and analytical methodologies that are central to the study’s scope.</w:t>
      </w:r>
    </w:p>
    <w:p w14:paraId="113380B3" w14:textId="1CBF2951" w:rsidR="000A7E86" w:rsidRDefault="00D36B95" w:rsidP="00536505">
      <w:pPr>
        <w:spacing w:line="360" w:lineRule="auto"/>
      </w:pPr>
      <w:r w:rsidRPr="005A3967">
        <w:t xml:space="preserve">The definitions provided will reflect </w:t>
      </w:r>
      <w:r w:rsidRPr="005A3967">
        <w:rPr>
          <w:b/>
          <w:bCs/>
        </w:rPr>
        <w:t>current academic literature</w:t>
      </w:r>
      <w:r w:rsidRPr="005A3967">
        <w:t xml:space="preserve"> as well as </w:t>
      </w:r>
      <w:r w:rsidRPr="005A3967">
        <w:rPr>
          <w:b/>
          <w:bCs/>
        </w:rPr>
        <w:t>industry best practices</w:t>
      </w:r>
      <w:r w:rsidRPr="005A3967">
        <w:t xml:space="preserve"> in the fields of </w:t>
      </w:r>
      <w:r w:rsidRPr="005A3967">
        <w:rPr>
          <w:b/>
          <w:bCs/>
        </w:rPr>
        <w:t>data governance, analytics maturity, organisational transformation, and decision science</w:t>
      </w:r>
      <w:r w:rsidRPr="005A3967">
        <w:t>. Terms will be selected based on their relevance to the research questions, findings, and strategic recommendations.</w:t>
      </w:r>
    </w:p>
    <w:p w14:paraId="3D910861" w14:textId="77777777" w:rsidR="00292AD1" w:rsidRPr="005A3967" w:rsidRDefault="00292AD1" w:rsidP="00536505">
      <w:pPr>
        <w:spacing w:line="360" w:lineRule="auto"/>
      </w:pPr>
    </w:p>
    <w:p w14:paraId="522420F9" w14:textId="3F8FF840" w:rsidR="00C33CBB" w:rsidRPr="005A3967" w:rsidRDefault="00C33CBB" w:rsidP="00536505">
      <w:pPr>
        <w:spacing w:line="360" w:lineRule="auto"/>
        <w:rPr>
          <w:b/>
          <w:bCs/>
        </w:rPr>
      </w:pPr>
      <w:r w:rsidRPr="005A3967">
        <w:rPr>
          <w:b/>
          <w:bCs/>
        </w:rPr>
        <w:t>Table G1. Glossary of Key Terms Related to Predictive Analytics and Data Strategy at SSE PLC</w:t>
      </w:r>
    </w:p>
    <w:tbl>
      <w:tblPr>
        <w:tblStyle w:val="GridTable4-Accent2"/>
        <w:tblW w:w="0" w:type="auto"/>
        <w:tblLook w:val="04A0" w:firstRow="1" w:lastRow="0" w:firstColumn="1" w:lastColumn="0" w:noHBand="0" w:noVBand="1"/>
      </w:tblPr>
      <w:tblGrid>
        <w:gridCol w:w="2547"/>
        <w:gridCol w:w="6469"/>
      </w:tblGrid>
      <w:tr w:rsidR="000E123D" w:rsidRPr="005A3967" w14:paraId="7545FF12" w14:textId="77777777" w:rsidTr="00F822FE">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7605EFFF" w14:textId="77777777" w:rsidR="000E123D" w:rsidRPr="005A3967" w:rsidRDefault="000E123D" w:rsidP="007327EF">
            <w:pPr>
              <w:spacing w:line="276" w:lineRule="auto"/>
              <w:jc w:val="center"/>
              <w:rPr>
                <w:b w:val="0"/>
                <w:bCs w:val="0"/>
                <w:sz w:val="22"/>
                <w:szCs w:val="22"/>
              </w:rPr>
            </w:pPr>
            <w:r w:rsidRPr="005A3967">
              <w:rPr>
                <w:rStyle w:val="Strong"/>
                <w:rFonts w:eastAsiaTheme="majorEastAsia"/>
                <w:b/>
                <w:bCs/>
                <w:sz w:val="22"/>
                <w:szCs w:val="22"/>
              </w:rPr>
              <w:t>Term</w:t>
            </w:r>
          </w:p>
        </w:tc>
        <w:tc>
          <w:tcPr>
            <w:tcW w:w="6469" w:type="dxa"/>
            <w:vAlign w:val="center"/>
            <w:hideMark/>
          </w:tcPr>
          <w:p w14:paraId="5CD512FB" w14:textId="77777777" w:rsidR="000E123D" w:rsidRPr="005A3967" w:rsidRDefault="000E123D" w:rsidP="007327EF">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5A3967">
              <w:rPr>
                <w:rStyle w:val="Strong"/>
                <w:rFonts w:eastAsiaTheme="majorEastAsia"/>
                <w:b/>
                <w:bCs/>
                <w:sz w:val="22"/>
                <w:szCs w:val="22"/>
              </w:rPr>
              <w:t>Definition</w:t>
            </w:r>
          </w:p>
        </w:tc>
      </w:tr>
      <w:tr w:rsidR="000E123D" w:rsidRPr="005A3967" w14:paraId="1B89CB73"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19575837" w14:textId="77777777" w:rsidR="000E123D" w:rsidRPr="005A3967" w:rsidRDefault="000E123D" w:rsidP="007327EF">
            <w:pPr>
              <w:spacing w:line="276" w:lineRule="auto"/>
              <w:rPr>
                <w:b w:val="0"/>
                <w:bCs w:val="0"/>
                <w:sz w:val="22"/>
                <w:szCs w:val="22"/>
              </w:rPr>
            </w:pPr>
            <w:r w:rsidRPr="005A3967">
              <w:rPr>
                <w:rStyle w:val="Strong"/>
                <w:rFonts w:eastAsiaTheme="majorEastAsia"/>
                <w:sz w:val="22"/>
                <w:szCs w:val="22"/>
              </w:rPr>
              <w:t>Predictive Analytics</w:t>
            </w:r>
          </w:p>
        </w:tc>
        <w:tc>
          <w:tcPr>
            <w:tcW w:w="6469" w:type="dxa"/>
            <w:vAlign w:val="center"/>
            <w:hideMark/>
          </w:tcPr>
          <w:p w14:paraId="46E0076D"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The use of statistical algorithms, historical data, and machine learning to forecast future outcomes and trends.</w:t>
            </w:r>
          </w:p>
        </w:tc>
      </w:tr>
      <w:tr w:rsidR="000E123D" w:rsidRPr="005A3967" w14:paraId="50807DD1"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104EAF01" w14:textId="77777777" w:rsidR="000E123D" w:rsidRPr="005A3967" w:rsidRDefault="000E123D" w:rsidP="007327EF">
            <w:pPr>
              <w:spacing w:line="276" w:lineRule="auto"/>
              <w:rPr>
                <w:sz w:val="22"/>
                <w:szCs w:val="22"/>
              </w:rPr>
            </w:pPr>
            <w:r w:rsidRPr="005A3967">
              <w:rPr>
                <w:rStyle w:val="Strong"/>
                <w:rFonts w:eastAsiaTheme="majorEastAsia"/>
                <w:sz w:val="22"/>
                <w:szCs w:val="22"/>
              </w:rPr>
              <w:t>Predictive Maintenance</w:t>
            </w:r>
          </w:p>
        </w:tc>
        <w:tc>
          <w:tcPr>
            <w:tcW w:w="6469" w:type="dxa"/>
            <w:vAlign w:val="center"/>
            <w:hideMark/>
          </w:tcPr>
          <w:p w14:paraId="359C83FE" w14:textId="0BE0E11B" w:rsidR="000E123D" w:rsidRPr="005A3967" w:rsidRDefault="00B25D4C"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Utilising</w:t>
            </w:r>
            <w:r w:rsidR="000E123D" w:rsidRPr="005A3967">
              <w:rPr>
                <w:sz w:val="22"/>
                <w:szCs w:val="22"/>
              </w:rPr>
              <w:t xml:space="preserve"> predictive analytics to determine when equipment maintenance </w:t>
            </w:r>
            <w:r w:rsidRPr="005A3967">
              <w:rPr>
                <w:sz w:val="22"/>
                <w:szCs w:val="22"/>
              </w:rPr>
              <w:t>is needed</w:t>
            </w:r>
            <w:r w:rsidR="000E123D" w:rsidRPr="005A3967">
              <w:rPr>
                <w:sz w:val="22"/>
                <w:szCs w:val="22"/>
              </w:rPr>
              <w:t xml:space="preserve">, </w:t>
            </w:r>
            <w:r w:rsidRPr="005A3967">
              <w:rPr>
                <w:sz w:val="22"/>
                <w:szCs w:val="22"/>
              </w:rPr>
              <w:t xml:space="preserve">thereby </w:t>
            </w:r>
            <w:r w:rsidR="000E123D" w:rsidRPr="005A3967">
              <w:rPr>
                <w:sz w:val="22"/>
                <w:szCs w:val="22"/>
              </w:rPr>
              <w:t>reducing unplanned downtime.</w:t>
            </w:r>
          </w:p>
        </w:tc>
      </w:tr>
      <w:tr w:rsidR="000E123D" w:rsidRPr="005A3967" w14:paraId="0357A053"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6C678CE5" w14:textId="77777777" w:rsidR="000E123D" w:rsidRPr="005A3967" w:rsidRDefault="000E123D" w:rsidP="007327EF">
            <w:pPr>
              <w:spacing w:line="276" w:lineRule="auto"/>
              <w:rPr>
                <w:sz w:val="22"/>
                <w:szCs w:val="22"/>
              </w:rPr>
            </w:pPr>
            <w:r w:rsidRPr="005A3967">
              <w:rPr>
                <w:rStyle w:val="Strong"/>
                <w:rFonts w:eastAsiaTheme="majorEastAsia"/>
                <w:sz w:val="22"/>
                <w:szCs w:val="22"/>
              </w:rPr>
              <w:t>Data Governance</w:t>
            </w:r>
          </w:p>
        </w:tc>
        <w:tc>
          <w:tcPr>
            <w:tcW w:w="6469" w:type="dxa"/>
            <w:vAlign w:val="center"/>
            <w:hideMark/>
          </w:tcPr>
          <w:p w14:paraId="5B952274"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 framework of practices and processes that ensure data is accurate, available, and secure across its lifecycle.</w:t>
            </w:r>
          </w:p>
        </w:tc>
      </w:tr>
      <w:tr w:rsidR="000E123D" w:rsidRPr="005A3967" w14:paraId="7D137D7B"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53AE3E02" w14:textId="77777777" w:rsidR="000E123D" w:rsidRPr="005A3967" w:rsidRDefault="000E123D" w:rsidP="007327EF">
            <w:pPr>
              <w:spacing w:line="276" w:lineRule="auto"/>
              <w:rPr>
                <w:sz w:val="22"/>
                <w:szCs w:val="22"/>
              </w:rPr>
            </w:pPr>
            <w:r w:rsidRPr="005A3967">
              <w:rPr>
                <w:rStyle w:val="Strong"/>
                <w:rFonts w:eastAsiaTheme="majorEastAsia"/>
                <w:sz w:val="22"/>
                <w:szCs w:val="22"/>
              </w:rPr>
              <w:t>Analytics Maturity</w:t>
            </w:r>
          </w:p>
        </w:tc>
        <w:tc>
          <w:tcPr>
            <w:tcW w:w="6469" w:type="dxa"/>
            <w:vAlign w:val="center"/>
            <w:hideMark/>
          </w:tcPr>
          <w:p w14:paraId="5E8DB2DC"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The extent to which an organisation uses analytics effectively, typically progressing from descriptive to predictive and prescriptive insights.</w:t>
            </w:r>
          </w:p>
        </w:tc>
      </w:tr>
      <w:tr w:rsidR="000E123D" w:rsidRPr="005A3967" w14:paraId="71D61304"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6FC1D689" w14:textId="77777777" w:rsidR="000E123D" w:rsidRPr="005A3967" w:rsidRDefault="000E123D" w:rsidP="007327EF">
            <w:pPr>
              <w:spacing w:line="276" w:lineRule="auto"/>
              <w:rPr>
                <w:sz w:val="22"/>
                <w:szCs w:val="22"/>
              </w:rPr>
            </w:pPr>
            <w:r w:rsidRPr="005A3967">
              <w:rPr>
                <w:rStyle w:val="Strong"/>
                <w:rFonts w:eastAsiaTheme="majorEastAsia"/>
                <w:sz w:val="22"/>
                <w:szCs w:val="22"/>
              </w:rPr>
              <w:t>Data Mesh</w:t>
            </w:r>
          </w:p>
        </w:tc>
        <w:tc>
          <w:tcPr>
            <w:tcW w:w="6469" w:type="dxa"/>
            <w:vAlign w:val="center"/>
            <w:hideMark/>
          </w:tcPr>
          <w:p w14:paraId="7A503389"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 decentralised approach to data architecture where data is managed and owned by cross-functional teams as a product.</w:t>
            </w:r>
          </w:p>
        </w:tc>
      </w:tr>
      <w:tr w:rsidR="000E123D" w:rsidRPr="005A3967" w14:paraId="6EAB432C"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3CA47139" w14:textId="77777777" w:rsidR="000E123D" w:rsidRPr="005A3967" w:rsidRDefault="000E123D" w:rsidP="007327EF">
            <w:pPr>
              <w:spacing w:line="276" w:lineRule="auto"/>
              <w:rPr>
                <w:sz w:val="22"/>
                <w:szCs w:val="22"/>
              </w:rPr>
            </w:pPr>
            <w:r w:rsidRPr="005A3967">
              <w:rPr>
                <w:rStyle w:val="Strong"/>
                <w:rFonts w:eastAsiaTheme="majorEastAsia"/>
                <w:sz w:val="22"/>
                <w:szCs w:val="22"/>
              </w:rPr>
              <w:t>DELTA Model</w:t>
            </w:r>
          </w:p>
        </w:tc>
        <w:tc>
          <w:tcPr>
            <w:tcW w:w="6469" w:type="dxa"/>
            <w:vAlign w:val="center"/>
            <w:hideMark/>
          </w:tcPr>
          <w:p w14:paraId="0B98596C"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A framework by Davenport and Harris that outlines five capabilities needed for analytics success: Data, Enterprise-wide focus, Leadership, Targets, and Analysts.</w:t>
            </w:r>
          </w:p>
        </w:tc>
      </w:tr>
      <w:tr w:rsidR="000E123D" w:rsidRPr="005A3967" w14:paraId="2EAC510D"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3B3CDF01" w14:textId="77777777" w:rsidR="000E123D" w:rsidRPr="005A3967" w:rsidRDefault="000E123D" w:rsidP="007327EF">
            <w:pPr>
              <w:spacing w:line="276" w:lineRule="auto"/>
              <w:rPr>
                <w:sz w:val="22"/>
                <w:szCs w:val="22"/>
              </w:rPr>
            </w:pPr>
            <w:r w:rsidRPr="005A3967">
              <w:rPr>
                <w:rStyle w:val="Strong"/>
                <w:rFonts w:eastAsiaTheme="majorEastAsia"/>
                <w:sz w:val="22"/>
                <w:szCs w:val="22"/>
              </w:rPr>
              <w:t>DCAM (Data Management Capability Assessment Model)</w:t>
            </w:r>
          </w:p>
        </w:tc>
        <w:tc>
          <w:tcPr>
            <w:tcW w:w="6469" w:type="dxa"/>
            <w:vAlign w:val="center"/>
            <w:hideMark/>
          </w:tcPr>
          <w:p w14:paraId="2943F21F"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 globally recognised framework from the EDM Council for assessing an organisation's maturity in data management.</w:t>
            </w:r>
          </w:p>
        </w:tc>
      </w:tr>
      <w:tr w:rsidR="000E123D" w:rsidRPr="005A3967" w14:paraId="27650806"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23AE25A2" w14:textId="77777777" w:rsidR="000E123D" w:rsidRPr="005A3967" w:rsidRDefault="000E123D" w:rsidP="007327EF">
            <w:pPr>
              <w:spacing w:line="276" w:lineRule="auto"/>
              <w:rPr>
                <w:sz w:val="22"/>
                <w:szCs w:val="22"/>
              </w:rPr>
            </w:pPr>
            <w:r w:rsidRPr="005A3967">
              <w:rPr>
                <w:rStyle w:val="Strong"/>
                <w:rFonts w:eastAsiaTheme="majorEastAsia"/>
                <w:sz w:val="22"/>
                <w:szCs w:val="22"/>
              </w:rPr>
              <w:t>Triangulation</w:t>
            </w:r>
          </w:p>
        </w:tc>
        <w:tc>
          <w:tcPr>
            <w:tcW w:w="6469" w:type="dxa"/>
            <w:vAlign w:val="center"/>
            <w:hideMark/>
          </w:tcPr>
          <w:p w14:paraId="6AE67D62"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The use of multiple sources, methods, or theories to validate and strengthen research findings.</w:t>
            </w:r>
          </w:p>
        </w:tc>
      </w:tr>
      <w:tr w:rsidR="000E123D" w:rsidRPr="005A3967" w14:paraId="3BD1E418"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69F1858D" w14:textId="77777777" w:rsidR="000E123D" w:rsidRPr="005A3967" w:rsidRDefault="000E123D" w:rsidP="007327EF">
            <w:pPr>
              <w:spacing w:line="276" w:lineRule="auto"/>
              <w:rPr>
                <w:sz w:val="22"/>
                <w:szCs w:val="22"/>
              </w:rPr>
            </w:pPr>
            <w:r w:rsidRPr="005A3967">
              <w:rPr>
                <w:rStyle w:val="Strong"/>
                <w:rFonts w:eastAsiaTheme="majorEastAsia"/>
                <w:sz w:val="22"/>
                <w:szCs w:val="22"/>
              </w:rPr>
              <w:t>Cross-Sectional Study</w:t>
            </w:r>
          </w:p>
        </w:tc>
        <w:tc>
          <w:tcPr>
            <w:tcW w:w="6469" w:type="dxa"/>
            <w:vAlign w:val="center"/>
            <w:hideMark/>
          </w:tcPr>
          <w:p w14:paraId="719D54FA"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Research that collects data at a single point in time to analyse a phenomenon as it exists currently.</w:t>
            </w:r>
          </w:p>
        </w:tc>
      </w:tr>
      <w:tr w:rsidR="000E123D" w:rsidRPr="005A3967" w14:paraId="38645E90"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7E284E7F" w14:textId="77777777" w:rsidR="000E123D" w:rsidRPr="005A3967" w:rsidRDefault="000E123D" w:rsidP="007327EF">
            <w:pPr>
              <w:spacing w:line="276" w:lineRule="auto"/>
              <w:rPr>
                <w:sz w:val="22"/>
                <w:szCs w:val="22"/>
              </w:rPr>
            </w:pPr>
            <w:r w:rsidRPr="005A3967">
              <w:rPr>
                <w:rStyle w:val="Strong"/>
                <w:rFonts w:eastAsiaTheme="majorEastAsia"/>
                <w:sz w:val="22"/>
                <w:szCs w:val="22"/>
              </w:rPr>
              <w:lastRenderedPageBreak/>
              <w:t>Stratified Sampling</w:t>
            </w:r>
          </w:p>
        </w:tc>
        <w:tc>
          <w:tcPr>
            <w:tcW w:w="6469" w:type="dxa"/>
            <w:vAlign w:val="center"/>
            <w:hideMark/>
          </w:tcPr>
          <w:p w14:paraId="6B585FE9"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A method of sampling that ensures different subgroups of a population are proportionally represented.</w:t>
            </w:r>
          </w:p>
        </w:tc>
      </w:tr>
      <w:tr w:rsidR="000E123D" w:rsidRPr="005A3967" w14:paraId="6946695D"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7D8C89F5" w14:textId="77777777" w:rsidR="000E123D" w:rsidRPr="005A3967" w:rsidRDefault="000E123D" w:rsidP="007327EF">
            <w:pPr>
              <w:spacing w:line="276" w:lineRule="auto"/>
              <w:rPr>
                <w:sz w:val="22"/>
                <w:szCs w:val="22"/>
              </w:rPr>
            </w:pPr>
            <w:r w:rsidRPr="005A3967">
              <w:rPr>
                <w:rStyle w:val="Strong"/>
                <w:rFonts w:eastAsiaTheme="majorEastAsia"/>
                <w:sz w:val="22"/>
                <w:szCs w:val="22"/>
              </w:rPr>
              <w:t>Federated Analytics Model</w:t>
            </w:r>
          </w:p>
        </w:tc>
        <w:tc>
          <w:tcPr>
            <w:tcW w:w="6469" w:type="dxa"/>
            <w:vAlign w:val="center"/>
            <w:hideMark/>
          </w:tcPr>
          <w:p w14:paraId="13957F6E"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 decentralised model where analytics teams are embedded within business units rather than controlled centrally.</w:t>
            </w:r>
          </w:p>
        </w:tc>
      </w:tr>
      <w:tr w:rsidR="000E123D" w:rsidRPr="005A3967" w14:paraId="787C35D5"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4D44FCC9" w14:textId="77777777" w:rsidR="000E123D" w:rsidRPr="005A3967" w:rsidRDefault="000E123D" w:rsidP="007327EF">
            <w:pPr>
              <w:spacing w:line="276" w:lineRule="auto"/>
              <w:rPr>
                <w:sz w:val="22"/>
                <w:szCs w:val="22"/>
              </w:rPr>
            </w:pPr>
            <w:r w:rsidRPr="005A3967">
              <w:rPr>
                <w:rStyle w:val="Strong"/>
                <w:rFonts w:eastAsiaTheme="majorEastAsia"/>
                <w:sz w:val="22"/>
                <w:szCs w:val="22"/>
              </w:rPr>
              <w:t>Benchmarking</w:t>
            </w:r>
          </w:p>
        </w:tc>
        <w:tc>
          <w:tcPr>
            <w:tcW w:w="6469" w:type="dxa"/>
            <w:vAlign w:val="center"/>
            <w:hideMark/>
          </w:tcPr>
          <w:p w14:paraId="6AA2895A"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Comparing a company’s processes, metrics, or outcomes to those of best-in-class firms to identify improvement opportunities.</w:t>
            </w:r>
          </w:p>
        </w:tc>
      </w:tr>
      <w:tr w:rsidR="000E123D" w:rsidRPr="005A3967" w14:paraId="49ACA451"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502A1B0C" w14:textId="77777777" w:rsidR="000E123D" w:rsidRPr="005A3967" w:rsidRDefault="000E123D" w:rsidP="007327EF">
            <w:pPr>
              <w:spacing w:line="276" w:lineRule="auto"/>
              <w:rPr>
                <w:sz w:val="22"/>
                <w:szCs w:val="22"/>
              </w:rPr>
            </w:pPr>
            <w:r w:rsidRPr="005A3967">
              <w:rPr>
                <w:rStyle w:val="Strong"/>
                <w:rFonts w:eastAsiaTheme="majorEastAsia"/>
                <w:sz w:val="22"/>
                <w:szCs w:val="22"/>
              </w:rPr>
              <w:t>Data Silos</w:t>
            </w:r>
          </w:p>
        </w:tc>
        <w:tc>
          <w:tcPr>
            <w:tcW w:w="6469" w:type="dxa"/>
            <w:vAlign w:val="center"/>
            <w:hideMark/>
          </w:tcPr>
          <w:p w14:paraId="7A5C8022"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Isolated pockets of data within an organisation that are inaccessible or disconnected from other systems.</w:t>
            </w:r>
          </w:p>
        </w:tc>
      </w:tr>
      <w:tr w:rsidR="000E123D" w:rsidRPr="005A3967" w14:paraId="08925636"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7F289CF3" w14:textId="77777777" w:rsidR="000E123D" w:rsidRPr="005A3967" w:rsidRDefault="000E123D" w:rsidP="007327EF">
            <w:pPr>
              <w:spacing w:line="276" w:lineRule="auto"/>
              <w:rPr>
                <w:sz w:val="22"/>
                <w:szCs w:val="22"/>
              </w:rPr>
            </w:pPr>
            <w:r w:rsidRPr="005A3967">
              <w:rPr>
                <w:rStyle w:val="Strong"/>
                <w:rFonts w:eastAsiaTheme="majorEastAsia"/>
                <w:sz w:val="22"/>
                <w:szCs w:val="22"/>
              </w:rPr>
              <w:t>Regulatory Compliance</w:t>
            </w:r>
          </w:p>
        </w:tc>
        <w:tc>
          <w:tcPr>
            <w:tcW w:w="6469" w:type="dxa"/>
            <w:vAlign w:val="center"/>
            <w:hideMark/>
          </w:tcPr>
          <w:p w14:paraId="541A1B33"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Adherence to laws, regulations, and guidelines such as GDPR, ensuring responsible data handling.</w:t>
            </w:r>
          </w:p>
        </w:tc>
      </w:tr>
      <w:tr w:rsidR="000E123D" w:rsidRPr="005A3967" w14:paraId="7F21266F"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7102118F" w14:textId="77777777" w:rsidR="000E123D" w:rsidRPr="005A3967" w:rsidRDefault="000E123D" w:rsidP="007327EF">
            <w:pPr>
              <w:spacing w:line="276" w:lineRule="auto"/>
              <w:rPr>
                <w:sz w:val="22"/>
                <w:szCs w:val="22"/>
              </w:rPr>
            </w:pPr>
            <w:r w:rsidRPr="005A3967">
              <w:rPr>
                <w:rStyle w:val="Strong"/>
                <w:rFonts w:eastAsiaTheme="majorEastAsia"/>
                <w:sz w:val="22"/>
                <w:szCs w:val="22"/>
              </w:rPr>
              <w:t>SWOT Analysis</w:t>
            </w:r>
          </w:p>
        </w:tc>
        <w:tc>
          <w:tcPr>
            <w:tcW w:w="6469" w:type="dxa"/>
            <w:vAlign w:val="center"/>
            <w:hideMark/>
          </w:tcPr>
          <w:p w14:paraId="776880C6"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 framework for identifying an organisation’s Strengths, Weaknesses, Opportunities, and Threats.</w:t>
            </w:r>
          </w:p>
        </w:tc>
      </w:tr>
      <w:tr w:rsidR="000E123D" w:rsidRPr="005A3967" w14:paraId="27F5229E"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35CC6FEE" w14:textId="77777777" w:rsidR="000E123D" w:rsidRPr="005A3967" w:rsidRDefault="000E123D" w:rsidP="007327EF">
            <w:pPr>
              <w:spacing w:line="276" w:lineRule="auto"/>
              <w:rPr>
                <w:sz w:val="22"/>
                <w:szCs w:val="22"/>
              </w:rPr>
            </w:pPr>
            <w:r w:rsidRPr="005A3967">
              <w:rPr>
                <w:rStyle w:val="Strong"/>
                <w:rFonts w:eastAsiaTheme="majorEastAsia"/>
                <w:sz w:val="22"/>
                <w:szCs w:val="22"/>
              </w:rPr>
              <w:t>SOAR Analysis</w:t>
            </w:r>
          </w:p>
        </w:tc>
        <w:tc>
          <w:tcPr>
            <w:tcW w:w="6469" w:type="dxa"/>
            <w:vAlign w:val="center"/>
            <w:hideMark/>
          </w:tcPr>
          <w:p w14:paraId="7EEEBDD2"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A strengths-based alternative to SWOT focusing on Strengths, Opportunities, Aspirations, and Results.</w:t>
            </w:r>
          </w:p>
        </w:tc>
      </w:tr>
      <w:tr w:rsidR="000E123D" w:rsidRPr="005A3967" w14:paraId="5474061B"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023DCE82" w14:textId="77777777" w:rsidR="000E123D" w:rsidRPr="005A3967" w:rsidRDefault="000E123D" w:rsidP="007327EF">
            <w:pPr>
              <w:spacing w:line="276" w:lineRule="auto"/>
              <w:rPr>
                <w:sz w:val="22"/>
                <w:szCs w:val="22"/>
              </w:rPr>
            </w:pPr>
            <w:r w:rsidRPr="005A3967">
              <w:rPr>
                <w:rStyle w:val="Strong"/>
                <w:rFonts w:eastAsiaTheme="majorEastAsia"/>
                <w:sz w:val="22"/>
                <w:szCs w:val="22"/>
              </w:rPr>
              <w:t>Thematic Analysis</w:t>
            </w:r>
          </w:p>
        </w:tc>
        <w:tc>
          <w:tcPr>
            <w:tcW w:w="6469" w:type="dxa"/>
            <w:vAlign w:val="center"/>
            <w:hideMark/>
          </w:tcPr>
          <w:p w14:paraId="1828132B"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 qualitative method for identifying patterns and themes within interview or textual data.</w:t>
            </w:r>
          </w:p>
        </w:tc>
      </w:tr>
      <w:tr w:rsidR="000E123D" w:rsidRPr="005A3967" w14:paraId="0117EC4F"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021B0E1B" w14:textId="77777777" w:rsidR="000E123D" w:rsidRPr="005A3967" w:rsidRDefault="000E123D" w:rsidP="007327EF">
            <w:pPr>
              <w:spacing w:line="276" w:lineRule="auto"/>
              <w:rPr>
                <w:sz w:val="22"/>
                <w:szCs w:val="22"/>
              </w:rPr>
            </w:pPr>
            <w:r w:rsidRPr="005A3967">
              <w:rPr>
                <w:rStyle w:val="Strong"/>
                <w:rFonts w:eastAsiaTheme="majorEastAsia"/>
                <w:sz w:val="22"/>
                <w:szCs w:val="22"/>
              </w:rPr>
              <w:t>Case Study Research</w:t>
            </w:r>
          </w:p>
        </w:tc>
        <w:tc>
          <w:tcPr>
            <w:tcW w:w="6469" w:type="dxa"/>
            <w:vAlign w:val="center"/>
            <w:hideMark/>
          </w:tcPr>
          <w:p w14:paraId="62F8E28B"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An in-depth exploration of a contemporary phenomenon within its real-world context.</w:t>
            </w:r>
          </w:p>
        </w:tc>
      </w:tr>
      <w:tr w:rsidR="000E123D" w:rsidRPr="005A3967" w14:paraId="0490BE8C"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0DD135D8" w14:textId="77777777" w:rsidR="000E123D" w:rsidRPr="005A3967" w:rsidRDefault="000E123D" w:rsidP="007327EF">
            <w:pPr>
              <w:spacing w:line="276" w:lineRule="auto"/>
              <w:rPr>
                <w:sz w:val="22"/>
                <w:szCs w:val="22"/>
              </w:rPr>
            </w:pPr>
            <w:r w:rsidRPr="005A3967">
              <w:rPr>
                <w:rStyle w:val="Strong"/>
                <w:rFonts w:eastAsiaTheme="majorEastAsia"/>
                <w:sz w:val="22"/>
                <w:szCs w:val="22"/>
              </w:rPr>
              <w:t>Data Stewardship</w:t>
            </w:r>
          </w:p>
        </w:tc>
        <w:tc>
          <w:tcPr>
            <w:tcW w:w="6469" w:type="dxa"/>
            <w:vAlign w:val="center"/>
            <w:hideMark/>
          </w:tcPr>
          <w:p w14:paraId="2E0B5A37"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The responsibility for managing data assets to ensure they are high quality, well-documented, and accessible for business needs.</w:t>
            </w:r>
          </w:p>
        </w:tc>
      </w:tr>
      <w:tr w:rsidR="000E123D" w:rsidRPr="005A3967" w14:paraId="0A66163A"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3FEAB26D" w14:textId="77777777" w:rsidR="000E123D" w:rsidRPr="005A3967" w:rsidRDefault="000E123D" w:rsidP="007327EF">
            <w:pPr>
              <w:spacing w:line="276" w:lineRule="auto"/>
              <w:rPr>
                <w:sz w:val="22"/>
                <w:szCs w:val="22"/>
              </w:rPr>
            </w:pPr>
            <w:r w:rsidRPr="005A3967">
              <w:rPr>
                <w:rStyle w:val="Strong"/>
                <w:rFonts w:eastAsiaTheme="majorEastAsia"/>
                <w:sz w:val="22"/>
                <w:szCs w:val="22"/>
              </w:rPr>
              <w:t>Artificial Intelligence (AI)</w:t>
            </w:r>
          </w:p>
        </w:tc>
        <w:tc>
          <w:tcPr>
            <w:tcW w:w="6469" w:type="dxa"/>
            <w:vAlign w:val="center"/>
            <w:hideMark/>
          </w:tcPr>
          <w:p w14:paraId="29CBCC37"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The simulation of human intelligence by machines, especially for problem-solving and decision-making tasks.</w:t>
            </w:r>
          </w:p>
        </w:tc>
      </w:tr>
      <w:tr w:rsidR="000E123D" w:rsidRPr="005A3967" w14:paraId="59FE8E9C"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096F640C" w14:textId="77777777" w:rsidR="000E123D" w:rsidRPr="005A3967" w:rsidRDefault="000E123D" w:rsidP="007327EF">
            <w:pPr>
              <w:spacing w:line="276" w:lineRule="auto"/>
              <w:rPr>
                <w:sz w:val="22"/>
                <w:szCs w:val="22"/>
              </w:rPr>
            </w:pPr>
            <w:r w:rsidRPr="005A3967">
              <w:rPr>
                <w:rStyle w:val="Strong"/>
                <w:rFonts w:eastAsiaTheme="majorEastAsia"/>
                <w:sz w:val="22"/>
                <w:szCs w:val="22"/>
              </w:rPr>
              <w:t>Machine Learning (ML)</w:t>
            </w:r>
          </w:p>
        </w:tc>
        <w:tc>
          <w:tcPr>
            <w:tcW w:w="6469" w:type="dxa"/>
            <w:vAlign w:val="center"/>
            <w:hideMark/>
          </w:tcPr>
          <w:p w14:paraId="115DE3F3"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A subset of AI that involves algorithms that improve automatically through experience and data patterns.</w:t>
            </w:r>
          </w:p>
        </w:tc>
      </w:tr>
      <w:tr w:rsidR="000E123D" w:rsidRPr="005A3967" w14:paraId="14FE3ABF"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15B1CC65" w14:textId="77777777" w:rsidR="000E123D" w:rsidRPr="005A3967" w:rsidRDefault="000E123D" w:rsidP="007327EF">
            <w:pPr>
              <w:spacing w:line="276" w:lineRule="auto"/>
              <w:rPr>
                <w:sz w:val="22"/>
                <w:szCs w:val="22"/>
              </w:rPr>
            </w:pPr>
            <w:r w:rsidRPr="005A3967">
              <w:rPr>
                <w:rStyle w:val="Strong"/>
                <w:rFonts w:eastAsiaTheme="majorEastAsia"/>
                <w:sz w:val="22"/>
                <w:szCs w:val="22"/>
              </w:rPr>
              <w:t>Prescriptive Analytics</w:t>
            </w:r>
          </w:p>
        </w:tc>
        <w:tc>
          <w:tcPr>
            <w:tcW w:w="6469" w:type="dxa"/>
            <w:vAlign w:val="center"/>
            <w:hideMark/>
          </w:tcPr>
          <w:p w14:paraId="60FAEA5F" w14:textId="0F62060B"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 xml:space="preserve">Advanced analytics that not only </w:t>
            </w:r>
            <w:r w:rsidR="0002751E">
              <w:rPr>
                <w:sz w:val="22"/>
                <w:szCs w:val="22"/>
              </w:rPr>
              <w:t>predict</w:t>
            </w:r>
            <w:r w:rsidRPr="005A3967">
              <w:rPr>
                <w:sz w:val="22"/>
                <w:szCs w:val="22"/>
              </w:rPr>
              <w:t xml:space="preserve"> what might happen but also </w:t>
            </w:r>
            <w:r w:rsidR="0002751E">
              <w:rPr>
                <w:sz w:val="22"/>
                <w:szCs w:val="22"/>
              </w:rPr>
              <w:t>suggest</w:t>
            </w:r>
            <w:r w:rsidRPr="005A3967">
              <w:rPr>
                <w:sz w:val="22"/>
                <w:szCs w:val="22"/>
              </w:rPr>
              <w:t xml:space="preserve"> actions to achieve desired outcomes.</w:t>
            </w:r>
          </w:p>
        </w:tc>
      </w:tr>
      <w:tr w:rsidR="000E123D" w:rsidRPr="005A3967" w14:paraId="762BD26D"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78206B01" w14:textId="77777777" w:rsidR="000E123D" w:rsidRPr="005A3967" w:rsidRDefault="000E123D" w:rsidP="007327EF">
            <w:pPr>
              <w:spacing w:line="276" w:lineRule="auto"/>
              <w:rPr>
                <w:sz w:val="22"/>
                <w:szCs w:val="22"/>
              </w:rPr>
            </w:pPr>
            <w:r w:rsidRPr="005A3967">
              <w:rPr>
                <w:rStyle w:val="Strong"/>
                <w:rFonts w:eastAsiaTheme="majorEastAsia"/>
                <w:sz w:val="22"/>
                <w:szCs w:val="22"/>
              </w:rPr>
              <w:t>Energy Sector Digitalisation</w:t>
            </w:r>
          </w:p>
        </w:tc>
        <w:tc>
          <w:tcPr>
            <w:tcW w:w="6469" w:type="dxa"/>
            <w:vAlign w:val="center"/>
            <w:hideMark/>
          </w:tcPr>
          <w:p w14:paraId="0EB5F95B" w14:textId="0024CE4F"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 xml:space="preserve">The use of digital technologies, such as </w:t>
            </w:r>
            <w:r w:rsidR="00B25D4C" w:rsidRPr="005A3967">
              <w:rPr>
                <w:sz w:val="22"/>
                <w:szCs w:val="22"/>
              </w:rPr>
              <w:t>the Internet of Things (</w:t>
            </w:r>
            <w:r w:rsidRPr="005A3967">
              <w:rPr>
                <w:sz w:val="22"/>
                <w:szCs w:val="22"/>
              </w:rPr>
              <w:t>IoT</w:t>
            </w:r>
            <w:r w:rsidR="00B25D4C" w:rsidRPr="005A3967">
              <w:rPr>
                <w:sz w:val="22"/>
                <w:szCs w:val="22"/>
              </w:rPr>
              <w:t>)</w:t>
            </w:r>
            <w:r w:rsidRPr="005A3967">
              <w:rPr>
                <w:sz w:val="22"/>
                <w:szCs w:val="22"/>
              </w:rPr>
              <w:t xml:space="preserve"> and </w:t>
            </w:r>
            <w:r w:rsidR="00B25D4C" w:rsidRPr="005A3967">
              <w:rPr>
                <w:sz w:val="22"/>
                <w:szCs w:val="22"/>
              </w:rPr>
              <w:t>Artificial Intelligence (</w:t>
            </w:r>
            <w:r w:rsidRPr="005A3967">
              <w:rPr>
                <w:sz w:val="22"/>
                <w:szCs w:val="22"/>
              </w:rPr>
              <w:t>AI</w:t>
            </w:r>
            <w:r w:rsidR="00B25D4C" w:rsidRPr="005A3967">
              <w:rPr>
                <w:sz w:val="22"/>
                <w:szCs w:val="22"/>
              </w:rPr>
              <w:t>)</w:t>
            </w:r>
            <w:r w:rsidRPr="005A3967">
              <w:rPr>
                <w:sz w:val="22"/>
                <w:szCs w:val="22"/>
              </w:rPr>
              <w:t xml:space="preserve">, </w:t>
            </w:r>
            <w:r w:rsidR="007A3770" w:rsidRPr="005A3967">
              <w:rPr>
                <w:sz w:val="22"/>
                <w:szCs w:val="22"/>
              </w:rPr>
              <w:t>is transforming</w:t>
            </w:r>
            <w:r w:rsidRPr="005A3967">
              <w:rPr>
                <w:sz w:val="22"/>
                <w:szCs w:val="22"/>
              </w:rPr>
              <w:t xml:space="preserve"> operations, </w:t>
            </w:r>
            <w:r w:rsidR="007A3770" w:rsidRPr="005A3967">
              <w:rPr>
                <w:sz w:val="22"/>
                <w:szCs w:val="22"/>
              </w:rPr>
              <w:t>improving</w:t>
            </w:r>
            <w:r w:rsidRPr="005A3967">
              <w:rPr>
                <w:sz w:val="22"/>
                <w:szCs w:val="22"/>
              </w:rPr>
              <w:t xml:space="preserve"> energy efficiency, and </w:t>
            </w:r>
            <w:r w:rsidR="007A3770" w:rsidRPr="005A3967">
              <w:rPr>
                <w:sz w:val="22"/>
                <w:szCs w:val="22"/>
              </w:rPr>
              <w:t>enhancing</w:t>
            </w:r>
            <w:r w:rsidRPr="005A3967">
              <w:rPr>
                <w:sz w:val="22"/>
                <w:szCs w:val="22"/>
              </w:rPr>
              <w:t xml:space="preserve"> customer engagement in the energy industry.</w:t>
            </w:r>
          </w:p>
        </w:tc>
      </w:tr>
      <w:tr w:rsidR="000E123D" w:rsidRPr="005A3967" w14:paraId="39630FEE"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0A348C8C" w14:textId="77777777" w:rsidR="000E123D" w:rsidRPr="005A3967" w:rsidRDefault="000E123D" w:rsidP="007327EF">
            <w:pPr>
              <w:spacing w:line="276" w:lineRule="auto"/>
              <w:rPr>
                <w:sz w:val="22"/>
                <w:szCs w:val="22"/>
              </w:rPr>
            </w:pPr>
            <w:r w:rsidRPr="005A3967">
              <w:rPr>
                <w:rStyle w:val="Strong"/>
                <w:rFonts w:eastAsiaTheme="majorEastAsia"/>
                <w:sz w:val="22"/>
                <w:szCs w:val="22"/>
              </w:rPr>
              <w:t>Ofgem</w:t>
            </w:r>
          </w:p>
        </w:tc>
        <w:tc>
          <w:tcPr>
            <w:tcW w:w="6469" w:type="dxa"/>
            <w:vAlign w:val="center"/>
            <w:hideMark/>
          </w:tcPr>
          <w:p w14:paraId="1D008E62"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The UK’s energy regulator, ensuring fair competition and consumer protection in the gas and electricity markets.</w:t>
            </w:r>
          </w:p>
        </w:tc>
      </w:tr>
      <w:tr w:rsidR="000E123D" w:rsidRPr="005A3967" w14:paraId="711B46D5"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2866FE7F" w14:textId="77777777" w:rsidR="000E123D" w:rsidRPr="005A3967" w:rsidRDefault="000E123D" w:rsidP="007327EF">
            <w:pPr>
              <w:spacing w:line="276" w:lineRule="auto"/>
              <w:rPr>
                <w:sz w:val="22"/>
                <w:szCs w:val="22"/>
              </w:rPr>
            </w:pPr>
            <w:r w:rsidRPr="005A3967">
              <w:rPr>
                <w:rStyle w:val="Strong"/>
                <w:rFonts w:eastAsiaTheme="majorEastAsia"/>
                <w:sz w:val="22"/>
                <w:szCs w:val="22"/>
              </w:rPr>
              <w:t>Smart Grids</w:t>
            </w:r>
          </w:p>
        </w:tc>
        <w:tc>
          <w:tcPr>
            <w:tcW w:w="6469" w:type="dxa"/>
            <w:vAlign w:val="center"/>
            <w:hideMark/>
          </w:tcPr>
          <w:p w14:paraId="123E0A3B"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Digitally enabled electrical grids that use data and predictive analytics to manage energy flow more efficiently.</w:t>
            </w:r>
          </w:p>
        </w:tc>
      </w:tr>
      <w:tr w:rsidR="000E123D" w:rsidRPr="005A3967" w14:paraId="2BFA8A4F"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3E794B92" w14:textId="77777777" w:rsidR="000E123D" w:rsidRPr="005A3967" w:rsidRDefault="000E123D" w:rsidP="007327EF">
            <w:pPr>
              <w:spacing w:line="276" w:lineRule="auto"/>
              <w:rPr>
                <w:sz w:val="22"/>
                <w:szCs w:val="22"/>
              </w:rPr>
            </w:pPr>
            <w:r w:rsidRPr="005A3967">
              <w:rPr>
                <w:rStyle w:val="Strong"/>
                <w:rFonts w:eastAsiaTheme="majorEastAsia"/>
                <w:sz w:val="22"/>
                <w:szCs w:val="22"/>
              </w:rPr>
              <w:t>Metadata Management</w:t>
            </w:r>
          </w:p>
        </w:tc>
        <w:tc>
          <w:tcPr>
            <w:tcW w:w="6469" w:type="dxa"/>
            <w:vAlign w:val="center"/>
            <w:hideMark/>
          </w:tcPr>
          <w:p w14:paraId="4E54F2FC"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Processes for managing information about other data, crucial for understanding, using, and governing data effectively.</w:t>
            </w:r>
          </w:p>
        </w:tc>
      </w:tr>
      <w:tr w:rsidR="000E123D" w:rsidRPr="005A3967" w14:paraId="27107072"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4598CD98" w14:textId="77777777" w:rsidR="000E123D" w:rsidRPr="005A3967" w:rsidRDefault="000E123D" w:rsidP="007327EF">
            <w:pPr>
              <w:spacing w:line="276" w:lineRule="auto"/>
              <w:rPr>
                <w:sz w:val="22"/>
                <w:szCs w:val="22"/>
              </w:rPr>
            </w:pPr>
            <w:r w:rsidRPr="005A3967">
              <w:rPr>
                <w:rStyle w:val="Strong"/>
                <w:rFonts w:eastAsiaTheme="majorEastAsia"/>
                <w:sz w:val="22"/>
                <w:szCs w:val="22"/>
              </w:rPr>
              <w:t>Predictive Modelling</w:t>
            </w:r>
          </w:p>
        </w:tc>
        <w:tc>
          <w:tcPr>
            <w:tcW w:w="6469" w:type="dxa"/>
            <w:vAlign w:val="center"/>
            <w:hideMark/>
          </w:tcPr>
          <w:p w14:paraId="12141258" w14:textId="08D380DC"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 xml:space="preserve">The process of creating, testing, and validating a model </w:t>
            </w:r>
            <w:r w:rsidR="00DB1233" w:rsidRPr="005A3967">
              <w:rPr>
                <w:sz w:val="22"/>
                <w:szCs w:val="22"/>
              </w:rPr>
              <w:t>to predict the probability of an outcome best</w:t>
            </w:r>
            <w:r w:rsidRPr="005A3967">
              <w:rPr>
                <w:sz w:val="22"/>
                <w:szCs w:val="22"/>
              </w:rPr>
              <w:t>.</w:t>
            </w:r>
          </w:p>
        </w:tc>
      </w:tr>
      <w:tr w:rsidR="000E123D" w:rsidRPr="005A3967" w14:paraId="7FE2F6EF"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3CB67AEA" w14:textId="77777777" w:rsidR="000E123D" w:rsidRPr="005A3967" w:rsidRDefault="000E123D" w:rsidP="007327EF">
            <w:pPr>
              <w:spacing w:line="276" w:lineRule="auto"/>
              <w:rPr>
                <w:sz w:val="22"/>
                <w:szCs w:val="22"/>
              </w:rPr>
            </w:pPr>
            <w:r w:rsidRPr="005A3967">
              <w:rPr>
                <w:rStyle w:val="Strong"/>
                <w:rFonts w:eastAsiaTheme="majorEastAsia"/>
                <w:sz w:val="22"/>
                <w:szCs w:val="22"/>
              </w:rPr>
              <w:t>Digital Transformation</w:t>
            </w:r>
          </w:p>
        </w:tc>
        <w:tc>
          <w:tcPr>
            <w:tcW w:w="6469" w:type="dxa"/>
            <w:vAlign w:val="center"/>
            <w:hideMark/>
          </w:tcPr>
          <w:p w14:paraId="3F963102"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Organisational change through the integration of digital technologies into all areas of business operations.</w:t>
            </w:r>
          </w:p>
        </w:tc>
      </w:tr>
      <w:tr w:rsidR="000E123D" w:rsidRPr="005A3967" w14:paraId="44D53E6D"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41282D87" w14:textId="77777777" w:rsidR="000E123D" w:rsidRPr="005A3967" w:rsidRDefault="000E123D" w:rsidP="007327EF">
            <w:pPr>
              <w:spacing w:line="276" w:lineRule="auto"/>
              <w:rPr>
                <w:sz w:val="22"/>
                <w:szCs w:val="22"/>
              </w:rPr>
            </w:pPr>
            <w:r w:rsidRPr="005A3967">
              <w:rPr>
                <w:rStyle w:val="Strong"/>
                <w:rFonts w:eastAsiaTheme="majorEastAsia"/>
                <w:sz w:val="22"/>
                <w:szCs w:val="22"/>
              </w:rPr>
              <w:t>Knowledge Management</w:t>
            </w:r>
          </w:p>
        </w:tc>
        <w:tc>
          <w:tcPr>
            <w:tcW w:w="6469" w:type="dxa"/>
            <w:vAlign w:val="center"/>
            <w:hideMark/>
          </w:tcPr>
          <w:p w14:paraId="3D6773E0" w14:textId="77777777"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The process of capturing, distributing, and effectively using organisational knowledge for strategic advantage.</w:t>
            </w:r>
          </w:p>
        </w:tc>
      </w:tr>
      <w:tr w:rsidR="000E123D" w:rsidRPr="005A3967" w14:paraId="4E7E3FBA" w14:textId="77777777" w:rsidTr="00F822FE">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43C8C493" w14:textId="77777777" w:rsidR="000E123D" w:rsidRPr="005A3967" w:rsidRDefault="000E123D" w:rsidP="007327EF">
            <w:pPr>
              <w:spacing w:line="276" w:lineRule="auto"/>
              <w:rPr>
                <w:sz w:val="22"/>
                <w:szCs w:val="22"/>
              </w:rPr>
            </w:pPr>
            <w:r w:rsidRPr="005A3967">
              <w:rPr>
                <w:rStyle w:val="Strong"/>
                <w:rFonts w:eastAsiaTheme="majorEastAsia"/>
                <w:sz w:val="22"/>
                <w:szCs w:val="22"/>
              </w:rPr>
              <w:t>Data Ethics</w:t>
            </w:r>
          </w:p>
        </w:tc>
        <w:tc>
          <w:tcPr>
            <w:tcW w:w="6469" w:type="dxa"/>
            <w:vAlign w:val="center"/>
            <w:hideMark/>
          </w:tcPr>
          <w:p w14:paraId="082A013D" w14:textId="77777777" w:rsidR="000E123D" w:rsidRPr="005A3967" w:rsidRDefault="000E123D" w:rsidP="007327EF">
            <w:pPr>
              <w:spacing w:line="276" w:lineRule="auto"/>
              <w:cnfStyle w:val="000000000000" w:firstRow="0" w:lastRow="0" w:firstColumn="0" w:lastColumn="0" w:oddVBand="0" w:evenVBand="0" w:oddHBand="0" w:evenHBand="0" w:firstRowFirstColumn="0" w:firstRowLastColumn="0" w:lastRowFirstColumn="0" w:lastRowLastColumn="0"/>
              <w:rPr>
                <w:sz w:val="22"/>
                <w:szCs w:val="22"/>
              </w:rPr>
            </w:pPr>
            <w:r w:rsidRPr="005A3967">
              <w:rPr>
                <w:sz w:val="22"/>
                <w:szCs w:val="22"/>
              </w:rPr>
              <w:t>The principles and practices around responsible collection, use, and sharing of data, with a focus on fairness, transparency, and accountability.</w:t>
            </w:r>
          </w:p>
        </w:tc>
      </w:tr>
      <w:tr w:rsidR="000E123D" w:rsidRPr="005A3967" w14:paraId="663AF8CB" w14:textId="77777777" w:rsidTr="00F82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hideMark/>
          </w:tcPr>
          <w:p w14:paraId="5C5F8FBF" w14:textId="77777777" w:rsidR="000E123D" w:rsidRPr="005A3967" w:rsidRDefault="000E123D" w:rsidP="007327EF">
            <w:pPr>
              <w:spacing w:line="276" w:lineRule="auto"/>
              <w:rPr>
                <w:sz w:val="22"/>
                <w:szCs w:val="22"/>
              </w:rPr>
            </w:pPr>
            <w:r w:rsidRPr="005A3967">
              <w:rPr>
                <w:rStyle w:val="Strong"/>
                <w:rFonts w:eastAsiaTheme="majorEastAsia"/>
                <w:sz w:val="22"/>
                <w:szCs w:val="22"/>
              </w:rPr>
              <w:t>Change Management</w:t>
            </w:r>
          </w:p>
        </w:tc>
        <w:tc>
          <w:tcPr>
            <w:tcW w:w="6469" w:type="dxa"/>
            <w:vAlign w:val="center"/>
            <w:hideMark/>
          </w:tcPr>
          <w:p w14:paraId="591A6FAC" w14:textId="5796D73A" w:rsidR="000E123D" w:rsidRPr="005A3967" w:rsidRDefault="000E123D" w:rsidP="007327EF">
            <w:pPr>
              <w:spacing w:line="276" w:lineRule="auto"/>
              <w:cnfStyle w:val="000000100000" w:firstRow="0" w:lastRow="0" w:firstColumn="0" w:lastColumn="0" w:oddVBand="0" w:evenVBand="0" w:oddHBand="1" w:evenHBand="0" w:firstRowFirstColumn="0" w:firstRowLastColumn="0" w:lastRowFirstColumn="0" w:lastRowLastColumn="0"/>
              <w:rPr>
                <w:sz w:val="22"/>
                <w:szCs w:val="22"/>
              </w:rPr>
            </w:pPr>
            <w:r w:rsidRPr="005A3967">
              <w:rPr>
                <w:sz w:val="22"/>
                <w:szCs w:val="22"/>
              </w:rPr>
              <w:t xml:space="preserve">The approach used to prepare, support, and help individuals and teams adapt to organisational change initiatives, including </w:t>
            </w:r>
            <w:r w:rsidR="00B25D4C" w:rsidRPr="005A3967">
              <w:rPr>
                <w:sz w:val="22"/>
                <w:szCs w:val="22"/>
              </w:rPr>
              <w:t>the</w:t>
            </w:r>
            <w:r w:rsidRPr="005A3967">
              <w:rPr>
                <w:sz w:val="22"/>
                <w:szCs w:val="22"/>
              </w:rPr>
              <w:t xml:space="preserve"> adoption</w:t>
            </w:r>
            <w:r w:rsidR="00B25D4C" w:rsidRPr="005A3967">
              <w:rPr>
                <w:sz w:val="22"/>
                <w:szCs w:val="22"/>
              </w:rPr>
              <w:t xml:space="preserve"> of analytics</w:t>
            </w:r>
            <w:r w:rsidRPr="005A3967">
              <w:rPr>
                <w:sz w:val="22"/>
                <w:szCs w:val="22"/>
              </w:rPr>
              <w:t>.</w:t>
            </w:r>
          </w:p>
        </w:tc>
      </w:tr>
    </w:tbl>
    <w:p w14:paraId="6A584A05" w14:textId="77777777" w:rsidR="000E123D" w:rsidRPr="005A3967" w:rsidRDefault="000E123D" w:rsidP="00F822FE">
      <w:pPr>
        <w:spacing w:line="360" w:lineRule="auto"/>
      </w:pPr>
    </w:p>
    <w:p w14:paraId="5FDBD72D" w14:textId="4CE01D83" w:rsidR="000A7E86" w:rsidRPr="005A3967" w:rsidRDefault="000A7E86" w:rsidP="00F822FE">
      <w:pPr>
        <w:spacing w:line="360" w:lineRule="auto"/>
      </w:pPr>
      <w:r w:rsidRPr="005A3967">
        <w:rPr>
          <w:rStyle w:val="Strong"/>
          <w:rFonts w:eastAsiaTheme="majorEastAsia"/>
        </w:rPr>
        <w:lastRenderedPageBreak/>
        <w:t>Note:</w:t>
      </w:r>
      <w:r w:rsidRPr="005A3967">
        <w:t xml:space="preserve"> This glossary will be referenced throughout the final dissertation (especially in Sections 1, 2, 4, and 6) and will help bridge knowledge gaps for academic assessors, business stakeholders, and non-technical readers engaging with the study’s findings.</w:t>
      </w:r>
    </w:p>
    <w:sectPr w:rsidR="000A7E86" w:rsidRPr="005A3967" w:rsidSect="004C5CA0">
      <w:pgSz w:w="11906" w:h="16838"/>
      <w:pgMar w:top="1006" w:right="1440" w:bottom="1269"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6CC97" w14:textId="77777777" w:rsidR="004862A8" w:rsidRDefault="004862A8" w:rsidP="00413AF0">
      <w:r>
        <w:separator/>
      </w:r>
    </w:p>
  </w:endnote>
  <w:endnote w:type="continuationSeparator" w:id="0">
    <w:p w14:paraId="2A94B1BC" w14:textId="77777777" w:rsidR="004862A8" w:rsidRDefault="004862A8" w:rsidP="00413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07090432"/>
      <w:docPartObj>
        <w:docPartGallery w:val="Page Numbers (Bottom of Page)"/>
        <w:docPartUnique/>
      </w:docPartObj>
    </w:sdtPr>
    <w:sdtContent>
      <w:p w14:paraId="36B9B799" w14:textId="62026CE1" w:rsidR="00C96773" w:rsidRDefault="00C96773" w:rsidP="001E66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7878A8" w14:textId="77777777" w:rsidR="00C96773" w:rsidRDefault="00C96773" w:rsidP="00C967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099612"/>
      <w:docPartObj>
        <w:docPartGallery w:val="Page Numbers (Bottom of Page)"/>
        <w:docPartUnique/>
      </w:docPartObj>
    </w:sdtPr>
    <w:sdtContent>
      <w:p w14:paraId="2AAC1222" w14:textId="68347303" w:rsidR="00C96773" w:rsidRDefault="00C96773" w:rsidP="001E66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1E6240" w14:textId="77777777" w:rsidR="00C96773" w:rsidRDefault="00C96773" w:rsidP="00C9677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1B71B" w14:textId="3EA06562" w:rsidR="002C5DE0" w:rsidRDefault="002C5DE0" w:rsidP="00A7321F">
    <w:pPr>
      <w:pStyle w:val="Footer"/>
      <w:framePr w:wrap="notBeside" w:vAnchor="text" w:hAnchor="margin" w:xAlign="right" w:y="1"/>
      <w:rPr>
        <w:rStyle w:val="PageNumber"/>
      </w:rPr>
    </w:pPr>
  </w:p>
  <w:p w14:paraId="2C391F11" w14:textId="77777777" w:rsidR="002C5DE0" w:rsidRDefault="002C5DE0" w:rsidP="002C5D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0D02C" w14:textId="77777777" w:rsidR="004862A8" w:rsidRDefault="004862A8" w:rsidP="00413AF0">
      <w:r>
        <w:separator/>
      </w:r>
    </w:p>
  </w:footnote>
  <w:footnote w:type="continuationSeparator" w:id="0">
    <w:p w14:paraId="69BBC921" w14:textId="77777777" w:rsidR="004862A8" w:rsidRDefault="004862A8" w:rsidP="00413AF0">
      <w:r>
        <w:continuationSeparator/>
      </w:r>
    </w:p>
  </w:footnote>
  <w:footnote w:id="1">
    <w:p w14:paraId="6596D8B8" w14:textId="44884A9C" w:rsidR="00922007" w:rsidRDefault="00922007">
      <w:pPr>
        <w:pStyle w:val="FootnoteText"/>
      </w:pPr>
      <w:r>
        <w:rPr>
          <w:rStyle w:val="FootnoteReference"/>
        </w:rPr>
        <w:footnoteRef/>
      </w:r>
      <w:r>
        <w:t xml:space="preserve"> </w:t>
      </w:r>
      <w:r>
        <w:rPr>
          <w:rStyle w:val="Strong"/>
          <w:rFonts w:eastAsiaTheme="majorEastAsia"/>
        </w:rPr>
        <w:t>Table 1: Alignment of Research Objectives and Research Questions</w:t>
      </w:r>
      <w:r>
        <w:br/>
      </w:r>
      <w:r>
        <w:rPr>
          <w:rStyle w:val="Emphasis"/>
          <w:rFonts w:eastAsiaTheme="majorEastAsia"/>
        </w:rPr>
        <w:t>This table outlines the mapping between the study’s key objectives and the specific research questions designed to address them, ensuring a focused and structured investigation.</w:t>
      </w:r>
    </w:p>
  </w:footnote>
  <w:footnote w:id="2">
    <w:p w14:paraId="785E8AF1" w14:textId="1E489121" w:rsidR="00413AF0" w:rsidRDefault="00413AF0">
      <w:pPr>
        <w:pStyle w:val="FootnoteText"/>
      </w:pPr>
      <w:r>
        <w:rPr>
          <w:rStyle w:val="FootnoteReference"/>
        </w:rPr>
        <w:footnoteRef/>
      </w:r>
      <w:r>
        <w:t xml:space="preserve"> </w:t>
      </w:r>
      <w:r w:rsidR="00922007">
        <w:rPr>
          <w:rStyle w:val="Strong"/>
          <w:rFonts w:eastAsiaTheme="majorEastAsia"/>
        </w:rPr>
        <w:t>Figure 1: SSE Plc Digital Transformation Timeline</w:t>
      </w:r>
      <w:r w:rsidR="00922007">
        <w:br/>
      </w:r>
      <w:r w:rsidR="00922007">
        <w:rPr>
          <w:rStyle w:val="Emphasis"/>
          <w:rFonts w:eastAsiaTheme="majorEastAsia"/>
        </w:rPr>
        <w:t>This timeline illustrates key phases in SSE’s digital evolution, from legacy financial systems towards enterprise-wide AI and predictive analytics integration.</w:t>
      </w:r>
    </w:p>
  </w:footnote>
  <w:footnote w:id="3">
    <w:p w14:paraId="01DFEF9E" w14:textId="273DF5A0" w:rsidR="00622D99" w:rsidRDefault="00622D99">
      <w:pPr>
        <w:pStyle w:val="FootnoteText"/>
      </w:pPr>
      <w:r>
        <w:rPr>
          <w:rStyle w:val="FootnoteReference"/>
        </w:rPr>
        <w:footnoteRef/>
      </w:r>
      <w:r>
        <w:t xml:space="preserve"> </w:t>
      </w:r>
      <w:r>
        <w:rPr>
          <w:rStyle w:val="Strong"/>
          <w:rFonts w:eastAsiaTheme="majorEastAsia"/>
        </w:rPr>
        <w:t>Figure 2: Gartner Analytics Maturity Model and Typical Utility Sector Positioning</w:t>
      </w:r>
      <w:r>
        <w:br/>
      </w:r>
      <w:r>
        <w:rPr>
          <w:rStyle w:val="Emphasis"/>
          <w:rFonts w:eastAsiaTheme="majorEastAsia"/>
        </w:rPr>
        <w:t>Adapted from Gartner (2024), this figure contextualises SSE PLC’s analytics maturity against sector norms, illustrating its progression towards prescriptive analytics.</w:t>
      </w:r>
    </w:p>
  </w:footnote>
  <w:footnote w:id="4">
    <w:p w14:paraId="11B2BBA5" w14:textId="2E67E9CE" w:rsidR="006B2945" w:rsidRDefault="006B2945">
      <w:pPr>
        <w:pStyle w:val="FootnoteText"/>
      </w:pPr>
      <w:r>
        <w:rPr>
          <w:rStyle w:val="FootnoteReference"/>
        </w:rPr>
        <w:footnoteRef/>
      </w:r>
      <w:r>
        <w:t xml:space="preserve"> </w:t>
      </w:r>
      <w:r>
        <w:rPr>
          <w:rStyle w:val="Strong"/>
          <w:rFonts w:eastAsiaTheme="majorEastAsia"/>
        </w:rPr>
        <w:t>Table 3: Comparison of Centralised, Federated, and Hybrid Analytics Structures</w:t>
      </w:r>
      <w:r>
        <w:br/>
      </w:r>
      <w:r>
        <w:rPr>
          <w:rStyle w:val="Emphasis"/>
          <w:rFonts w:eastAsiaTheme="majorEastAsia"/>
        </w:rPr>
        <w:t>This table compares key characteristics, advantages, and limitations of centralised, federated, and hybrid analytics models, highlighting trade-offs between governance strength, agility, and complexity.</w:t>
      </w:r>
    </w:p>
  </w:footnote>
  <w:footnote w:id="5">
    <w:p w14:paraId="297F0DE2" w14:textId="1357905E" w:rsidR="006B2945" w:rsidRDefault="006B2945">
      <w:pPr>
        <w:pStyle w:val="FootnoteText"/>
      </w:pPr>
      <w:r>
        <w:rPr>
          <w:rStyle w:val="FootnoteReference"/>
        </w:rPr>
        <w:footnoteRef/>
      </w:r>
      <w:r>
        <w:t xml:space="preserve"> </w:t>
      </w:r>
      <w:r>
        <w:rPr>
          <w:rStyle w:val="Strong"/>
          <w:rFonts w:eastAsiaTheme="majorEastAsia"/>
        </w:rPr>
        <w:t>Figure 3: Integrated Conceptual Framework Linking DELTA and DCAM Models to Organisational Readiness at SSE PLC</w:t>
      </w:r>
      <w:r>
        <w:br/>
      </w:r>
      <w:r>
        <w:rPr>
          <w:rStyle w:val="Emphasis"/>
          <w:rFonts w:eastAsiaTheme="majorEastAsia"/>
        </w:rPr>
        <w:t>Source: Author’s elaboration based on Davenport and Harris (2007) and EDM Council (2020). This framework combines analytics capability (DELTA) and governance maturity (DCAM) to assess SSE’s predictive analytics readiness.</w:t>
      </w:r>
    </w:p>
  </w:footnote>
  <w:footnote w:id="6">
    <w:p w14:paraId="4A455546" w14:textId="77777777" w:rsidR="00C03DF3" w:rsidRDefault="00C03DF3" w:rsidP="00C03DF3">
      <w:pPr>
        <w:pStyle w:val="FootnoteText"/>
      </w:pPr>
      <w:r>
        <w:rPr>
          <w:rStyle w:val="FootnoteReference"/>
        </w:rPr>
        <w:footnoteRef/>
      </w:r>
      <w:r>
        <w:t xml:space="preserve"> </w:t>
      </w:r>
      <w:r>
        <w:rPr>
          <w:rStyle w:val="Strong"/>
          <w:rFonts w:eastAsiaTheme="majorEastAsia"/>
        </w:rPr>
        <w:t>Figure 4: SSE PLC Analytics Integration Maturity Model</w:t>
      </w:r>
      <w:r>
        <w:br/>
      </w:r>
      <w:r>
        <w:rPr>
          <w:rStyle w:val="Emphasis"/>
          <w:rFonts w:eastAsiaTheme="majorEastAsia"/>
        </w:rPr>
        <w:t>Adapted from the author’s conceptualisation based on DELTA and DCAM frameworks, this model outlines the staged progression from isolated pilots to strategic analytics leadership at scale.</w:t>
      </w:r>
    </w:p>
  </w:footnote>
  <w:footnote w:id="7">
    <w:p w14:paraId="1E032A3F" w14:textId="206B2568" w:rsidR="006B2945" w:rsidRDefault="006B2945">
      <w:pPr>
        <w:pStyle w:val="FootnoteText"/>
      </w:pPr>
      <w:r>
        <w:rPr>
          <w:rStyle w:val="FootnoteReference"/>
        </w:rPr>
        <w:footnoteRef/>
      </w:r>
      <w:r>
        <w:t xml:space="preserve"> </w:t>
      </w:r>
      <w:r>
        <w:rPr>
          <w:rStyle w:val="Strong"/>
          <w:rFonts w:eastAsiaTheme="majorEastAsia"/>
        </w:rPr>
        <w:t xml:space="preserve">Table </w:t>
      </w:r>
      <w:r w:rsidR="0032543B">
        <w:rPr>
          <w:rStyle w:val="Strong"/>
          <w:rFonts w:eastAsiaTheme="majorEastAsia"/>
        </w:rPr>
        <w:t>6</w:t>
      </w:r>
      <w:r>
        <w:rPr>
          <w:rStyle w:val="Strong"/>
          <w:rFonts w:eastAsiaTheme="majorEastAsia"/>
        </w:rPr>
        <w:t>: Comparative Overview of DELTA and DCAM Analytics Maturity Models</w:t>
      </w:r>
      <w:r>
        <w:br/>
      </w:r>
      <w:r>
        <w:rPr>
          <w:rStyle w:val="Emphasis"/>
          <w:rFonts w:eastAsiaTheme="majorEastAsia"/>
        </w:rPr>
        <w:t>This table compares the DELTA and DCAM models across focus areas, strengths, limitations, and relevance to SSE PLC’s analytics integration strategy.</w:t>
      </w:r>
    </w:p>
  </w:footnote>
  <w:footnote w:id="8">
    <w:p w14:paraId="631874D7" w14:textId="526A7337" w:rsidR="006B2945" w:rsidRDefault="006B2945">
      <w:pPr>
        <w:pStyle w:val="FootnoteText"/>
      </w:pPr>
      <w:r>
        <w:rPr>
          <w:rStyle w:val="FootnoteReference"/>
        </w:rPr>
        <w:footnoteRef/>
      </w:r>
      <w:r>
        <w:t xml:space="preserve"> </w:t>
      </w:r>
      <w:r>
        <w:rPr>
          <w:rStyle w:val="Strong"/>
          <w:rFonts w:eastAsiaTheme="majorEastAsia"/>
        </w:rPr>
        <w:t xml:space="preserve">Table </w:t>
      </w:r>
      <w:r w:rsidR="0032543B">
        <w:rPr>
          <w:rStyle w:val="Strong"/>
          <w:rFonts w:eastAsiaTheme="majorEastAsia"/>
        </w:rPr>
        <w:t>7</w:t>
      </w:r>
      <w:r>
        <w:rPr>
          <w:rStyle w:val="Strong"/>
          <w:rFonts w:eastAsiaTheme="majorEastAsia"/>
        </w:rPr>
        <w:t>: Comparative Analytics Maturity of SSE PLC vs National Grid (2024)</w:t>
      </w:r>
      <w:r>
        <w:br/>
      </w:r>
      <w:r>
        <w:rPr>
          <w:rStyle w:val="Emphasis"/>
          <w:rFonts w:eastAsiaTheme="majorEastAsia"/>
        </w:rPr>
        <w:t>This table compares SSE PLC and National Grid across leadership, data governance, analytics integration, predictive analytics use, and key challenges, highlighting sector positioning in 2024.</w:t>
      </w:r>
    </w:p>
  </w:footnote>
  <w:footnote w:id="9">
    <w:p w14:paraId="1B142E89" w14:textId="5638815E" w:rsidR="006B2945" w:rsidRDefault="006B2945">
      <w:pPr>
        <w:pStyle w:val="FootnoteText"/>
      </w:pPr>
      <w:r>
        <w:rPr>
          <w:rStyle w:val="FootnoteReference"/>
        </w:rPr>
        <w:footnoteRef/>
      </w:r>
      <w:r>
        <w:t xml:space="preserve"> </w:t>
      </w:r>
      <w:r>
        <w:rPr>
          <w:rStyle w:val="Strong"/>
          <w:rFonts w:eastAsiaTheme="majorEastAsia"/>
        </w:rPr>
        <w:t xml:space="preserve">Table </w:t>
      </w:r>
      <w:r w:rsidR="0032543B">
        <w:rPr>
          <w:rStyle w:val="Strong"/>
          <w:rFonts w:eastAsiaTheme="majorEastAsia"/>
        </w:rPr>
        <w:t>8</w:t>
      </w:r>
      <w:r>
        <w:rPr>
          <w:rStyle w:val="Strong"/>
          <w:rFonts w:eastAsiaTheme="majorEastAsia"/>
        </w:rPr>
        <w:t>: Comparative Analytics Maturity Across UK Utility Firms (2024)</w:t>
      </w:r>
      <w:r>
        <w:br/>
      </w:r>
      <w:r>
        <w:rPr>
          <w:rStyle w:val="Emphasis"/>
          <w:rFonts w:eastAsiaTheme="majorEastAsia"/>
        </w:rPr>
        <w:t>This table benchmarks SSE PLC against major UK utilities across data governance maturity, predictive analytics adoption, AI integration readiness, leadership commitment, and enterprise-wide integration, based on 2024 sector data.</w:t>
      </w:r>
    </w:p>
  </w:footnote>
  <w:footnote w:id="10">
    <w:p w14:paraId="6D8FCF74" w14:textId="00D55014" w:rsidR="006B2945" w:rsidRDefault="006B2945">
      <w:pPr>
        <w:pStyle w:val="FootnoteText"/>
      </w:pPr>
      <w:r>
        <w:rPr>
          <w:rStyle w:val="FootnoteReference"/>
        </w:rPr>
        <w:footnoteRef/>
      </w:r>
      <w:r>
        <w:t xml:space="preserve"> </w:t>
      </w:r>
      <w:r>
        <w:rPr>
          <w:rStyle w:val="Strong"/>
          <w:rFonts w:eastAsiaTheme="majorEastAsia"/>
        </w:rPr>
        <w:t>Figure 5: Predictive Analytics Adoption Rates Among Major UK Energy Firms (2024)</w:t>
      </w:r>
      <w:r>
        <w:br/>
      </w:r>
      <w:r>
        <w:rPr>
          <w:rStyle w:val="Emphasis"/>
          <w:rFonts w:eastAsiaTheme="majorEastAsia"/>
        </w:rPr>
        <w:t>Data Source: Adapted from Gartner (2024) and Ofgem (2024). This figure compares predictive analytics adoption percentages across leading UK energy companies.</w:t>
      </w:r>
    </w:p>
  </w:footnote>
  <w:footnote w:id="11">
    <w:p w14:paraId="50D20C38" w14:textId="5697C558" w:rsidR="006B2945" w:rsidRDefault="006B2945">
      <w:pPr>
        <w:pStyle w:val="FootnoteText"/>
      </w:pPr>
      <w:r>
        <w:rPr>
          <w:rStyle w:val="FootnoteReference"/>
        </w:rPr>
        <w:footnoteRef/>
      </w:r>
      <w:r>
        <w:t xml:space="preserve"> </w:t>
      </w:r>
      <w:r>
        <w:rPr>
          <w:rStyle w:val="Strong"/>
          <w:rFonts w:eastAsiaTheme="majorEastAsia"/>
        </w:rPr>
        <w:t xml:space="preserve">Table </w:t>
      </w:r>
      <w:r w:rsidR="0032543B">
        <w:rPr>
          <w:rStyle w:val="Strong"/>
          <w:rFonts w:eastAsiaTheme="majorEastAsia"/>
        </w:rPr>
        <w:t>10</w:t>
      </w:r>
      <w:r>
        <w:rPr>
          <w:rStyle w:val="Strong"/>
          <w:rFonts w:eastAsiaTheme="majorEastAsia"/>
        </w:rPr>
        <w:t>: Sample Predictive Analytics Use Cases and Business Impacts at SSE PLC</w:t>
      </w:r>
      <w:r>
        <w:br/>
      </w:r>
      <w:r>
        <w:rPr>
          <w:rStyle w:val="Emphasis"/>
          <w:rFonts w:eastAsiaTheme="majorEastAsia"/>
        </w:rPr>
        <w:t>This table highlights key predictive analytics applications at SSE PLC, detailing use cases, descriptions, and measurable business impacts, drawing on internal reports and operational performance data.</w:t>
      </w:r>
    </w:p>
  </w:footnote>
  <w:footnote w:id="12">
    <w:p w14:paraId="4CDBBFBD" w14:textId="2AD75EB5" w:rsidR="006B2945" w:rsidRDefault="006B2945">
      <w:pPr>
        <w:pStyle w:val="FootnoteText"/>
      </w:pPr>
      <w:r>
        <w:rPr>
          <w:rStyle w:val="FootnoteReference"/>
        </w:rPr>
        <w:footnoteRef/>
      </w:r>
      <w:r>
        <w:t xml:space="preserve"> </w:t>
      </w:r>
      <w:r w:rsidRPr="006B2945">
        <w:rPr>
          <w:b/>
          <w:bCs/>
        </w:rPr>
        <w:t xml:space="preserve">Table </w:t>
      </w:r>
      <w:r w:rsidR="0032543B">
        <w:rPr>
          <w:b/>
          <w:bCs/>
        </w:rPr>
        <w:t>11</w:t>
      </w:r>
      <w:r w:rsidRPr="006B2945">
        <w:rPr>
          <w:b/>
          <w:bCs/>
        </w:rPr>
        <w:t>: Abductive Reasoning Process (Adapted from Dubois and Gadde, 2002)</w:t>
      </w:r>
      <w:r w:rsidRPr="006B2945">
        <w:br/>
      </w:r>
      <w:r w:rsidRPr="006B2945">
        <w:rPr>
          <w:i/>
          <w:iCs/>
        </w:rPr>
        <w:t>This table summarises the iterative abductive reasoning process used in the study, linking theoretical frameworks, empirical data collection, pattern identification, and theory refinement.</w:t>
      </w:r>
    </w:p>
  </w:footnote>
  <w:footnote w:id="13">
    <w:p w14:paraId="10383DF6" w14:textId="1F78CA52" w:rsidR="006B2945" w:rsidRDefault="006B2945">
      <w:pPr>
        <w:pStyle w:val="FootnoteText"/>
      </w:pPr>
      <w:r>
        <w:rPr>
          <w:rStyle w:val="FootnoteReference"/>
        </w:rPr>
        <w:footnoteRef/>
      </w:r>
      <w:r>
        <w:t xml:space="preserve"> </w:t>
      </w:r>
      <w:r>
        <w:rPr>
          <w:rStyle w:val="Strong"/>
          <w:rFonts w:eastAsiaTheme="majorEastAsia"/>
        </w:rPr>
        <w:t>Table 1</w:t>
      </w:r>
      <w:r w:rsidR="0032543B">
        <w:rPr>
          <w:rStyle w:val="Strong"/>
          <w:rFonts w:eastAsiaTheme="majorEastAsia"/>
        </w:rPr>
        <w:t>2</w:t>
      </w:r>
      <w:r>
        <w:rPr>
          <w:rStyle w:val="Strong"/>
          <w:rFonts w:eastAsiaTheme="majorEastAsia"/>
        </w:rPr>
        <w:t>: Areas of Benchmarking Comparison with Top 5 UK Energy Utilities</w:t>
      </w:r>
      <w:r>
        <w:br/>
      </w:r>
      <w:r>
        <w:rPr>
          <w:rStyle w:val="Emphasis"/>
          <w:rFonts w:eastAsiaTheme="majorEastAsia"/>
        </w:rPr>
        <w:t>This table outlines the key comparison areas used to benchmark SSE PLC against leading UK utilities, focusing on analytics adoption, governance, digital transformation, leadership commitment, regulatory readiness, and maturity assessments.</w:t>
      </w:r>
    </w:p>
  </w:footnote>
  <w:footnote w:id="14">
    <w:p w14:paraId="471E6CE1" w14:textId="475B04B6" w:rsidR="006B2945" w:rsidRPr="006B2945" w:rsidRDefault="006B2945" w:rsidP="006B2945">
      <w:pPr>
        <w:pStyle w:val="FootnoteText"/>
      </w:pPr>
      <w:r>
        <w:rPr>
          <w:rStyle w:val="FootnoteReference"/>
        </w:rPr>
        <w:footnoteRef/>
      </w:r>
      <w:r>
        <w:t xml:space="preserve"> </w:t>
      </w:r>
      <w:r w:rsidRPr="006B2945">
        <w:rPr>
          <w:b/>
          <w:bCs/>
        </w:rPr>
        <w:t>Table 1</w:t>
      </w:r>
      <w:r w:rsidR="0032543B">
        <w:rPr>
          <w:b/>
          <w:bCs/>
        </w:rPr>
        <w:t>3</w:t>
      </w:r>
      <w:r w:rsidRPr="006B2945">
        <w:rPr>
          <w:b/>
          <w:bCs/>
        </w:rPr>
        <w:t>: Mixed-Methods Structure</w:t>
      </w:r>
      <w:r w:rsidRPr="006B2945">
        <w:br/>
      </w:r>
      <w:r w:rsidRPr="006B2945">
        <w:rPr>
          <w:i/>
          <w:iCs/>
        </w:rPr>
        <w:t>This table summarises the mixed-methods approach, detailing how surveys, interviews, and document analysis were used to measure analytics maturity, explore organisational factors, and validate findings at SSE PLC.</w:t>
      </w:r>
    </w:p>
    <w:p w14:paraId="4B859965" w14:textId="7543BCDE" w:rsidR="006B2945" w:rsidRDefault="006B2945">
      <w:pPr>
        <w:pStyle w:val="FootnoteText"/>
      </w:pPr>
    </w:p>
  </w:footnote>
  <w:footnote w:id="15">
    <w:p w14:paraId="2C5364FF" w14:textId="48EEBD98" w:rsidR="006B2945" w:rsidRPr="006B2945" w:rsidRDefault="006B2945" w:rsidP="006B2945">
      <w:pPr>
        <w:pStyle w:val="FootnoteText"/>
      </w:pPr>
      <w:r>
        <w:rPr>
          <w:rStyle w:val="FootnoteReference"/>
        </w:rPr>
        <w:footnoteRef/>
      </w:r>
      <w:r>
        <w:t xml:space="preserve"> </w:t>
      </w:r>
      <w:r w:rsidRPr="006B2945">
        <w:rPr>
          <w:b/>
          <w:bCs/>
        </w:rPr>
        <w:t>Table 1</w:t>
      </w:r>
      <w:r w:rsidR="0032543B">
        <w:rPr>
          <w:b/>
          <w:bCs/>
        </w:rPr>
        <w:t>4</w:t>
      </w:r>
      <w:r w:rsidRPr="006B2945">
        <w:rPr>
          <w:b/>
          <w:bCs/>
        </w:rPr>
        <w:t>: Example Joint Display Linking Survey and Interview Evidence</w:t>
      </w:r>
      <w:r w:rsidRPr="006B2945">
        <w:br/>
      </w:r>
      <w:r w:rsidRPr="006B2945">
        <w:rPr>
          <w:i/>
          <w:iCs/>
        </w:rPr>
        <w:t>This table outlines the stakeholder groups, sample sizes, rationales, and data collection modes used to triangulate survey and interview findings in the study.</w:t>
      </w:r>
    </w:p>
    <w:p w14:paraId="573A603A" w14:textId="165662D5" w:rsidR="006B2945" w:rsidRDefault="006B2945">
      <w:pPr>
        <w:pStyle w:val="FootnoteText"/>
      </w:pPr>
    </w:p>
  </w:footnote>
  <w:footnote w:id="16">
    <w:p w14:paraId="45A69D7F" w14:textId="2A0B1D4B" w:rsidR="00ED4C02" w:rsidRDefault="00ED4C02">
      <w:pPr>
        <w:pStyle w:val="FootnoteText"/>
      </w:pPr>
      <w:r>
        <w:rPr>
          <w:rStyle w:val="FootnoteReference"/>
        </w:rPr>
        <w:footnoteRef/>
      </w:r>
      <w:r>
        <w:t xml:space="preserve"> </w:t>
      </w:r>
      <w:r w:rsidRPr="00ED4C02">
        <w:rPr>
          <w:b/>
          <w:bCs/>
        </w:rPr>
        <w:t>Figure 6: Overview of Primary and Secondary Data Collection for the Study</w:t>
      </w:r>
      <w:r w:rsidRPr="00ED4C02">
        <w:br/>
      </w:r>
      <w:r w:rsidRPr="00ED4C02">
        <w:rPr>
          <w:i/>
          <w:iCs/>
        </w:rPr>
        <w:t>This figure illustrates the study’s data collection process, integrating primary data (surveys, interviews) and secondary data (benchmark reports, annual reports, Ofgem publications) through triangulation.</w:t>
      </w:r>
    </w:p>
  </w:footnote>
  <w:footnote w:id="17">
    <w:p w14:paraId="797BBF9B" w14:textId="565E26BE" w:rsidR="00ED4C02" w:rsidRDefault="00ED4C02">
      <w:pPr>
        <w:pStyle w:val="FootnoteText"/>
      </w:pPr>
      <w:r>
        <w:rPr>
          <w:rStyle w:val="FootnoteReference"/>
        </w:rPr>
        <w:footnoteRef/>
      </w:r>
      <w:r>
        <w:t xml:space="preserve"> </w:t>
      </w:r>
      <w:r w:rsidRPr="00ED4C02">
        <w:rPr>
          <w:b/>
          <w:bCs/>
        </w:rPr>
        <w:t>Table 1</w:t>
      </w:r>
      <w:r w:rsidR="0032543B">
        <w:rPr>
          <w:b/>
          <w:bCs/>
        </w:rPr>
        <w:t>5</w:t>
      </w:r>
      <w:r w:rsidRPr="00ED4C02">
        <w:rPr>
          <w:b/>
          <w:bCs/>
        </w:rPr>
        <w:t>: Sampling Overview</w:t>
      </w:r>
      <w:r w:rsidRPr="00ED4C02">
        <w:br/>
      </w:r>
      <w:r w:rsidRPr="00ED4C02">
        <w:rPr>
          <w:i/>
          <w:iCs/>
        </w:rPr>
        <w:t>This table summarises the sampling techniques and target sample sizes for the study’s survey and interview phases, combining stratified purposive and expert sampling methods.</w:t>
      </w:r>
    </w:p>
  </w:footnote>
  <w:footnote w:id="18">
    <w:p w14:paraId="0983D5B1" w14:textId="7212247B" w:rsidR="00E05D4E" w:rsidRDefault="00E05D4E">
      <w:pPr>
        <w:pStyle w:val="FootnoteText"/>
      </w:pPr>
      <w:r>
        <w:rPr>
          <w:rStyle w:val="FootnoteReference"/>
        </w:rPr>
        <w:footnoteRef/>
      </w:r>
      <w:r>
        <w:t xml:space="preserve"> </w:t>
      </w:r>
      <w:r w:rsidRPr="009239B2">
        <w:rPr>
          <w:b/>
          <w:bCs/>
        </w:rPr>
        <w:t>Figure 7: Data Analysis Flow</w:t>
      </w:r>
      <w:r w:rsidRPr="009239B2">
        <w:br/>
      </w:r>
      <w:r w:rsidRPr="009239B2">
        <w:rPr>
          <w:i/>
          <w:iCs/>
        </w:rPr>
        <w:t>This figure outlines the sequential data analysis process, from initial data collection and transcription through coding, thematic analysis, and integration with quantitative findings.</w:t>
      </w:r>
    </w:p>
  </w:footnote>
  <w:footnote w:id="19">
    <w:p w14:paraId="2EEB83B4" w14:textId="325BE6D2" w:rsidR="009239B2" w:rsidRDefault="009239B2">
      <w:pPr>
        <w:pStyle w:val="FootnoteText"/>
      </w:pPr>
      <w:r>
        <w:rPr>
          <w:rStyle w:val="FootnoteReference"/>
        </w:rPr>
        <w:footnoteRef/>
      </w:r>
      <w:r>
        <w:t xml:space="preserve"> </w:t>
      </w:r>
      <w:r>
        <w:rPr>
          <w:rStyle w:val="Strong"/>
          <w:rFonts w:eastAsiaTheme="majorEastAsia"/>
        </w:rPr>
        <w:t>Figure 8: Proposed Data Governance Framework Structure for SSE PLC</w:t>
      </w:r>
      <w:r>
        <w:br/>
      </w:r>
      <w:r>
        <w:rPr>
          <w:rStyle w:val="Emphasis"/>
          <w:rFonts w:eastAsiaTheme="majorEastAsia"/>
        </w:rPr>
        <w:t>Source: Author’s elaboration based on EDM Council (2020) guidelines. This figure illustrates a hierarchical governance model supporting data quality, stewardship, and policy enforcement.</w:t>
      </w:r>
    </w:p>
  </w:footnote>
  <w:footnote w:id="20">
    <w:p w14:paraId="1544FEA2" w14:textId="18ED801B" w:rsidR="009239B2" w:rsidRDefault="009239B2">
      <w:pPr>
        <w:pStyle w:val="FootnoteText"/>
      </w:pPr>
      <w:r>
        <w:rPr>
          <w:rStyle w:val="FootnoteReference"/>
        </w:rPr>
        <w:footnoteRef/>
      </w:r>
      <w:r>
        <w:t xml:space="preserve"> </w:t>
      </w:r>
      <w:r>
        <w:rPr>
          <w:rStyle w:val="Strong"/>
          <w:rFonts w:eastAsiaTheme="majorEastAsia"/>
        </w:rPr>
        <w:t>Table 1</w:t>
      </w:r>
      <w:r w:rsidR="0032543B">
        <w:rPr>
          <w:rStyle w:val="Strong"/>
          <w:rFonts w:eastAsiaTheme="majorEastAsia"/>
        </w:rPr>
        <w:t>6</w:t>
      </w:r>
      <w:r>
        <w:rPr>
          <w:rStyle w:val="Strong"/>
          <w:rFonts w:eastAsiaTheme="majorEastAsia"/>
        </w:rPr>
        <w:t>: Summary of Ethical Safeguards</w:t>
      </w:r>
      <w:r>
        <w:br/>
      </w:r>
      <w:r>
        <w:rPr>
          <w:rStyle w:val="Emphasis"/>
          <w:rFonts w:eastAsiaTheme="majorEastAsia"/>
        </w:rPr>
        <w:t>This table summarises the ethical measures adopted for the study, including informed consent, anonymity, GDPR compliance, the right to withdraw, and formal ethics approval.</w:t>
      </w:r>
    </w:p>
  </w:footnote>
  <w:footnote w:id="21">
    <w:p w14:paraId="0A644F0D" w14:textId="0E1942E5" w:rsidR="009239B2" w:rsidRDefault="009239B2">
      <w:pPr>
        <w:pStyle w:val="FootnoteText"/>
      </w:pPr>
      <w:r>
        <w:rPr>
          <w:rStyle w:val="FootnoteReference"/>
        </w:rPr>
        <w:footnoteRef/>
      </w:r>
      <w:r>
        <w:t xml:space="preserve"> </w:t>
      </w:r>
      <w:r>
        <w:rPr>
          <w:rStyle w:val="Strong"/>
          <w:rFonts w:eastAsiaTheme="majorEastAsia"/>
        </w:rPr>
        <w:t>Figure 9: Summary of Research Design Limitations and Mitigation Measures</w:t>
      </w:r>
      <w:r>
        <w:br/>
      </w:r>
      <w:r>
        <w:rPr>
          <w:rStyle w:val="Emphasis"/>
          <w:rFonts w:eastAsiaTheme="majorEastAsia"/>
        </w:rPr>
        <w:t>This figure summarises key limitations of the research design and outlines mitigation strategies applied to strengthen the study’s validity and reliability.</w:t>
      </w:r>
    </w:p>
  </w:footnote>
  <w:footnote w:id="22">
    <w:p w14:paraId="132ADBA4" w14:textId="77777777" w:rsidR="00982CD1" w:rsidRDefault="00982CD1" w:rsidP="00982CD1">
      <w:pPr>
        <w:pStyle w:val="FootnoteText"/>
      </w:pPr>
      <w:r>
        <w:rPr>
          <w:rStyle w:val="FootnoteReference"/>
        </w:rPr>
        <w:footnoteRef/>
      </w:r>
      <w:r>
        <w:t xml:space="preserve"> </w:t>
      </w:r>
      <w:r>
        <w:rPr>
          <w:rStyle w:val="Strong"/>
          <w:rFonts w:eastAsiaTheme="majorEastAsia"/>
        </w:rPr>
        <w:t>Figure 10: Current vs Target State Analytics Maturity at SSE PLC</w:t>
      </w:r>
      <w:r>
        <w:br/>
      </w:r>
      <w:r>
        <w:rPr>
          <w:rStyle w:val="Emphasis"/>
          <w:rFonts w:eastAsiaTheme="majorEastAsia"/>
        </w:rPr>
        <w:t>Source: Author’s elaboration based on DELTA and DCAM frameworks. This figure compares SSE’s current and aspirational analytics maturity across key dimensions such as decision effectiveness, predictive usage, integration, and talent development.</w:t>
      </w:r>
    </w:p>
  </w:footnote>
  <w:footnote w:id="23">
    <w:p w14:paraId="54945A30" w14:textId="0D0F14C1" w:rsidR="009239B2" w:rsidRDefault="009239B2">
      <w:pPr>
        <w:pStyle w:val="FootnoteText"/>
      </w:pPr>
      <w:r>
        <w:rPr>
          <w:rStyle w:val="FootnoteReference"/>
        </w:rPr>
        <w:footnoteRef/>
      </w:r>
      <w:r>
        <w:t xml:space="preserve"> </w:t>
      </w:r>
      <w:r>
        <w:rPr>
          <w:rStyle w:val="Strong"/>
          <w:rFonts w:eastAsiaTheme="majorEastAsia"/>
        </w:rPr>
        <w:t>Figure 11: Predictive Analytics Integration Process into Strategic Decision-Making at SSE PLC</w:t>
      </w:r>
      <w:r>
        <w:br/>
      </w:r>
      <w:r>
        <w:rPr>
          <w:rStyle w:val="Emphasis"/>
          <w:rFonts w:eastAsiaTheme="majorEastAsia"/>
        </w:rPr>
        <w:t>Source: Author’s conceptualisation. This figure illustrates the stages from data collection to strategic insight generation, showing how predictive analytics informs business strategy at SSE.</w:t>
      </w:r>
    </w:p>
  </w:footnote>
  <w:footnote w:id="24">
    <w:p w14:paraId="0E66A65E" w14:textId="20847376" w:rsidR="00226CAB" w:rsidRDefault="00D04DEA" w:rsidP="00D04DEA">
      <w:pPr>
        <w:pStyle w:val="FootnoteText"/>
        <w:rPr>
          <w:b/>
          <w:bCs/>
        </w:rPr>
      </w:pPr>
      <w:r>
        <w:rPr>
          <w:rStyle w:val="FootnoteReference"/>
        </w:rPr>
        <w:footnoteRef/>
      </w:r>
      <w:r>
        <w:t xml:space="preserve"> </w:t>
      </w:r>
      <w:r>
        <w:rPr>
          <w:rStyle w:val="Strong"/>
          <w:rFonts w:eastAsiaTheme="majorEastAsia"/>
        </w:rPr>
        <w:t>Table 1</w:t>
      </w:r>
      <w:r w:rsidR="0032543B">
        <w:rPr>
          <w:rStyle w:val="Strong"/>
          <w:rFonts w:eastAsiaTheme="majorEastAsia"/>
        </w:rPr>
        <w:t>8</w:t>
      </w:r>
      <w:r>
        <w:t xml:space="preserve">: </w:t>
      </w:r>
      <w:r w:rsidR="00226CAB" w:rsidRPr="00431ACE">
        <w:rPr>
          <w:b/>
          <w:bCs/>
        </w:rPr>
        <w:t xml:space="preserve">Integration of Quantitative and Qualitative Insights Across Key Strategic Themes </w:t>
      </w:r>
    </w:p>
    <w:p w14:paraId="25B488A1" w14:textId="294D1D38" w:rsidR="00D04DEA" w:rsidRDefault="00D04DEA" w:rsidP="00D04DEA">
      <w:pPr>
        <w:pStyle w:val="FootnoteText"/>
      </w:pPr>
      <w:r w:rsidRPr="0035645A">
        <w:rPr>
          <w:rFonts w:eastAsiaTheme="majorEastAsia"/>
          <w:i/>
          <w:iCs/>
        </w:rPr>
        <w:t>This table will be developed by the researcher following primary data collection. It will synthesise survey and interview findings, using alignment categories (e.g., Convergent, Partial Alignment) to highlight thematic consistency or divergence across data sources. Final content will be refined during the analysis phase of the dissertation.</w:t>
      </w:r>
    </w:p>
  </w:footnote>
  <w:footnote w:id="25">
    <w:p w14:paraId="4CBEE14E" w14:textId="439D1D30" w:rsidR="009239B2" w:rsidRPr="009239B2" w:rsidRDefault="009239B2" w:rsidP="009239B2">
      <w:pPr>
        <w:pStyle w:val="FootnoteText"/>
      </w:pPr>
      <w:r>
        <w:rPr>
          <w:rStyle w:val="FootnoteReference"/>
        </w:rPr>
        <w:footnoteRef/>
      </w:r>
      <w:r>
        <w:t xml:space="preserve"> </w:t>
      </w:r>
      <w:r w:rsidRPr="009239B2">
        <w:rPr>
          <w:b/>
          <w:bCs/>
        </w:rPr>
        <w:t>Table 1</w:t>
      </w:r>
      <w:r w:rsidR="0032543B">
        <w:rPr>
          <w:b/>
          <w:bCs/>
        </w:rPr>
        <w:t>9</w:t>
      </w:r>
      <w:r w:rsidRPr="009239B2">
        <w:rPr>
          <w:b/>
          <w:bCs/>
        </w:rPr>
        <w:t>: Proposed Project Timeline</w:t>
      </w:r>
      <w:r w:rsidRPr="009239B2">
        <w:br/>
      </w:r>
      <w:r w:rsidRPr="009239B2">
        <w:rPr>
          <w:i/>
          <w:iCs/>
        </w:rPr>
        <w:t xml:space="preserve">This table outlines the scheduled research activities from </w:t>
      </w:r>
      <w:r w:rsidR="00233484">
        <w:rPr>
          <w:i/>
          <w:iCs/>
        </w:rPr>
        <w:t>October</w:t>
      </w:r>
      <w:r w:rsidRPr="009239B2">
        <w:rPr>
          <w:i/>
          <w:iCs/>
        </w:rPr>
        <w:t xml:space="preserve"> 2025 to </w:t>
      </w:r>
      <w:r w:rsidR="00233484">
        <w:rPr>
          <w:i/>
          <w:iCs/>
        </w:rPr>
        <w:t>September</w:t>
      </w:r>
      <w:r w:rsidRPr="009239B2">
        <w:rPr>
          <w:i/>
          <w:iCs/>
        </w:rPr>
        <w:t xml:space="preserve"> 2026, covering key phases such as instrument design, data collection, analysis, drafting, and dissertation submission.</w:t>
      </w:r>
    </w:p>
    <w:p w14:paraId="2D817797" w14:textId="51D659FB" w:rsidR="009239B2" w:rsidRDefault="009239B2">
      <w:pPr>
        <w:pStyle w:val="FootnoteText"/>
      </w:pPr>
    </w:p>
  </w:footnote>
  <w:footnote w:id="26">
    <w:p w14:paraId="775217AF" w14:textId="77777777" w:rsidR="008E3EBC" w:rsidRDefault="008E3EBC" w:rsidP="008E3EBC">
      <w:pPr>
        <w:pStyle w:val="FootnoteText"/>
      </w:pPr>
      <w:r>
        <w:rPr>
          <w:rStyle w:val="FootnoteReference"/>
        </w:rPr>
        <w:footnoteRef/>
      </w:r>
      <w:r>
        <w:t xml:space="preserve"> </w:t>
      </w:r>
      <w:r>
        <w:rPr>
          <w:rStyle w:val="Strong"/>
          <w:rFonts w:eastAsiaTheme="majorEastAsia"/>
        </w:rPr>
        <w:t>Figure 14: Proposed Roadmap for SSE’s Analytics Maturity Journey</w:t>
      </w:r>
      <w:r>
        <w:br/>
      </w:r>
      <w:r>
        <w:rPr>
          <w:rStyle w:val="Emphasis"/>
          <w:rFonts w:eastAsiaTheme="majorEastAsia"/>
        </w:rPr>
        <w:t>Source: Author’s elaboration informed by Davenport and Harris (2007) and EDM Council (2020). This phased roadmap outlines short-term, mid-term, and long-term priorities for full analytics integration and strategic decision automation.</w:t>
      </w:r>
    </w:p>
  </w:footnote>
  <w:footnote w:id="27">
    <w:p w14:paraId="22EAB3CF" w14:textId="3F128A91" w:rsidR="008E3EBC" w:rsidRDefault="008E3EBC" w:rsidP="008E3EBC">
      <w:pPr>
        <w:pStyle w:val="FootnoteText"/>
      </w:pPr>
      <w:r>
        <w:rPr>
          <w:rStyle w:val="FootnoteReference"/>
        </w:rPr>
        <w:footnoteRef/>
      </w:r>
      <w:r>
        <w:t xml:space="preserve"> </w:t>
      </w:r>
      <w:r>
        <w:rPr>
          <w:rStyle w:val="Strong"/>
          <w:rFonts w:eastAsiaTheme="majorEastAsia"/>
        </w:rPr>
        <w:t xml:space="preserve">Table </w:t>
      </w:r>
      <w:r w:rsidR="0032543B">
        <w:rPr>
          <w:rStyle w:val="Strong"/>
          <w:rFonts w:eastAsiaTheme="majorEastAsia"/>
        </w:rPr>
        <w:t>20</w:t>
      </w:r>
      <w:r>
        <w:rPr>
          <w:rStyle w:val="Strong"/>
          <w:rFonts w:eastAsiaTheme="majorEastAsia"/>
        </w:rPr>
        <w:t>: Risk Assessment and Mitigation Strategies for SSE Analytics Integration</w:t>
      </w:r>
      <w:r>
        <w:br/>
      </w:r>
      <w:r>
        <w:rPr>
          <w:rStyle w:val="Emphasis"/>
          <w:rFonts w:eastAsiaTheme="majorEastAsia"/>
        </w:rPr>
        <w:t>This table identifies key risks, their potential impacts, and corresponding mitigation strategies to support successful predictive analytics integration at SSE PLC.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A13DD" w14:textId="77777777" w:rsidR="004E0E4E" w:rsidRDefault="004E0E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B43FB"/>
    <w:multiLevelType w:val="multilevel"/>
    <w:tmpl w:val="63F6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62BB1"/>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A5FFA"/>
    <w:multiLevelType w:val="multilevel"/>
    <w:tmpl w:val="7FD6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71C8C"/>
    <w:multiLevelType w:val="multilevel"/>
    <w:tmpl w:val="C7520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484669"/>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A2AE9"/>
    <w:multiLevelType w:val="multilevel"/>
    <w:tmpl w:val="B0DA0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0211BC"/>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9E12F1"/>
    <w:multiLevelType w:val="multilevel"/>
    <w:tmpl w:val="A74C8258"/>
    <w:lvl w:ilvl="0">
      <w:start w:val="4"/>
      <w:numFmt w:val="decimal"/>
      <w:lvlText w:val="%1"/>
      <w:lvlJc w:val="left"/>
      <w:pPr>
        <w:ind w:left="560" w:hanging="560"/>
      </w:pPr>
      <w:rPr>
        <w:rFonts w:hint="default"/>
      </w:rPr>
    </w:lvl>
    <w:lvl w:ilvl="1">
      <w:start w:val="3"/>
      <w:numFmt w:val="decimal"/>
      <w:lvlText w:val="%1.%2"/>
      <w:lvlJc w:val="left"/>
      <w:pPr>
        <w:ind w:left="560" w:hanging="5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0D424500"/>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A03458"/>
    <w:multiLevelType w:val="multilevel"/>
    <w:tmpl w:val="B6F42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AA0788"/>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B80985"/>
    <w:multiLevelType w:val="multilevel"/>
    <w:tmpl w:val="B4BC0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923737"/>
    <w:multiLevelType w:val="multilevel"/>
    <w:tmpl w:val="05F27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FC3EFF"/>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B16484"/>
    <w:multiLevelType w:val="multilevel"/>
    <w:tmpl w:val="EE5C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79612D"/>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DD3427"/>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FE5F27"/>
    <w:multiLevelType w:val="multilevel"/>
    <w:tmpl w:val="BF220C4C"/>
    <w:lvl w:ilvl="0">
      <w:start w:val="5"/>
      <w:numFmt w:val="decimal"/>
      <w:lvlText w:val="%1."/>
      <w:lvlJc w:val="left"/>
      <w:pPr>
        <w:ind w:left="360" w:hanging="360"/>
      </w:pPr>
      <w:rPr>
        <w:rFonts w:hint="default"/>
      </w:rPr>
    </w:lvl>
    <w:lvl w:ilvl="1">
      <w:start w:val="9"/>
      <w:numFmt w:val="decimal"/>
      <w:isLgl/>
      <w:lvlText w:val="%1.%2"/>
      <w:lvlJc w:val="left"/>
      <w:pPr>
        <w:ind w:left="640" w:hanging="6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25E9201B"/>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562AA8"/>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8A06B0"/>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460BC0"/>
    <w:multiLevelType w:val="multilevel"/>
    <w:tmpl w:val="0A746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58525A"/>
    <w:multiLevelType w:val="multilevel"/>
    <w:tmpl w:val="F6B4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885F0F"/>
    <w:multiLevelType w:val="multilevel"/>
    <w:tmpl w:val="48AA36BE"/>
    <w:styleLink w:val="CurrentList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2EE715BF"/>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4E673C"/>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FC6E74"/>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986206"/>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D206F0"/>
    <w:multiLevelType w:val="multilevel"/>
    <w:tmpl w:val="CA7A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835371"/>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8B6978"/>
    <w:multiLevelType w:val="hybridMultilevel"/>
    <w:tmpl w:val="1222DE7E"/>
    <w:lvl w:ilvl="0" w:tplc="5B98703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3C565E38"/>
    <w:multiLevelType w:val="multilevel"/>
    <w:tmpl w:val="89A40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68226B"/>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857C24"/>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2776E9"/>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2935A6"/>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C10591"/>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9F0F87"/>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8B35A2"/>
    <w:multiLevelType w:val="multilevel"/>
    <w:tmpl w:val="7822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282E6B"/>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486CDE"/>
    <w:multiLevelType w:val="multilevel"/>
    <w:tmpl w:val="BB985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5A5E9F"/>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140938"/>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6B62BD"/>
    <w:multiLevelType w:val="multilevel"/>
    <w:tmpl w:val="13806AC2"/>
    <w:lvl w:ilvl="0">
      <w:start w:val="1"/>
      <w:numFmt w:val="decimal"/>
      <w:lvlText w:val="%1."/>
      <w:lvlJc w:val="left"/>
      <w:pPr>
        <w:ind w:left="360" w:hanging="360"/>
      </w:pPr>
      <w:rPr>
        <w:rFonts w:hint="default"/>
        <w:b w:val="0"/>
        <w:bCs w:val="0"/>
        <w:i w:val="0"/>
        <w:iCs w:val="0"/>
        <w:sz w:val="24"/>
        <w:szCs w:val="24"/>
      </w:rPr>
    </w:lvl>
    <w:lvl w:ilvl="1">
      <w:start w:val="1"/>
      <w:numFmt w:val="decimal"/>
      <w:lvlText w:val="%1.%2"/>
      <w:lvlJc w:val="left"/>
      <w:pPr>
        <w:ind w:left="1440" w:hanging="720"/>
      </w:pPr>
      <w:rPr>
        <w:rFonts w:hint="default"/>
        <w:sz w:val="20"/>
      </w:rPr>
    </w:lvl>
    <w:lvl w:ilvl="2">
      <w:start w:val="1"/>
      <w:numFmt w:val="decimal"/>
      <w:lvlText w:val="%1.%2.%3"/>
      <w:lvlJc w:val="left"/>
      <w:pPr>
        <w:ind w:left="2520" w:hanging="1080"/>
      </w:pPr>
      <w:rPr>
        <w:rFonts w:hint="default"/>
        <w:sz w:val="20"/>
      </w:rPr>
    </w:lvl>
    <w:lvl w:ilvl="3">
      <w:start w:val="1"/>
      <w:numFmt w:val="decimal"/>
      <w:lvlText w:val="%1.%2.%3.%4"/>
      <w:lvlJc w:val="left"/>
      <w:pPr>
        <w:ind w:left="3600" w:hanging="1440"/>
      </w:pPr>
      <w:rPr>
        <w:rFonts w:hint="default"/>
        <w:sz w:val="20"/>
      </w:rPr>
    </w:lvl>
    <w:lvl w:ilvl="4">
      <w:start w:val="1"/>
      <w:numFmt w:val="decimal"/>
      <w:lvlText w:val="%1.%2.%3.%4.%5"/>
      <w:lvlJc w:val="left"/>
      <w:pPr>
        <w:ind w:left="4680" w:hanging="1800"/>
      </w:pPr>
      <w:rPr>
        <w:rFonts w:hint="default"/>
        <w:sz w:val="20"/>
      </w:rPr>
    </w:lvl>
    <w:lvl w:ilvl="5">
      <w:start w:val="1"/>
      <w:numFmt w:val="decimal"/>
      <w:lvlText w:val="%1.%2.%3.%4.%5.%6"/>
      <w:lvlJc w:val="left"/>
      <w:pPr>
        <w:ind w:left="5400" w:hanging="1800"/>
      </w:pPr>
      <w:rPr>
        <w:rFonts w:hint="default"/>
        <w:sz w:val="20"/>
      </w:rPr>
    </w:lvl>
    <w:lvl w:ilvl="6">
      <w:start w:val="1"/>
      <w:numFmt w:val="decimal"/>
      <w:lvlText w:val="%1.%2.%3.%4.%5.%6.%7"/>
      <w:lvlJc w:val="left"/>
      <w:pPr>
        <w:ind w:left="6480" w:hanging="2160"/>
      </w:pPr>
      <w:rPr>
        <w:rFonts w:hint="default"/>
        <w:sz w:val="20"/>
      </w:rPr>
    </w:lvl>
    <w:lvl w:ilvl="7">
      <w:start w:val="1"/>
      <w:numFmt w:val="decimal"/>
      <w:lvlText w:val="%1.%2.%3.%4.%5.%6.%7.%8"/>
      <w:lvlJc w:val="left"/>
      <w:pPr>
        <w:ind w:left="7560" w:hanging="2520"/>
      </w:pPr>
      <w:rPr>
        <w:rFonts w:hint="default"/>
        <w:sz w:val="20"/>
      </w:rPr>
    </w:lvl>
    <w:lvl w:ilvl="8">
      <w:start w:val="1"/>
      <w:numFmt w:val="decimal"/>
      <w:lvlText w:val="%1.%2.%3.%4.%5.%6.%7.%8.%9"/>
      <w:lvlJc w:val="left"/>
      <w:pPr>
        <w:ind w:left="8640" w:hanging="2880"/>
      </w:pPr>
      <w:rPr>
        <w:rFonts w:hint="default"/>
        <w:sz w:val="20"/>
      </w:rPr>
    </w:lvl>
  </w:abstractNum>
  <w:abstractNum w:abstractNumId="44" w15:restartNumberingAfterBreak="0">
    <w:nsid w:val="6D564FEC"/>
    <w:multiLevelType w:val="multilevel"/>
    <w:tmpl w:val="3A8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745C0D"/>
    <w:multiLevelType w:val="multilevel"/>
    <w:tmpl w:val="3E8C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BD0850"/>
    <w:multiLevelType w:val="multilevel"/>
    <w:tmpl w:val="3BC45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AC4378"/>
    <w:multiLevelType w:val="multilevel"/>
    <w:tmpl w:val="44C23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8227703">
    <w:abstractNumId w:val="23"/>
  </w:num>
  <w:num w:numId="2" w16cid:durableId="1117721015">
    <w:abstractNumId w:val="43"/>
  </w:num>
  <w:num w:numId="3" w16cid:durableId="78645653">
    <w:abstractNumId w:val="17"/>
  </w:num>
  <w:num w:numId="4" w16cid:durableId="1922981002">
    <w:abstractNumId w:val="14"/>
  </w:num>
  <w:num w:numId="5" w16cid:durableId="1786391117">
    <w:abstractNumId w:val="45"/>
  </w:num>
  <w:num w:numId="6" w16cid:durableId="116146381">
    <w:abstractNumId w:val="30"/>
  </w:num>
  <w:num w:numId="7" w16cid:durableId="362364044">
    <w:abstractNumId w:val="38"/>
  </w:num>
  <w:num w:numId="8" w16cid:durableId="1972058275">
    <w:abstractNumId w:val="22"/>
  </w:num>
  <w:num w:numId="9" w16cid:durableId="577983947">
    <w:abstractNumId w:val="46"/>
  </w:num>
  <w:num w:numId="10" w16cid:durableId="1565018788">
    <w:abstractNumId w:val="11"/>
  </w:num>
  <w:num w:numId="11" w16cid:durableId="543718650">
    <w:abstractNumId w:val="28"/>
  </w:num>
  <w:num w:numId="12" w16cid:durableId="709034782">
    <w:abstractNumId w:val="40"/>
  </w:num>
  <w:num w:numId="13" w16cid:durableId="1421609154">
    <w:abstractNumId w:val="29"/>
  </w:num>
  <w:num w:numId="14" w16cid:durableId="1274938132">
    <w:abstractNumId w:val="8"/>
  </w:num>
  <w:num w:numId="15" w16cid:durableId="957446038">
    <w:abstractNumId w:val="36"/>
  </w:num>
  <w:num w:numId="16" w16cid:durableId="1841311695">
    <w:abstractNumId w:val="39"/>
  </w:num>
  <w:num w:numId="17" w16cid:durableId="715274734">
    <w:abstractNumId w:val="32"/>
  </w:num>
  <w:num w:numId="18" w16cid:durableId="2084835473">
    <w:abstractNumId w:val="13"/>
  </w:num>
  <w:num w:numId="19" w16cid:durableId="1030304181">
    <w:abstractNumId w:val="21"/>
  </w:num>
  <w:num w:numId="20" w16cid:durableId="2050714098">
    <w:abstractNumId w:val="47"/>
  </w:num>
  <w:num w:numId="21" w16cid:durableId="1841460445">
    <w:abstractNumId w:val="24"/>
  </w:num>
  <w:num w:numId="22" w16cid:durableId="594049996">
    <w:abstractNumId w:val="25"/>
  </w:num>
  <w:num w:numId="23" w16cid:durableId="1914928316">
    <w:abstractNumId w:val="1"/>
  </w:num>
  <w:num w:numId="24" w16cid:durableId="2070878451">
    <w:abstractNumId w:val="16"/>
  </w:num>
  <w:num w:numId="25" w16cid:durableId="1499811924">
    <w:abstractNumId w:val="42"/>
  </w:num>
  <w:num w:numId="26" w16cid:durableId="1563100692">
    <w:abstractNumId w:val="44"/>
  </w:num>
  <w:num w:numId="27" w16cid:durableId="439028465">
    <w:abstractNumId w:val="34"/>
  </w:num>
  <w:num w:numId="28" w16cid:durableId="1401363394">
    <w:abstractNumId w:val="41"/>
  </w:num>
  <w:num w:numId="29" w16cid:durableId="1099909842">
    <w:abstractNumId w:val="20"/>
  </w:num>
  <w:num w:numId="30" w16cid:durableId="502211590">
    <w:abstractNumId w:val="10"/>
  </w:num>
  <w:num w:numId="31" w16cid:durableId="1262761148">
    <w:abstractNumId w:val="27"/>
  </w:num>
  <w:num w:numId="32" w16cid:durableId="1490906770">
    <w:abstractNumId w:val="37"/>
  </w:num>
  <w:num w:numId="33" w16cid:durableId="624308706">
    <w:abstractNumId w:val="26"/>
  </w:num>
  <w:num w:numId="34" w16cid:durableId="618026263">
    <w:abstractNumId w:val="19"/>
  </w:num>
  <w:num w:numId="35" w16cid:durableId="33507194">
    <w:abstractNumId w:val="6"/>
  </w:num>
  <w:num w:numId="36" w16cid:durableId="1281761889">
    <w:abstractNumId w:val="15"/>
  </w:num>
  <w:num w:numId="37" w16cid:durableId="2137794817">
    <w:abstractNumId w:val="4"/>
  </w:num>
  <w:num w:numId="38" w16cid:durableId="1037698972">
    <w:abstractNumId w:val="5"/>
  </w:num>
  <w:num w:numId="39" w16cid:durableId="1436633477">
    <w:abstractNumId w:val="35"/>
  </w:num>
  <w:num w:numId="40" w16cid:durableId="1399355694">
    <w:abstractNumId w:val="3"/>
  </w:num>
  <w:num w:numId="41" w16cid:durableId="1447308293">
    <w:abstractNumId w:val="18"/>
  </w:num>
  <w:num w:numId="42" w16cid:durableId="858542536">
    <w:abstractNumId w:val="33"/>
  </w:num>
  <w:num w:numId="43" w16cid:durableId="1753625236">
    <w:abstractNumId w:val="31"/>
  </w:num>
  <w:num w:numId="44" w16cid:durableId="1610164109">
    <w:abstractNumId w:val="0"/>
  </w:num>
  <w:num w:numId="45" w16cid:durableId="1541360140">
    <w:abstractNumId w:val="2"/>
  </w:num>
  <w:num w:numId="46" w16cid:durableId="900211511">
    <w:abstractNumId w:val="9"/>
  </w:num>
  <w:num w:numId="47" w16cid:durableId="317538694">
    <w:abstractNumId w:val="12"/>
  </w:num>
  <w:num w:numId="48" w16cid:durableId="1814327236">
    <w:abstractNumId w:val="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50E"/>
    <w:rsid w:val="00003DA1"/>
    <w:rsid w:val="00015BEA"/>
    <w:rsid w:val="00016C75"/>
    <w:rsid w:val="000216A5"/>
    <w:rsid w:val="00023269"/>
    <w:rsid w:val="00023896"/>
    <w:rsid w:val="0002614C"/>
    <w:rsid w:val="0002751E"/>
    <w:rsid w:val="000314CE"/>
    <w:rsid w:val="00032B19"/>
    <w:rsid w:val="000374E8"/>
    <w:rsid w:val="00046712"/>
    <w:rsid w:val="0005000C"/>
    <w:rsid w:val="00052070"/>
    <w:rsid w:val="00056276"/>
    <w:rsid w:val="00057A06"/>
    <w:rsid w:val="0007144A"/>
    <w:rsid w:val="00074FBB"/>
    <w:rsid w:val="00075125"/>
    <w:rsid w:val="00076AFB"/>
    <w:rsid w:val="0008226D"/>
    <w:rsid w:val="0008273A"/>
    <w:rsid w:val="00083B7C"/>
    <w:rsid w:val="00084AFA"/>
    <w:rsid w:val="00087F50"/>
    <w:rsid w:val="00090618"/>
    <w:rsid w:val="000924F4"/>
    <w:rsid w:val="000928A0"/>
    <w:rsid w:val="00092B1E"/>
    <w:rsid w:val="00095B7B"/>
    <w:rsid w:val="00097157"/>
    <w:rsid w:val="000A101D"/>
    <w:rsid w:val="000A3CD4"/>
    <w:rsid w:val="000A7E86"/>
    <w:rsid w:val="000B0E0D"/>
    <w:rsid w:val="000B1020"/>
    <w:rsid w:val="000B255D"/>
    <w:rsid w:val="000B6798"/>
    <w:rsid w:val="000C4C6C"/>
    <w:rsid w:val="000C5569"/>
    <w:rsid w:val="000D007A"/>
    <w:rsid w:val="000D22C9"/>
    <w:rsid w:val="000D2B2E"/>
    <w:rsid w:val="000D6A12"/>
    <w:rsid w:val="000E123D"/>
    <w:rsid w:val="000E2972"/>
    <w:rsid w:val="000E2BBB"/>
    <w:rsid w:val="000E3CA8"/>
    <w:rsid w:val="000E567B"/>
    <w:rsid w:val="000F20DB"/>
    <w:rsid w:val="000F3CE9"/>
    <w:rsid w:val="000F4248"/>
    <w:rsid w:val="0010568E"/>
    <w:rsid w:val="00105B4A"/>
    <w:rsid w:val="00105DF2"/>
    <w:rsid w:val="001106B8"/>
    <w:rsid w:val="001171F1"/>
    <w:rsid w:val="0012064F"/>
    <w:rsid w:val="001220D0"/>
    <w:rsid w:val="00124A30"/>
    <w:rsid w:val="001260D0"/>
    <w:rsid w:val="00127858"/>
    <w:rsid w:val="0013402B"/>
    <w:rsid w:val="00135329"/>
    <w:rsid w:val="00136BFD"/>
    <w:rsid w:val="001373AF"/>
    <w:rsid w:val="00142D8E"/>
    <w:rsid w:val="00147418"/>
    <w:rsid w:val="0015357F"/>
    <w:rsid w:val="00153A94"/>
    <w:rsid w:val="00154047"/>
    <w:rsid w:val="00154A3B"/>
    <w:rsid w:val="00160CD1"/>
    <w:rsid w:val="00162A3E"/>
    <w:rsid w:val="00163062"/>
    <w:rsid w:val="001630FB"/>
    <w:rsid w:val="001710A8"/>
    <w:rsid w:val="00172C2D"/>
    <w:rsid w:val="00172F12"/>
    <w:rsid w:val="001737C7"/>
    <w:rsid w:val="0017444F"/>
    <w:rsid w:val="0018573D"/>
    <w:rsid w:val="00187882"/>
    <w:rsid w:val="00190754"/>
    <w:rsid w:val="0019364C"/>
    <w:rsid w:val="0019391D"/>
    <w:rsid w:val="00196D26"/>
    <w:rsid w:val="00197785"/>
    <w:rsid w:val="001A1409"/>
    <w:rsid w:val="001A1F15"/>
    <w:rsid w:val="001A25A0"/>
    <w:rsid w:val="001A2A41"/>
    <w:rsid w:val="001B01F5"/>
    <w:rsid w:val="001B1C49"/>
    <w:rsid w:val="001B3CEA"/>
    <w:rsid w:val="001C42AD"/>
    <w:rsid w:val="001C57B5"/>
    <w:rsid w:val="001C7A1B"/>
    <w:rsid w:val="001C7B1A"/>
    <w:rsid w:val="001D0D68"/>
    <w:rsid w:val="001D1649"/>
    <w:rsid w:val="001D249D"/>
    <w:rsid w:val="001D2D22"/>
    <w:rsid w:val="001D3315"/>
    <w:rsid w:val="001D3551"/>
    <w:rsid w:val="001E0E29"/>
    <w:rsid w:val="001E1D8D"/>
    <w:rsid w:val="001E3AA9"/>
    <w:rsid w:val="001E4D79"/>
    <w:rsid w:val="001E716B"/>
    <w:rsid w:val="001F0191"/>
    <w:rsid w:val="001F07A2"/>
    <w:rsid w:val="001F32A4"/>
    <w:rsid w:val="001F5A61"/>
    <w:rsid w:val="002008F2"/>
    <w:rsid w:val="002009C9"/>
    <w:rsid w:val="0020487C"/>
    <w:rsid w:val="00205E6B"/>
    <w:rsid w:val="002120EA"/>
    <w:rsid w:val="00213367"/>
    <w:rsid w:val="002249B8"/>
    <w:rsid w:val="0022576D"/>
    <w:rsid w:val="00226CAB"/>
    <w:rsid w:val="00227249"/>
    <w:rsid w:val="0023288B"/>
    <w:rsid w:val="00233484"/>
    <w:rsid w:val="0023416F"/>
    <w:rsid w:val="0023555C"/>
    <w:rsid w:val="00235ACA"/>
    <w:rsid w:val="00237AA4"/>
    <w:rsid w:val="00240195"/>
    <w:rsid w:val="00241517"/>
    <w:rsid w:val="002459E7"/>
    <w:rsid w:val="00250067"/>
    <w:rsid w:val="00250CA3"/>
    <w:rsid w:val="00251852"/>
    <w:rsid w:val="002529D1"/>
    <w:rsid w:val="002550EF"/>
    <w:rsid w:val="00264405"/>
    <w:rsid w:val="0026794F"/>
    <w:rsid w:val="00274D04"/>
    <w:rsid w:val="00275182"/>
    <w:rsid w:val="0027753C"/>
    <w:rsid w:val="00281FE4"/>
    <w:rsid w:val="00282FFF"/>
    <w:rsid w:val="0028490D"/>
    <w:rsid w:val="00285D83"/>
    <w:rsid w:val="00292AD1"/>
    <w:rsid w:val="002947C9"/>
    <w:rsid w:val="002A16EB"/>
    <w:rsid w:val="002A2357"/>
    <w:rsid w:val="002A43FC"/>
    <w:rsid w:val="002B36F2"/>
    <w:rsid w:val="002B776D"/>
    <w:rsid w:val="002B7A2A"/>
    <w:rsid w:val="002C5DE0"/>
    <w:rsid w:val="002C6741"/>
    <w:rsid w:val="002C6A40"/>
    <w:rsid w:val="002D20CB"/>
    <w:rsid w:val="002D3256"/>
    <w:rsid w:val="002D5FED"/>
    <w:rsid w:val="002E10EB"/>
    <w:rsid w:val="002E2BC4"/>
    <w:rsid w:val="002E34EA"/>
    <w:rsid w:val="002E6AA9"/>
    <w:rsid w:val="002E73C9"/>
    <w:rsid w:val="002E79B2"/>
    <w:rsid w:val="002F063B"/>
    <w:rsid w:val="002F4F92"/>
    <w:rsid w:val="002F7064"/>
    <w:rsid w:val="00300571"/>
    <w:rsid w:val="00300FE9"/>
    <w:rsid w:val="0030179D"/>
    <w:rsid w:val="00304E30"/>
    <w:rsid w:val="00305B5F"/>
    <w:rsid w:val="0031417E"/>
    <w:rsid w:val="00321F8D"/>
    <w:rsid w:val="00322EB7"/>
    <w:rsid w:val="00322FEB"/>
    <w:rsid w:val="00323E00"/>
    <w:rsid w:val="0032543B"/>
    <w:rsid w:val="003275CF"/>
    <w:rsid w:val="00330CEB"/>
    <w:rsid w:val="00333A61"/>
    <w:rsid w:val="00343F98"/>
    <w:rsid w:val="00345058"/>
    <w:rsid w:val="003516C7"/>
    <w:rsid w:val="00354C93"/>
    <w:rsid w:val="0035645A"/>
    <w:rsid w:val="00356C27"/>
    <w:rsid w:val="00363AE8"/>
    <w:rsid w:val="0036721B"/>
    <w:rsid w:val="00373B56"/>
    <w:rsid w:val="0037413F"/>
    <w:rsid w:val="00375016"/>
    <w:rsid w:val="00377707"/>
    <w:rsid w:val="00380EBB"/>
    <w:rsid w:val="003831A5"/>
    <w:rsid w:val="003851FB"/>
    <w:rsid w:val="00390ED1"/>
    <w:rsid w:val="00391FFD"/>
    <w:rsid w:val="003964D6"/>
    <w:rsid w:val="00397481"/>
    <w:rsid w:val="003A1E09"/>
    <w:rsid w:val="003A4CCC"/>
    <w:rsid w:val="003B47CB"/>
    <w:rsid w:val="003B47F2"/>
    <w:rsid w:val="003B7D97"/>
    <w:rsid w:val="003C4D8E"/>
    <w:rsid w:val="003C5C48"/>
    <w:rsid w:val="003D1D4A"/>
    <w:rsid w:val="003D51A5"/>
    <w:rsid w:val="003D5866"/>
    <w:rsid w:val="003D60DA"/>
    <w:rsid w:val="003D7219"/>
    <w:rsid w:val="003E1188"/>
    <w:rsid w:val="003E4983"/>
    <w:rsid w:val="003E6226"/>
    <w:rsid w:val="003E7855"/>
    <w:rsid w:val="003F0927"/>
    <w:rsid w:val="003F1393"/>
    <w:rsid w:val="003F250E"/>
    <w:rsid w:val="003F2A23"/>
    <w:rsid w:val="003F3334"/>
    <w:rsid w:val="003F6027"/>
    <w:rsid w:val="003F613E"/>
    <w:rsid w:val="003F6B28"/>
    <w:rsid w:val="004018DD"/>
    <w:rsid w:val="00403C33"/>
    <w:rsid w:val="0040406F"/>
    <w:rsid w:val="004109EE"/>
    <w:rsid w:val="00413AF0"/>
    <w:rsid w:val="00414D91"/>
    <w:rsid w:val="004161DC"/>
    <w:rsid w:val="00421247"/>
    <w:rsid w:val="0042219A"/>
    <w:rsid w:val="004222E1"/>
    <w:rsid w:val="004244F8"/>
    <w:rsid w:val="00430B52"/>
    <w:rsid w:val="004319DF"/>
    <w:rsid w:val="00431ACE"/>
    <w:rsid w:val="004350DC"/>
    <w:rsid w:val="00435FD4"/>
    <w:rsid w:val="0043763E"/>
    <w:rsid w:val="004431DB"/>
    <w:rsid w:val="0045028D"/>
    <w:rsid w:val="00452070"/>
    <w:rsid w:val="004524DF"/>
    <w:rsid w:val="00457D9F"/>
    <w:rsid w:val="00462E03"/>
    <w:rsid w:val="00467002"/>
    <w:rsid w:val="0047458E"/>
    <w:rsid w:val="00474B64"/>
    <w:rsid w:val="00474DDC"/>
    <w:rsid w:val="004755F5"/>
    <w:rsid w:val="00476BA3"/>
    <w:rsid w:val="004862A8"/>
    <w:rsid w:val="0049527B"/>
    <w:rsid w:val="004953A5"/>
    <w:rsid w:val="004A3A33"/>
    <w:rsid w:val="004A3A8C"/>
    <w:rsid w:val="004A4FDE"/>
    <w:rsid w:val="004A55FA"/>
    <w:rsid w:val="004A7483"/>
    <w:rsid w:val="004B0497"/>
    <w:rsid w:val="004B195D"/>
    <w:rsid w:val="004B3A72"/>
    <w:rsid w:val="004B48C8"/>
    <w:rsid w:val="004C0264"/>
    <w:rsid w:val="004C3967"/>
    <w:rsid w:val="004C49E4"/>
    <w:rsid w:val="004C4D91"/>
    <w:rsid w:val="004C55C7"/>
    <w:rsid w:val="004C5CA0"/>
    <w:rsid w:val="004C5EE0"/>
    <w:rsid w:val="004D4846"/>
    <w:rsid w:val="004D4A91"/>
    <w:rsid w:val="004D4B3E"/>
    <w:rsid w:val="004D5E25"/>
    <w:rsid w:val="004E0E4E"/>
    <w:rsid w:val="004E247E"/>
    <w:rsid w:val="004E2AA8"/>
    <w:rsid w:val="004F6C8A"/>
    <w:rsid w:val="00502321"/>
    <w:rsid w:val="0050606E"/>
    <w:rsid w:val="005061A2"/>
    <w:rsid w:val="00512296"/>
    <w:rsid w:val="005159CE"/>
    <w:rsid w:val="00521A98"/>
    <w:rsid w:val="005246F4"/>
    <w:rsid w:val="005326AD"/>
    <w:rsid w:val="0053560A"/>
    <w:rsid w:val="00536505"/>
    <w:rsid w:val="00542941"/>
    <w:rsid w:val="00544E6D"/>
    <w:rsid w:val="005467CC"/>
    <w:rsid w:val="0055236A"/>
    <w:rsid w:val="0055373F"/>
    <w:rsid w:val="0055457E"/>
    <w:rsid w:val="00557EE8"/>
    <w:rsid w:val="00557FEF"/>
    <w:rsid w:val="00561E2D"/>
    <w:rsid w:val="005620B1"/>
    <w:rsid w:val="00562B41"/>
    <w:rsid w:val="0056360C"/>
    <w:rsid w:val="0057173B"/>
    <w:rsid w:val="00571B14"/>
    <w:rsid w:val="0057265D"/>
    <w:rsid w:val="0057517F"/>
    <w:rsid w:val="0058032E"/>
    <w:rsid w:val="00582B5C"/>
    <w:rsid w:val="00584B8E"/>
    <w:rsid w:val="00585680"/>
    <w:rsid w:val="005870E2"/>
    <w:rsid w:val="0059039B"/>
    <w:rsid w:val="00591075"/>
    <w:rsid w:val="00591449"/>
    <w:rsid w:val="00593A96"/>
    <w:rsid w:val="005941E4"/>
    <w:rsid w:val="005A2B29"/>
    <w:rsid w:val="005A3967"/>
    <w:rsid w:val="005A4B1B"/>
    <w:rsid w:val="005A4C98"/>
    <w:rsid w:val="005B2CA1"/>
    <w:rsid w:val="005B4638"/>
    <w:rsid w:val="005B4942"/>
    <w:rsid w:val="005B6E83"/>
    <w:rsid w:val="005C0BF4"/>
    <w:rsid w:val="005C25A0"/>
    <w:rsid w:val="005C2D23"/>
    <w:rsid w:val="005C5865"/>
    <w:rsid w:val="005D2741"/>
    <w:rsid w:val="005D35B6"/>
    <w:rsid w:val="005D66A7"/>
    <w:rsid w:val="005D7BCA"/>
    <w:rsid w:val="005E0979"/>
    <w:rsid w:val="005F018F"/>
    <w:rsid w:val="005F0BCE"/>
    <w:rsid w:val="005F47AA"/>
    <w:rsid w:val="005F4ABA"/>
    <w:rsid w:val="005F7DC3"/>
    <w:rsid w:val="00603CE8"/>
    <w:rsid w:val="0060523A"/>
    <w:rsid w:val="00611BA6"/>
    <w:rsid w:val="00611D51"/>
    <w:rsid w:val="006174C5"/>
    <w:rsid w:val="00617ED2"/>
    <w:rsid w:val="00620D01"/>
    <w:rsid w:val="00622D99"/>
    <w:rsid w:val="00622DD9"/>
    <w:rsid w:val="0062426B"/>
    <w:rsid w:val="0062477B"/>
    <w:rsid w:val="00625A5B"/>
    <w:rsid w:val="00627E65"/>
    <w:rsid w:val="00630282"/>
    <w:rsid w:val="00632C75"/>
    <w:rsid w:val="00634642"/>
    <w:rsid w:val="00637273"/>
    <w:rsid w:val="00643F0F"/>
    <w:rsid w:val="00644A5E"/>
    <w:rsid w:val="00645AA7"/>
    <w:rsid w:val="0065176C"/>
    <w:rsid w:val="00652CAA"/>
    <w:rsid w:val="006534BB"/>
    <w:rsid w:val="0066411F"/>
    <w:rsid w:val="00666D11"/>
    <w:rsid w:val="00666EC6"/>
    <w:rsid w:val="00672DEF"/>
    <w:rsid w:val="006759A0"/>
    <w:rsid w:val="00686805"/>
    <w:rsid w:val="00687E95"/>
    <w:rsid w:val="006918DD"/>
    <w:rsid w:val="00691BB6"/>
    <w:rsid w:val="00692D28"/>
    <w:rsid w:val="00696416"/>
    <w:rsid w:val="00697C03"/>
    <w:rsid w:val="006A030B"/>
    <w:rsid w:val="006A1911"/>
    <w:rsid w:val="006A1BB4"/>
    <w:rsid w:val="006A2F1E"/>
    <w:rsid w:val="006B289A"/>
    <w:rsid w:val="006B2945"/>
    <w:rsid w:val="006B40B1"/>
    <w:rsid w:val="006B4F98"/>
    <w:rsid w:val="006C093A"/>
    <w:rsid w:val="006C3B1C"/>
    <w:rsid w:val="006C593A"/>
    <w:rsid w:val="006C7443"/>
    <w:rsid w:val="006C7E2C"/>
    <w:rsid w:val="006D0A62"/>
    <w:rsid w:val="006D641A"/>
    <w:rsid w:val="006D6D77"/>
    <w:rsid w:val="006D723A"/>
    <w:rsid w:val="006E0BF9"/>
    <w:rsid w:val="006E45AF"/>
    <w:rsid w:val="006E73E4"/>
    <w:rsid w:val="006F5953"/>
    <w:rsid w:val="00714A4E"/>
    <w:rsid w:val="00715D72"/>
    <w:rsid w:val="00717E5C"/>
    <w:rsid w:val="00724419"/>
    <w:rsid w:val="00730F3E"/>
    <w:rsid w:val="007327EF"/>
    <w:rsid w:val="00735F6F"/>
    <w:rsid w:val="007372B8"/>
    <w:rsid w:val="00743A2C"/>
    <w:rsid w:val="007464E2"/>
    <w:rsid w:val="00747BE5"/>
    <w:rsid w:val="00747E01"/>
    <w:rsid w:val="0075509E"/>
    <w:rsid w:val="007607D1"/>
    <w:rsid w:val="007612FD"/>
    <w:rsid w:val="00763CDE"/>
    <w:rsid w:val="00775369"/>
    <w:rsid w:val="00777AAE"/>
    <w:rsid w:val="00783704"/>
    <w:rsid w:val="007840B5"/>
    <w:rsid w:val="0078661A"/>
    <w:rsid w:val="00790F2D"/>
    <w:rsid w:val="00791C61"/>
    <w:rsid w:val="00795B2C"/>
    <w:rsid w:val="00797705"/>
    <w:rsid w:val="007A119A"/>
    <w:rsid w:val="007A12E4"/>
    <w:rsid w:val="007A15FE"/>
    <w:rsid w:val="007A1E19"/>
    <w:rsid w:val="007A3770"/>
    <w:rsid w:val="007A67AC"/>
    <w:rsid w:val="007B4B4C"/>
    <w:rsid w:val="007C0F2D"/>
    <w:rsid w:val="007C1F71"/>
    <w:rsid w:val="007C30A2"/>
    <w:rsid w:val="007C3611"/>
    <w:rsid w:val="007C413C"/>
    <w:rsid w:val="007D2B72"/>
    <w:rsid w:val="007D5FB0"/>
    <w:rsid w:val="007D5FCC"/>
    <w:rsid w:val="007E0E51"/>
    <w:rsid w:val="007E4D03"/>
    <w:rsid w:val="007E4DCD"/>
    <w:rsid w:val="007E4F26"/>
    <w:rsid w:val="007E5539"/>
    <w:rsid w:val="007F2912"/>
    <w:rsid w:val="007F4C04"/>
    <w:rsid w:val="007F580C"/>
    <w:rsid w:val="007F5A6D"/>
    <w:rsid w:val="007F5A94"/>
    <w:rsid w:val="0080188F"/>
    <w:rsid w:val="008172D1"/>
    <w:rsid w:val="00817C16"/>
    <w:rsid w:val="00820D8A"/>
    <w:rsid w:val="0082101C"/>
    <w:rsid w:val="00821F4B"/>
    <w:rsid w:val="0082472D"/>
    <w:rsid w:val="00827368"/>
    <w:rsid w:val="00834928"/>
    <w:rsid w:val="00836A28"/>
    <w:rsid w:val="00840B28"/>
    <w:rsid w:val="008429C5"/>
    <w:rsid w:val="00846E7F"/>
    <w:rsid w:val="00847463"/>
    <w:rsid w:val="00850058"/>
    <w:rsid w:val="00861550"/>
    <w:rsid w:val="00863EEB"/>
    <w:rsid w:val="0087401A"/>
    <w:rsid w:val="00875610"/>
    <w:rsid w:val="00875696"/>
    <w:rsid w:val="00877D08"/>
    <w:rsid w:val="00880CDB"/>
    <w:rsid w:val="008824B8"/>
    <w:rsid w:val="00884355"/>
    <w:rsid w:val="0088650A"/>
    <w:rsid w:val="008A0038"/>
    <w:rsid w:val="008A125E"/>
    <w:rsid w:val="008A1D3F"/>
    <w:rsid w:val="008A2866"/>
    <w:rsid w:val="008A4374"/>
    <w:rsid w:val="008A628D"/>
    <w:rsid w:val="008A65ED"/>
    <w:rsid w:val="008A7329"/>
    <w:rsid w:val="008B28F4"/>
    <w:rsid w:val="008B3945"/>
    <w:rsid w:val="008B4465"/>
    <w:rsid w:val="008B5288"/>
    <w:rsid w:val="008B7A2D"/>
    <w:rsid w:val="008C0515"/>
    <w:rsid w:val="008C5427"/>
    <w:rsid w:val="008D1E65"/>
    <w:rsid w:val="008D7513"/>
    <w:rsid w:val="008E2B83"/>
    <w:rsid w:val="008E3EBC"/>
    <w:rsid w:val="008E41B7"/>
    <w:rsid w:val="008E6F4D"/>
    <w:rsid w:val="008F00DE"/>
    <w:rsid w:val="008F1FC7"/>
    <w:rsid w:val="008F6D33"/>
    <w:rsid w:val="008F7EFA"/>
    <w:rsid w:val="009054A6"/>
    <w:rsid w:val="00905EFD"/>
    <w:rsid w:val="009066E0"/>
    <w:rsid w:val="00912BD9"/>
    <w:rsid w:val="00914579"/>
    <w:rsid w:val="00917206"/>
    <w:rsid w:val="00917A54"/>
    <w:rsid w:val="0092160C"/>
    <w:rsid w:val="00922007"/>
    <w:rsid w:val="009239B2"/>
    <w:rsid w:val="00925A96"/>
    <w:rsid w:val="00932EB7"/>
    <w:rsid w:val="00935853"/>
    <w:rsid w:val="00941418"/>
    <w:rsid w:val="0094646B"/>
    <w:rsid w:val="0095412F"/>
    <w:rsid w:val="00955006"/>
    <w:rsid w:val="009572AD"/>
    <w:rsid w:val="00963216"/>
    <w:rsid w:val="00965607"/>
    <w:rsid w:val="00965E65"/>
    <w:rsid w:val="00975E7C"/>
    <w:rsid w:val="0098243C"/>
    <w:rsid w:val="00982CD1"/>
    <w:rsid w:val="00982E79"/>
    <w:rsid w:val="00983625"/>
    <w:rsid w:val="009916C2"/>
    <w:rsid w:val="00993C4E"/>
    <w:rsid w:val="00996F27"/>
    <w:rsid w:val="009A0BA9"/>
    <w:rsid w:val="009A0E27"/>
    <w:rsid w:val="009A0E2B"/>
    <w:rsid w:val="009A5204"/>
    <w:rsid w:val="009B40B0"/>
    <w:rsid w:val="009B4A25"/>
    <w:rsid w:val="009B542C"/>
    <w:rsid w:val="009B6E86"/>
    <w:rsid w:val="009C3728"/>
    <w:rsid w:val="009C5223"/>
    <w:rsid w:val="009C6D47"/>
    <w:rsid w:val="009C7077"/>
    <w:rsid w:val="009D3EE4"/>
    <w:rsid w:val="009D65BC"/>
    <w:rsid w:val="009E39B3"/>
    <w:rsid w:val="009E3C30"/>
    <w:rsid w:val="009E3FF0"/>
    <w:rsid w:val="009E56EB"/>
    <w:rsid w:val="009E5F99"/>
    <w:rsid w:val="009F0879"/>
    <w:rsid w:val="009F14C0"/>
    <w:rsid w:val="009F1C63"/>
    <w:rsid w:val="00A0304A"/>
    <w:rsid w:val="00A0306C"/>
    <w:rsid w:val="00A0488E"/>
    <w:rsid w:val="00A078EF"/>
    <w:rsid w:val="00A105C4"/>
    <w:rsid w:val="00A10B7F"/>
    <w:rsid w:val="00A15164"/>
    <w:rsid w:val="00A15F3A"/>
    <w:rsid w:val="00A16146"/>
    <w:rsid w:val="00A20246"/>
    <w:rsid w:val="00A20498"/>
    <w:rsid w:val="00A240E6"/>
    <w:rsid w:val="00A24BE6"/>
    <w:rsid w:val="00A25EEC"/>
    <w:rsid w:val="00A40BD8"/>
    <w:rsid w:val="00A4647A"/>
    <w:rsid w:val="00A46689"/>
    <w:rsid w:val="00A4713F"/>
    <w:rsid w:val="00A4746F"/>
    <w:rsid w:val="00A47B92"/>
    <w:rsid w:val="00A50FDD"/>
    <w:rsid w:val="00A55078"/>
    <w:rsid w:val="00A57146"/>
    <w:rsid w:val="00A60AAA"/>
    <w:rsid w:val="00A6316F"/>
    <w:rsid w:val="00A63FCB"/>
    <w:rsid w:val="00A66217"/>
    <w:rsid w:val="00A7321F"/>
    <w:rsid w:val="00A744DA"/>
    <w:rsid w:val="00A75513"/>
    <w:rsid w:val="00A77AE5"/>
    <w:rsid w:val="00A842F7"/>
    <w:rsid w:val="00A857FD"/>
    <w:rsid w:val="00A876EE"/>
    <w:rsid w:val="00A95D46"/>
    <w:rsid w:val="00A97D89"/>
    <w:rsid w:val="00AA515A"/>
    <w:rsid w:val="00AB39CA"/>
    <w:rsid w:val="00AC4E10"/>
    <w:rsid w:val="00AC5559"/>
    <w:rsid w:val="00AD306B"/>
    <w:rsid w:val="00AE1E48"/>
    <w:rsid w:val="00AE43D5"/>
    <w:rsid w:val="00AF39BB"/>
    <w:rsid w:val="00AF3B8A"/>
    <w:rsid w:val="00AF3CAD"/>
    <w:rsid w:val="00AF3EB7"/>
    <w:rsid w:val="00B00196"/>
    <w:rsid w:val="00B00E8A"/>
    <w:rsid w:val="00B010F5"/>
    <w:rsid w:val="00B02160"/>
    <w:rsid w:val="00B024E4"/>
    <w:rsid w:val="00B04FAA"/>
    <w:rsid w:val="00B06BC5"/>
    <w:rsid w:val="00B07FA7"/>
    <w:rsid w:val="00B1654C"/>
    <w:rsid w:val="00B1716B"/>
    <w:rsid w:val="00B175DF"/>
    <w:rsid w:val="00B17EDD"/>
    <w:rsid w:val="00B25294"/>
    <w:rsid w:val="00B25D4C"/>
    <w:rsid w:val="00B30CD8"/>
    <w:rsid w:val="00B336A8"/>
    <w:rsid w:val="00B53E44"/>
    <w:rsid w:val="00B54035"/>
    <w:rsid w:val="00B548DF"/>
    <w:rsid w:val="00B56881"/>
    <w:rsid w:val="00B63CD7"/>
    <w:rsid w:val="00B65BD6"/>
    <w:rsid w:val="00B664E5"/>
    <w:rsid w:val="00B72AF2"/>
    <w:rsid w:val="00B73547"/>
    <w:rsid w:val="00B74C4E"/>
    <w:rsid w:val="00B75D4A"/>
    <w:rsid w:val="00B76108"/>
    <w:rsid w:val="00B779FE"/>
    <w:rsid w:val="00B85C2D"/>
    <w:rsid w:val="00B91981"/>
    <w:rsid w:val="00B9205A"/>
    <w:rsid w:val="00B95645"/>
    <w:rsid w:val="00BA1C6E"/>
    <w:rsid w:val="00BA3FA8"/>
    <w:rsid w:val="00BA4B97"/>
    <w:rsid w:val="00BA4C5B"/>
    <w:rsid w:val="00BA58BC"/>
    <w:rsid w:val="00BB0935"/>
    <w:rsid w:val="00BB7127"/>
    <w:rsid w:val="00BC0081"/>
    <w:rsid w:val="00BC19A6"/>
    <w:rsid w:val="00BC5F7B"/>
    <w:rsid w:val="00BC6CA5"/>
    <w:rsid w:val="00BD3694"/>
    <w:rsid w:val="00BD37B7"/>
    <w:rsid w:val="00BE19EB"/>
    <w:rsid w:val="00BE3369"/>
    <w:rsid w:val="00BE5B68"/>
    <w:rsid w:val="00BF0464"/>
    <w:rsid w:val="00BF2920"/>
    <w:rsid w:val="00C02015"/>
    <w:rsid w:val="00C03DF3"/>
    <w:rsid w:val="00C0512C"/>
    <w:rsid w:val="00C05982"/>
    <w:rsid w:val="00C114C5"/>
    <w:rsid w:val="00C15C58"/>
    <w:rsid w:val="00C22331"/>
    <w:rsid w:val="00C22D02"/>
    <w:rsid w:val="00C25AC4"/>
    <w:rsid w:val="00C26AA6"/>
    <w:rsid w:val="00C26B8D"/>
    <w:rsid w:val="00C31E77"/>
    <w:rsid w:val="00C33CBB"/>
    <w:rsid w:val="00C3413C"/>
    <w:rsid w:val="00C3440D"/>
    <w:rsid w:val="00C43C96"/>
    <w:rsid w:val="00C44A8B"/>
    <w:rsid w:val="00C45179"/>
    <w:rsid w:val="00C51B79"/>
    <w:rsid w:val="00C53CED"/>
    <w:rsid w:val="00C55B31"/>
    <w:rsid w:val="00C56200"/>
    <w:rsid w:val="00C56E8E"/>
    <w:rsid w:val="00C656B3"/>
    <w:rsid w:val="00C67639"/>
    <w:rsid w:val="00C67949"/>
    <w:rsid w:val="00C73104"/>
    <w:rsid w:val="00C735FB"/>
    <w:rsid w:val="00C75814"/>
    <w:rsid w:val="00C777EE"/>
    <w:rsid w:val="00C77DEB"/>
    <w:rsid w:val="00C805EA"/>
    <w:rsid w:val="00C80801"/>
    <w:rsid w:val="00C80CE9"/>
    <w:rsid w:val="00C833EF"/>
    <w:rsid w:val="00C86DDA"/>
    <w:rsid w:val="00C87512"/>
    <w:rsid w:val="00C876DD"/>
    <w:rsid w:val="00C87C38"/>
    <w:rsid w:val="00C92462"/>
    <w:rsid w:val="00C94286"/>
    <w:rsid w:val="00C943EE"/>
    <w:rsid w:val="00C96056"/>
    <w:rsid w:val="00C96773"/>
    <w:rsid w:val="00CA06DF"/>
    <w:rsid w:val="00CA3F9F"/>
    <w:rsid w:val="00CB3A75"/>
    <w:rsid w:val="00CB61A2"/>
    <w:rsid w:val="00CB6D6C"/>
    <w:rsid w:val="00CB73BC"/>
    <w:rsid w:val="00CB7B5D"/>
    <w:rsid w:val="00CC3FC3"/>
    <w:rsid w:val="00CC7C39"/>
    <w:rsid w:val="00CD379D"/>
    <w:rsid w:val="00CD5EAC"/>
    <w:rsid w:val="00CE0A6B"/>
    <w:rsid w:val="00CE17BF"/>
    <w:rsid w:val="00CE58AF"/>
    <w:rsid w:val="00CF362F"/>
    <w:rsid w:val="00CF53AC"/>
    <w:rsid w:val="00D01270"/>
    <w:rsid w:val="00D04DEA"/>
    <w:rsid w:val="00D0672A"/>
    <w:rsid w:val="00D07DCD"/>
    <w:rsid w:val="00D12263"/>
    <w:rsid w:val="00D1731D"/>
    <w:rsid w:val="00D24855"/>
    <w:rsid w:val="00D2550A"/>
    <w:rsid w:val="00D25F3F"/>
    <w:rsid w:val="00D311AB"/>
    <w:rsid w:val="00D3177E"/>
    <w:rsid w:val="00D331C6"/>
    <w:rsid w:val="00D36B95"/>
    <w:rsid w:val="00D4161D"/>
    <w:rsid w:val="00D41B4A"/>
    <w:rsid w:val="00D46681"/>
    <w:rsid w:val="00D4793A"/>
    <w:rsid w:val="00D51EA0"/>
    <w:rsid w:val="00D53159"/>
    <w:rsid w:val="00D61379"/>
    <w:rsid w:val="00D62318"/>
    <w:rsid w:val="00D71165"/>
    <w:rsid w:val="00D7262D"/>
    <w:rsid w:val="00D7296C"/>
    <w:rsid w:val="00D80AB8"/>
    <w:rsid w:val="00D81D65"/>
    <w:rsid w:val="00D84369"/>
    <w:rsid w:val="00D84690"/>
    <w:rsid w:val="00D85142"/>
    <w:rsid w:val="00D85B2C"/>
    <w:rsid w:val="00D8696A"/>
    <w:rsid w:val="00D876D7"/>
    <w:rsid w:val="00D93441"/>
    <w:rsid w:val="00D951C0"/>
    <w:rsid w:val="00D966D9"/>
    <w:rsid w:val="00DA03DA"/>
    <w:rsid w:val="00DA2964"/>
    <w:rsid w:val="00DA32C0"/>
    <w:rsid w:val="00DA5393"/>
    <w:rsid w:val="00DA5904"/>
    <w:rsid w:val="00DB08E9"/>
    <w:rsid w:val="00DB1233"/>
    <w:rsid w:val="00DB3782"/>
    <w:rsid w:val="00DB3A6B"/>
    <w:rsid w:val="00DB3FA2"/>
    <w:rsid w:val="00DB5A67"/>
    <w:rsid w:val="00DB7854"/>
    <w:rsid w:val="00DB7F50"/>
    <w:rsid w:val="00DC1638"/>
    <w:rsid w:val="00DE2BFA"/>
    <w:rsid w:val="00DE58D9"/>
    <w:rsid w:val="00DE7D26"/>
    <w:rsid w:val="00DF0E40"/>
    <w:rsid w:val="00DF506C"/>
    <w:rsid w:val="00DF59C1"/>
    <w:rsid w:val="00E02819"/>
    <w:rsid w:val="00E04950"/>
    <w:rsid w:val="00E05D4E"/>
    <w:rsid w:val="00E10426"/>
    <w:rsid w:val="00E13078"/>
    <w:rsid w:val="00E157F4"/>
    <w:rsid w:val="00E16AAA"/>
    <w:rsid w:val="00E20FBF"/>
    <w:rsid w:val="00E24E08"/>
    <w:rsid w:val="00E254AA"/>
    <w:rsid w:val="00E33BF4"/>
    <w:rsid w:val="00E34E22"/>
    <w:rsid w:val="00E368FB"/>
    <w:rsid w:val="00E4051A"/>
    <w:rsid w:val="00E409DE"/>
    <w:rsid w:val="00E410BE"/>
    <w:rsid w:val="00E4124D"/>
    <w:rsid w:val="00E412C1"/>
    <w:rsid w:val="00E42FA1"/>
    <w:rsid w:val="00E43F6A"/>
    <w:rsid w:val="00E5286F"/>
    <w:rsid w:val="00E53BC2"/>
    <w:rsid w:val="00E549F5"/>
    <w:rsid w:val="00E54EB6"/>
    <w:rsid w:val="00E60907"/>
    <w:rsid w:val="00E61946"/>
    <w:rsid w:val="00E639F5"/>
    <w:rsid w:val="00E6553F"/>
    <w:rsid w:val="00E67284"/>
    <w:rsid w:val="00E742B5"/>
    <w:rsid w:val="00E75C25"/>
    <w:rsid w:val="00E81017"/>
    <w:rsid w:val="00E86D5F"/>
    <w:rsid w:val="00E8771D"/>
    <w:rsid w:val="00E878D2"/>
    <w:rsid w:val="00E911B7"/>
    <w:rsid w:val="00E913E6"/>
    <w:rsid w:val="00E92359"/>
    <w:rsid w:val="00E97B63"/>
    <w:rsid w:val="00EA0A20"/>
    <w:rsid w:val="00EA215B"/>
    <w:rsid w:val="00EA2760"/>
    <w:rsid w:val="00EA3BEA"/>
    <w:rsid w:val="00EA79CE"/>
    <w:rsid w:val="00EB1030"/>
    <w:rsid w:val="00EB23BE"/>
    <w:rsid w:val="00EB2835"/>
    <w:rsid w:val="00EB6ACC"/>
    <w:rsid w:val="00EC0940"/>
    <w:rsid w:val="00EC3D99"/>
    <w:rsid w:val="00EC53C7"/>
    <w:rsid w:val="00EC7B73"/>
    <w:rsid w:val="00ED1DBB"/>
    <w:rsid w:val="00ED3EC3"/>
    <w:rsid w:val="00ED4C02"/>
    <w:rsid w:val="00EE053D"/>
    <w:rsid w:val="00EE151E"/>
    <w:rsid w:val="00EE1B74"/>
    <w:rsid w:val="00EE334D"/>
    <w:rsid w:val="00EE54E4"/>
    <w:rsid w:val="00EE5A0B"/>
    <w:rsid w:val="00EE5C92"/>
    <w:rsid w:val="00EF452C"/>
    <w:rsid w:val="00EF5D2D"/>
    <w:rsid w:val="00F01007"/>
    <w:rsid w:val="00F05DD1"/>
    <w:rsid w:val="00F102EA"/>
    <w:rsid w:val="00F2043E"/>
    <w:rsid w:val="00F20BCF"/>
    <w:rsid w:val="00F24047"/>
    <w:rsid w:val="00F25130"/>
    <w:rsid w:val="00F305FF"/>
    <w:rsid w:val="00F3063B"/>
    <w:rsid w:val="00F344E4"/>
    <w:rsid w:val="00F352E8"/>
    <w:rsid w:val="00F45668"/>
    <w:rsid w:val="00F51227"/>
    <w:rsid w:val="00F543D1"/>
    <w:rsid w:val="00F54D42"/>
    <w:rsid w:val="00F56B8D"/>
    <w:rsid w:val="00F57318"/>
    <w:rsid w:val="00F60200"/>
    <w:rsid w:val="00F6221C"/>
    <w:rsid w:val="00F64955"/>
    <w:rsid w:val="00F74594"/>
    <w:rsid w:val="00F8054D"/>
    <w:rsid w:val="00F80B4E"/>
    <w:rsid w:val="00F822FE"/>
    <w:rsid w:val="00F841D0"/>
    <w:rsid w:val="00F846A4"/>
    <w:rsid w:val="00F90739"/>
    <w:rsid w:val="00F927CA"/>
    <w:rsid w:val="00F92F8E"/>
    <w:rsid w:val="00F93552"/>
    <w:rsid w:val="00F939BB"/>
    <w:rsid w:val="00F93C72"/>
    <w:rsid w:val="00F944FD"/>
    <w:rsid w:val="00F9603E"/>
    <w:rsid w:val="00FA0DC6"/>
    <w:rsid w:val="00FB3CC4"/>
    <w:rsid w:val="00FB4236"/>
    <w:rsid w:val="00FB49BF"/>
    <w:rsid w:val="00FB65A3"/>
    <w:rsid w:val="00FC2038"/>
    <w:rsid w:val="00FC2B10"/>
    <w:rsid w:val="00FC3949"/>
    <w:rsid w:val="00FD2726"/>
    <w:rsid w:val="00FD4EA8"/>
    <w:rsid w:val="00FD72D3"/>
    <w:rsid w:val="00FE15B8"/>
    <w:rsid w:val="00FE279B"/>
    <w:rsid w:val="00FE4C52"/>
    <w:rsid w:val="00FE530C"/>
    <w:rsid w:val="00FF3A8C"/>
    <w:rsid w:val="00FF4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6F06D"/>
  <w15:chartTrackingRefBased/>
  <w15:docId w15:val="{9BE5881E-31F2-3B43-9B1D-56C05DF64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D2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F25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25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25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F25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25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250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50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50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50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5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25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25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F25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25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25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5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5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50E"/>
    <w:rPr>
      <w:rFonts w:eastAsiaTheme="majorEastAsia" w:cstheme="majorBidi"/>
      <w:color w:val="272727" w:themeColor="text1" w:themeTint="D8"/>
    </w:rPr>
  </w:style>
  <w:style w:type="paragraph" w:styleId="Title">
    <w:name w:val="Title"/>
    <w:basedOn w:val="Normal"/>
    <w:next w:val="Normal"/>
    <w:link w:val="TitleChar"/>
    <w:uiPriority w:val="10"/>
    <w:qFormat/>
    <w:rsid w:val="003F250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5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50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5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50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F250E"/>
    <w:rPr>
      <w:i/>
      <w:iCs/>
      <w:color w:val="404040" w:themeColor="text1" w:themeTint="BF"/>
    </w:rPr>
  </w:style>
  <w:style w:type="paragraph" w:styleId="ListParagraph">
    <w:name w:val="List Paragraph"/>
    <w:basedOn w:val="Normal"/>
    <w:uiPriority w:val="34"/>
    <w:qFormat/>
    <w:rsid w:val="003F250E"/>
    <w:pPr>
      <w:ind w:left="720"/>
      <w:contextualSpacing/>
    </w:pPr>
  </w:style>
  <w:style w:type="character" w:styleId="IntenseEmphasis">
    <w:name w:val="Intense Emphasis"/>
    <w:basedOn w:val="DefaultParagraphFont"/>
    <w:uiPriority w:val="21"/>
    <w:qFormat/>
    <w:rsid w:val="003F250E"/>
    <w:rPr>
      <w:i/>
      <w:iCs/>
      <w:color w:val="0F4761" w:themeColor="accent1" w:themeShade="BF"/>
    </w:rPr>
  </w:style>
  <w:style w:type="paragraph" w:styleId="IntenseQuote">
    <w:name w:val="Intense Quote"/>
    <w:basedOn w:val="Normal"/>
    <w:next w:val="Normal"/>
    <w:link w:val="IntenseQuoteChar"/>
    <w:uiPriority w:val="30"/>
    <w:qFormat/>
    <w:rsid w:val="003F25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250E"/>
    <w:rPr>
      <w:i/>
      <w:iCs/>
      <w:color w:val="0F4761" w:themeColor="accent1" w:themeShade="BF"/>
    </w:rPr>
  </w:style>
  <w:style w:type="character" w:styleId="IntenseReference">
    <w:name w:val="Intense Reference"/>
    <w:basedOn w:val="DefaultParagraphFont"/>
    <w:uiPriority w:val="32"/>
    <w:qFormat/>
    <w:rsid w:val="003F250E"/>
    <w:rPr>
      <w:b/>
      <w:bCs/>
      <w:smallCaps/>
      <w:color w:val="0F4761" w:themeColor="accent1" w:themeShade="BF"/>
      <w:spacing w:val="5"/>
    </w:rPr>
  </w:style>
  <w:style w:type="paragraph" w:styleId="NoSpacing">
    <w:name w:val="No Spacing"/>
    <w:link w:val="NoSpacingChar"/>
    <w:uiPriority w:val="1"/>
    <w:qFormat/>
    <w:rsid w:val="00AA515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A515A"/>
    <w:rPr>
      <w:rFonts w:eastAsiaTheme="minorEastAsia"/>
      <w:kern w:val="0"/>
      <w:sz w:val="22"/>
      <w:szCs w:val="22"/>
      <w:lang w:val="en-US" w:eastAsia="zh-CN"/>
      <w14:ligatures w14:val="none"/>
    </w:rPr>
  </w:style>
  <w:style w:type="paragraph" w:customStyle="1" w:styleId="msonormal0">
    <w:name w:val="msonormal"/>
    <w:basedOn w:val="Normal"/>
    <w:rsid w:val="00E4124D"/>
    <w:pPr>
      <w:spacing w:before="100" w:beforeAutospacing="1" w:after="100" w:afterAutospacing="1"/>
    </w:pPr>
  </w:style>
  <w:style w:type="character" w:styleId="Emphasis">
    <w:name w:val="Emphasis"/>
    <w:basedOn w:val="DefaultParagraphFont"/>
    <w:uiPriority w:val="20"/>
    <w:qFormat/>
    <w:rsid w:val="00E4124D"/>
    <w:rPr>
      <w:i/>
      <w:iCs/>
    </w:rPr>
  </w:style>
  <w:style w:type="character" w:styleId="Strong">
    <w:name w:val="Strong"/>
    <w:basedOn w:val="DefaultParagraphFont"/>
    <w:uiPriority w:val="22"/>
    <w:qFormat/>
    <w:rsid w:val="00E4124D"/>
    <w:rPr>
      <w:b/>
      <w:bCs/>
    </w:rPr>
  </w:style>
  <w:style w:type="character" w:customStyle="1" w:styleId="ms-1">
    <w:name w:val="ms-1"/>
    <w:basedOn w:val="DefaultParagraphFont"/>
    <w:rsid w:val="00E4124D"/>
  </w:style>
  <w:style w:type="character" w:customStyle="1" w:styleId="relative">
    <w:name w:val="relative"/>
    <w:basedOn w:val="DefaultParagraphFont"/>
    <w:rsid w:val="00E4124D"/>
  </w:style>
  <w:style w:type="character" w:customStyle="1" w:styleId="flex">
    <w:name w:val="flex"/>
    <w:basedOn w:val="DefaultParagraphFont"/>
    <w:rsid w:val="00E4124D"/>
  </w:style>
  <w:style w:type="character" w:customStyle="1" w:styleId="max-w-full">
    <w:name w:val="max-w-full"/>
    <w:basedOn w:val="DefaultParagraphFont"/>
    <w:rsid w:val="00E4124D"/>
  </w:style>
  <w:style w:type="character" w:styleId="Hyperlink">
    <w:name w:val="Hyperlink"/>
    <w:basedOn w:val="DefaultParagraphFont"/>
    <w:uiPriority w:val="99"/>
    <w:unhideWhenUsed/>
    <w:rsid w:val="00E4124D"/>
    <w:rPr>
      <w:color w:val="0000FF"/>
      <w:u w:val="single"/>
    </w:rPr>
  </w:style>
  <w:style w:type="character" w:styleId="FollowedHyperlink">
    <w:name w:val="FollowedHyperlink"/>
    <w:basedOn w:val="DefaultParagraphFont"/>
    <w:uiPriority w:val="99"/>
    <w:semiHidden/>
    <w:unhideWhenUsed/>
    <w:rsid w:val="00E4124D"/>
    <w:rPr>
      <w:color w:val="800080"/>
      <w:u w:val="single"/>
    </w:rPr>
  </w:style>
  <w:style w:type="paragraph" w:styleId="TOCHeading">
    <w:name w:val="TOC Heading"/>
    <w:basedOn w:val="Heading1"/>
    <w:next w:val="Normal"/>
    <w:uiPriority w:val="39"/>
    <w:unhideWhenUsed/>
    <w:qFormat/>
    <w:rsid w:val="000F4248"/>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0F4248"/>
    <w:pPr>
      <w:spacing w:before="120"/>
    </w:pPr>
    <w:rPr>
      <w:b/>
      <w:bCs/>
      <w:i/>
      <w:iCs/>
    </w:rPr>
  </w:style>
  <w:style w:type="paragraph" w:styleId="TOC2">
    <w:name w:val="toc 2"/>
    <w:basedOn w:val="Normal"/>
    <w:next w:val="Normal"/>
    <w:autoRedefine/>
    <w:uiPriority w:val="39"/>
    <w:unhideWhenUsed/>
    <w:rsid w:val="000F4248"/>
    <w:pPr>
      <w:spacing w:before="120"/>
      <w:ind w:left="240"/>
    </w:pPr>
    <w:rPr>
      <w:b/>
      <w:bCs/>
      <w:sz w:val="22"/>
      <w:szCs w:val="22"/>
    </w:rPr>
  </w:style>
  <w:style w:type="paragraph" w:styleId="TOC3">
    <w:name w:val="toc 3"/>
    <w:basedOn w:val="Normal"/>
    <w:next w:val="Normal"/>
    <w:autoRedefine/>
    <w:uiPriority w:val="39"/>
    <w:unhideWhenUsed/>
    <w:rsid w:val="000F4248"/>
    <w:pPr>
      <w:ind w:left="480"/>
    </w:pPr>
    <w:rPr>
      <w:sz w:val="20"/>
      <w:szCs w:val="20"/>
    </w:rPr>
  </w:style>
  <w:style w:type="paragraph" w:styleId="TOC4">
    <w:name w:val="toc 4"/>
    <w:basedOn w:val="Normal"/>
    <w:next w:val="Normal"/>
    <w:autoRedefine/>
    <w:uiPriority w:val="39"/>
    <w:semiHidden/>
    <w:unhideWhenUsed/>
    <w:rsid w:val="000F4248"/>
    <w:pPr>
      <w:ind w:left="720"/>
    </w:pPr>
    <w:rPr>
      <w:sz w:val="20"/>
      <w:szCs w:val="20"/>
    </w:rPr>
  </w:style>
  <w:style w:type="paragraph" w:styleId="TOC5">
    <w:name w:val="toc 5"/>
    <w:basedOn w:val="Normal"/>
    <w:next w:val="Normal"/>
    <w:autoRedefine/>
    <w:uiPriority w:val="39"/>
    <w:semiHidden/>
    <w:unhideWhenUsed/>
    <w:rsid w:val="000F4248"/>
    <w:pPr>
      <w:ind w:left="960"/>
    </w:pPr>
    <w:rPr>
      <w:sz w:val="20"/>
      <w:szCs w:val="20"/>
    </w:rPr>
  </w:style>
  <w:style w:type="paragraph" w:styleId="TOC6">
    <w:name w:val="toc 6"/>
    <w:basedOn w:val="Normal"/>
    <w:next w:val="Normal"/>
    <w:autoRedefine/>
    <w:uiPriority w:val="39"/>
    <w:semiHidden/>
    <w:unhideWhenUsed/>
    <w:rsid w:val="000F4248"/>
    <w:pPr>
      <w:ind w:left="1200"/>
    </w:pPr>
    <w:rPr>
      <w:sz w:val="20"/>
      <w:szCs w:val="20"/>
    </w:rPr>
  </w:style>
  <w:style w:type="paragraph" w:styleId="TOC7">
    <w:name w:val="toc 7"/>
    <w:basedOn w:val="Normal"/>
    <w:next w:val="Normal"/>
    <w:autoRedefine/>
    <w:uiPriority w:val="39"/>
    <w:semiHidden/>
    <w:unhideWhenUsed/>
    <w:rsid w:val="000F4248"/>
    <w:pPr>
      <w:ind w:left="1440"/>
    </w:pPr>
    <w:rPr>
      <w:sz w:val="20"/>
      <w:szCs w:val="20"/>
    </w:rPr>
  </w:style>
  <w:style w:type="paragraph" w:styleId="TOC8">
    <w:name w:val="toc 8"/>
    <w:basedOn w:val="Normal"/>
    <w:next w:val="Normal"/>
    <w:autoRedefine/>
    <w:uiPriority w:val="39"/>
    <w:semiHidden/>
    <w:unhideWhenUsed/>
    <w:rsid w:val="000F4248"/>
    <w:pPr>
      <w:ind w:left="1680"/>
    </w:pPr>
    <w:rPr>
      <w:sz w:val="20"/>
      <w:szCs w:val="20"/>
    </w:rPr>
  </w:style>
  <w:style w:type="paragraph" w:styleId="TOC9">
    <w:name w:val="toc 9"/>
    <w:basedOn w:val="Normal"/>
    <w:next w:val="Normal"/>
    <w:autoRedefine/>
    <w:uiPriority w:val="39"/>
    <w:semiHidden/>
    <w:unhideWhenUsed/>
    <w:rsid w:val="000F4248"/>
    <w:pPr>
      <w:ind w:left="1920"/>
    </w:pPr>
    <w:rPr>
      <w:sz w:val="20"/>
      <w:szCs w:val="20"/>
    </w:rPr>
  </w:style>
  <w:style w:type="table" w:styleId="GridTable4-Accent2">
    <w:name w:val="Grid Table 4 Accent 2"/>
    <w:basedOn w:val="TableNormal"/>
    <w:uiPriority w:val="49"/>
    <w:rsid w:val="00CF53AC"/>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numbering" w:customStyle="1" w:styleId="CurrentList1">
    <w:name w:val="Current List1"/>
    <w:uiPriority w:val="99"/>
    <w:rsid w:val="0092160C"/>
    <w:pPr>
      <w:numPr>
        <w:numId w:val="1"/>
      </w:numPr>
    </w:pPr>
  </w:style>
  <w:style w:type="paragraph" w:styleId="Caption">
    <w:name w:val="caption"/>
    <w:basedOn w:val="Normal"/>
    <w:next w:val="Normal"/>
    <w:uiPriority w:val="35"/>
    <w:unhideWhenUsed/>
    <w:qFormat/>
    <w:rsid w:val="00EE54E4"/>
    <w:pPr>
      <w:spacing w:after="200"/>
    </w:pPr>
    <w:rPr>
      <w:i/>
      <w:iCs/>
      <w:color w:val="0E2841" w:themeColor="text2"/>
      <w:sz w:val="18"/>
      <w:szCs w:val="18"/>
    </w:rPr>
  </w:style>
  <w:style w:type="table" w:styleId="TableGrid">
    <w:name w:val="Table Grid"/>
    <w:basedOn w:val="TableNormal"/>
    <w:uiPriority w:val="59"/>
    <w:rsid w:val="00791C61"/>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13AF0"/>
    <w:rPr>
      <w:sz w:val="20"/>
      <w:szCs w:val="20"/>
    </w:rPr>
  </w:style>
  <w:style w:type="character" w:customStyle="1" w:styleId="FootnoteTextChar">
    <w:name w:val="Footnote Text Char"/>
    <w:basedOn w:val="DefaultParagraphFont"/>
    <w:link w:val="FootnoteText"/>
    <w:uiPriority w:val="99"/>
    <w:semiHidden/>
    <w:rsid w:val="00413AF0"/>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413AF0"/>
    <w:rPr>
      <w:vertAlign w:val="superscript"/>
    </w:rPr>
  </w:style>
  <w:style w:type="paragraph" w:styleId="TableofFigures">
    <w:name w:val="table of figures"/>
    <w:basedOn w:val="Normal"/>
    <w:next w:val="Normal"/>
    <w:uiPriority w:val="99"/>
    <w:unhideWhenUsed/>
    <w:rsid w:val="000928A0"/>
  </w:style>
  <w:style w:type="character" w:customStyle="1" w:styleId="citation-link">
    <w:name w:val="citation-link"/>
    <w:basedOn w:val="DefaultParagraphFont"/>
    <w:rsid w:val="007C3611"/>
  </w:style>
  <w:style w:type="paragraph" w:customStyle="1" w:styleId="citation">
    <w:name w:val="citation"/>
    <w:basedOn w:val="Normal"/>
    <w:rsid w:val="00172C2D"/>
    <w:pPr>
      <w:spacing w:before="100" w:beforeAutospacing="1" w:after="100" w:afterAutospacing="1"/>
    </w:pPr>
  </w:style>
  <w:style w:type="paragraph" w:styleId="Footer">
    <w:name w:val="footer"/>
    <w:basedOn w:val="Normal"/>
    <w:link w:val="FooterChar"/>
    <w:uiPriority w:val="99"/>
    <w:unhideWhenUsed/>
    <w:rsid w:val="00C96773"/>
    <w:pPr>
      <w:tabs>
        <w:tab w:val="center" w:pos="4513"/>
        <w:tab w:val="right" w:pos="9026"/>
      </w:tabs>
    </w:pPr>
  </w:style>
  <w:style w:type="character" w:customStyle="1" w:styleId="FooterChar">
    <w:name w:val="Footer Char"/>
    <w:basedOn w:val="DefaultParagraphFont"/>
    <w:link w:val="Footer"/>
    <w:uiPriority w:val="99"/>
    <w:rsid w:val="00C96773"/>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C96773"/>
  </w:style>
  <w:style w:type="character" w:styleId="UnresolvedMention">
    <w:name w:val="Unresolved Mention"/>
    <w:basedOn w:val="DefaultParagraphFont"/>
    <w:uiPriority w:val="99"/>
    <w:semiHidden/>
    <w:unhideWhenUsed/>
    <w:rsid w:val="00E254AA"/>
    <w:rPr>
      <w:color w:val="605E5C"/>
      <w:shd w:val="clear" w:color="auto" w:fill="E1DFDD"/>
    </w:rPr>
  </w:style>
  <w:style w:type="paragraph" w:styleId="Header">
    <w:name w:val="header"/>
    <w:basedOn w:val="Normal"/>
    <w:link w:val="HeaderChar"/>
    <w:uiPriority w:val="99"/>
    <w:unhideWhenUsed/>
    <w:rsid w:val="002C5DE0"/>
    <w:pPr>
      <w:tabs>
        <w:tab w:val="center" w:pos="4513"/>
        <w:tab w:val="right" w:pos="9026"/>
      </w:tabs>
    </w:pPr>
  </w:style>
  <w:style w:type="character" w:customStyle="1" w:styleId="HeaderChar">
    <w:name w:val="Header Char"/>
    <w:basedOn w:val="DefaultParagraphFont"/>
    <w:link w:val="Header"/>
    <w:uiPriority w:val="99"/>
    <w:rsid w:val="002C5DE0"/>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5326AD"/>
    <w:pPr>
      <w:spacing w:before="100" w:beforeAutospacing="1" w:after="100" w:afterAutospacing="1"/>
    </w:pPr>
  </w:style>
  <w:style w:type="character" w:customStyle="1" w:styleId="csl-entry">
    <w:name w:val="csl-entry"/>
    <w:basedOn w:val="DefaultParagraphFont"/>
    <w:rsid w:val="005326AD"/>
  </w:style>
  <w:style w:type="character" w:customStyle="1" w:styleId="apple-converted-space">
    <w:name w:val="apple-converted-space"/>
    <w:basedOn w:val="DefaultParagraphFont"/>
    <w:rsid w:val="000E567B"/>
  </w:style>
  <w:style w:type="table" w:styleId="GridTable5Dark-Accent2">
    <w:name w:val="Grid Table 5 Dark Accent 2"/>
    <w:basedOn w:val="TableNormal"/>
    <w:uiPriority w:val="50"/>
    <w:rsid w:val="00912BD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4-Accent1">
    <w:name w:val="Grid Table 4 Accent 1"/>
    <w:basedOn w:val="TableNormal"/>
    <w:uiPriority w:val="49"/>
    <w:rsid w:val="001D2D22"/>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7833">
      <w:bodyDiv w:val="1"/>
      <w:marLeft w:val="0"/>
      <w:marRight w:val="0"/>
      <w:marTop w:val="0"/>
      <w:marBottom w:val="0"/>
      <w:divBdr>
        <w:top w:val="none" w:sz="0" w:space="0" w:color="auto"/>
        <w:left w:val="none" w:sz="0" w:space="0" w:color="auto"/>
        <w:bottom w:val="none" w:sz="0" w:space="0" w:color="auto"/>
        <w:right w:val="none" w:sz="0" w:space="0" w:color="auto"/>
      </w:divBdr>
    </w:div>
    <w:div w:id="23755950">
      <w:bodyDiv w:val="1"/>
      <w:marLeft w:val="0"/>
      <w:marRight w:val="0"/>
      <w:marTop w:val="0"/>
      <w:marBottom w:val="0"/>
      <w:divBdr>
        <w:top w:val="none" w:sz="0" w:space="0" w:color="auto"/>
        <w:left w:val="none" w:sz="0" w:space="0" w:color="auto"/>
        <w:bottom w:val="none" w:sz="0" w:space="0" w:color="auto"/>
        <w:right w:val="none" w:sz="0" w:space="0" w:color="auto"/>
      </w:divBdr>
      <w:divsChild>
        <w:div w:id="1487823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305403">
      <w:bodyDiv w:val="1"/>
      <w:marLeft w:val="0"/>
      <w:marRight w:val="0"/>
      <w:marTop w:val="0"/>
      <w:marBottom w:val="0"/>
      <w:divBdr>
        <w:top w:val="none" w:sz="0" w:space="0" w:color="auto"/>
        <w:left w:val="none" w:sz="0" w:space="0" w:color="auto"/>
        <w:bottom w:val="none" w:sz="0" w:space="0" w:color="auto"/>
        <w:right w:val="none" w:sz="0" w:space="0" w:color="auto"/>
      </w:divBdr>
    </w:div>
    <w:div w:id="30230335">
      <w:bodyDiv w:val="1"/>
      <w:marLeft w:val="0"/>
      <w:marRight w:val="0"/>
      <w:marTop w:val="0"/>
      <w:marBottom w:val="0"/>
      <w:divBdr>
        <w:top w:val="none" w:sz="0" w:space="0" w:color="auto"/>
        <w:left w:val="none" w:sz="0" w:space="0" w:color="auto"/>
        <w:bottom w:val="none" w:sz="0" w:space="0" w:color="auto"/>
        <w:right w:val="none" w:sz="0" w:space="0" w:color="auto"/>
      </w:divBdr>
    </w:div>
    <w:div w:id="31275119">
      <w:bodyDiv w:val="1"/>
      <w:marLeft w:val="0"/>
      <w:marRight w:val="0"/>
      <w:marTop w:val="0"/>
      <w:marBottom w:val="0"/>
      <w:divBdr>
        <w:top w:val="none" w:sz="0" w:space="0" w:color="auto"/>
        <w:left w:val="none" w:sz="0" w:space="0" w:color="auto"/>
        <w:bottom w:val="none" w:sz="0" w:space="0" w:color="auto"/>
        <w:right w:val="none" w:sz="0" w:space="0" w:color="auto"/>
      </w:divBdr>
    </w:div>
    <w:div w:id="47729474">
      <w:bodyDiv w:val="1"/>
      <w:marLeft w:val="0"/>
      <w:marRight w:val="0"/>
      <w:marTop w:val="0"/>
      <w:marBottom w:val="0"/>
      <w:divBdr>
        <w:top w:val="none" w:sz="0" w:space="0" w:color="auto"/>
        <w:left w:val="none" w:sz="0" w:space="0" w:color="auto"/>
        <w:bottom w:val="none" w:sz="0" w:space="0" w:color="auto"/>
        <w:right w:val="none" w:sz="0" w:space="0" w:color="auto"/>
      </w:divBdr>
    </w:div>
    <w:div w:id="48044412">
      <w:bodyDiv w:val="1"/>
      <w:marLeft w:val="0"/>
      <w:marRight w:val="0"/>
      <w:marTop w:val="0"/>
      <w:marBottom w:val="0"/>
      <w:divBdr>
        <w:top w:val="none" w:sz="0" w:space="0" w:color="auto"/>
        <w:left w:val="none" w:sz="0" w:space="0" w:color="auto"/>
        <w:bottom w:val="none" w:sz="0" w:space="0" w:color="auto"/>
        <w:right w:val="none" w:sz="0" w:space="0" w:color="auto"/>
      </w:divBdr>
    </w:div>
    <w:div w:id="48266331">
      <w:bodyDiv w:val="1"/>
      <w:marLeft w:val="0"/>
      <w:marRight w:val="0"/>
      <w:marTop w:val="0"/>
      <w:marBottom w:val="0"/>
      <w:divBdr>
        <w:top w:val="none" w:sz="0" w:space="0" w:color="auto"/>
        <w:left w:val="none" w:sz="0" w:space="0" w:color="auto"/>
        <w:bottom w:val="none" w:sz="0" w:space="0" w:color="auto"/>
        <w:right w:val="none" w:sz="0" w:space="0" w:color="auto"/>
      </w:divBdr>
    </w:div>
    <w:div w:id="55250664">
      <w:bodyDiv w:val="1"/>
      <w:marLeft w:val="0"/>
      <w:marRight w:val="0"/>
      <w:marTop w:val="0"/>
      <w:marBottom w:val="0"/>
      <w:divBdr>
        <w:top w:val="none" w:sz="0" w:space="0" w:color="auto"/>
        <w:left w:val="none" w:sz="0" w:space="0" w:color="auto"/>
        <w:bottom w:val="none" w:sz="0" w:space="0" w:color="auto"/>
        <w:right w:val="none" w:sz="0" w:space="0" w:color="auto"/>
      </w:divBdr>
    </w:div>
    <w:div w:id="59138525">
      <w:bodyDiv w:val="1"/>
      <w:marLeft w:val="0"/>
      <w:marRight w:val="0"/>
      <w:marTop w:val="0"/>
      <w:marBottom w:val="0"/>
      <w:divBdr>
        <w:top w:val="none" w:sz="0" w:space="0" w:color="auto"/>
        <w:left w:val="none" w:sz="0" w:space="0" w:color="auto"/>
        <w:bottom w:val="none" w:sz="0" w:space="0" w:color="auto"/>
        <w:right w:val="none" w:sz="0" w:space="0" w:color="auto"/>
      </w:divBdr>
    </w:div>
    <w:div w:id="59257838">
      <w:bodyDiv w:val="1"/>
      <w:marLeft w:val="0"/>
      <w:marRight w:val="0"/>
      <w:marTop w:val="0"/>
      <w:marBottom w:val="0"/>
      <w:divBdr>
        <w:top w:val="none" w:sz="0" w:space="0" w:color="auto"/>
        <w:left w:val="none" w:sz="0" w:space="0" w:color="auto"/>
        <w:bottom w:val="none" w:sz="0" w:space="0" w:color="auto"/>
        <w:right w:val="none" w:sz="0" w:space="0" w:color="auto"/>
      </w:divBdr>
    </w:div>
    <w:div w:id="60635908">
      <w:bodyDiv w:val="1"/>
      <w:marLeft w:val="0"/>
      <w:marRight w:val="0"/>
      <w:marTop w:val="0"/>
      <w:marBottom w:val="0"/>
      <w:divBdr>
        <w:top w:val="none" w:sz="0" w:space="0" w:color="auto"/>
        <w:left w:val="none" w:sz="0" w:space="0" w:color="auto"/>
        <w:bottom w:val="none" w:sz="0" w:space="0" w:color="auto"/>
        <w:right w:val="none" w:sz="0" w:space="0" w:color="auto"/>
      </w:divBdr>
    </w:div>
    <w:div w:id="65495871">
      <w:bodyDiv w:val="1"/>
      <w:marLeft w:val="0"/>
      <w:marRight w:val="0"/>
      <w:marTop w:val="0"/>
      <w:marBottom w:val="0"/>
      <w:divBdr>
        <w:top w:val="none" w:sz="0" w:space="0" w:color="auto"/>
        <w:left w:val="none" w:sz="0" w:space="0" w:color="auto"/>
        <w:bottom w:val="none" w:sz="0" w:space="0" w:color="auto"/>
        <w:right w:val="none" w:sz="0" w:space="0" w:color="auto"/>
      </w:divBdr>
      <w:divsChild>
        <w:div w:id="1615357276">
          <w:blockQuote w:val="1"/>
          <w:marLeft w:val="720"/>
          <w:marRight w:val="720"/>
          <w:marTop w:val="100"/>
          <w:marBottom w:val="100"/>
          <w:divBdr>
            <w:top w:val="none" w:sz="0" w:space="0" w:color="auto"/>
            <w:left w:val="none" w:sz="0" w:space="0" w:color="auto"/>
            <w:bottom w:val="none" w:sz="0" w:space="0" w:color="auto"/>
            <w:right w:val="none" w:sz="0" w:space="0" w:color="auto"/>
          </w:divBdr>
        </w:div>
        <w:div w:id="330916124">
          <w:marLeft w:val="0"/>
          <w:marRight w:val="0"/>
          <w:marTop w:val="0"/>
          <w:marBottom w:val="0"/>
          <w:divBdr>
            <w:top w:val="none" w:sz="0" w:space="0" w:color="auto"/>
            <w:left w:val="none" w:sz="0" w:space="0" w:color="auto"/>
            <w:bottom w:val="none" w:sz="0" w:space="0" w:color="auto"/>
            <w:right w:val="none" w:sz="0" w:space="0" w:color="auto"/>
          </w:divBdr>
          <w:divsChild>
            <w:div w:id="7957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66421">
      <w:bodyDiv w:val="1"/>
      <w:marLeft w:val="0"/>
      <w:marRight w:val="0"/>
      <w:marTop w:val="0"/>
      <w:marBottom w:val="0"/>
      <w:divBdr>
        <w:top w:val="none" w:sz="0" w:space="0" w:color="auto"/>
        <w:left w:val="none" w:sz="0" w:space="0" w:color="auto"/>
        <w:bottom w:val="none" w:sz="0" w:space="0" w:color="auto"/>
        <w:right w:val="none" w:sz="0" w:space="0" w:color="auto"/>
      </w:divBdr>
    </w:div>
    <w:div w:id="74864817">
      <w:bodyDiv w:val="1"/>
      <w:marLeft w:val="0"/>
      <w:marRight w:val="0"/>
      <w:marTop w:val="0"/>
      <w:marBottom w:val="0"/>
      <w:divBdr>
        <w:top w:val="none" w:sz="0" w:space="0" w:color="auto"/>
        <w:left w:val="none" w:sz="0" w:space="0" w:color="auto"/>
        <w:bottom w:val="none" w:sz="0" w:space="0" w:color="auto"/>
        <w:right w:val="none" w:sz="0" w:space="0" w:color="auto"/>
      </w:divBdr>
    </w:div>
    <w:div w:id="76825256">
      <w:bodyDiv w:val="1"/>
      <w:marLeft w:val="0"/>
      <w:marRight w:val="0"/>
      <w:marTop w:val="0"/>
      <w:marBottom w:val="0"/>
      <w:divBdr>
        <w:top w:val="none" w:sz="0" w:space="0" w:color="auto"/>
        <w:left w:val="none" w:sz="0" w:space="0" w:color="auto"/>
        <w:bottom w:val="none" w:sz="0" w:space="0" w:color="auto"/>
        <w:right w:val="none" w:sz="0" w:space="0" w:color="auto"/>
      </w:divBdr>
    </w:div>
    <w:div w:id="82723965">
      <w:bodyDiv w:val="1"/>
      <w:marLeft w:val="0"/>
      <w:marRight w:val="0"/>
      <w:marTop w:val="0"/>
      <w:marBottom w:val="0"/>
      <w:divBdr>
        <w:top w:val="none" w:sz="0" w:space="0" w:color="auto"/>
        <w:left w:val="none" w:sz="0" w:space="0" w:color="auto"/>
        <w:bottom w:val="none" w:sz="0" w:space="0" w:color="auto"/>
        <w:right w:val="none" w:sz="0" w:space="0" w:color="auto"/>
      </w:divBdr>
    </w:div>
    <w:div w:id="91632567">
      <w:bodyDiv w:val="1"/>
      <w:marLeft w:val="0"/>
      <w:marRight w:val="0"/>
      <w:marTop w:val="0"/>
      <w:marBottom w:val="0"/>
      <w:divBdr>
        <w:top w:val="none" w:sz="0" w:space="0" w:color="auto"/>
        <w:left w:val="none" w:sz="0" w:space="0" w:color="auto"/>
        <w:bottom w:val="none" w:sz="0" w:space="0" w:color="auto"/>
        <w:right w:val="none" w:sz="0" w:space="0" w:color="auto"/>
      </w:divBdr>
    </w:div>
    <w:div w:id="92946979">
      <w:bodyDiv w:val="1"/>
      <w:marLeft w:val="0"/>
      <w:marRight w:val="0"/>
      <w:marTop w:val="0"/>
      <w:marBottom w:val="0"/>
      <w:divBdr>
        <w:top w:val="none" w:sz="0" w:space="0" w:color="auto"/>
        <w:left w:val="none" w:sz="0" w:space="0" w:color="auto"/>
        <w:bottom w:val="none" w:sz="0" w:space="0" w:color="auto"/>
        <w:right w:val="none" w:sz="0" w:space="0" w:color="auto"/>
      </w:divBdr>
    </w:div>
    <w:div w:id="94787842">
      <w:bodyDiv w:val="1"/>
      <w:marLeft w:val="0"/>
      <w:marRight w:val="0"/>
      <w:marTop w:val="0"/>
      <w:marBottom w:val="0"/>
      <w:divBdr>
        <w:top w:val="none" w:sz="0" w:space="0" w:color="auto"/>
        <w:left w:val="none" w:sz="0" w:space="0" w:color="auto"/>
        <w:bottom w:val="none" w:sz="0" w:space="0" w:color="auto"/>
        <w:right w:val="none" w:sz="0" w:space="0" w:color="auto"/>
      </w:divBdr>
      <w:divsChild>
        <w:div w:id="257491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096032">
      <w:bodyDiv w:val="1"/>
      <w:marLeft w:val="0"/>
      <w:marRight w:val="0"/>
      <w:marTop w:val="0"/>
      <w:marBottom w:val="0"/>
      <w:divBdr>
        <w:top w:val="none" w:sz="0" w:space="0" w:color="auto"/>
        <w:left w:val="none" w:sz="0" w:space="0" w:color="auto"/>
        <w:bottom w:val="none" w:sz="0" w:space="0" w:color="auto"/>
        <w:right w:val="none" w:sz="0" w:space="0" w:color="auto"/>
      </w:divBdr>
    </w:div>
    <w:div w:id="97877503">
      <w:bodyDiv w:val="1"/>
      <w:marLeft w:val="0"/>
      <w:marRight w:val="0"/>
      <w:marTop w:val="0"/>
      <w:marBottom w:val="0"/>
      <w:divBdr>
        <w:top w:val="none" w:sz="0" w:space="0" w:color="auto"/>
        <w:left w:val="none" w:sz="0" w:space="0" w:color="auto"/>
        <w:bottom w:val="none" w:sz="0" w:space="0" w:color="auto"/>
        <w:right w:val="none" w:sz="0" w:space="0" w:color="auto"/>
      </w:divBdr>
    </w:div>
    <w:div w:id="101385896">
      <w:bodyDiv w:val="1"/>
      <w:marLeft w:val="0"/>
      <w:marRight w:val="0"/>
      <w:marTop w:val="0"/>
      <w:marBottom w:val="0"/>
      <w:divBdr>
        <w:top w:val="none" w:sz="0" w:space="0" w:color="auto"/>
        <w:left w:val="none" w:sz="0" w:space="0" w:color="auto"/>
        <w:bottom w:val="none" w:sz="0" w:space="0" w:color="auto"/>
        <w:right w:val="none" w:sz="0" w:space="0" w:color="auto"/>
      </w:divBdr>
    </w:div>
    <w:div w:id="102575392">
      <w:bodyDiv w:val="1"/>
      <w:marLeft w:val="0"/>
      <w:marRight w:val="0"/>
      <w:marTop w:val="0"/>
      <w:marBottom w:val="0"/>
      <w:divBdr>
        <w:top w:val="none" w:sz="0" w:space="0" w:color="auto"/>
        <w:left w:val="none" w:sz="0" w:space="0" w:color="auto"/>
        <w:bottom w:val="none" w:sz="0" w:space="0" w:color="auto"/>
        <w:right w:val="none" w:sz="0" w:space="0" w:color="auto"/>
      </w:divBdr>
    </w:div>
    <w:div w:id="105273189">
      <w:bodyDiv w:val="1"/>
      <w:marLeft w:val="0"/>
      <w:marRight w:val="0"/>
      <w:marTop w:val="0"/>
      <w:marBottom w:val="0"/>
      <w:divBdr>
        <w:top w:val="none" w:sz="0" w:space="0" w:color="auto"/>
        <w:left w:val="none" w:sz="0" w:space="0" w:color="auto"/>
        <w:bottom w:val="none" w:sz="0" w:space="0" w:color="auto"/>
        <w:right w:val="none" w:sz="0" w:space="0" w:color="auto"/>
      </w:divBdr>
    </w:div>
    <w:div w:id="105932208">
      <w:bodyDiv w:val="1"/>
      <w:marLeft w:val="0"/>
      <w:marRight w:val="0"/>
      <w:marTop w:val="0"/>
      <w:marBottom w:val="0"/>
      <w:divBdr>
        <w:top w:val="none" w:sz="0" w:space="0" w:color="auto"/>
        <w:left w:val="none" w:sz="0" w:space="0" w:color="auto"/>
        <w:bottom w:val="none" w:sz="0" w:space="0" w:color="auto"/>
        <w:right w:val="none" w:sz="0" w:space="0" w:color="auto"/>
      </w:divBdr>
    </w:div>
    <w:div w:id="108863552">
      <w:bodyDiv w:val="1"/>
      <w:marLeft w:val="0"/>
      <w:marRight w:val="0"/>
      <w:marTop w:val="0"/>
      <w:marBottom w:val="0"/>
      <w:divBdr>
        <w:top w:val="none" w:sz="0" w:space="0" w:color="auto"/>
        <w:left w:val="none" w:sz="0" w:space="0" w:color="auto"/>
        <w:bottom w:val="none" w:sz="0" w:space="0" w:color="auto"/>
        <w:right w:val="none" w:sz="0" w:space="0" w:color="auto"/>
      </w:divBdr>
    </w:div>
    <w:div w:id="110638905">
      <w:bodyDiv w:val="1"/>
      <w:marLeft w:val="0"/>
      <w:marRight w:val="0"/>
      <w:marTop w:val="0"/>
      <w:marBottom w:val="0"/>
      <w:divBdr>
        <w:top w:val="none" w:sz="0" w:space="0" w:color="auto"/>
        <w:left w:val="none" w:sz="0" w:space="0" w:color="auto"/>
        <w:bottom w:val="none" w:sz="0" w:space="0" w:color="auto"/>
        <w:right w:val="none" w:sz="0" w:space="0" w:color="auto"/>
      </w:divBdr>
    </w:div>
    <w:div w:id="114326211">
      <w:bodyDiv w:val="1"/>
      <w:marLeft w:val="0"/>
      <w:marRight w:val="0"/>
      <w:marTop w:val="0"/>
      <w:marBottom w:val="0"/>
      <w:divBdr>
        <w:top w:val="none" w:sz="0" w:space="0" w:color="auto"/>
        <w:left w:val="none" w:sz="0" w:space="0" w:color="auto"/>
        <w:bottom w:val="none" w:sz="0" w:space="0" w:color="auto"/>
        <w:right w:val="none" w:sz="0" w:space="0" w:color="auto"/>
      </w:divBdr>
    </w:div>
    <w:div w:id="120660101">
      <w:bodyDiv w:val="1"/>
      <w:marLeft w:val="0"/>
      <w:marRight w:val="0"/>
      <w:marTop w:val="0"/>
      <w:marBottom w:val="0"/>
      <w:divBdr>
        <w:top w:val="none" w:sz="0" w:space="0" w:color="auto"/>
        <w:left w:val="none" w:sz="0" w:space="0" w:color="auto"/>
        <w:bottom w:val="none" w:sz="0" w:space="0" w:color="auto"/>
        <w:right w:val="none" w:sz="0" w:space="0" w:color="auto"/>
      </w:divBdr>
      <w:divsChild>
        <w:div w:id="988169731">
          <w:marLeft w:val="0"/>
          <w:marRight w:val="0"/>
          <w:marTop w:val="0"/>
          <w:marBottom w:val="0"/>
          <w:divBdr>
            <w:top w:val="none" w:sz="0" w:space="0" w:color="auto"/>
            <w:left w:val="none" w:sz="0" w:space="0" w:color="auto"/>
            <w:bottom w:val="none" w:sz="0" w:space="0" w:color="auto"/>
            <w:right w:val="none" w:sz="0" w:space="0" w:color="auto"/>
          </w:divBdr>
          <w:divsChild>
            <w:div w:id="67661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7320">
      <w:bodyDiv w:val="1"/>
      <w:marLeft w:val="0"/>
      <w:marRight w:val="0"/>
      <w:marTop w:val="0"/>
      <w:marBottom w:val="0"/>
      <w:divBdr>
        <w:top w:val="none" w:sz="0" w:space="0" w:color="auto"/>
        <w:left w:val="none" w:sz="0" w:space="0" w:color="auto"/>
        <w:bottom w:val="none" w:sz="0" w:space="0" w:color="auto"/>
        <w:right w:val="none" w:sz="0" w:space="0" w:color="auto"/>
      </w:divBdr>
      <w:divsChild>
        <w:div w:id="13295516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31382">
      <w:bodyDiv w:val="1"/>
      <w:marLeft w:val="0"/>
      <w:marRight w:val="0"/>
      <w:marTop w:val="0"/>
      <w:marBottom w:val="0"/>
      <w:divBdr>
        <w:top w:val="none" w:sz="0" w:space="0" w:color="auto"/>
        <w:left w:val="none" w:sz="0" w:space="0" w:color="auto"/>
        <w:bottom w:val="none" w:sz="0" w:space="0" w:color="auto"/>
        <w:right w:val="none" w:sz="0" w:space="0" w:color="auto"/>
      </w:divBdr>
    </w:div>
    <w:div w:id="135413512">
      <w:bodyDiv w:val="1"/>
      <w:marLeft w:val="0"/>
      <w:marRight w:val="0"/>
      <w:marTop w:val="0"/>
      <w:marBottom w:val="0"/>
      <w:divBdr>
        <w:top w:val="none" w:sz="0" w:space="0" w:color="auto"/>
        <w:left w:val="none" w:sz="0" w:space="0" w:color="auto"/>
        <w:bottom w:val="none" w:sz="0" w:space="0" w:color="auto"/>
        <w:right w:val="none" w:sz="0" w:space="0" w:color="auto"/>
      </w:divBdr>
    </w:div>
    <w:div w:id="141967255">
      <w:bodyDiv w:val="1"/>
      <w:marLeft w:val="0"/>
      <w:marRight w:val="0"/>
      <w:marTop w:val="0"/>
      <w:marBottom w:val="0"/>
      <w:divBdr>
        <w:top w:val="none" w:sz="0" w:space="0" w:color="auto"/>
        <w:left w:val="none" w:sz="0" w:space="0" w:color="auto"/>
        <w:bottom w:val="none" w:sz="0" w:space="0" w:color="auto"/>
        <w:right w:val="none" w:sz="0" w:space="0" w:color="auto"/>
      </w:divBdr>
    </w:div>
    <w:div w:id="142045354">
      <w:bodyDiv w:val="1"/>
      <w:marLeft w:val="0"/>
      <w:marRight w:val="0"/>
      <w:marTop w:val="0"/>
      <w:marBottom w:val="0"/>
      <w:divBdr>
        <w:top w:val="none" w:sz="0" w:space="0" w:color="auto"/>
        <w:left w:val="none" w:sz="0" w:space="0" w:color="auto"/>
        <w:bottom w:val="none" w:sz="0" w:space="0" w:color="auto"/>
        <w:right w:val="none" w:sz="0" w:space="0" w:color="auto"/>
      </w:divBdr>
    </w:div>
    <w:div w:id="156845054">
      <w:bodyDiv w:val="1"/>
      <w:marLeft w:val="0"/>
      <w:marRight w:val="0"/>
      <w:marTop w:val="0"/>
      <w:marBottom w:val="0"/>
      <w:divBdr>
        <w:top w:val="none" w:sz="0" w:space="0" w:color="auto"/>
        <w:left w:val="none" w:sz="0" w:space="0" w:color="auto"/>
        <w:bottom w:val="none" w:sz="0" w:space="0" w:color="auto"/>
        <w:right w:val="none" w:sz="0" w:space="0" w:color="auto"/>
      </w:divBdr>
      <w:divsChild>
        <w:div w:id="16520563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932209">
      <w:bodyDiv w:val="1"/>
      <w:marLeft w:val="0"/>
      <w:marRight w:val="0"/>
      <w:marTop w:val="0"/>
      <w:marBottom w:val="0"/>
      <w:divBdr>
        <w:top w:val="none" w:sz="0" w:space="0" w:color="auto"/>
        <w:left w:val="none" w:sz="0" w:space="0" w:color="auto"/>
        <w:bottom w:val="none" w:sz="0" w:space="0" w:color="auto"/>
        <w:right w:val="none" w:sz="0" w:space="0" w:color="auto"/>
      </w:divBdr>
      <w:divsChild>
        <w:div w:id="1650215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200649">
      <w:bodyDiv w:val="1"/>
      <w:marLeft w:val="0"/>
      <w:marRight w:val="0"/>
      <w:marTop w:val="0"/>
      <w:marBottom w:val="0"/>
      <w:divBdr>
        <w:top w:val="none" w:sz="0" w:space="0" w:color="auto"/>
        <w:left w:val="none" w:sz="0" w:space="0" w:color="auto"/>
        <w:bottom w:val="none" w:sz="0" w:space="0" w:color="auto"/>
        <w:right w:val="none" w:sz="0" w:space="0" w:color="auto"/>
      </w:divBdr>
      <w:divsChild>
        <w:div w:id="36787984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6435776">
          <w:blockQuote w:val="1"/>
          <w:marLeft w:val="720"/>
          <w:marRight w:val="720"/>
          <w:marTop w:val="100"/>
          <w:marBottom w:val="100"/>
          <w:divBdr>
            <w:top w:val="none" w:sz="0" w:space="0" w:color="auto"/>
            <w:left w:val="none" w:sz="0" w:space="0" w:color="auto"/>
            <w:bottom w:val="none" w:sz="0" w:space="0" w:color="auto"/>
            <w:right w:val="none" w:sz="0" w:space="0" w:color="auto"/>
          </w:divBdr>
        </w:div>
        <w:div w:id="815325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23497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062183">
      <w:bodyDiv w:val="1"/>
      <w:marLeft w:val="0"/>
      <w:marRight w:val="0"/>
      <w:marTop w:val="0"/>
      <w:marBottom w:val="0"/>
      <w:divBdr>
        <w:top w:val="none" w:sz="0" w:space="0" w:color="auto"/>
        <w:left w:val="none" w:sz="0" w:space="0" w:color="auto"/>
        <w:bottom w:val="none" w:sz="0" w:space="0" w:color="auto"/>
        <w:right w:val="none" w:sz="0" w:space="0" w:color="auto"/>
      </w:divBdr>
      <w:divsChild>
        <w:div w:id="159227628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860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97548295">
          <w:marLeft w:val="0"/>
          <w:marRight w:val="0"/>
          <w:marTop w:val="0"/>
          <w:marBottom w:val="0"/>
          <w:divBdr>
            <w:top w:val="none" w:sz="0" w:space="0" w:color="auto"/>
            <w:left w:val="none" w:sz="0" w:space="0" w:color="auto"/>
            <w:bottom w:val="none" w:sz="0" w:space="0" w:color="auto"/>
            <w:right w:val="none" w:sz="0" w:space="0" w:color="auto"/>
          </w:divBdr>
          <w:divsChild>
            <w:div w:id="122514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28403">
      <w:bodyDiv w:val="1"/>
      <w:marLeft w:val="0"/>
      <w:marRight w:val="0"/>
      <w:marTop w:val="0"/>
      <w:marBottom w:val="0"/>
      <w:divBdr>
        <w:top w:val="none" w:sz="0" w:space="0" w:color="auto"/>
        <w:left w:val="none" w:sz="0" w:space="0" w:color="auto"/>
        <w:bottom w:val="none" w:sz="0" w:space="0" w:color="auto"/>
        <w:right w:val="none" w:sz="0" w:space="0" w:color="auto"/>
      </w:divBdr>
    </w:div>
    <w:div w:id="188033100">
      <w:bodyDiv w:val="1"/>
      <w:marLeft w:val="0"/>
      <w:marRight w:val="0"/>
      <w:marTop w:val="0"/>
      <w:marBottom w:val="0"/>
      <w:divBdr>
        <w:top w:val="none" w:sz="0" w:space="0" w:color="auto"/>
        <w:left w:val="none" w:sz="0" w:space="0" w:color="auto"/>
        <w:bottom w:val="none" w:sz="0" w:space="0" w:color="auto"/>
        <w:right w:val="none" w:sz="0" w:space="0" w:color="auto"/>
      </w:divBdr>
    </w:div>
    <w:div w:id="189101579">
      <w:bodyDiv w:val="1"/>
      <w:marLeft w:val="0"/>
      <w:marRight w:val="0"/>
      <w:marTop w:val="0"/>
      <w:marBottom w:val="0"/>
      <w:divBdr>
        <w:top w:val="none" w:sz="0" w:space="0" w:color="auto"/>
        <w:left w:val="none" w:sz="0" w:space="0" w:color="auto"/>
        <w:bottom w:val="none" w:sz="0" w:space="0" w:color="auto"/>
        <w:right w:val="none" w:sz="0" w:space="0" w:color="auto"/>
      </w:divBdr>
    </w:div>
    <w:div w:id="191964999">
      <w:bodyDiv w:val="1"/>
      <w:marLeft w:val="0"/>
      <w:marRight w:val="0"/>
      <w:marTop w:val="0"/>
      <w:marBottom w:val="0"/>
      <w:divBdr>
        <w:top w:val="none" w:sz="0" w:space="0" w:color="auto"/>
        <w:left w:val="none" w:sz="0" w:space="0" w:color="auto"/>
        <w:bottom w:val="none" w:sz="0" w:space="0" w:color="auto"/>
        <w:right w:val="none" w:sz="0" w:space="0" w:color="auto"/>
      </w:divBdr>
    </w:div>
    <w:div w:id="197200852">
      <w:bodyDiv w:val="1"/>
      <w:marLeft w:val="0"/>
      <w:marRight w:val="0"/>
      <w:marTop w:val="0"/>
      <w:marBottom w:val="0"/>
      <w:divBdr>
        <w:top w:val="none" w:sz="0" w:space="0" w:color="auto"/>
        <w:left w:val="none" w:sz="0" w:space="0" w:color="auto"/>
        <w:bottom w:val="none" w:sz="0" w:space="0" w:color="auto"/>
        <w:right w:val="none" w:sz="0" w:space="0" w:color="auto"/>
      </w:divBdr>
    </w:div>
    <w:div w:id="211041151">
      <w:bodyDiv w:val="1"/>
      <w:marLeft w:val="0"/>
      <w:marRight w:val="0"/>
      <w:marTop w:val="0"/>
      <w:marBottom w:val="0"/>
      <w:divBdr>
        <w:top w:val="none" w:sz="0" w:space="0" w:color="auto"/>
        <w:left w:val="none" w:sz="0" w:space="0" w:color="auto"/>
        <w:bottom w:val="none" w:sz="0" w:space="0" w:color="auto"/>
        <w:right w:val="none" w:sz="0" w:space="0" w:color="auto"/>
      </w:divBdr>
      <w:divsChild>
        <w:div w:id="373821214">
          <w:marLeft w:val="0"/>
          <w:marRight w:val="0"/>
          <w:marTop w:val="0"/>
          <w:marBottom w:val="0"/>
          <w:divBdr>
            <w:top w:val="none" w:sz="0" w:space="0" w:color="auto"/>
            <w:left w:val="none" w:sz="0" w:space="0" w:color="auto"/>
            <w:bottom w:val="none" w:sz="0" w:space="0" w:color="auto"/>
            <w:right w:val="none" w:sz="0" w:space="0" w:color="auto"/>
          </w:divBdr>
          <w:divsChild>
            <w:div w:id="111309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530000">
      <w:bodyDiv w:val="1"/>
      <w:marLeft w:val="0"/>
      <w:marRight w:val="0"/>
      <w:marTop w:val="0"/>
      <w:marBottom w:val="0"/>
      <w:divBdr>
        <w:top w:val="none" w:sz="0" w:space="0" w:color="auto"/>
        <w:left w:val="none" w:sz="0" w:space="0" w:color="auto"/>
        <w:bottom w:val="none" w:sz="0" w:space="0" w:color="auto"/>
        <w:right w:val="none" w:sz="0" w:space="0" w:color="auto"/>
      </w:divBdr>
      <w:divsChild>
        <w:div w:id="771317904">
          <w:marLeft w:val="0"/>
          <w:marRight w:val="0"/>
          <w:marTop w:val="0"/>
          <w:marBottom w:val="0"/>
          <w:divBdr>
            <w:top w:val="none" w:sz="0" w:space="0" w:color="auto"/>
            <w:left w:val="none" w:sz="0" w:space="0" w:color="auto"/>
            <w:bottom w:val="none" w:sz="0" w:space="0" w:color="auto"/>
            <w:right w:val="none" w:sz="0" w:space="0" w:color="auto"/>
          </w:divBdr>
          <w:divsChild>
            <w:div w:id="17123458">
              <w:marLeft w:val="0"/>
              <w:marRight w:val="0"/>
              <w:marTop w:val="0"/>
              <w:marBottom w:val="0"/>
              <w:divBdr>
                <w:top w:val="none" w:sz="0" w:space="0" w:color="auto"/>
                <w:left w:val="none" w:sz="0" w:space="0" w:color="auto"/>
                <w:bottom w:val="none" w:sz="0" w:space="0" w:color="auto"/>
                <w:right w:val="none" w:sz="0" w:space="0" w:color="auto"/>
              </w:divBdr>
              <w:divsChild>
                <w:div w:id="45374944">
                  <w:marLeft w:val="0"/>
                  <w:marRight w:val="0"/>
                  <w:marTop w:val="0"/>
                  <w:marBottom w:val="0"/>
                  <w:divBdr>
                    <w:top w:val="none" w:sz="0" w:space="0" w:color="auto"/>
                    <w:left w:val="none" w:sz="0" w:space="0" w:color="auto"/>
                    <w:bottom w:val="none" w:sz="0" w:space="0" w:color="auto"/>
                    <w:right w:val="none" w:sz="0" w:space="0" w:color="auto"/>
                  </w:divBdr>
                  <w:divsChild>
                    <w:div w:id="985552328">
                      <w:marLeft w:val="0"/>
                      <w:marRight w:val="0"/>
                      <w:marTop w:val="0"/>
                      <w:marBottom w:val="0"/>
                      <w:divBdr>
                        <w:top w:val="none" w:sz="0" w:space="0" w:color="auto"/>
                        <w:left w:val="none" w:sz="0" w:space="0" w:color="auto"/>
                        <w:bottom w:val="none" w:sz="0" w:space="0" w:color="auto"/>
                        <w:right w:val="none" w:sz="0" w:space="0" w:color="auto"/>
                      </w:divBdr>
                      <w:divsChild>
                        <w:div w:id="202596680">
                          <w:marLeft w:val="0"/>
                          <w:marRight w:val="0"/>
                          <w:marTop w:val="0"/>
                          <w:marBottom w:val="0"/>
                          <w:divBdr>
                            <w:top w:val="none" w:sz="0" w:space="0" w:color="auto"/>
                            <w:left w:val="none" w:sz="0" w:space="0" w:color="auto"/>
                            <w:bottom w:val="none" w:sz="0" w:space="0" w:color="auto"/>
                            <w:right w:val="none" w:sz="0" w:space="0" w:color="auto"/>
                          </w:divBdr>
                          <w:divsChild>
                            <w:div w:id="52587848">
                              <w:marLeft w:val="0"/>
                              <w:marRight w:val="0"/>
                              <w:marTop w:val="0"/>
                              <w:marBottom w:val="0"/>
                              <w:divBdr>
                                <w:top w:val="none" w:sz="0" w:space="0" w:color="auto"/>
                                <w:left w:val="none" w:sz="0" w:space="0" w:color="auto"/>
                                <w:bottom w:val="none" w:sz="0" w:space="0" w:color="auto"/>
                                <w:right w:val="none" w:sz="0" w:space="0" w:color="auto"/>
                              </w:divBdr>
                              <w:divsChild>
                                <w:div w:id="382415198">
                                  <w:marLeft w:val="0"/>
                                  <w:marRight w:val="0"/>
                                  <w:marTop w:val="0"/>
                                  <w:marBottom w:val="0"/>
                                  <w:divBdr>
                                    <w:top w:val="none" w:sz="0" w:space="0" w:color="auto"/>
                                    <w:left w:val="none" w:sz="0" w:space="0" w:color="auto"/>
                                    <w:bottom w:val="none" w:sz="0" w:space="0" w:color="auto"/>
                                    <w:right w:val="none" w:sz="0" w:space="0" w:color="auto"/>
                                  </w:divBdr>
                                  <w:divsChild>
                                    <w:div w:id="66925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770028">
      <w:bodyDiv w:val="1"/>
      <w:marLeft w:val="0"/>
      <w:marRight w:val="0"/>
      <w:marTop w:val="0"/>
      <w:marBottom w:val="0"/>
      <w:divBdr>
        <w:top w:val="none" w:sz="0" w:space="0" w:color="auto"/>
        <w:left w:val="none" w:sz="0" w:space="0" w:color="auto"/>
        <w:bottom w:val="none" w:sz="0" w:space="0" w:color="auto"/>
        <w:right w:val="none" w:sz="0" w:space="0" w:color="auto"/>
      </w:divBdr>
    </w:div>
    <w:div w:id="228655209">
      <w:bodyDiv w:val="1"/>
      <w:marLeft w:val="0"/>
      <w:marRight w:val="0"/>
      <w:marTop w:val="0"/>
      <w:marBottom w:val="0"/>
      <w:divBdr>
        <w:top w:val="none" w:sz="0" w:space="0" w:color="auto"/>
        <w:left w:val="none" w:sz="0" w:space="0" w:color="auto"/>
        <w:bottom w:val="none" w:sz="0" w:space="0" w:color="auto"/>
        <w:right w:val="none" w:sz="0" w:space="0" w:color="auto"/>
      </w:divBdr>
    </w:div>
    <w:div w:id="230695924">
      <w:bodyDiv w:val="1"/>
      <w:marLeft w:val="0"/>
      <w:marRight w:val="0"/>
      <w:marTop w:val="0"/>
      <w:marBottom w:val="0"/>
      <w:divBdr>
        <w:top w:val="none" w:sz="0" w:space="0" w:color="auto"/>
        <w:left w:val="none" w:sz="0" w:space="0" w:color="auto"/>
        <w:bottom w:val="none" w:sz="0" w:space="0" w:color="auto"/>
        <w:right w:val="none" w:sz="0" w:space="0" w:color="auto"/>
      </w:divBdr>
    </w:div>
    <w:div w:id="234315636">
      <w:bodyDiv w:val="1"/>
      <w:marLeft w:val="0"/>
      <w:marRight w:val="0"/>
      <w:marTop w:val="0"/>
      <w:marBottom w:val="0"/>
      <w:divBdr>
        <w:top w:val="none" w:sz="0" w:space="0" w:color="auto"/>
        <w:left w:val="none" w:sz="0" w:space="0" w:color="auto"/>
        <w:bottom w:val="none" w:sz="0" w:space="0" w:color="auto"/>
        <w:right w:val="none" w:sz="0" w:space="0" w:color="auto"/>
      </w:divBdr>
    </w:div>
    <w:div w:id="246812281">
      <w:bodyDiv w:val="1"/>
      <w:marLeft w:val="0"/>
      <w:marRight w:val="0"/>
      <w:marTop w:val="0"/>
      <w:marBottom w:val="0"/>
      <w:divBdr>
        <w:top w:val="none" w:sz="0" w:space="0" w:color="auto"/>
        <w:left w:val="none" w:sz="0" w:space="0" w:color="auto"/>
        <w:bottom w:val="none" w:sz="0" w:space="0" w:color="auto"/>
        <w:right w:val="none" w:sz="0" w:space="0" w:color="auto"/>
      </w:divBdr>
    </w:div>
    <w:div w:id="247620785">
      <w:bodyDiv w:val="1"/>
      <w:marLeft w:val="0"/>
      <w:marRight w:val="0"/>
      <w:marTop w:val="0"/>
      <w:marBottom w:val="0"/>
      <w:divBdr>
        <w:top w:val="none" w:sz="0" w:space="0" w:color="auto"/>
        <w:left w:val="none" w:sz="0" w:space="0" w:color="auto"/>
        <w:bottom w:val="none" w:sz="0" w:space="0" w:color="auto"/>
        <w:right w:val="none" w:sz="0" w:space="0" w:color="auto"/>
      </w:divBdr>
    </w:div>
    <w:div w:id="249967181">
      <w:bodyDiv w:val="1"/>
      <w:marLeft w:val="0"/>
      <w:marRight w:val="0"/>
      <w:marTop w:val="0"/>
      <w:marBottom w:val="0"/>
      <w:divBdr>
        <w:top w:val="none" w:sz="0" w:space="0" w:color="auto"/>
        <w:left w:val="none" w:sz="0" w:space="0" w:color="auto"/>
        <w:bottom w:val="none" w:sz="0" w:space="0" w:color="auto"/>
        <w:right w:val="none" w:sz="0" w:space="0" w:color="auto"/>
      </w:divBdr>
      <w:divsChild>
        <w:div w:id="1275134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134757062">
          <w:blockQuote w:val="1"/>
          <w:marLeft w:val="720"/>
          <w:marRight w:val="720"/>
          <w:marTop w:val="100"/>
          <w:marBottom w:val="100"/>
          <w:divBdr>
            <w:top w:val="none" w:sz="0" w:space="0" w:color="auto"/>
            <w:left w:val="none" w:sz="0" w:space="0" w:color="auto"/>
            <w:bottom w:val="none" w:sz="0" w:space="0" w:color="auto"/>
            <w:right w:val="none" w:sz="0" w:space="0" w:color="auto"/>
          </w:divBdr>
        </w:div>
        <w:div w:id="698437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6658164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3518049">
      <w:bodyDiv w:val="1"/>
      <w:marLeft w:val="0"/>
      <w:marRight w:val="0"/>
      <w:marTop w:val="0"/>
      <w:marBottom w:val="0"/>
      <w:divBdr>
        <w:top w:val="none" w:sz="0" w:space="0" w:color="auto"/>
        <w:left w:val="none" w:sz="0" w:space="0" w:color="auto"/>
        <w:bottom w:val="none" w:sz="0" w:space="0" w:color="auto"/>
        <w:right w:val="none" w:sz="0" w:space="0" w:color="auto"/>
      </w:divBdr>
    </w:div>
    <w:div w:id="257518593">
      <w:bodyDiv w:val="1"/>
      <w:marLeft w:val="0"/>
      <w:marRight w:val="0"/>
      <w:marTop w:val="0"/>
      <w:marBottom w:val="0"/>
      <w:divBdr>
        <w:top w:val="none" w:sz="0" w:space="0" w:color="auto"/>
        <w:left w:val="none" w:sz="0" w:space="0" w:color="auto"/>
        <w:bottom w:val="none" w:sz="0" w:space="0" w:color="auto"/>
        <w:right w:val="none" w:sz="0" w:space="0" w:color="auto"/>
      </w:divBdr>
    </w:div>
    <w:div w:id="263461008">
      <w:bodyDiv w:val="1"/>
      <w:marLeft w:val="0"/>
      <w:marRight w:val="0"/>
      <w:marTop w:val="0"/>
      <w:marBottom w:val="0"/>
      <w:divBdr>
        <w:top w:val="none" w:sz="0" w:space="0" w:color="auto"/>
        <w:left w:val="none" w:sz="0" w:space="0" w:color="auto"/>
        <w:bottom w:val="none" w:sz="0" w:space="0" w:color="auto"/>
        <w:right w:val="none" w:sz="0" w:space="0" w:color="auto"/>
      </w:divBdr>
    </w:div>
    <w:div w:id="265310526">
      <w:bodyDiv w:val="1"/>
      <w:marLeft w:val="0"/>
      <w:marRight w:val="0"/>
      <w:marTop w:val="0"/>
      <w:marBottom w:val="0"/>
      <w:divBdr>
        <w:top w:val="none" w:sz="0" w:space="0" w:color="auto"/>
        <w:left w:val="none" w:sz="0" w:space="0" w:color="auto"/>
        <w:bottom w:val="none" w:sz="0" w:space="0" w:color="auto"/>
        <w:right w:val="none" w:sz="0" w:space="0" w:color="auto"/>
      </w:divBdr>
    </w:div>
    <w:div w:id="275062670">
      <w:bodyDiv w:val="1"/>
      <w:marLeft w:val="0"/>
      <w:marRight w:val="0"/>
      <w:marTop w:val="0"/>
      <w:marBottom w:val="0"/>
      <w:divBdr>
        <w:top w:val="none" w:sz="0" w:space="0" w:color="auto"/>
        <w:left w:val="none" w:sz="0" w:space="0" w:color="auto"/>
        <w:bottom w:val="none" w:sz="0" w:space="0" w:color="auto"/>
        <w:right w:val="none" w:sz="0" w:space="0" w:color="auto"/>
      </w:divBdr>
    </w:div>
    <w:div w:id="277566723">
      <w:bodyDiv w:val="1"/>
      <w:marLeft w:val="0"/>
      <w:marRight w:val="0"/>
      <w:marTop w:val="0"/>
      <w:marBottom w:val="0"/>
      <w:divBdr>
        <w:top w:val="none" w:sz="0" w:space="0" w:color="auto"/>
        <w:left w:val="none" w:sz="0" w:space="0" w:color="auto"/>
        <w:bottom w:val="none" w:sz="0" w:space="0" w:color="auto"/>
        <w:right w:val="none" w:sz="0" w:space="0" w:color="auto"/>
      </w:divBdr>
    </w:div>
    <w:div w:id="289937819">
      <w:bodyDiv w:val="1"/>
      <w:marLeft w:val="0"/>
      <w:marRight w:val="0"/>
      <w:marTop w:val="0"/>
      <w:marBottom w:val="0"/>
      <w:divBdr>
        <w:top w:val="none" w:sz="0" w:space="0" w:color="auto"/>
        <w:left w:val="none" w:sz="0" w:space="0" w:color="auto"/>
        <w:bottom w:val="none" w:sz="0" w:space="0" w:color="auto"/>
        <w:right w:val="none" w:sz="0" w:space="0" w:color="auto"/>
      </w:divBdr>
      <w:divsChild>
        <w:div w:id="1453744932">
          <w:blockQuote w:val="1"/>
          <w:marLeft w:val="720"/>
          <w:marRight w:val="720"/>
          <w:marTop w:val="100"/>
          <w:marBottom w:val="100"/>
          <w:divBdr>
            <w:top w:val="none" w:sz="0" w:space="0" w:color="auto"/>
            <w:left w:val="none" w:sz="0" w:space="0" w:color="auto"/>
            <w:bottom w:val="none" w:sz="0" w:space="0" w:color="auto"/>
            <w:right w:val="none" w:sz="0" w:space="0" w:color="auto"/>
          </w:divBdr>
        </w:div>
        <w:div w:id="471170868">
          <w:marLeft w:val="0"/>
          <w:marRight w:val="0"/>
          <w:marTop w:val="0"/>
          <w:marBottom w:val="0"/>
          <w:divBdr>
            <w:top w:val="none" w:sz="0" w:space="0" w:color="auto"/>
            <w:left w:val="none" w:sz="0" w:space="0" w:color="auto"/>
            <w:bottom w:val="none" w:sz="0" w:space="0" w:color="auto"/>
            <w:right w:val="none" w:sz="0" w:space="0" w:color="auto"/>
          </w:divBdr>
          <w:divsChild>
            <w:div w:id="19222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720879">
      <w:bodyDiv w:val="1"/>
      <w:marLeft w:val="0"/>
      <w:marRight w:val="0"/>
      <w:marTop w:val="0"/>
      <w:marBottom w:val="0"/>
      <w:divBdr>
        <w:top w:val="none" w:sz="0" w:space="0" w:color="auto"/>
        <w:left w:val="none" w:sz="0" w:space="0" w:color="auto"/>
        <w:bottom w:val="none" w:sz="0" w:space="0" w:color="auto"/>
        <w:right w:val="none" w:sz="0" w:space="0" w:color="auto"/>
      </w:divBdr>
    </w:div>
    <w:div w:id="300156076">
      <w:bodyDiv w:val="1"/>
      <w:marLeft w:val="0"/>
      <w:marRight w:val="0"/>
      <w:marTop w:val="0"/>
      <w:marBottom w:val="0"/>
      <w:divBdr>
        <w:top w:val="none" w:sz="0" w:space="0" w:color="auto"/>
        <w:left w:val="none" w:sz="0" w:space="0" w:color="auto"/>
        <w:bottom w:val="none" w:sz="0" w:space="0" w:color="auto"/>
        <w:right w:val="none" w:sz="0" w:space="0" w:color="auto"/>
      </w:divBdr>
    </w:div>
    <w:div w:id="303971566">
      <w:bodyDiv w:val="1"/>
      <w:marLeft w:val="0"/>
      <w:marRight w:val="0"/>
      <w:marTop w:val="0"/>
      <w:marBottom w:val="0"/>
      <w:divBdr>
        <w:top w:val="none" w:sz="0" w:space="0" w:color="auto"/>
        <w:left w:val="none" w:sz="0" w:space="0" w:color="auto"/>
        <w:bottom w:val="none" w:sz="0" w:space="0" w:color="auto"/>
        <w:right w:val="none" w:sz="0" w:space="0" w:color="auto"/>
      </w:divBdr>
    </w:div>
    <w:div w:id="305664637">
      <w:bodyDiv w:val="1"/>
      <w:marLeft w:val="0"/>
      <w:marRight w:val="0"/>
      <w:marTop w:val="0"/>
      <w:marBottom w:val="0"/>
      <w:divBdr>
        <w:top w:val="none" w:sz="0" w:space="0" w:color="auto"/>
        <w:left w:val="none" w:sz="0" w:space="0" w:color="auto"/>
        <w:bottom w:val="none" w:sz="0" w:space="0" w:color="auto"/>
        <w:right w:val="none" w:sz="0" w:space="0" w:color="auto"/>
      </w:divBdr>
    </w:div>
    <w:div w:id="306400442">
      <w:bodyDiv w:val="1"/>
      <w:marLeft w:val="0"/>
      <w:marRight w:val="0"/>
      <w:marTop w:val="0"/>
      <w:marBottom w:val="0"/>
      <w:divBdr>
        <w:top w:val="none" w:sz="0" w:space="0" w:color="auto"/>
        <w:left w:val="none" w:sz="0" w:space="0" w:color="auto"/>
        <w:bottom w:val="none" w:sz="0" w:space="0" w:color="auto"/>
        <w:right w:val="none" w:sz="0" w:space="0" w:color="auto"/>
      </w:divBdr>
    </w:div>
    <w:div w:id="309023278">
      <w:bodyDiv w:val="1"/>
      <w:marLeft w:val="0"/>
      <w:marRight w:val="0"/>
      <w:marTop w:val="0"/>
      <w:marBottom w:val="0"/>
      <w:divBdr>
        <w:top w:val="none" w:sz="0" w:space="0" w:color="auto"/>
        <w:left w:val="none" w:sz="0" w:space="0" w:color="auto"/>
        <w:bottom w:val="none" w:sz="0" w:space="0" w:color="auto"/>
        <w:right w:val="none" w:sz="0" w:space="0" w:color="auto"/>
      </w:divBdr>
    </w:div>
    <w:div w:id="311180938">
      <w:bodyDiv w:val="1"/>
      <w:marLeft w:val="0"/>
      <w:marRight w:val="0"/>
      <w:marTop w:val="0"/>
      <w:marBottom w:val="0"/>
      <w:divBdr>
        <w:top w:val="none" w:sz="0" w:space="0" w:color="auto"/>
        <w:left w:val="none" w:sz="0" w:space="0" w:color="auto"/>
        <w:bottom w:val="none" w:sz="0" w:space="0" w:color="auto"/>
        <w:right w:val="none" w:sz="0" w:space="0" w:color="auto"/>
      </w:divBdr>
    </w:div>
    <w:div w:id="314576245">
      <w:bodyDiv w:val="1"/>
      <w:marLeft w:val="0"/>
      <w:marRight w:val="0"/>
      <w:marTop w:val="0"/>
      <w:marBottom w:val="0"/>
      <w:divBdr>
        <w:top w:val="none" w:sz="0" w:space="0" w:color="auto"/>
        <w:left w:val="none" w:sz="0" w:space="0" w:color="auto"/>
        <w:bottom w:val="none" w:sz="0" w:space="0" w:color="auto"/>
        <w:right w:val="none" w:sz="0" w:space="0" w:color="auto"/>
      </w:divBdr>
    </w:div>
    <w:div w:id="319121998">
      <w:bodyDiv w:val="1"/>
      <w:marLeft w:val="0"/>
      <w:marRight w:val="0"/>
      <w:marTop w:val="0"/>
      <w:marBottom w:val="0"/>
      <w:divBdr>
        <w:top w:val="none" w:sz="0" w:space="0" w:color="auto"/>
        <w:left w:val="none" w:sz="0" w:space="0" w:color="auto"/>
        <w:bottom w:val="none" w:sz="0" w:space="0" w:color="auto"/>
        <w:right w:val="none" w:sz="0" w:space="0" w:color="auto"/>
      </w:divBdr>
    </w:div>
    <w:div w:id="321079690">
      <w:bodyDiv w:val="1"/>
      <w:marLeft w:val="0"/>
      <w:marRight w:val="0"/>
      <w:marTop w:val="0"/>
      <w:marBottom w:val="0"/>
      <w:divBdr>
        <w:top w:val="none" w:sz="0" w:space="0" w:color="auto"/>
        <w:left w:val="none" w:sz="0" w:space="0" w:color="auto"/>
        <w:bottom w:val="none" w:sz="0" w:space="0" w:color="auto"/>
        <w:right w:val="none" w:sz="0" w:space="0" w:color="auto"/>
      </w:divBdr>
      <w:divsChild>
        <w:div w:id="6984330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28016789">
          <w:blockQuote w:val="1"/>
          <w:marLeft w:val="720"/>
          <w:marRight w:val="720"/>
          <w:marTop w:val="100"/>
          <w:marBottom w:val="100"/>
          <w:divBdr>
            <w:top w:val="none" w:sz="0" w:space="0" w:color="auto"/>
            <w:left w:val="none" w:sz="0" w:space="0" w:color="auto"/>
            <w:bottom w:val="none" w:sz="0" w:space="0" w:color="auto"/>
            <w:right w:val="none" w:sz="0" w:space="0" w:color="auto"/>
          </w:divBdr>
        </w:div>
        <w:div w:id="10580684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780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5787794">
      <w:bodyDiv w:val="1"/>
      <w:marLeft w:val="0"/>
      <w:marRight w:val="0"/>
      <w:marTop w:val="0"/>
      <w:marBottom w:val="0"/>
      <w:divBdr>
        <w:top w:val="none" w:sz="0" w:space="0" w:color="auto"/>
        <w:left w:val="none" w:sz="0" w:space="0" w:color="auto"/>
        <w:bottom w:val="none" w:sz="0" w:space="0" w:color="auto"/>
        <w:right w:val="none" w:sz="0" w:space="0" w:color="auto"/>
      </w:divBdr>
    </w:div>
    <w:div w:id="325860064">
      <w:bodyDiv w:val="1"/>
      <w:marLeft w:val="0"/>
      <w:marRight w:val="0"/>
      <w:marTop w:val="0"/>
      <w:marBottom w:val="0"/>
      <w:divBdr>
        <w:top w:val="none" w:sz="0" w:space="0" w:color="auto"/>
        <w:left w:val="none" w:sz="0" w:space="0" w:color="auto"/>
        <w:bottom w:val="none" w:sz="0" w:space="0" w:color="auto"/>
        <w:right w:val="none" w:sz="0" w:space="0" w:color="auto"/>
      </w:divBdr>
      <w:divsChild>
        <w:div w:id="421604552">
          <w:blockQuote w:val="1"/>
          <w:marLeft w:val="720"/>
          <w:marRight w:val="720"/>
          <w:marTop w:val="100"/>
          <w:marBottom w:val="100"/>
          <w:divBdr>
            <w:top w:val="none" w:sz="0" w:space="0" w:color="auto"/>
            <w:left w:val="none" w:sz="0" w:space="0" w:color="auto"/>
            <w:bottom w:val="none" w:sz="0" w:space="0" w:color="auto"/>
            <w:right w:val="none" w:sz="0" w:space="0" w:color="auto"/>
          </w:divBdr>
        </w:div>
        <w:div w:id="441074086">
          <w:blockQuote w:val="1"/>
          <w:marLeft w:val="720"/>
          <w:marRight w:val="720"/>
          <w:marTop w:val="100"/>
          <w:marBottom w:val="100"/>
          <w:divBdr>
            <w:top w:val="none" w:sz="0" w:space="0" w:color="auto"/>
            <w:left w:val="none" w:sz="0" w:space="0" w:color="auto"/>
            <w:bottom w:val="none" w:sz="0" w:space="0" w:color="auto"/>
            <w:right w:val="none" w:sz="0" w:space="0" w:color="auto"/>
          </w:divBdr>
        </w:div>
        <w:div w:id="2829230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9331021">
      <w:bodyDiv w:val="1"/>
      <w:marLeft w:val="0"/>
      <w:marRight w:val="0"/>
      <w:marTop w:val="0"/>
      <w:marBottom w:val="0"/>
      <w:divBdr>
        <w:top w:val="none" w:sz="0" w:space="0" w:color="auto"/>
        <w:left w:val="none" w:sz="0" w:space="0" w:color="auto"/>
        <w:bottom w:val="none" w:sz="0" w:space="0" w:color="auto"/>
        <w:right w:val="none" w:sz="0" w:space="0" w:color="auto"/>
      </w:divBdr>
    </w:div>
    <w:div w:id="329482095">
      <w:bodyDiv w:val="1"/>
      <w:marLeft w:val="0"/>
      <w:marRight w:val="0"/>
      <w:marTop w:val="0"/>
      <w:marBottom w:val="0"/>
      <w:divBdr>
        <w:top w:val="none" w:sz="0" w:space="0" w:color="auto"/>
        <w:left w:val="none" w:sz="0" w:space="0" w:color="auto"/>
        <w:bottom w:val="none" w:sz="0" w:space="0" w:color="auto"/>
        <w:right w:val="none" w:sz="0" w:space="0" w:color="auto"/>
      </w:divBdr>
      <w:divsChild>
        <w:div w:id="196939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3104372">
          <w:marLeft w:val="0"/>
          <w:marRight w:val="0"/>
          <w:marTop w:val="0"/>
          <w:marBottom w:val="0"/>
          <w:divBdr>
            <w:top w:val="none" w:sz="0" w:space="0" w:color="auto"/>
            <w:left w:val="none" w:sz="0" w:space="0" w:color="auto"/>
            <w:bottom w:val="none" w:sz="0" w:space="0" w:color="auto"/>
            <w:right w:val="none" w:sz="0" w:space="0" w:color="auto"/>
          </w:divBdr>
          <w:divsChild>
            <w:div w:id="132015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1363">
      <w:bodyDiv w:val="1"/>
      <w:marLeft w:val="0"/>
      <w:marRight w:val="0"/>
      <w:marTop w:val="0"/>
      <w:marBottom w:val="0"/>
      <w:divBdr>
        <w:top w:val="none" w:sz="0" w:space="0" w:color="auto"/>
        <w:left w:val="none" w:sz="0" w:space="0" w:color="auto"/>
        <w:bottom w:val="none" w:sz="0" w:space="0" w:color="auto"/>
        <w:right w:val="none" w:sz="0" w:space="0" w:color="auto"/>
      </w:divBdr>
    </w:div>
    <w:div w:id="331297804">
      <w:bodyDiv w:val="1"/>
      <w:marLeft w:val="0"/>
      <w:marRight w:val="0"/>
      <w:marTop w:val="0"/>
      <w:marBottom w:val="0"/>
      <w:divBdr>
        <w:top w:val="none" w:sz="0" w:space="0" w:color="auto"/>
        <w:left w:val="none" w:sz="0" w:space="0" w:color="auto"/>
        <w:bottom w:val="none" w:sz="0" w:space="0" w:color="auto"/>
        <w:right w:val="none" w:sz="0" w:space="0" w:color="auto"/>
      </w:divBdr>
    </w:div>
    <w:div w:id="333261840">
      <w:bodyDiv w:val="1"/>
      <w:marLeft w:val="0"/>
      <w:marRight w:val="0"/>
      <w:marTop w:val="0"/>
      <w:marBottom w:val="0"/>
      <w:divBdr>
        <w:top w:val="none" w:sz="0" w:space="0" w:color="auto"/>
        <w:left w:val="none" w:sz="0" w:space="0" w:color="auto"/>
        <w:bottom w:val="none" w:sz="0" w:space="0" w:color="auto"/>
        <w:right w:val="none" w:sz="0" w:space="0" w:color="auto"/>
      </w:divBdr>
    </w:div>
    <w:div w:id="336078345">
      <w:bodyDiv w:val="1"/>
      <w:marLeft w:val="0"/>
      <w:marRight w:val="0"/>
      <w:marTop w:val="0"/>
      <w:marBottom w:val="0"/>
      <w:divBdr>
        <w:top w:val="none" w:sz="0" w:space="0" w:color="auto"/>
        <w:left w:val="none" w:sz="0" w:space="0" w:color="auto"/>
        <w:bottom w:val="none" w:sz="0" w:space="0" w:color="auto"/>
        <w:right w:val="none" w:sz="0" w:space="0" w:color="auto"/>
      </w:divBdr>
    </w:div>
    <w:div w:id="340469304">
      <w:bodyDiv w:val="1"/>
      <w:marLeft w:val="0"/>
      <w:marRight w:val="0"/>
      <w:marTop w:val="0"/>
      <w:marBottom w:val="0"/>
      <w:divBdr>
        <w:top w:val="none" w:sz="0" w:space="0" w:color="auto"/>
        <w:left w:val="none" w:sz="0" w:space="0" w:color="auto"/>
        <w:bottom w:val="none" w:sz="0" w:space="0" w:color="auto"/>
        <w:right w:val="none" w:sz="0" w:space="0" w:color="auto"/>
      </w:divBdr>
    </w:div>
    <w:div w:id="344332451">
      <w:bodyDiv w:val="1"/>
      <w:marLeft w:val="0"/>
      <w:marRight w:val="0"/>
      <w:marTop w:val="0"/>
      <w:marBottom w:val="0"/>
      <w:divBdr>
        <w:top w:val="none" w:sz="0" w:space="0" w:color="auto"/>
        <w:left w:val="none" w:sz="0" w:space="0" w:color="auto"/>
        <w:bottom w:val="none" w:sz="0" w:space="0" w:color="auto"/>
        <w:right w:val="none" w:sz="0" w:space="0" w:color="auto"/>
      </w:divBdr>
    </w:div>
    <w:div w:id="347753064">
      <w:bodyDiv w:val="1"/>
      <w:marLeft w:val="0"/>
      <w:marRight w:val="0"/>
      <w:marTop w:val="0"/>
      <w:marBottom w:val="0"/>
      <w:divBdr>
        <w:top w:val="none" w:sz="0" w:space="0" w:color="auto"/>
        <w:left w:val="none" w:sz="0" w:space="0" w:color="auto"/>
        <w:bottom w:val="none" w:sz="0" w:space="0" w:color="auto"/>
        <w:right w:val="none" w:sz="0" w:space="0" w:color="auto"/>
      </w:divBdr>
    </w:div>
    <w:div w:id="359399976">
      <w:bodyDiv w:val="1"/>
      <w:marLeft w:val="0"/>
      <w:marRight w:val="0"/>
      <w:marTop w:val="0"/>
      <w:marBottom w:val="0"/>
      <w:divBdr>
        <w:top w:val="none" w:sz="0" w:space="0" w:color="auto"/>
        <w:left w:val="none" w:sz="0" w:space="0" w:color="auto"/>
        <w:bottom w:val="none" w:sz="0" w:space="0" w:color="auto"/>
        <w:right w:val="none" w:sz="0" w:space="0" w:color="auto"/>
      </w:divBdr>
      <w:divsChild>
        <w:div w:id="597952336">
          <w:marLeft w:val="0"/>
          <w:marRight w:val="0"/>
          <w:marTop w:val="0"/>
          <w:marBottom w:val="0"/>
          <w:divBdr>
            <w:top w:val="none" w:sz="0" w:space="0" w:color="auto"/>
            <w:left w:val="none" w:sz="0" w:space="0" w:color="auto"/>
            <w:bottom w:val="none" w:sz="0" w:space="0" w:color="auto"/>
            <w:right w:val="none" w:sz="0" w:space="0" w:color="auto"/>
          </w:divBdr>
          <w:divsChild>
            <w:div w:id="206937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363084">
      <w:bodyDiv w:val="1"/>
      <w:marLeft w:val="0"/>
      <w:marRight w:val="0"/>
      <w:marTop w:val="0"/>
      <w:marBottom w:val="0"/>
      <w:divBdr>
        <w:top w:val="none" w:sz="0" w:space="0" w:color="auto"/>
        <w:left w:val="none" w:sz="0" w:space="0" w:color="auto"/>
        <w:bottom w:val="none" w:sz="0" w:space="0" w:color="auto"/>
        <w:right w:val="none" w:sz="0" w:space="0" w:color="auto"/>
      </w:divBdr>
    </w:div>
    <w:div w:id="364336417">
      <w:bodyDiv w:val="1"/>
      <w:marLeft w:val="0"/>
      <w:marRight w:val="0"/>
      <w:marTop w:val="0"/>
      <w:marBottom w:val="0"/>
      <w:divBdr>
        <w:top w:val="none" w:sz="0" w:space="0" w:color="auto"/>
        <w:left w:val="none" w:sz="0" w:space="0" w:color="auto"/>
        <w:bottom w:val="none" w:sz="0" w:space="0" w:color="auto"/>
        <w:right w:val="none" w:sz="0" w:space="0" w:color="auto"/>
      </w:divBdr>
      <w:divsChild>
        <w:div w:id="2001228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6181432">
      <w:bodyDiv w:val="1"/>
      <w:marLeft w:val="0"/>
      <w:marRight w:val="0"/>
      <w:marTop w:val="0"/>
      <w:marBottom w:val="0"/>
      <w:divBdr>
        <w:top w:val="none" w:sz="0" w:space="0" w:color="auto"/>
        <w:left w:val="none" w:sz="0" w:space="0" w:color="auto"/>
        <w:bottom w:val="none" w:sz="0" w:space="0" w:color="auto"/>
        <w:right w:val="none" w:sz="0" w:space="0" w:color="auto"/>
      </w:divBdr>
    </w:div>
    <w:div w:id="368996554">
      <w:bodyDiv w:val="1"/>
      <w:marLeft w:val="0"/>
      <w:marRight w:val="0"/>
      <w:marTop w:val="0"/>
      <w:marBottom w:val="0"/>
      <w:divBdr>
        <w:top w:val="none" w:sz="0" w:space="0" w:color="auto"/>
        <w:left w:val="none" w:sz="0" w:space="0" w:color="auto"/>
        <w:bottom w:val="none" w:sz="0" w:space="0" w:color="auto"/>
        <w:right w:val="none" w:sz="0" w:space="0" w:color="auto"/>
      </w:divBdr>
      <w:divsChild>
        <w:div w:id="1312639657">
          <w:marLeft w:val="0"/>
          <w:marRight w:val="0"/>
          <w:marTop w:val="0"/>
          <w:marBottom w:val="0"/>
          <w:divBdr>
            <w:top w:val="none" w:sz="0" w:space="0" w:color="auto"/>
            <w:left w:val="none" w:sz="0" w:space="0" w:color="auto"/>
            <w:bottom w:val="none" w:sz="0" w:space="0" w:color="auto"/>
            <w:right w:val="none" w:sz="0" w:space="0" w:color="auto"/>
          </w:divBdr>
          <w:divsChild>
            <w:div w:id="1540818623">
              <w:marLeft w:val="0"/>
              <w:marRight w:val="0"/>
              <w:marTop w:val="0"/>
              <w:marBottom w:val="0"/>
              <w:divBdr>
                <w:top w:val="none" w:sz="0" w:space="0" w:color="auto"/>
                <w:left w:val="none" w:sz="0" w:space="0" w:color="auto"/>
                <w:bottom w:val="none" w:sz="0" w:space="0" w:color="auto"/>
                <w:right w:val="none" w:sz="0" w:space="0" w:color="auto"/>
              </w:divBdr>
            </w:div>
          </w:divsChild>
        </w:div>
        <w:div w:id="1403486045">
          <w:blockQuote w:val="1"/>
          <w:marLeft w:val="720"/>
          <w:marRight w:val="720"/>
          <w:marTop w:val="100"/>
          <w:marBottom w:val="100"/>
          <w:divBdr>
            <w:top w:val="none" w:sz="0" w:space="0" w:color="auto"/>
            <w:left w:val="none" w:sz="0" w:space="0" w:color="auto"/>
            <w:bottom w:val="none" w:sz="0" w:space="0" w:color="auto"/>
            <w:right w:val="none" w:sz="0" w:space="0" w:color="auto"/>
          </w:divBdr>
        </w:div>
        <w:div w:id="717389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9571148">
      <w:bodyDiv w:val="1"/>
      <w:marLeft w:val="0"/>
      <w:marRight w:val="0"/>
      <w:marTop w:val="0"/>
      <w:marBottom w:val="0"/>
      <w:divBdr>
        <w:top w:val="none" w:sz="0" w:space="0" w:color="auto"/>
        <w:left w:val="none" w:sz="0" w:space="0" w:color="auto"/>
        <w:bottom w:val="none" w:sz="0" w:space="0" w:color="auto"/>
        <w:right w:val="none" w:sz="0" w:space="0" w:color="auto"/>
      </w:divBdr>
    </w:div>
    <w:div w:id="372316128">
      <w:bodyDiv w:val="1"/>
      <w:marLeft w:val="0"/>
      <w:marRight w:val="0"/>
      <w:marTop w:val="0"/>
      <w:marBottom w:val="0"/>
      <w:divBdr>
        <w:top w:val="none" w:sz="0" w:space="0" w:color="auto"/>
        <w:left w:val="none" w:sz="0" w:space="0" w:color="auto"/>
        <w:bottom w:val="none" w:sz="0" w:space="0" w:color="auto"/>
        <w:right w:val="none" w:sz="0" w:space="0" w:color="auto"/>
      </w:divBdr>
    </w:div>
    <w:div w:id="378558657">
      <w:bodyDiv w:val="1"/>
      <w:marLeft w:val="0"/>
      <w:marRight w:val="0"/>
      <w:marTop w:val="0"/>
      <w:marBottom w:val="0"/>
      <w:divBdr>
        <w:top w:val="none" w:sz="0" w:space="0" w:color="auto"/>
        <w:left w:val="none" w:sz="0" w:space="0" w:color="auto"/>
        <w:bottom w:val="none" w:sz="0" w:space="0" w:color="auto"/>
        <w:right w:val="none" w:sz="0" w:space="0" w:color="auto"/>
      </w:divBdr>
    </w:div>
    <w:div w:id="383024397">
      <w:bodyDiv w:val="1"/>
      <w:marLeft w:val="0"/>
      <w:marRight w:val="0"/>
      <w:marTop w:val="0"/>
      <w:marBottom w:val="0"/>
      <w:divBdr>
        <w:top w:val="none" w:sz="0" w:space="0" w:color="auto"/>
        <w:left w:val="none" w:sz="0" w:space="0" w:color="auto"/>
        <w:bottom w:val="none" w:sz="0" w:space="0" w:color="auto"/>
        <w:right w:val="none" w:sz="0" w:space="0" w:color="auto"/>
      </w:divBdr>
    </w:div>
    <w:div w:id="384840052">
      <w:bodyDiv w:val="1"/>
      <w:marLeft w:val="0"/>
      <w:marRight w:val="0"/>
      <w:marTop w:val="0"/>
      <w:marBottom w:val="0"/>
      <w:divBdr>
        <w:top w:val="none" w:sz="0" w:space="0" w:color="auto"/>
        <w:left w:val="none" w:sz="0" w:space="0" w:color="auto"/>
        <w:bottom w:val="none" w:sz="0" w:space="0" w:color="auto"/>
        <w:right w:val="none" w:sz="0" w:space="0" w:color="auto"/>
      </w:divBdr>
    </w:div>
    <w:div w:id="386144689">
      <w:bodyDiv w:val="1"/>
      <w:marLeft w:val="0"/>
      <w:marRight w:val="0"/>
      <w:marTop w:val="0"/>
      <w:marBottom w:val="0"/>
      <w:divBdr>
        <w:top w:val="none" w:sz="0" w:space="0" w:color="auto"/>
        <w:left w:val="none" w:sz="0" w:space="0" w:color="auto"/>
        <w:bottom w:val="none" w:sz="0" w:space="0" w:color="auto"/>
        <w:right w:val="none" w:sz="0" w:space="0" w:color="auto"/>
      </w:divBdr>
    </w:div>
    <w:div w:id="387071747">
      <w:bodyDiv w:val="1"/>
      <w:marLeft w:val="0"/>
      <w:marRight w:val="0"/>
      <w:marTop w:val="0"/>
      <w:marBottom w:val="0"/>
      <w:divBdr>
        <w:top w:val="none" w:sz="0" w:space="0" w:color="auto"/>
        <w:left w:val="none" w:sz="0" w:space="0" w:color="auto"/>
        <w:bottom w:val="none" w:sz="0" w:space="0" w:color="auto"/>
        <w:right w:val="none" w:sz="0" w:space="0" w:color="auto"/>
      </w:divBdr>
    </w:div>
    <w:div w:id="389809257">
      <w:bodyDiv w:val="1"/>
      <w:marLeft w:val="0"/>
      <w:marRight w:val="0"/>
      <w:marTop w:val="0"/>
      <w:marBottom w:val="0"/>
      <w:divBdr>
        <w:top w:val="none" w:sz="0" w:space="0" w:color="auto"/>
        <w:left w:val="none" w:sz="0" w:space="0" w:color="auto"/>
        <w:bottom w:val="none" w:sz="0" w:space="0" w:color="auto"/>
        <w:right w:val="none" w:sz="0" w:space="0" w:color="auto"/>
      </w:divBdr>
      <w:divsChild>
        <w:div w:id="524294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9642826">
      <w:bodyDiv w:val="1"/>
      <w:marLeft w:val="0"/>
      <w:marRight w:val="0"/>
      <w:marTop w:val="0"/>
      <w:marBottom w:val="0"/>
      <w:divBdr>
        <w:top w:val="none" w:sz="0" w:space="0" w:color="auto"/>
        <w:left w:val="none" w:sz="0" w:space="0" w:color="auto"/>
        <w:bottom w:val="none" w:sz="0" w:space="0" w:color="auto"/>
        <w:right w:val="none" w:sz="0" w:space="0" w:color="auto"/>
      </w:divBdr>
    </w:div>
    <w:div w:id="400906155">
      <w:bodyDiv w:val="1"/>
      <w:marLeft w:val="0"/>
      <w:marRight w:val="0"/>
      <w:marTop w:val="0"/>
      <w:marBottom w:val="0"/>
      <w:divBdr>
        <w:top w:val="none" w:sz="0" w:space="0" w:color="auto"/>
        <w:left w:val="none" w:sz="0" w:space="0" w:color="auto"/>
        <w:bottom w:val="none" w:sz="0" w:space="0" w:color="auto"/>
        <w:right w:val="none" w:sz="0" w:space="0" w:color="auto"/>
      </w:divBdr>
    </w:div>
    <w:div w:id="403185485">
      <w:bodyDiv w:val="1"/>
      <w:marLeft w:val="0"/>
      <w:marRight w:val="0"/>
      <w:marTop w:val="0"/>
      <w:marBottom w:val="0"/>
      <w:divBdr>
        <w:top w:val="none" w:sz="0" w:space="0" w:color="auto"/>
        <w:left w:val="none" w:sz="0" w:space="0" w:color="auto"/>
        <w:bottom w:val="none" w:sz="0" w:space="0" w:color="auto"/>
        <w:right w:val="none" w:sz="0" w:space="0" w:color="auto"/>
      </w:divBdr>
    </w:div>
    <w:div w:id="408112685">
      <w:bodyDiv w:val="1"/>
      <w:marLeft w:val="0"/>
      <w:marRight w:val="0"/>
      <w:marTop w:val="0"/>
      <w:marBottom w:val="0"/>
      <w:divBdr>
        <w:top w:val="none" w:sz="0" w:space="0" w:color="auto"/>
        <w:left w:val="none" w:sz="0" w:space="0" w:color="auto"/>
        <w:bottom w:val="none" w:sz="0" w:space="0" w:color="auto"/>
        <w:right w:val="none" w:sz="0" w:space="0" w:color="auto"/>
      </w:divBdr>
      <w:divsChild>
        <w:div w:id="2095659449">
          <w:marLeft w:val="0"/>
          <w:marRight w:val="0"/>
          <w:marTop w:val="0"/>
          <w:marBottom w:val="0"/>
          <w:divBdr>
            <w:top w:val="none" w:sz="0" w:space="0" w:color="auto"/>
            <w:left w:val="none" w:sz="0" w:space="0" w:color="auto"/>
            <w:bottom w:val="none" w:sz="0" w:space="0" w:color="auto"/>
            <w:right w:val="none" w:sz="0" w:space="0" w:color="auto"/>
          </w:divBdr>
          <w:divsChild>
            <w:div w:id="155368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2716">
      <w:bodyDiv w:val="1"/>
      <w:marLeft w:val="0"/>
      <w:marRight w:val="0"/>
      <w:marTop w:val="0"/>
      <w:marBottom w:val="0"/>
      <w:divBdr>
        <w:top w:val="none" w:sz="0" w:space="0" w:color="auto"/>
        <w:left w:val="none" w:sz="0" w:space="0" w:color="auto"/>
        <w:bottom w:val="none" w:sz="0" w:space="0" w:color="auto"/>
        <w:right w:val="none" w:sz="0" w:space="0" w:color="auto"/>
      </w:divBdr>
    </w:div>
    <w:div w:id="415370394">
      <w:bodyDiv w:val="1"/>
      <w:marLeft w:val="0"/>
      <w:marRight w:val="0"/>
      <w:marTop w:val="0"/>
      <w:marBottom w:val="0"/>
      <w:divBdr>
        <w:top w:val="none" w:sz="0" w:space="0" w:color="auto"/>
        <w:left w:val="none" w:sz="0" w:space="0" w:color="auto"/>
        <w:bottom w:val="none" w:sz="0" w:space="0" w:color="auto"/>
        <w:right w:val="none" w:sz="0" w:space="0" w:color="auto"/>
      </w:divBdr>
      <w:divsChild>
        <w:div w:id="11073163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7484880">
      <w:bodyDiv w:val="1"/>
      <w:marLeft w:val="0"/>
      <w:marRight w:val="0"/>
      <w:marTop w:val="0"/>
      <w:marBottom w:val="0"/>
      <w:divBdr>
        <w:top w:val="none" w:sz="0" w:space="0" w:color="auto"/>
        <w:left w:val="none" w:sz="0" w:space="0" w:color="auto"/>
        <w:bottom w:val="none" w:sz="0" w:space="0" w:color="auto"/>
        <w:right w:val="none" w:sz="0" w:space="0" w:color="auto"/>
      </w:divBdr>
      <w:divsChild>
        <w:div w:id="7223673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9522506">
      <w:bodyDiv w:val="1"/>
      <w:marLeft w:val="0"/>
      <w:marRight w:val="0"/>
      <w:marTop w:val="0"/>
      <w:marBottom w:val="0"/>
      <w:divBdr>
        <w:top w:val="none" w:sz="0" w:space="0" w:color="auto"/>
        <w:left w:val="none" w:sz="0" w:space="0" w:color="auto"/>
        <w:bottom w:val="none" w:sz="0" w:space="0" w:color="auto"/>
        <w:right w:val="none" w:sz="0" w:space="0" w:color="auto"/>
      </w:divBdr>
    </w:div>
    <w:div w:id="429469942">
      <w:bodyDiv w:val="1"/>
      <w:marLeft w:val="0"/>
      <w:marRight w:val="0"/>
      <w:marTop w:val="0"/>
      <w:marBottom w:val="0"/>
      <w:divBdr>
        <w:top w:val="none" w:sz="0" w:space="0" w:color="auto"/>
        <w:left w:val="none" w:sz="0" w:space="0" w:color="auto"/>
        <w:bottom w:val="none" w:sz="0" w:space="0" w:color="auto"/>
        <w:right w:val="none" w:sz="0" w:space="0" w:color="auto"/>
      </w:divBdr>
      <w:divsChild>
        <w:div w:id="1379276115">
          <w:marLeft w:val="0"/>
          <w:marRight w:val="0"/>
          <w:marTop w:val="0"/>
          <w:marBottom w:val="0"/>
          <w:divBdr>
            <w:top w:val="none" w:sz="0" w:space="0" w:color="auto"/>
            <w:left w:val="none" w:sz="0" w:space="0" w:color="auto"/>
            <w:bottom w:val="none" w:sz="0" w:space="0" w:color="auto"/>
            <w:right w:val="none" w:sz="0" w:space="0" w:color="auto"/>
          </w:divBdr>
          <w:divsChild>
            <w:div w:id="387340406">
              <w:marLeft w:val="0"/>
              <w:marRight w:val="0"/>
              <w:marTop w:val="0"/>
              <w:marBottom w:val="0"/>
              <w:divBdr>
                <w:top w:val="none" w:sz="0" w:space="0" w:color="auto"/>
                <w:left w:val="none" w:sz="0" w:space="0" w:color="auto"/>
                <w:bottom w:val="none" w:sz="0" w:space="0" w:color="auto"/>
                <w:right w:val="none" w:sz="0" w:space="0" w:color="auto"/>
              </w:divBdr>
            </w:div>
          </w:divsChild>
        </w:div>
        <w:div w:id="1316454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207177">
      <w:bodyDiv w:val="1"/>
      <w:marLeft w:val="0"/>
      <w:marRight w:val="0"/>
      <w:marTop w:val="0"/>
      <w:marBottom w:val="0"/>
      <w:divBdr>
        <w:top w:val="none" w:sz="0" w:space="0" w:color="auto"/>
        <w:left w:val="none" w:sz="0" w:space="0" w:color="auto"/>
        <w:bottom w:val="none" w:sz="0" w:space="0" w:color="auto"/>
        <w:right w:val="none" w:sz="0" w:space="0" w:color="auto"/>
      </w:divBdr>
    </w:div>
    <w:div w:id="436366478">
      <w:bodyDiv w:val="1"/>
      <w:marLeft w:val="0"/>
      <w:marRight w:val="0"/>
      <w:marTop w:val="0"/>
      <w:marBottom w:val="0"/>
      <w:divBdr>
        <w:top w:val="none" w:sz="0" w:space="0" w:color="auto"/>
        <w:left w:val="none" w:sz="0" w:space="0" w:color="auto"/>
        <w:bottom w:val="none" w:sz="0" w:space="0" w:color="auto"/>
        <w:right w:val="none" w:sz="0" w:space="0" w:color="auto"/>
      </w:divBdr>
    </w:div>
    <w:div w:id="441071965">
      <w:bodyDiv w:val="1"/>
      <w:marLeft w:val="0"/>
      <w:marRight w:val="0"/>
      <w:marTop w:val="0"/>
      <w:marBottom w:val="0"/>
      <w:divBdr>
        <w:top w:val="none" w:sz="0" w:space="0" w:color="auto"/>
        <w:left w:val="none" w:sz="0" w:space="0" w:color="auto"/>
        <w:bottom w:val="none" w:sz="0" w:space="0" w:color="auto"/>
        <w:right w:val="none" w:sz="0" w:space="0" w:color="auto"/>
      </w:divBdr>
    </w:div>
    <w:div w:id="444082011">
      <w:bodyDiv w:val="1"/>
      <w:marLeft w:val="0"/>
      <w:marRight w:val="0"/>
      <w:marTop w:val="0"/>
      <w:marBottom w:val="0"/>
      <w:divBdr>
        <w:top w:val="none" w:sz="0" w:space="0" w:color="auto"/>
        <w:left w:val="none" w:sz="0" w:space="0" w:color="auto"/>
        <w:bottom w:val="none" w:sz="0" w:space="0" w:color="auto"/>
        <w:right w:val="none" w:sz="0" w:space="0" w:color="auto"/>
      </w:divBdr>
    </w:div>
    <w:div w:id="457913068">
      <w:bodyDiv w:val="1"/>
      <w:marLeft w:val="0"/>
      <w:marRight w:val="0"/>
      <w:marTop w:val="0"/>
      <w:marBottom w:val="0"/>
      <w:divBdr>
        <w:top w:val="none" w:sz="0" w:space="0" w:color="auto"/>
        <w:left w:val="none" w:sz="0" w:space="0" w:color="auto"/>
        <w:bottom w:val="none" w:sz="0" w:space="0" w:color="auto"/>
        <w:right w:val="none" w:sz="0" w:space="0" w:color="auto"/>
      </w:divBdr>
    </w:div>
    <w:div w:id="464201659">
      <w:bodyDiv w:val="1"/>
      <w:marLeft w:val="0"/>
      <w:marRight w:val="0"/>
      <w:marTop w:val="0"/>
      <w:marBottom w:val="0"/>
      <w:divBdr>
        <w:top w:val="none" w:sz="0" w:space="0" w:color="auto"/>
        <w:left w:val="none" w:sz="0" w:space="0" w:color="auto"/>
        <w:bottom w:val="none" w:sz="0" w:space="0" w:color="auto"/>
        <w:right w:val="none" w:sz="0" w:space="0" w:color="auto"/>
      </w:divBdr>
    </w:div>
    <w:div w:id="474178913">
      <w:bodyDiv w:val="1"/>
      <w:marLeft w:val="0"/>
      <w:marRight w:val="0"/>
      <w:marTop w:val="0"/>
      <w:marBottom w:val="0"/>
      <w:divBdr>
        <w:top w:val="none" w:sz="0" w:space="0" w:color="auto"/>
        <w:left w:val="none" w:sz="0" w:space="0" w:color="auto"/>
        <w:bottom w:val="none" w:sz="0" w:space="0" w:color="auto"/>
        <w:right w:val="none" w:sz="0" w:space="0" w:color="auto"/>
      </w:divBdr>
    </w:div>
    <w:div w:id="474833893">
      <w:bodyDiv w:val="1"/>
      <w:marLeft w:val="0"/>
      <w:marRight w:val="0"/>
      <w:marTop w:val="0"/>
      <w:marBottom w:val="0"/>
      <w:divBdr>
        <w:top w:val="none" w:sz="0" w:space="0" w:color="auto"/>
        <w:left w:val="none" w:sz="0" w:space="0" w:color="auto"/>
        <w:bottom w:val="none" w:sz="0" w:space="0" w:color="auto"/>
        <w:right w:val="none" w:sz="0" w:space="0" w:color="auto"/>
      </w:divBdr>
    </w:div>
    <w:div w:id="474836693">
      <w:bodyDiv w:val="1"/>
      <w:marLeft w:val="0"/>
      <w:marRight w:val="0"/>
      <w:marTop w:val="0"/>
      <w:marBottom w:val="0"/>
      <w:divBdr>
        <w:top w:val="none" w:sz="0" w:space="0" w:color="auto"/>
        <w:left w:val="none" w:sz="0" w:space="0" w:color="auto"/>
        <w:bottom w:val="none" w:sz="0" w:space="0" w:color="auto"/>
        <w:right w:val="none" w:sz="0" w:space="0" w:color="auto"/>
      </w:divBdr>
    </w:div>
    <w:div w:id="476343481">
      <w:bodyDiv w:val="1"/>
      <w:marLeft w:val="0"/>
      <w:marRight w:val="0"/>
      <w:marTop w:val="0"/>
      <w:marBottom w:val="0"/>
      <w:divBdr>
        <w:top w:val="none" w:sz="0" w:space="0" w:color="auto"/>
        <w:left w:val="none" w:sz="0" w:space="0" w:color="auto"/>
        <w:bottom w:val="none" w:sz="0" w:space="0" w:color="auto"/>
        <w:right w:val="none" w:sz="0" w:space="0" w:color="auto"/>
      </w:divBdr>
    </w:div>
    <w:div w:id="478964322">
      <w:bodyDiv w:val="1"/>
      <w:marLeft w:val="0"/>
      <w:marRight w:val="0"/>
      <w:marTop w:val="0"/>
      <w:marBottom w:val="0"/>
      <w:divBdr>
        <w:top w:val="none" w:sz="0" w:space="0" w:color="auto"/>
        <w:left w:val="none" w:sz="0" w:space="0" w:color="auto"/>
        <w:bottom w:val="none" w:sz="0" w:space="0" w:color="auto"/>
        <w:right w:val="none" w:sz="0" w:space="0" w:color="auto"/>
      </w:divBdr>
    </w:div>
    <w:div w:id="484980995">
      <w:bodyDiv w:val="1"/>
      <w:marLeft w:val="0"/>
      <w:marRight w:val="0"/>
      <w:marTop w:val="0"/>
      <w:marBottom w:val="0"/>
      <w:divBdr>
        <w:top w:val="none" w:sz="0" w:space="0" w:color="auto"/>
        <w:left w:val="none" w:sz="0" w:space="0" w:color="auto"/>
        <w:bottom w:val="none" w:sz="0" w:space="0" w:color="auto"/>
        <w:right w:val="none" w:sz="0" w:space="0" w:color="auto"/>
      </w:divBdr>
    </w:div>
    <w:div w:id="487326540">
      <w:bodyDiv w:val="1"/>
      <w:marLeft w:val="0"/>
      <w:marRight w:val="0"/>
      <w:marTop w:val="0"/>
      <w:marBottom w:val="0"/>
      <w:divBdr>
        <w:top w:val="none" w:sz="0" w:space="0" w:color="auto"/>
        <w:left w:val="none" w:sz="0" w:space="0" w:color="auto"/>
        <w:bottom w:val="none" w:sz="0" w:space="0" w:color="auto"/>
        <w:right w:val="none" w:sz="0" w:space="0" w:color="auto"/>
      </w:divBdr>
    </w:div>
    <w:div w:id="490489605">
      <w:bodyDiv w:val="1"/>
      <w:marLeft w:val="0"/>
      <w:marRight w:val="0"/>
      <w:marTop w:val="0"/>
      <w:marBottom w:val="0"/>
      <w:divBdr>
        <w:top w:val="none" w:sz="0" w:space="0" w:color="auto"/>
        <w:left w:val="none" w:sz="0" w:space="0" w:color="auto"/>
        <w:bottom w:val="none" w:sz="0" w:space="0" w:color="auto"/>
        <w:right w:val="none" w:sz="0" w:space="0" w:color="auto"/>
      </w:divBdr>
    </w:div>
    <w:div w:id="496307044">
      <w:bodyDiv w:val="1"/>
      <w:marLeft w:val="0"/>
      <w:marRight w:val="0"/>
      <w:marTop w:val="0"/>
      <w:marBottom w:val="0"/>
      <w:divBdr>
        <w:top w:val="none" w:sz="0" w:space="0" w:color="auto"/>
        <w:left w:val="none" w:sz="0" w:space="0" w:color="auto"/>
        <w:bottom w:val="none" w:sz="0" w:space="0" w:color="auto"/>
        <w:right w:val="none" w:sz="0" w:space="0" w:color="auto"/>
      </w:divBdr>
      <w:divsChild>
        <w:div w:id="503282687">
          <w:marLeft w:val="0"/>
          <w:marRight w:val="0"/>
          <w:marTop w:val="0"/>
          <w:marBottom w:val="0"/>
          <w:divBdr>
            <w:top w:val="none" w:sz="0" w:space="0" w:color="auto"/>
            <w:left w:val="none" w:sz="0" w:space="0" w:color="auto"/>
            <w:bottom w:val="none" w:sz="0" w:space="0" w:color="auto"/>
            <w:right w:val="none" w:sz="0" w:space="0" w:color="auto"/>
          </w:divBdr>
          <w:divsChild>
            <w:div w:id="8588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497062">
      <w:bodyDiv w:val="1"/>
      <w:marLeft w:val="0"/>
      <w:marRight w:val="0"/>
      <w:marTop w:val="0"/>
      <w:marBottom w:val="0"/>
      <w:divBdr>
        <w:top w:val="none" w:sz="0" w:space="0" w:color="auto"/>
        <w:left w:val="none" w:sz="0" w:space="0" w:color="auto"/>
        <w:bottom w:val="none" w:sz="0" w:space="0" w:color="auto"/>
        <w:right w:val="none" w:sz="0" w:space="0" w:color="auto"/>
      </w:divBdr>
      <w:divsChild>
        <w:div w:id="1464075749">
          <w:marLeft w:val="0"/>
          <w:marRight w:val="0"/>
          <w:marTop w:val="0"/>
          <w:marBottom w:val="0"/>
          <w:divBdr>
            <w:top w:val="none" w:sz="0" w:space="0" w:color="auto"/>
            <w:left w:val="none" w:sz="0" w:space="0" w:color="auto"/>
            <w:bottom w:val="none" w:sz="0" w:space="0" w:color="auto"/>
            <w:right w:val="none" w:sz="0" w:space="0" w:color="auto"/>
          </w:divBdr>
          <w:divsChild>
            <w:div w:id="2966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775530">
      <w:bodyDiv w:val="1"/>
      <w:marLeft w:val="0"/>
      <w:marRight w:val="0"/>
      <w:marTop w:val="0"/>
      <w:marBottom w:val="0"/>
      <w:divBdr>
        <w:top w:val="none" w:sz="0" w:space="0" w:color="auto"/>
        <w:left w:val="none" w:sz="0" w:space="0" w:color="auto"/>
        <w:bottom w:val="none" w:sz="0" w:space="0" w:color="auto"/>
        <w:right w:val="none" w:sz="0" w:space="0" w:color="auto"/>
      </w:divBdr>
    </w:div>
    <w:div w:id="504906150">
      <w:bodyDiv w:val="1"/>
      <w:marLeft w:val="0"/>
      <w:marRight w:val="0"/>
      <w:marTop w:val="0"/>
      <w:marBottom w:val="0"/>
      <w:divBdr>
        <w:top w:val="none" w:sz="0" w:space="0" w:color="auto"/>
        <w:left w:val="none" w:sz="0" w:space="0" w:color="auto"/>
        <w:bottom w:val="none" w:sz="0" w:space="0" w:color="auto"/>
        <w:right w:val="none" w:sz="0" w:space="0" w:color="auto"/>
      </w:divBdr>
    </w:div>
    <w:div w:id="506941690">
      <w:bodyDiv w:val="1"/>
      <w:marLeft w:val="0"/>
      <w:marRight w:val="0"/>
      <w:marTop w:val="0"/>
      <w:marBottom w:val="0"/>
      <w:divBdr>
        <w:top w:val="none" w:sz="0" w:space="0" w:color="auto"/>
        <w:left w:val="none" w:sz="0" w:space="0" w:color="auto"/>
        <w:bottom w:val="none" w:sz="0" w:space="0" w:color="auto"/>
        <w:right w:val="none" w:sz="0" w:space="0" w:color="auto"/>
      </w:divBdr>
    </w:div>
    <w:div w:id="508059340">
      <w:bodyDiv w:val="1"/>
      <w:marLeft w:val="0"/>
      <w:marRight w:val="0"/>
      <w:marTop w:val="0"/>
      <w:marBottom w:val="0"/>
      <w:divBdr>
        <w:top w:val="none" w:sz="0" w:space="0" w:color="auto"/>
        <w:left w:val="none" w:sz="0" w:space="0" w:color="auto"/>
        <w:bottom w:val="none" w:sz="0" w:space="0" w:color="auto"/>
        <w:right w:val="none" w:sz="0" w:space="0" w:color="auto"/>
      </w:divBdr>
    </w:div>
    <w:div w:id="522979929">
      <w:bodyDiv w:val="1"/>
      <w:marLeft w:val="0"/>
      <w:marRight w:val="0"/>
      <w:marTop w:val="0"/>
      <w:marBottom w:val="0"/>
      <w:divBdr>
        <w:top w:val="none" w:sz="0" w:space="0" w:color="auto"/>
        <w:left w:val="none" w:sz="0" w:space="0" w:color="auto"/>
        <w:bottom w:val="none" w:sz="0" w:space="0" w:color="auto"/>
        <w:right w:val="none" w:sz="0" w:space="0" w:color="auto"/>
      </w:divBdr>
    </w:div>
    <w:div w:id="533543145">
      <w:bodyDiv w:val="1"/>
      <w:marLeft w:val="0"/>
      <w:marRight w:val="0"/>
      <w:marTop w:val="0"/>
      <w:marBottom w:val="0"/>
      <w:divBdr>
        <w:top w:val="none" w:sz="0" w:space="0" w:color="auto"/>
        <w:left w:val="none" w:sz="0" w:space="0" w:color="auto"/>
        <w:bottom w:val="none" w:sz="0" w:space="0" w:color="auto"/>
        <w:right w:val="none" w:sz="0" w:space="0" w:color="auto"/>
      </w:divBdr>
    </w:div>
    <w:div w:id="537475746">
      <w:bodyDiv w:val="1"/>
      <w:marLeft w:val="0"/>
      <w:marRight w:val="0"/>
      <w:marTop w:val="0"/>
      <w:marBottom w:val="0"/>
      <w:divBdr>
        <w:top w:val="none" w:sz="0" w:space="0" w:color="auto"/>
        <w:left w:val="none" w:sz="0" w:space="0" w:color="auto"/>
        <w:bottom w:val="none" w:sz="0" w:space="0" w:color="auto"/>
        <w:right w:val="none" w:sz="0" w:space="0" w:color="auto"/>
      </w:divBdr>
    </w:div>
    <w:div w:id="539123427">
      <w:bodyDiv w:val="1"/>
      <w:marLeft w:val="0"/>
      <w:marRight w:val="0"/>
      <w:marTop w:val="0"/>
      <w:marBottom w:val="0"/>
      <w:divBdr>
        <w:top w:val="none" w:sz="0" w:space="0" w:color="auto"/>
        <w:left w:val="none" w:sz="0" w:space="0" w:color="auto"/>
        <w:bottom w:val="none" w:sz="0" w:space="0" w:color="auto"/>
        <w:right w:val="none" w:sz="0" w:space="0" w:color="auto"/>
      </w:divBdr>
    </w:div>
    <w:div w:id="550001589">
      <w:bodyDiv w:val="1"/>
      <w:marLeft w:val="0"/>
      <w:marRight w:val="0"/>
      <w:marTop w:val="0"/>
      <w:marBottom w:val="0"/>
      <w:divBdr>
        <w:top w:val="none" w:sz="0" w:space="0" w:color="auto"/>
        <w:left w:val="none" w:sz="0" w:space="0" w:color="auto"/>
        <w:bottom w:val="none" w:sz="0" w:space="0" w:color="auto"/>
        <w:right w:val="none" w:sz="0" w:space="0" w:color="auto"/>
      </w:divBdr>
      <w:divsChild>
        <w:div w:id="1845321038">
          <w:blockQuote w:val="1"/>
          <w:marLeft w:val="720"/>
          <w:marRight w:val="720"/>
          <w:marTop w:val="100"/>
          <w:marBottom w:val="100"/>
          <w:divBdr>
            <w:top w:val="none" w:sz="0" w:space="0" w:color="auto"/>
            <w:left w:val="none" w:sz="0" w:space="0" w:color="auto"/>
            <w:bottom w:val="none" w:sz="0" w:space="0" w:color="auto"/>
            <w:right w:val="none" w:sz="0" w:space="0" w:color="auto"/>
          </w:divBdr>
        </w:div>
        <w:div w:id="733704889">
          <w:blockQuote w:val="1"/>
          <w:marLeft w:val="720"/>
          <w:marRight w:val="720"/>
          <w:marTop w:val="100"/>
          <w:marBottom w:val="100"/>
          <w:divBdr>
            <w:top w:val="none" w:sz="0" w:space="0" w:color="auto"/>
            <w:left w:val="none" w:sz="0" w:space="0" w:color="auto"/>
            <w:bottom w:val="none" w:sz="0" w:space="0" w:color="auto"/>
            <w:right w:val="none" w:sz="0" w:space="0" w:color="auto"/>
          </w:divBdr>
        </w:div>
        <w:div w:id="602224291">
          <w:marLeft w:val="0"/>
          <w:marRight w:val="0"/>
          <w:marTop w:val="0"/>
          <w:marBottom w:val="0"/>
          <w:divBdr>
            <w:top w:val="none" w:sz="0" w:space="0" w:color="auto"/>
            <w:left w:val="none" w:sz="0" w:space="0" w:color="auto"/>
            <w:bottom w:val="none" w:sz="0" w:space="0" w:color="auto"/>
            <w:right w:val="none" w:sz="0" w:space="0" w:color="auto"/>
          </w:divBdr>
          <w:divsChild>
            <w:div w:id="14485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506559">
      <w:bodyDiv w:val="1"/>
      <w:marLeft w:val="0"/>
      <w:marRight w:val="0"/>
      <w:marTop w:val="0"/>
      <w:marBottom w:val="0"/>
      <w:divBdr>
        <w:top w:val="none" w:sz="0" w:space="0" w:color="auto"/>
        <w:left w:val="none" w:sz="0" w:space="0" w:color="auto"/>
        <w:bottom w:val="none" w:sz="0" w:space="0" w:color="auto"/>
        <w:right w:val="none" w:sz="0" w:space="0" w:color="auto"/>
      </w:divBdr>
    </w:div>
    <w:div w:id="554246391">
      <w:bodyDiv w:val="1"/>
      <w:marLeft w:val="0"/>
      <w:marRight w:val="0"/>
      <w:marTop w:val="0"/>
      <w:marBottom w:val="0"/>
      <w:divBdr>
        <w:top w:val="none" w:sz="0" w:space="0" w:color="auto"/>
        <w:left w:val="none" w:sz="0" w:space="0" w:color="auto"/>
        <w:bottom w:val="none" w:sz="0" w:space="0" w:color="auto"/>
        <w:right w:val="none" w:sz="0" w:space="0" w:color="auto"/>
      </w:divBdr>
    </w:div>
    <w:div w:id="558705965">
      <w:bodyDiv w:val="1"/>
      <w:marLeft w:val="0"/>
      <w:marRight w:val="0"/>
      <w:marTop w:val="0"/>
      <w:marBottom w:val="0"/>
      <w:divBdr>
        <w:top w:val="none" w:sz="0" w:space="0" w:color="auto"/>
        <w:left w:val="none" w:sz="0" w:space="0" w:color="auto"/>
        <w:bottom w:val="none" w:sz="0" w:space="0" w:color="auto"/>
        <w:right w:val="none" w:sz="0" w:space="0" w:color="auto"/>
      </w:divBdr>
    </w:div>
    <w:div w:id="560559998">
      <w:bodyDiv w:val="1"/>
      <w:marLeft w:val="0"/>
      <w:marRight w:val="0"/>
      <w:marTop w:val="0"/>
      <w:marBottom w:val="0"/>
      <w:divBdr>
        <w:top w:val="none" w:sz="0" w:space="0" w:color="auto"/>
        <w:left w:val="none" w:sz="0" w:space="0" w:color="auto"/>
        <w:bottom w:val="none" w:sz="0" w:space="0" w:color="auto"/>
        <w:right w:val="none" w:sz="0" w:space="0" w:color="auto"/>
      </w:divBdr>
      <w:divsChild>
        <w:div w:id="295110274">
          <w:blockQuote w:val="1"/>
          <w:marLeft w:val="720"/>
          <w:marRight w:val="720"/>
          <w:marTop w:val="100"/>
          <w:marBottom w:val="100"/>
          <w:divBdr>
            <w:top w:val="none" w:sz="0" w:space="0" w:color="auto"/>
            <w:left w:val="none" w:sz="0" w:space="0" w:color="auto"/>
            <w:bottom w:val="none" w:sz="0" w:space="0" w:color="auto"/>
            <w:right w:val="none" w:sz="0" w:space="0" w:color="auto"/>
          </w:divBdr>
        </w:div>
        <w:div w:id="888761011">
          <w:blockQuote w:val="1"/>
          <w:marLeft w:val="720"/>
          <w:marRight w:val="720"/>
          <w:marTop w:val="100"/>
          <w:marBottom w:val="100"/>
          <w:divBdr>
            <w:top w:val="none" w:sz="0" w:space="0" w:color="auto"/>
            <w:left w:val="none" w:sz="0" w:space="0" w:color="auto"/>
            <w:bottom w:val="none" w:sz="0" w:space="0" w:color="auto"/>
            <w:right w:val="none" w:sz="0" w:space="0" w:color="auto"/>
          </w:divBdr>
        </w:div>
        <w:div w:id="3154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61860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4225242">
      <w:bodyDiv w:val="1"/>
      <w:marLeft w:val="0"/>
      <w:marRight w:val="0"/>
      <w:marTop w:val="0"/>
      <w:marBottom w:val="0"/>
      <w:divBdr>
        <w:top w:val="none" w:sz="0" w:space="0" w:color="auto"/>
        <w:left w:val="none" w:sz="0" w:space="0" w:color="auto"/>
        <w:bottom w:val="none" w:sz="0" w:space="0" w:color="auto"/>
        <w:right w:val="none" w:sz="0" w:space="0" w:color="auto"/>
      </w:divBdr>
    </w:div>
    <w:div w:id="564801385">
      <w:bodyDiv w:val="1"/>
      <w:marLeft w:val="0"/>
      <w:marRight w:val="0"/>
      <w:marTop w:val="0"/>
      <w:marBottom w:val="0"/>
      <w:divBdr>
        <w:top w:val="none" w:sz="0" w:space="0" w:color="auto"/>
        <w:left w:val="none" w:sz="0" w:space="0" w:color="auto"/>
        <w:bottom w:val="none" w:sz="0" w:space="0" w:color="auto"/>
        <w:right w:val="none" w:sz="0" w:space="0" w:color="auto"/>
      </w:divBdr>
    </w:div>
    <w:div w:id="565188120">
      <w:bodyDiv w:val="1"/>
      <w:marLeft w:val="0"/>
      <w:marRight w:val="0"/>
      <w:marTop w:val="0"/>
      <w:marBottom w:val="0"/>
      <w:divBdr>
        <w:top w:val="none" w:sz="0" w:space="0" w:color="auto"/>
        <w:left w:val="none" w:sz="0" w:space="0" w:color="auto"/>
        <w:bottom w:val="none" w:sz="0" w:space="0" w:color="auto"/>
        <w:right w:val="none" w:sz="0" w:space="0" w:color="auto"/>
      </w:divBdr>
      <w:divsChild>
        <w:div w:id="1431393114">
          <w:marLeft w:val="0"/>
          <w:marRight w:val="0"/>
          <w:marTop w:val="0"/>
          <w:marBottom w:val="0"/>
          <w:divBdr>
            <w:top w:val="none" w:sz="0" w:space="0" w:color="auto"/>
            <w:left w:val="none" w:sz="0" w:space="0" w:color="auto"/>
            <w:bottom w:val="none" w:sz="0" w:space="0" w:color="auto"/>
            <w:right w:val="none" w:sz="0" w:space="0" w:color="auto"/>
          </w:divBdr>
          <w:divsChild>
            <w:div w:id="834733696">
              <w:marLeft w:val="0"/>
              <w:marRight w:val="0"/>
              <w:marTop w:val="0"/>
              <w:marBottom w:val="0"/>
              <w:divBdr>
                <w:top w:val="none" w:sz="0" w:space="0" w:color="auto"/>
                <w:left w:val="none" w:sz="0" w:space="0" w:color="auto"/>
                <w:bottom w:val="none" w:sz="0" w:space="0" w:color="auto"/>
                <w:right w:val="none" w:sz="0" w:space="0" w:color="auto"/>
              </w:divBdr>
            </w:div>
          </w:divsChild>
        </w:div>
        <w:div w:id="11415784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9580008">
      <w:bodyDiv w:val="1"/>
      <w:marLeft w:val="0"/>
      <w:marRight w:val="0"/>
      <w:marTop w:val="0"/>
      <w:marBottom w:val="0"/>
      <w:divBdr>
        <w:top w:val="none" w:sz="0" w:space="0" w:color="auto"/>
        <w:left w:val="none" w:sz="0" w:space="0" w:color="auto"/>
        <w:bottom w:val="none" w:sz="0" w:space="0" w:color="auto"/>
        <w:right w:val="none" w:sz="0" w:space="0" w:color="auto"/>
      </w:divBdr>
    </w:div>
    <w:div w:id="572661864">
      <w:bodyDiv w:val="1"/>
      <w:marLeft w:val="0"/>
      <w:marRight w:val="0"/>
      <w:marTop w:val="0"/>
      <w:marBottom w:val="0"/>
      <w:divBdr>
        <w:top w:val="none" w:sz="0" w:space="0" w:color="auto"/>
        <w:left w:val="none" w:sz="0" w:space="0" w:color="auto"/>
        <w:bottom w:val="none" w:sz="0" w:space="0" w:color="auto"/>
        <w:right w:val="none" w:sz="0" w:space="0" w:color="auto"/>
      </w:divBdr>
    </w:div>
    <w:div w:id="574316121">
      <w:bodyDiv w:val="1"/>
      <w:marLeft w:val="0"/>
      <w:marRight w:val="0"/>
      <w:marTop w:val="0"/>
      <w:marBottom w:val="0"/>
      <w:divBdr>
        <w:top w:val="none" w:sz="0" w:space="0" w:color="auto"/>
        <w:left w:val="none" w:sz="0" w:space="0" w:color="auto"/>
        <w:bottom w:val="none" w:sz="0" w:space="0" w:color="auto"/>
        <w:right w:val="none" w:sz="0" w:space="0" w:color="auto"/>
      </w:divBdr>
      <w:divsChild>
        <w:div w:id="1098059837">
          <w:blockQuote w:val="1"/>
          <w:marLeft w:val="720"/>
          <w:marRight w:val="720"/>
          <w:marTop w:val="100"/>
          <w:marBottom w:val="100"/>
          <w:divBdr>
            <w:top w:val="none" w:sz="0" w:space="0" w:color="auto"/>
            <w:left w:val="none" w:sz="0" w:space="0" w:color="auto"/>
            <w:bottom w:val="none" w:sz="0" w:space="0" w:color="auto"/>
            <w:right w:val="none" w:sz="0" w:space="0" w:color="auto"/>
          </w:divBdr>
        </w:div>
        <w:div w:id="132866032">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005441">
          <w:marLeft w:val="0"/>
          <w:marRight w:val="0"/>
          <w:marTop w:val="0"/>
          <w:marBottom w:val="0"/>
          <w:divBdr>
            <w:top w:val="none" w:sz="0" w:space="0" w:color="auto"/>
            <w:left w:val="none" w:sz="0" w:space="0" w:color="auto"/>
            <w:bottom w:val="none" w:sz="0" w:space="0" w:color="auto"/>
            <w:right w:val="none" w:sz="0" w:space="0" w:color="auto"/>
          </w:divBdr>
          <w:divsChild>
            <w:div w:id="164273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176818">
      <w:bodyDiv w:val="1"/>
      <w:marLeft w:val="0"/>
      <w:marRight w:val="0"/>
      <w:marTop w:val="0"/>
      <w:marBottom w:val="0"/>
      <w:divBdr>
        <w:top w:val="none" w:sz="0" w:space="0" w:color="auto"/>
        <w:left w:val="none" w:sz="0" w:space="0" w:color="auto"/>
        <w:bottom w:val="none" w:sz="0" w:space="0" w:color="auto"/>
        <w:right w:val="none" w:sz="0" w:space="0" w:color="auto"/>
      </w:divBdr>
    </w:div>
    <w:div w:id="579407568">
      <w:bodyDiv w:val="1"/>
      <w:marLeft w:val="0"/>
      <w:marRight w:val="0"/>
      <w:marTop w:val="0"/>
      <w:marBottom w:val="0"/>
      <w:divBdr>
        <w:top w:val="none" w:sz="0" w:space="0" w:color="auto"/>
        <w:left w:val="none" w:sz="0" w:space="0" w:color="auto"/>
        <w:bottom w:val="none" w:sz="0" w:space="0" w:color="auto"/>
        <w:right w:val="none" w:sz="0" w:space="0" w:color="auto"/>
      </w:divBdr>
    </w:div>
    <w:div w:id="594435216">
      <w:bodyDiv w:val="1"/>
      <w:marLeft w:val="0"/>
      <w:marRight w:val="0"/>
      <w:marTop w:val="0"/>
      <w:marBottom w:val="0"/>
      <w:divBdr>
        <w:top w:val="none" w:sz="0" w:space="0" w:color="auto"/>
        <w:left w:val="none" w:sz="0" w:space="0" w:color="auto"/>
        <w:bottom w:val="none" w:sz="0" w:space="0" w:color="auto"/>
        <w:right w:val="none" w:sz="0" w:space="0" w:color="auto"/>
      </w:divBdr>
    </w:div>
    <w:div w:id="598491026">
      <w:bodyDiv w:val="1"/>
      <w:marLeft w:val="0"/>
      <w:marRight w:val="0"/>
      <w:marTop w:val="0"/>
      <w:marBottom w:val="0"/>
      <w:divBdr>
        <w:top w:val="none" w:sz="0" w:space="0" w:color="auto"/>
        <w:left w:val="none" w:sz="0" w:space="0" w:color="auto"/>
        <w:bottom w:val="none" w:sz="0" w:space="0" w:color="auto"/>
        <w:right w:val="none" w:sz="0" w:space="0" w:color="auto"/>
      </w:divBdr>
    </w:div>
    <w:div w:id="601650263">
      <w:bodyDiv w:val="1"/>
      <w:marLeft w:val="0"/>
      <w:marRight w:val="0"/>
      <w:marTop w:val="0"/>
      <w:marBottom w:val="0"/>
      <w:divBdr>
        <w:top w:val="none" w:sz="0" w:space="0" w:color="auto"/>
        <w:left w:val="none" w:sz="0" w:space="0" w:color="auto"/>
        <w:bottom w:val="none" w:sz="0" w:space="0" w:color="auto"/>
        <w:right w:val="none" w:sz="0" w:space="0" w:color="auto"/>
      </w:divBdr>
      <w:divsChild>
        <w:div w:id="1416513582">
          <w:marLeft w:val="0"/>
          <w:marRight w:val="0"/>
          <w:marTop w:val="0"/>
          <w:marBottom w:val="0"/>
          <w:divBdr>
            <w:top w:val="none" w:sz="0" w:space="0" w:color="auto"/>
            <w:left w:val="none" w:sz="0" w:space="0" w:color="auto"/>
            <w:bottom w:val="none" w:sz="0" w:space="0" w:color="auto"/>
            <w:right w:val="none" w:sz="0" w:space="0" w:color="auto"/>
          </w:divBdr>
          <w:divsChild>
            <w:div w:id="93983684">
              <w:marLeft w:val="0"/>
              <w:marRight w:val="0"/>
              <w:marTop w:val="0"/>
              <w:marBottom w:val="0"/>
              <w:divBdr>
                <w:top w:val="none" w:sz="0" w:space="0" w:color="auto"/>
                <w:left w:val="none" w:sz="0" w:space="0" w:color="auto"/>
                <w:bottom w:val="none" w:sz="0" w:space="0" w:color="auto"/>
                <w:right w:val="none" w:sz="0" w:space="0" w:color="auto"/>
              </w:divBdr>
              <w:divsChild>
                <w:div w:id="1482577089">
                  <w:marLeft w:val="0"/>
                  <w:marRight w:val="0"/>
                  <w:marTop w:val="0"/>
                  <w:marBottom w:val="0"/>
                  <w:divBdr>
                    <w:top w:val="none" w:sz="0" w:space="0" w:color="auto"/>
                    <w:left w:val="none" w:sz="0" w:space="0" w:color="auto"/>
                    <w:bottom w:val="none" w:sz="0" w:space="0" w:color="auto"/>
                    <w:right w:val="none" w:sz="0" w:space="0" w:color="auto"/>
                  </w:divBdr>
                  <w:divsChild>
                    <w:div w:id="282811194">
                      <w:marLeft w:val="0"/>
                      <w:marRight w:val="0"/>
                      <w:marTop w:val="0"/>
                      <w:marBottom w:val="0"/>
                      <w:divBdr>
                        <w:top w:val="none" w:sz="0" w:space="0" w:color="auto"/>
                        <w:left w:val="none" w:sz="0" w:space="0" w:color="auto"/>
                        <w:bottom w:val="none" w:sz="0" w:space="0" w:color="auto"/>
                        <w:right w:val="none" w:sz="0" w:space="0" w:color="auto"/>
                      </w:divBdr>
                      <w:divsChild>
                        <w:div w:id="384988659">
                          <w:marLeft w:val="0"/>
                          <w:marRight w:val="0"/>
                          <w:marTop w:val="0"/>
                          <w:marBottom w:val="0"/>
                          <w:divBdr>
                            <w:top w:val="none" w:sz="0" w:space="0" w:color="auto"/>
                            <w:left w:val="none" w:sz="0" w:space="0" w:color="auto"/>
                            <w:bottom w:val="none" w:sz="0" w:space="0" w:color="auto"/>
                            <w:right w:val="none" w:sz="0" w:space="0" w:color="auto"/>
                          </w:divBdr>
                          <w:divsChild>
                            <w:div w:id="1042897056">
                              <w:marLeft w:val="0"/>
                              <w:marRight w:val="0"/>
                              <w:marTop w:val="0"/>
                              <w:marBottom w:val="0"/>
                              <w:divBdr>
                                <w:top w:val="none" w:sz="0" w:space="0" w:color="auto"/>
                                <w:left w:val="none" w:sz="0" w:space="0" w:color="auto"/>
                                <w:bottom w:val="none" w:sz="0" w:space="0" w:color="auto"/>
                                <w:right w:val="none" w:sz="0" w:space="0" w:color="auto"/>
                              </w:divBdr>
                              <w:divsChild>
                                <w:div w:id="10225586">
                                  <w:marLeft w:val="0"/>
                                  <w:marRight w:val="0"/>
                                  <w:marTop w:val="0"/>
                                  <w:marBottom w:val="0"/>
                                  <w:divBdr>
                                    <w:top w:val="none" w:sz="0" w:space="0" w:color="auto"/>
                                    <w:left w:val="none" w:sz="0" w:space="0" w:color="auto"/>
                                    <w:bottom w:val="none" w:sz="0" w:space="0" w:color="auto"/>
                                    <w:right w:val="none" w:sz="0" w:space="0" w:color="auto"/>
                                  </w:divBdr>
                                  <w:divsChild>
                                    <w:div w:id="64593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241746">
      <w:bodyDiv w:val="1"/>
      <w:marLeft w:val="0"/>
      <w:marRight w:val="0"/>
      <w:marTop w:val="0"/>
      <w:marBottom w:val="0"/>
      <w:divBdr>
        <w:top w:val="none" w:sz="0" w:space="0" w:color="auto"/>
        <w:left w:val="none" w:sz="0" w:space="0" w:color="auto"/>
        <w:bottom w:val="none" w:sz="0" w:space="0" w:color="auto"/>
        <w:right w:val="none" w:sz="0" w:space="0" w:color="auto"/>
      </w:divBdr>
    </w:div>
    <w:div w:id="610362296">
      <w:bodyDiv w:val="1"/>
      <w:marLeft w:val="0"/>
      <w:marRight w:val="0"/>
      <w:marTop w:val="0"/>
      <w:marBottom w:val="0"/>
      <w:divBdr>
        <w:top w:val="none" w:sz="0" w:space="0" w:color="auto"/>
        <w:left w:val="none" w:sz="0" w:space="0" w:color="auto"/>
        <w:bottom w:val="none" w:sz="0" w:space="0" w:color="auto"/>
        <w:right w:val="none" w:sz="0" w:space="0" w:color="auto"/>
      </w:divBdr>
    </w:div>
    <w:div w:id="610556056">
      <w:bodyDiv w:val="1"/>
      <w:marLeft w:val="0"/>
      <w:marRight w:val="0"/>
      <w:marTop w:val="0"/>
      <w:marBottom w:val="0"/>
      <w:divBdr>
        <w:top w:val="none" w:sz="0" w:space="0" w:color="auto"/>
        <w:left w:val="none" w:sz="0" w:space="0" w:color="auto"/>
        <w:bottom w:val="none" w:sz="0" w:space="0" w:color="auto"/>
        <w:right w:val="none" w:sz="0" w:space="0" w:color="auto"/>
      </w:divBdr>
      <w:divsChild>
        <w:div w:id="462963411">
          <w:marLeft w:val="0"/>
          <w:marRight w:val="0"/>
          <w:marTop w:val="0"/>
          <w:marBottom w:val="0"/>
          <w:divBdr>
            <w:top w:val="none" w:sz="0" w:space="0" w:color="auto"/>
            <w:left w:val="none" w:sz="0" w:space="0" w:color="auto"/>
            <w:bottom w:val="none" w:sz="0" w:space="0" w:color="auto"/>
            <w:right w:val="none" w:sz="0" w:space="0" w:color="auto"/>
          </w:divBdr>
          <w:divsChild>
            <w:div w:id="170027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874426">
      <w:bodyDiv w:val="1"/>
      <w:marLeft w:val="0"/>
      <w:marRight w:val="0"/>
      <w:marTop w:val="0"/>
      <w:marBottom w:val="0"/>
      <w:divBdr>
        <w:top w:val="none" w:sz="0" w:space="0" w:color="auto"/>
        <w:left w:val="none" w:sz="0" w:space="0" w:color="auto"/>
        <w:bottom w:val="none" w:sz="0" w:space="0" w:color="auto"/>
        <w:right w:val="none" w:sz="0" w:space="0" w:color="auto"/>
      </w:divBdr>
    </w:div>
    <w:div w:id="620499570">
      <w:bodyDiv w:val="1"/>
      <w:marLeft w:val="0"/>
      <w:marRight w:val="0"/>
      <w:marTop w:val="0"/>
      <w:marBottom w:val="0"/>
      <w:divBdr>
        <w:top w:val="none" w:sz="0" w:space="0" w:color="auto"/>
        <w:left w:val="none" w:sz="0" w:space="0" w:color="auto"/>
        <w:bottom w:val="none" w:sz="0" w:space="0" w:color="auto"/>
        <w:right w:val="none" w:sz="0" w:space="0" w:color="auto"/>
      </w:divBdr>
    </w:div>
    <w:div w:id="621304203">
      <w:bodyDiv w:val="1"/>
      <w:marLeft w:val="0"/>
      <w:marRight w:val="0"/>
      <w:marTop w:val="0"/>
      <w:marBottom w:val="0"/>
      <w:divBdr>
        <w:top w:val="none" w:sz="0" w:space="0" w:color="auto"/>
        <w:left w:val="none" w:sz="0" w:space="0" w:color="auto"/>
        <w:bottom w:val="none" w:sz="0" w:space="0" w:color="auto"/>
        <w:right w:val="none" w:sz="0" w:space="0" w:color="auto"/>
      </w:divBdr>
    </w:div>
    <w:div w:id="628901238">
      <w:bodyDiv w:val="1"/>
      <w:marLeft w:val="0"/>
      <w:marRight w:val="0"/>
      <w:marTop w:val="0"/>
      <w:marBottom w:val="0"/>
      <w:divBdr>
        <w:top w:val="none" w:sz="0" w:space="0" w:color="auto"/>
        <w:left w:val="none" w:sz="0" w:space="0" w:color="auto"/>
        <w:bottom w:val="none" w:sz="0" w:space="0" w:color="auto"/>
        <w:right w:val="none" w:sz="0" w:space="0" w:color="auto"/>
      </w:divBdr>
      <w:divsChild>
        <w:div w:id="1885560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9743443">
      <w:bodyDiv w:val="1"/>
      <w:marLeft w:val="0"/>
      <w:marRight w:val="0"/>
      <w:marTop w:val="0"/>
      <w:marBottom w:val="0"/>
      <w:divBdr>
        <w:top w:val="none" w:sz="0" w:space="0" w:color="auto"/>
        <w:left w:val="none" w:sz="0" w:space="0" w:color="auto"/>
        <w:bottom w:val="none" w:sz="0" w:space="0" w:color="auto"/>
        <w:right w:val="none" w:sz="0" w:space="0" w:color="auto"/>
      </w:divBdr>
    </w:div>
    <w:div w:id="629818745">
      <w:bodyDiv w:val="1"/>
      <w:marLeft w:val="0"/>
      <w:marRight w:val="0"/>
      <w:marTop w:val="0"/>
      <w:marBottom w:val="0"/>
      <w:divBdr>
        <w:top w:val="none" w:sz="0" w:space="0" w:color="auto"/>
        <w:left w:val="none" w:sz="0" w:space="0" w:color="auto"/>
        <w:bottom w:val="none" w:sz="0" w:space="0" w:color="auto"/>
        <w:right w:val="none" w:sz="0" w:space="0" w:color="auto"/>
      </w:divBdr>
    </w:div>
    <w:div w:id="633368985">
      <w:bodyDiv w:val="1"/>
      <w:marLeft w:val="0"/>
      <w:marRight w:val="0"/>
      <w:marTop w:val="0"/>
      <w:marBottom w:val="0"/>
      <w:divBdr>
        <w:top w:val="none" w:sz="0" w:space="0" w:color="auto"/>
        <w:left w:val="none" w:sz="0" w:space="0" w:color="auto"/>
        <w:bottom w:val="none" w:sz="0" w:space="0" w:color="auto"/>
        <w:right w:val="none" w:sz="0" w:space="0" w:color="auto"/>
      </w:divBdr>
    </w:div>
    <w:div w:id="645741997">
      <w:bodyDiv w:val="1"/>
      <w:marLeft w:val="0"/>
      <w:marRight w:val="0"/>
      <w:marTop w:val="0"/>
      <w:marBottom w:val="0"/>
      <w:divBdr>
        <w:top w:val="none" w:sz="0" w:space="0" w:color="auto"/>
        <w:left w:val="none" w:sz="0" w:space="0" w:color="auto"/>
        <w:bottom w:val="none" w:sz="0" w:space="0" w:color="auto"/>
        <w:right w:val="none" w:sz="0" w:space="0" w:color="auto"/>
      </w:divBdr>
      <w:divsChild>
        <w:div w:id="19490477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7977084">
      <w:bodyDiv w:val="1"/>
      <w:marLeft w:val="0"/>
      <w:marRight w:val="0"/>
      <w:marTop w:val="0"/>
      <w:marBottom w:val="0"/>
      <w:divBdr>
        <w:top w:val="none" w:sz="0" w:space="0" w:color="auto"/>
        <w:left w:val="none" w:sz="0" w:space="0" w:color="auto"/>
        <w:bottom w:val="none" w:sz="0" w:space="0" w:color="auto"/>
        <w:right w:val="none" w:sz="0" w:space="0" w:color="auto"/>
      </w:divBdr>
    </w:div>
    <w:div w:id="648942610">
      <w:bodyDiv w:val="1"/>
      <w:marLeft w:val="0"/>
      <w:marRight w:val="0"/>
      <w:marTop w:val="0"/>
      <w:marBottom w:val="0"/>
      <w:divBdr>
        <w:top w:val="none" w:sz="0" w:space="0" w:color="auto"/>
        <w:left w:val="none" w:sz="0" w:space="0" w:color="auto"/>
        <w:bottom w:val="none" w:sz="0" w:space="0" w:color="auto"/>
        <w:right w:val="none" w:sz="0" w:space="0" w:color="auto"/>
      </w:divBdr>
      <w:divsChild>
        <w:div w:id="114519255">
          <w:marLeft w:val="0"/>
          <w:marRight w:val="0"/>
          <w:marTop w:val="0"/>
          <w:marBottom w:val="0"/>
          <w:divBdr>
            <w:top w:val="none" w:sz="0" w:space="0" w:color="auto"/>
            <w:left w:val="none" w:sz="0" w:space="0" w:color="auto"/>
            <w:bottom w:val="none" w:sz="0" w:space="0" w:color="auto"/>
            <w:right w:val="none" w:sz="0" w:space="0" w:color="auto"/>
          </w:divBdr>
          <w:divsChild>
            <w:div w:id="127671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07776">
      <w:bodyDiv w:val="1"/>
      <w:marLeft w:val="0"/>
      <w:marRight w:val="0"/>
      <w:marTop w:val="0"/>
      <w:marBottom w:val="0"/>
      <w:divBdr>
        <w:top w:val="none" w:sz="0" w:space="0" w:color="auto"/>
        <w:left w:val="none" w:sz="0" w:space="0" w:color="auto"/>
        <w:bottom w:val="none" w:sz="0" w:space="0" w:color="auto"/>
        <w:right w:val="none" w:sz="0" w:space="0" w:color="auto"/>
      </w:divBdr>
    </w:div>
    <w:div w:id="651643256">
      <w:bodyDiv w:val="1"/>
      <w:marLeft w:val="0"/>
      <w:marRight w:val="0"/>
      <w:marTop w:val="0"/>
      <w:marBottom w:val="0"/>
      <w:divBdr>
        <w:top w:val="none" w:sz="0" w:space="0" w:color="auto"/>
        <w:left w:val="none" w:sz="0" w:space="0" w:color="auto"/>
        <w:bottom w:val="none" w:sz="0" w:space="0" w:color="auto"/>
        <w:right w:val="none" w:sz="0" w:space="0" w:color="auto"/>
      </w:divBdr>
      <w:divsChild>
        <w:div w:id="730425065">
          <w:marLeft w:val="0"/>
          <w:marRight w:val="0"/>
          <w:marTop w:val="0"/>
          <w:marBottom w:val="0"/>
          <w:divBdr>
            <w:top w:val="none" w:sz="0" w:space="0" w:color="auto"/>
            <w:left w:val="none" w:sz="0" w:space="0" w:color="auto"/>
            <w:bottom w:val="none" w:sz="0" w:space="0" w:color="auto"/>
            <w:right w:val="none" w:sz="0" w:space="0" w:color="auto"/>
          </w:divBdr>
          <w:divsChild>
            <w:div w:id="1402410183">
              <w:marLeft w:val="0"/>
              <w:marRight w:val="0"/>
              <w:marTop w:val="0"/>
              <w:marBottom w:val="0"/>
              <w:divBdr>
                <w:top w:val="none" w:sz="0" w:space="0" w:color="auto"/>
                <w:left w:val="none" w:sz="0" w:space="0" w:color="auto"/>
                <w:bottom w:val="none" w:sz="0" w:space="0" w:color="auto"/>
                <w:right w:val="none" w:sz="0" w:space="0" w:color="auto"/>
              </w:divBdr>
              <w:divsChild>
                <w:div w:id="11143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757948">
      <w:bodyDiv w:val="1"/>
      <w:marLeft w:val="0"/>
      <w:marRight w:val="0"/>
      <w:marTop w:val="0"/>
      <w:marBottom w:val="0"/>
      <w:divBdr>
        <w:top w:val="none" w:sz="0" w:space="0" w:color="auto"/>
        <w:left w:val="none" w:sz="0" w:space="0" w:color="auto"/>
        <w:bottom w:val="none" w:sz="0" w:space="0" w:color="auto"/>
        <w:right w:val="none" w:sz="0" w:space="0" w:color="auto"/>
      </w:divBdr>
    </w:div>
    <w:div w:id="653682902">
      <w:bodyDiv w:val="1"/>
      <w:marLeft w:val="0"/>
      <w:marRight w:val="0"/>
      <w:marTop w:val="0"/>
      <w:marBottom w:val="0"/>
      <w:divBdr>
        <w:top w:val="none" w:sz="0" w:space="0" w:color="auto"/>
        <w:left w:val="none" w:sz="0" w:space="0" w:color="auto"/>
        <w:bottom w:val="none" w:sz="0" w:space="0" w:color="auto"/>
        <w:right w:val="none" w:sz="0" w:space="0" w:color="auto"/>
      </w:divBdr>
    </w:div>
    <w:div w:id="657343322">
      <w:bodyDiv w:val="1"/>
      <w:marLeft w:val="0"/>
      <w:marRight w:val="0"/>
      <w:marTop w:val="0"/>
      <w:marBottom w:val="0"/>
      <w:divBdr>
        <w:top w:val="none" w:sz="0" w:space="0" w:color="auto"/>
        <w:left w:val="none" w:sz="0" w:space="0" w:color="auto"/>
        <w:bottom w:val="none" w:sz="0" w:space="0" w:color="auto"/>
        <w:right w:val="none" w:sz="0" w:space="0" w:color="auto"/>
      </w:divBdr>
    </w:div>
    <w:div w:id="660500455">
      <w:bodyDiv w:val="1"/>
      <w:marLeft w:val="0"/>
      <w:marRight w:val="0"/>
      <w:marTop w:val="0"/>
      <w:marBottom w:val="0"/>
      <w:divBdr>
        <w:top w:val="none" w:sz="0" w:space="0" w:color="auto"/>
        <w:left w:val="none" w:sz="0" w:space="0" w:color="auto"/>
        <w:bottom w:val="none" w:sz="0" w:space="0" w:color="auto"/>
        <w:right w:val="none" w:sz="0" w:space="0" w:color="auto"/>
      </w:divBdr>
      <w:divsChild>
        <w:div w:id="989478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1467806">
      <w:bodyDiv w:val="1"/>
      <w:marLeft w:val="0"/>
      <w:marRight w:val="0"/>
      <w:marTop w:val="0"/>
      <w:marBottom w:val="0"/>
      <w:divBdr>
        <w:top w:val="none" w:sz="0" w:space="0" w:color="auto"/>
        <w:left w:val="none" w:sz="0" w:space="0" w:color="auto"/>
        <w:bottom w:val="none" w:sz="0" w:space="0" w:color="auto"/>
        <w:right w:val="none" w:sz="0" w:space="0" w:color="auto"/>
      </w:divBdr>
    </w:div>
    <w:div w:id="662587579">
      <w:bodyDiv w:val="1"/>
      <w:marLeft w:val="0"/>
      <w:marRight w:val="0"/>
      <w:marTop w:val="0"/>
      <w:marBottom w:val="0"/>
      <w:divBdr>
        <w:top w:val="none" w:sz="0" w:space="0" w:color="auto"/>
        <w:left w:val="none" w:sz="0" w:space="0" w:color="auto"/>
        <w:bottom w:val="none" w:sz="0" w:space="0" w:color="auto"/>
        <w:right w:val="none" w:sz="0" w:space="0" w:color="auto"/>
      </w:divBdr>
    </w:div>
    <w:div w:id="667100590">
      <w:bodyDiv w:val="1"/>
      <w:marLeft w:val="0"/>
      <w:marRight w:val="0"/>
      <w:marTop w:val="0"/>
      <w:marBottom w:val="0"/>
      <w:divBdr>
        <w:top w:val="none" w:sz="0" w:space="0" w:color="auto"/>
        <w:left w:val="none" w:sz="0" w:space="0" w:color="auto"/>
        <w:bottom w:val="none" w:sz="0" w:space="0" w:color="auto"/>
        <w:right w:val="none" w:sz="0" w:space="0" w:color="auto"/>
      </w:divBdr>
    </w:div>
    <w:div w:id="668023489">
      <w:bodyDiv w:val="1"/>
      <w:marLeft w:val="0"/>
      <w:marRight w:val="0"/>
      <w:marTop w:val="0"/>
      <w:marBottom w:val="0"/>
      <w:divBdr>
        <w:top w:val="none" w:sz="0" w:space="0" w:color="auto"/>
        <w:left w:val="none" w:sz="0" w:space="0" w:color="auto"/>
        <w:bottom w:val="none" w:sz="0" w:space="0" w:color="auto"/>
        <w:right w:val="none" w:sz="0" w:space="0" w:color="auto"/>
      </w:divBdr>
    </w:div>
    <w:div w:id="671033581">
      <w:bodyDiv w:val="1"/>
      <w:marLeft w:val="0"/>
      <w:marRight w:val="0"/>
      <w:marTop w:val="0"/>
      <w:marBottom w:val="0"/>
      <w:divBdr>
        <w:top w:val="none" w:sz="0" w:space="0" w:color="auto"/>
        <w:left w:val="none" w:sz="0" w:space="0" w:color="auto"/>
        <w:bottom w:val="none" w:sz="0" w:space="0" w:color="auto"/>
        <w:right w:val="none" w:sz="0" w:space="0" w:color="auto"/>
      </w:divBdr>
    </w:div>
    <w:div w:id="672414896">
      <w:bodyDiv w:val="1"/>
      <w:marLeft w:val="0"/>
      <w:marRight w:val="0"/>
      <w:marTop w:val="0"/>
      <w:marBottom w:val="0"/>
      <w:divBdr>
        <w:top w:val="none" w:sz="0" w:space="0" w:color="auto"/>
        <w:left w:val="none" w:sz="0" w:space="0" w:color="auto"/>
        <w:bottom w:val="none" w:sz="0" w:space="0" w:color="auto"/>
        <w:right w:val="none" w:sz="0" w:space="0" w:color="auto"/>
      </w:divBdr>
    </w:div>
    <w:div w:id="674847237">
      <w:bodyDiv w:val="1"/>
      <w:marLeft w:val="0"/>
      <w:marRight w:val="0"/>
      <w:marTop w:val="0"/>
      <w:marBottom w:val="0"/>
      <w:divBdr>
        <w:top w:val="none" w:sz="0" w:space="0" w:color="auto"/>
        <w:left w:val="none" w:sz="0" w:space="0" w:color="auto"/>
        <w:bottom w:val="none" w:sz="0" w:space="0" w:color="auto"/>
        <w:right w:val="none" w:sz="0" w:space="0" w:color="auto"/>
      </w:divBdr>
      <w:divsChild>
        <w:div w:id="5931727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6324609">
      <w:bodyDiv w:val="1"/>
      <w:marLeft w:val="0"/>
      <w:marRight w:val="0"/>
      <w:marTop w:val="0"/>
      <w:marBottom w:val="0"/>
      <w:divBdr>
        <w:top w:val="none" w:sz="0" w:space="0" w:color="auto"/>
        <w:left w:val="none" w:sz="0" w:space="0" w:color="auto"/>
        <w:bottom w:val="none" w:sz="0" w:space="0" w:color="auto"/>
        <w:right w:val="none" w:sz="0" w:space="0" w:color="auto"/>
      </w:divBdr>
    </w:div>
    <w:div w:id="688945775">
      <w:bodyDiv w:val="1"/>
      <w:marLeft w:val="0"/>
      <w:marRight w:val="0"/>
      <w:marTop w:val="0"/>
      <w:marBottom w:val="0"/>
      <w:divBdr>
        <w:top w:val="none" w:sz="0" w:space="0" w:color="auto"/>
        <w:left w:val="none" w:sz="0" w:space="0" w:color="auto"/>
        <w:bottom w:val="none" w:sz="0" w:space="0" w:color="auto"/>
        <w:right w:val="none" w:sz="0" w:space="0" w:color="auto"/>
      </w:divBdr>
    </w:div>
    <w:div w:id="690106361">
      <w:bodyDiv w:val="1"/>
      <w:marLeft w:val="0"/>
      <w:marRight w:val="0"/>
      <w:marTop w:val="0"/>
      <w:marBottom w:val="0"/>
      <w:divBdr>
        <w:top w:val="none" w:sz="0" w:space="0" w:color="auto"/>
        <w:left w:val="none" w:sz="0" w:space="0" w:color="auto"/>
        <w:bottom w:val="none" w:sz="0" w:space="0" w:color="auto"/>
        <w:right w:val="none" w:sz="0" w:space="0" w:color="auto"/>
      </w:divBdr>
      <w:divsChild>
        <w:div w:id="847600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9091212">
      <w:bodyDiv w:val="1"/>
      <w:marLeft w:val="0"/>
      <w:marRight w:val="0"/>
      <w:marTop w:val="0"/>
      <w:marBottom w:val="0"/>
      <w:divBdr>
        <w:top w:val="none" w:sz="0" w:space="0" w:color="auto"/>
        <w:left w:val="none" w:sz="0" w:space="0" w:color="auto"/>
        <w:bottom w:val="none" w:sz="0" w:space="0" w:color="auto"/>
        <w:right w:val="none" w:sz="0" w:space="0" w:color="auto"/>
      </w:divBdr>
    </w:div>
    <w:div w:id="702558907">
      <w:bodyDiv w:val="1"/>
      <w:marLeft w:val="0"/>
      <w:marRight w:val="0"/>
      <w:marTop w:val="0"/>
      <w:marBottom w:val="0"/>
      <w:divBdr>
        <w:top w:val="none" w:sz="0" w:space="0" w:color="auto"/>
        <w:left w:val="none" w:sz="0" w:space="0" w:color="auto"/>
        <w:bottom w:val="none" w:sz="0" w:space="0" w:color="auto"/>
        <w:right w:val="none" w:sz="0" w:space="0" w:color="auto"/>
      </w:divBdr>
    </w:div>
    <w:div w:id="704523342">
      <w:bodyDiv w:val="1"/>
      <w:marLeft w:val="0"/>
      <w:marRight w:val="0"/>
      <w:marTop w:val="0"/>
      <w:marBottom w:val="0"/>
      <w:divBdr>
        <w:top w:val="none" w:sz="0" w:space="0" w:color="auto"/>
        <w:left w:val="none" w:sz="0" w:space="0" w:color="auto"/>
        <w:bottom w:val="none" w:sz="0" w:space="0" w:color="auto"/>
        <w:right w:val="none" w:sz="0" w:space="0" w:color="auto"/>
      </w:divBdr>
    </w:div>
    <w:div w:id="707296466">
      <w:bodyDiv w:val="1"/>
      <w:marLeft w:val="0"/>
      <w:marRight w:val="0"/>
      <w:marTop w:val="0"/>
      <w:marBottom w:val="0"/>
      <w:divBdr>
        <w:top w:val="none" w:sz="0" w:space="0" w:color="auto"/>
        <w:left w:val="none" w:sz="0" w:space="0" w:color="auto"/>
        <w:bottom w:val="none" w:sz="0" w:space="0" w:color="auto"/>
        <w:right w:val="none" w:sz="0" w:space="0" w:color="auto"/>
      </w:divBdr>
    </w:div>
    <w:div w:id="716899200">
      <w:bodyDiv w:val="1"/>
      <w:marLeft w:val="0"/>
      <w:marRight w:val="0"/>
      <w:marTop w:val="0"/>
      <w:marBottom w:val="0"/>
      <w:divBdr>
        <w:top w:val="none" w:sz="0" w:space="0" w:color="auto"/>
        <w:left w:val="none" w:sz="0" w:space="0" w:color="auto"/>
        <w:bottom w:val="none" w:sz="0" w:space="0" w:color="auto"/>
        <w:right w:val="none" w:sz="0" w:space="0" w:color="auto"/>
      </w:divBdr>
    </w:div>
    <w:div w:id="720175750">
      <w:bodyDiv w:val="1"/>
      <w:marLeft w:val="0"/>
      <w:marRight w:val="0"/>
      <w:marTop w:val="0"/>
      <w:marBottom w:val="0"/>
      <w:divBdr>
        <w:top w:val="none" w:sz="0" w:space="0" w:color="auto"/>
        <w:left w:val="none" w:sz="0" w:space="0" w:color="auto"/>
        <w:bottom w:val="none" w:sz="0" w:space="0" w:color="auto"/>
        <w:right w:val="none" w:sz="0" w:space="0" w:color="auto"/>
      </w:divBdr>
    </w:div>
    <w:div w:id="721252981">
      <w:bodyDiv w:val="1"/>
      <w:marLeft w:val="0"/>
      <w:marRight w:val="0"/>
      <w:marTop w:val="0"/>
      <w:marBottom w:val="0"/>
      <w:divBdr>
        <w:top w:val="none" w:sz="0" w:space="0" w:color="auto"/>
        <w:left w:val="none" w:sz="0" w:space="0" w:color="auto"/>
        <w:bottom w:val="none" w:sz="0" w:space="0" w:color="auto"/>
        <w:right w:val="none" w:sz="0" w:space="0" w:color="auto"/>
      </w:divBdr>
    </w:div>
    <w:div w:id="723482208">
      <w:bodyDiv w:val="1"/>
      <w:marLeft w:val="0"/>
      <w:marRight w:val="0"/>
      <w:marTop w:val="0"/>
      <w:marBottom w:val="0"/>
      <w:divBdr>
        <w:top w:val="none" w:sz="0" w:space="0" w:color="auto"/>
        <w:left w:val="none" w:sz="0" w:space="0" w:color="auto"/>
        <w:bottom w:val="none" w:sz="0" w:space="0" w:color="auto"/>
        <w:right w:val="none" w:sz="0" w:space="0" w:color="auto"/>
      </w:divBdr>
      <w:divsChild>
        <w:div w:id="420612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5032164">
      <w:bodyDiv w:val="1"/>
      <w:marLeft w:val="0"/>
      <w:marRight w:val="0"/>
      <w:marTop w:val="0"/>
      <w:marBottom w:val="0"/>
      <w:divBdr>
        <w:top w:val="none" w:sz="0" w:space="0" w:color="auto"/>
        <w:left w:val="none" w:sz="0" w:space="0" w:color="auto"/>
        <w:bottom w:val="none" w:sz="0" w:space="0" w:color="auto"/>
        <w:right w:val="none" w:sz="0" w:space="0" w:color="auto"/>
      </w:divBdr>
    </w:div>
    <w:div w:id="726534416">
      <w:bodyDiv w:val="1"/>
      <w:marLeft w:val="0"/>
      <w:marRight w:val="0"/>
      <w:marTop w:val="0"/>
      <w:marBottom w:val="0"/>
      <w:divBdr>
        <w:top w:val="none" w:sz="0" w:space="0" w:color="auto"/>
        <w:left w:val="none" w:sz="0" w:space="0" w:color="auto"/>
        <w:bottom w:val="none" w:sz="0" w:space="0" w:color="auto"/>
        <w:right w:val="none" w:sz="0" w:space="0" w:color="auto"/>
      </w:divBdr>
    </w:div>
    <w:div w:id="727608249">
      <w:bodyDiv w:val="1"/>
      <w:marLeft w:val="0"/>
      <w:marRight w:val="0"/>
      <w:marTop w:val="0"/>
      <w:marBottom w:val="0"/>
      <w:divBdr>
        <w:top w:val="none" w:sz="0" w:space="0" w:color="auto"/>
        <w:left w:val="none" w:sz="0" w:space="0" w:color="auto"/>
        <w:bottom w:val="none" w:sz="0" w:space="0" w:color="auto"/>
        <w:right w:val="none" w:sz="0" w:space="0" w:color="auto"/>
      </w:divBdr>
    </w:div>
    <w:div w:id="734276606">
      <w:bodyDiv w:val="1"/>
      <w:marLeft w:val="0"/>
      <w:marRight w:val="0"/>
      <w:marTop w:val="0"/>
      <w:marBottom w:val="0"/>
      <w:divBdr>
        <w:top w:val="none" w:sz="0" w:space="0" w:color="auto"/>
        <w:left w:val="none" w:sz="0" w:space="0" w:color="auto"/>
        <w:bottom w:val="none" w:sz="0" w:space="0" w:color="auto"/>
        <w:right w:val="none" w:sz="0" w:space="0" w:color="auto"/>
      </w:divBdr>
    </w:div>
    <w:div w:id="736712385">
      <w:bodyDiv w:val="1"/>
      <w:marLeft w:val="0"/>
      <w:marRight w:val="0"/>
      <w:marTop w:val="0"/>
      <w:marBottom w:val="0"/>
      <w:divBdr>
        <w:top w:val="none" w:sz="0" w:space="0" w:color="auto"/>
        <w:left w:val="none" w:sz="0" w:space="0" w:color="auto"/>
        <w:bottom w:val="none" w:sz="0" w:space="0" w:color="auto"/>
        <w:right w:val="none" w:sz="0" w:space="0" w:color="auto"/>
      </w:divBdr>
      <w:divsChild>
        <w:div w:id="1253275737">
          <w:marLeft w:val="0"/>
          <w:marRight w:val="0"/>
          <w:marTop w:val="0"/>
          <w:marBottom w:val="0"/>
          <w:divBdr>
            <w:top w:val="none" w:sz="0" w:space="0" w:color="auto"/>
            <w:left w:val="none" w:sz="0" w:space="0" w:color="auto"/>
            <w:bottom w:val="none" w:sz="0" w:space="0" w:color="auto"/>
            <w:right w:val="none" w:sz="0" w:space="0" w:color="auto"/>
          </w:divBdr>
          <w:divsChild>
            <w:div w:id="367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753707">
      <w:bodyDiv w:val="1"/>
      <w:marLeft w:val="0"/>
      <w:marRight w:val="0"/>
      <w:marTop w:val="0"/>
      <w:marBottom w:val="0"/>
      <w:divBdr>
        <w:top w:val="none" w:sz="0" w:space="0" w:color="auto"/>
        <w:left w:val="none" w:sz="0" w:space="0" w:color="auto"/>
        <w:bottom w:val="none" w:sz="0" w:space="0" w:color="auto"/>
        <w:right w:val="none" w:sz="0" w:space="0" w:color="auto"/>
      </w:divBdr>
      <w:divsChild>
        <w:div w:id="477191700">
          <w:marLeft w:val="0"/>
          <w:marRight w:val="0"/>
          <w:marTop w:val="0"/>
          <w:marBottom w:val="0"/>
          <w:divBdr>
            <w:top w:val="none" w:sz="0" w:space="0" w:color="auto"/>
            <w:left w:val="none" w:sz="0" w:space="0" w:color="auto"/>
            <w:bottom w:val="none" w:sz="0" w:space="0" w:color="auto"/>
            <w:right w:val="none" w:sz="0" w:space="0" w:color="auto"/>
          </w:divBdr>
          <w:divsChild>
            <w:div w:id="1694649453">
              <w:marLeft w:val="0"/>
              <w:marRight w:val="0"/>
              <w:marTop w:val="0"/>
              <w:marBottom w:val="0"/>
              <w:divBdr>
                <w:top w:val="none" w:sz="0" w:space="0" w:color="auto"/>
                <w:left w:val="none" w:sz="0" w:space="0" w:color="auto"/>
                <w:bottom w:val="none" w:sz="0" w:space="0" w:color="auto"/>
                <w:right w:val="none" w:sz="0" w:space="0" w:color="auto"/>
              </w:divBdr>
            </w:div>
          </w:divsChild>
        </w:div>
        <w:div w:id="1394500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1567628">
      <w:bodyDiv w:val="1"/>
      <w:marLeft w:val="0"/>
      <w:marRight w:val="0"/>
      <w:marTop w:val="0"/>
      <w:marBottom w:val="0"/>
      <w:divBdr>
        <w:top w:val="none" w:sz="0" w:space="0" w:color="auto"/>
        <w:left w:val="none" w:sz="0" w:space="0" w:color="auto"/>
        <w:bottom w:val="none" w:sz="0" w:space="0" w:color="auto"/>
        <w:right w:val="none" w:sz="0" w:space="0" w:color="auto"/>
      </w:divBdr>
    </w:div>
    <w:div w:id="744955884">
      <w:bodyDiv w:val="1"/>
      <w:marLeft w:val="0"/>
      <w:marRight w:val="0"/>
      <w:marTop w:val="0"/>
      <w:marBottom w:val="0"/>
      <w:divBdr>
        <w:top w:val="none" w:sz="0" w:space="0" w:color="auto"/>
        <w:left w:val="none" w:sz="0" w:space="0" w:color="auto"/>
        <w:bottom w:val="none" w:sz="0" w:space="0" w:color="auto"/>
        <w:right w:val="none" w:sz="0" w:space="0" w:color="auto"/>
      </w:divBdr>
      <w:divsChild>
        <w:div w:id="1114441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762302">
      <w:bodyDiv w:val="1"/>
      <w:marLeft w:val="0"/>
      <w:marRight w:val="0"/>
      <w:marTop w:val="0"/>
      <w:marBottom w:val="0"/>
      <w:divBdr>
        <w:top w:val="none" w:sz="0" w:space="0" w:color="auto"/>
        <w:left w:val="none" w:sz="0" w:space="0" w:color="auto"/>
        <w:bottom w:val="none" w:sz="0" w:space="0" w:color="auto"/>
        <w:right w:val="none" w:sz="0" w:space="0" w:color="auto"/>
      </w:divBdr>
    </w:div>
    <w:div w:id="746730710">
      <w:bodyDiv w:val="1"/>
      <w:marLeft w:val="0"/>
      <w:marRight w:val="0"/>
      <w:marTop w:val="0"/>
      <w:marBottom w:val="0"/>
      <w:divBdr>
        <w:top w:val="none" w:sz="0" w:space="0" w:color="auto"/>
        <w:left w:val="none" w:sz="0" w:space="0" w:color="auto"/>
        <w:bottom w:val="none" w:sz="0" w:space="0" w:color="auto"/>
        <w:right w:val="none" w:sz="0" w:space="0" w:color="auto"/>
      </w:divBdr>
      <w:divsChild>
        <w:div w:id="14564850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4592151">
      <w:bodyDiv w:val="1"/>
      <w:marLeft w:val="0"/>
      <w:marRight w:val="0"/>
      <w:marTop w:val="0"/>
      <w:marBottom w:val="0"/>
      <w:divBdr>
        <w:top w:val="none" w:sz="0" w:space="0" w:color="auto"/>
        <w:left w:val="none" w:sz="0" w:space="0" w:color="auto"/>
        <w:bottom w:val="none" w:sz="0" w:space="0" w:color="auto"/>
        <w:right w:val="none" w:sz="0" w:space="0" w:color="auto"/>
      </w:divBdr>
    </w:div>
    <w:div w:id="758720972">
      <w:bodyDiv w:val="1"/>
      <w:marLeft w:val="0"/>
      <w:marRight w:val="0"/>
      <w:marTop w:val="0"/>
      <w:marBottom w:val="0"/>
      <w:divBdr>
        <w:top w:val="none" w:sz="0" w:space="0" w:color="auto"/>
        <w:left w:val="none" w:sz="0" w:space="0" w:color="auto"/>
        <w:bottom w:val="none" w:sz="0" w:space="0" w:color="auto"/>
        <w:right w:val="none" w:sz="0" w:space="0" w:color="auto"/>
      </w:divBdr>
    </w:div>
    <w:div w:id="758864973">
      <w:bodyDiv w:val="1"/>
      <w:marLeft w:val="0"/>
      <w:marRight w:val="0"/>
      <w:marTop w:val="0"/>
      <w:marBottom w:val="0"/>
      <w:divBdr>
        <w:top w:val="none" w:sz="0" w:space="0" w:color="auto"/>
        <w:left w:val="none" w:sz="0" w:space="0" w:color="auto"/>
        <w:bottom w:val="none" w:sz="0" w:space="0" w:color="auto"/>
        <w:right w:val="none" w:sz="0" w:space="0" w:color="auto"/>
      </w:divBdr>
    </w:div>
    <w:div w:id="760294236">
      <w:bodyDiv w:val="1"/>
      <w:marLeft w:val="0"/>
      <w:marRight w:val="0"/>
      <w:marTop w:val="0"/>
      <w:marBottom w:val="0"/>
      <w:divBdr>
        <w:top w:val="none" w:sz="0" w:space="0" w:color="auto"/>
        <w:left w:val="none" w:sz="0" w:space="0" w:color="auto"/>
        <w:bottom w:val="none" w:sz="0" w:space="0" w:color="auto"/>
        <w:right w:val="none" w:sz="0" w:space="0" w:color="auto"/>
      </w:divBdr>
    </w:div>
    <w:div w:id="762264016">
      <w:bodyDiv w:val="1"/>
      <w:marLeft w:val="0"/>
      <w:marRight w:val="0"/>
      <w:marTop w:val="0"/>
      <w:marBottom w:val="0"/>
      <w:divBdr>
        <w:top w:val="none" w:sz="0" w:space="0" w:color="auto"/>
        <w:left w:val="none" w:sz="0" w:space="0" w:color="auto"/>
        <w:bottom w:val="none" w:sz="0" w:space="0" w:color="auto"/>
        <w:right w:val="none" w:sz="0" w:space="0" w:color="auto"/>
      </w:divBdr>
    </w:div>
    <w:div w:id="762922184">
      <w:bodyDiv w:val="1"/>
      <w:marLeft w:val="0"/>
      <w:marRight w:val="0"/>
      <w:marTop w:val="0"/>
      <w:marBottom w:val="0"/>
      <w:divBdr>
        <w:top w:val="none" w:sz="0" w:space="0" w:color="auto"/>
        <w:left w:val="none" w:sz="0" w:space="0" w:color="auto"/>
        <w:bottom w:val="none" w:sz="0" w:space="0" w:color="auto"/>
        <w:right w:val="none" w:sz="0" w:space="0" w:color="auto"/>
      </w:divBdr>
      <w:divsChild>
        <w:div w:id="1826703666">
          <w:marLeft w:val="0"/>
          <w:marRight w:val="0"/>
          <w:marTop w:val="0"/>
          <w:marBottom w:val="0"/>
          <w:divBdr>
            <w:top w:val="none" w:sz="0" w:space="0" w:color="auto"/>
            <w:left w:val="none" w:sz="0" w:space="0" w:color="auto"/>
            <w:bottom w:val="none" w:sz="0" w:space="0" w:color="auto"/>
            <w:right w:val="none" w:sz="0" w:space="0" w:color="auto"/>
          </w:divBdr>
          <w:divsChild>
            <w:div w:id="17873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78211">
      <w:bodyDiv w:val="1"/>
      <w:marLeft w:val="0"/>
      <w:marRight w:val="0"/>
      <w:marTop w:val="0"/>
      <w:marBottom w:val="0"/>
      <w:divBdr>
        <w:top w:val="none" w:sz="0" w:space="0" w:color="auto"/>
        <w:left w:val="none" w:sz="0" w:space="0" w:color="auto"/>
        <w:bottom w:val="none" w:sz="0" w:space="0" w:color="auto"/>
        <w:right w:val="none" w:sz="0" w:space="0" w:color="auto"/>
      </w:divBdr>
      <w:divsChild>
        <w:div w:id="99380329">
          <w:marLeft w:val="0"/>
          <w:marRight w:val="0"/>
          <w:marTop w:val="0"/>
          <w:marBottom w:val="0"/>
          <w:divBdr>
            <w:top w:val="none" w:sz="0" w:space="0" w:color="auto"/>
            <w:left w:val="none" w:sz="0" w:space="0" w:color="auto"/>
            <w:bottom w:val="none" w:sz="0" w:space="0" w:color="auto"/>
            <w:right w:val="none" w:sz="0" w:space="0" w:color="auto"/>
          </w:divBdr>
          <w:divsChild>
            <w:div w:id="61521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121759">
      <w:bodyDiv w:val="1"/>
      <w:marLeft w:val="0"/>
      <w:marRight w:val="0"/>
      <w:marTop w:val="0"/>
      <w:marBottom w:val="0"/>
      <w:divBdr>
        <w:top w:val="none" w:sz="0" w:space="0" w:color="auto"/>
        <w:left w:val="none" w:sz="0" w:space="0" w:color="auto"/>
        <w:bottom w:val="none" w:sz="0" w:space="0" w:color="auto"/>
        <w:right w:val="none" w:sz="0" w:space="0" w:color="auto"/>
      </w:divBdr>
      <w:divsChild>
        <w:div w:id="1352490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3594070">
      <w:bodyDiv w:val="1"/>
      <w:marLeft w:val="0"/>
      <w:marRight w:val="0"/>
      <w:marTop w:val="0"/>
      <w:marBottom w:val="0"/>
      <w:divBdr>
        <w:top w:val="none" w:sz="0" w:space="0" w:color="auto"/>
        <w:left w:val="none" w:sz="0" w:space="0" w:color="auto"/>
        <w:bottom w:val="none" w:sz="0" w:space="0" w:color="auto"/>
        <w:right w:val="none" w:sz="0" w:space="0" w:color="auto"/>
      </w:divBdr>
    </w:div>
    <w:div w:id="773985463">
      <w:bodyDiv w:val="1"/>
      <w:marLeft w:val="0"/>
      <w:marRight w:val="0"/>
      <w:marTop w:val="0"/>
      <w:marBottom w:val="0"/>
      <w:divBdr>
        <w:top w:val="none" w:sz="0" w:space="0" w:color="auto"/>
        <w:left w:val="none" w:sz="0" w:space="0" w:color="auto"/>
        <w:bottom w:val="none" w:sz="0" w:space="0" w:color="auto"/>
        <w:right w:val="none" w:sz="0" w:space="0" w:color="auto"/>
      </w:divBdr>
    </w:div>
    <w:div w:id="775904204">
      <w:bodyDiv w:val="1"/>
      <w:marLeft w:val="0"/>
      <w:marRight w:val="0"/>
      <w:marTop w:val="0"/>
      <w:marBottom w:val="0"/>
      <w:divBdr>
        <w:top w:val="none" w:sz="0" w:space="0" w:color="auto"/>
        <w:left w:val="none" w:sz="0" w:space="0" w:color="auto"/>
        <w:bottom w:val="none" w:sz="0" w:space="0" w:color="auto"/>
        <w:right w:val="none" w:sz="0" w:space="0" w:color="auto"/>
      </w:divBdr>
    </w:div>
    <w:div w:id="776021609">
      <w:bodyDiv w:val="1"/>
      <w:marLeft w:val="0"/>
      <w:marRight w:val="0"/>
      <w:marTop w:val="0"/>
      <w:marBottom w:val="0"/>
      <w:divBdr>
        <w:top w:val="none" w:sz="0" w:space="0" w:color="auto"/>
        <w:left w:val="none" w:sz="0" w:space="0" w:color="auto"/>
        <w:bottom w:val="none" w:sz="0" w:space="0" w:color="auto"/>
        <w:right w:val="none" w:sz="0" w:space="0" w:color="auto"/>
      </w:divBdr>
    </w:div>
    <w:div w:id="777023935">
      <w:bodyDiv w:val="1"/>
      <w:marLeft w:val="0"/>
      <w:marRight w:val="0"/>
      <w:marTop w:val="0"/>
      <w:marBottom w:val="0"/>
      <w:divBdr>
        <w:top w:val="none" w:sz="0" w:space="0" w:color="auto"/>
        <w:left w:val="none" w:sz="0" w:space="0" w:color="auto"/>
        <w:bottom w:val="none" w:sz="0" w:space="0" w:color="auto"/>
        <w:right w:val="none" w:sz="0" w:space="0" w:color="auto"/>
      </w:divBdr>
    </w:div>
    <w:div w:id="779299402">
      <w:bodyDiv w:val="1"/>
      <w:marLeft w:val="0"/>
      <w:marRight w:val="0"/>
      <w:marTop w:val="0"/>
      <w:marBottom w:val="0"/>
      <w:divBdr>
        <w:top w:val="none" w:sz="0" w:space="0" w:color="auto"/>
        <w:left w:val="none" w:sz="0" w:space="0" w:color="auto"/>
        <w:bottom w:val="none" w:sz="0" w:space="0" w:color="auto"/>
        <w:right w:val="none" w:sz="0" w:space="0" w:color="auto"/>
      </w:divBdr>
      <w:divsChild>
        <w:div w:id="614681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5733118">
      <w:bodyDiv w:val="1"/>
      <w:marLeft w:val="0"/>
      <w:marRight w:val="0"/>
      <w:marTop w:val="0"/>
      <w:marBottom w:val="0"/>
      <w:divBdr>
        <w:top w:val="none" w:sz="0" w:space="0" w:color="auto"/>
        <w:left w:val="none" w:sz="0" w:space="0" w:color="auto"/>
        <w:bottom w:val="none" w:sz="0" w:space="0" w:color="auto"/>
        <w:right w:val="none" w:sz="0" w:space="0" w:color="auto"/>
      </w:divBdr>
    </w:div>
    <w:div w:id="787629317">
      <w:bodyDiv w:val="1"/>
      <w:marLeft w:val="0"/>
      <w:marRight w:val="0"/>
      <w:marTop w:val="0"/>
      <w:marBottom w:val="0"/>
      <w:divBdr>
        <w:top w:val="none" w:sz="0" w:space="0" w:color="auto"/>
        <w:left w:val="none" w:sz="0" w:space="0" w:color="auto"/>
        <w:bottom w:val="none" w:sz="0" w:space="0" w:color="auto"/>
        <w:right w:val="none" w:sz="0" w:space="0" w:color="auto"/>
      </w:divBdr>
      <w:divsChild>
        <w:div w:id="59252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6795987">
      <w:bodyDiv w:val="1"/>
      <w:marLeft w:val="0"/>
      <w:marRight w:val="0"/>
      <w:marTop w:val="0"/>
      <w:marBottom w:val="0"/>
      <w:divBdr>
        <w:top w:val="none" w:sz="0" w:space="0" w:color="auto"/>
        <w:left w:val="none" w:sz="0" w:space="0" w:color="auto"/>
        <w:bottom w:val="none" w:sz="0" w:space="0" w:color="auto"/>
        <w:right w:val="none" w:sz="0" w:space="0" w:color="auto"/>
      </w:divBdr>
    </w:div>
    <w:div w:id="797450850">
      <w:bodyDiv w:val="1"/>
      <w:marLeft w:val="0"/>
      <w:marRight w:val="0"/>
      <w:marTop w:val="0"/>
      <w:marBottom w:val="0"/>
      <w:divBdr>
        <w:top w:val="none" w:sz="0" w:space="0" w:color="auto"/>
        <w:left w:val="none" w:sz="0" w:space="0" w:color="auto"/>
        <w:bottom w:val="none" w:sz="0" w:space="0" w:color="auto"/>
        <w:right w:val="none" w:sz="0" w:space="0" w:color="auto"/>
      </w:divBdr>
    </w:div>
    <w:div w:id="800195126">
      <w:bodyDiv w:val="1"/>
      <w:marLeft w:val="0"/>
      <w:marRight w:val="0"/>
      <w:marTop w:val="0"/>
      <w:marBottom w:val="0"/>
      <w:divBdr>
        <w:top w:val="none" w:sz="0" w:space="0" w:color="auto"/>
        <w:left w:val="none" w:sz="0" w:space="0" w:color="auto"/>
        <w:bottom w:val="none" w:sz="0" w:space="0" w:color="auto"/>
        <w:right w:val="none" w:sz="0" w:space="0" w:color="auto"/>
      </w:divBdr>
    </w:div>
    <w:div w:id="809328402">
      <w:bodyDiv w:val="1"/>
      <w:marLeft w:val="0"/>
      <w:marRight w:val="0"/>
      <w:marTop w:val="0"/>
      <w:marBottom w:val="0"/>
      <w:divBdr>
        <w:top w:val="none" w:sz="0" w:space="0" w:color="auto"/>
        <w:left w:val="none" w:sz="0" w:space="0" w:color="auto"/>
        <w:bottom w:val="none" w:sz="0" w:space="0" w:color="auto"/>
        <w:right w:val="none" w:sz="0" w:space="0" w:color="auto"/>
      </w:divBdr>
      <w:divsChild>
        <w:div w:id="2099792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3569657">
      <w:bodyDiv w:val="1"/>
      <w:marLeft w:val="0"/>
      <w:marRight w:val="0"/>
      <w:marTop w:val="0"/>
      <w:marBottom w:val="0"/>
      <w:divBdr>
        <w:top w:val="none" w:sz="0" w:space="0" w:color="auto"/>
        <w:left w:val="none" w:sz="0" w:space="0" w:color="auto"/>
        <w:bottom w:val="none" w:sz="0" w:space="0" w:color="auto"/>
        <w:right w:val="none" w:sz="0" w:space="0" w:color="auto"/>
      </w:divBdr>
    </w:div>
    <w:div w:id="814836484">
      <w:bodyDiv w:val="1"/>
      <w:marLeft w:val="0"/>
      <w:marRight w:val="0"/>
      <w:marTop w:val="0"/>
      <w:marBottom w:val="0"/>
      <w:divBdr>
        <w:top w:val="none" w:sz="0" w:space="0" w:color="auto"/>
        <w:left w:val="none" w:sz="0" w:space="0" w:color="auto"/>
        <w:bottom w:val="none" w:sz="0" w:space="0" w:color="auto"/>
        <w:right w:val="none" w:sz="0" w:space="0" w:color="auto"/>
      </w:divBdr>
    </w:div>
    <w:div w:id="815688130">
      <w:bodyDiv w:val="1"/>
      <w:marLeft w:val="0"/>
      <w:marRight w:val="0"/>
      <w:marTop w:val="0"/>
      <w:marBottom w:val="0"/>
      <w:divBdr>
        <w:top w:val="none" w:sz="0" w:space="0" w:color="auto"/>
        <w:left w:val="none" w:sz="0" w:space="0" w:color="auto"/>
        <w:bottom w:val="none" w:sz="0" w:space="0" w:color="auto"/>
        <w:right w:val="none" w:sz="0" w:space="0" w:color="auto"/>
      </w:divBdr>
    </w:div>
    <w:div w:id="818232897">
      <w:bodyDiv w:val="1"/>
      <w:marLeft w:val="0"/>
      <w:marRight w:val="0"/>
      <w:marTop w:val="0"/>
      <w:marBottom w:val="0"/>
      <w:divBdr>
        <w:top w:val="none" w:sz="0" w:space="0" w:color="auto"/>
        <w:left w:val="none" w:sz="0" w:space="0" w:color="auto"/>
        <w:bottom w:val="none" w:sz="0" w:space="0" w:color="auto"/>
        <w:right w:val="none" w:sz="0" w:space="0" w:color="auto"/>
      </w:divBdr>
      <w:divsChild>
        <w:div w:id="2074308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6479839">
      <w:bodyDiv w:val="1"/>
      <w:marLeft w:val="0"/>
      <w:marRight w:val="0"/>
      <w:marTop w:val="0"/>
      <w:marBottom w:val="0"/>
      <w:divBdr>
        <w:top w:val="none" w:sz="0" w:space="0" w:color="auto"/>
        <w:left w:val="none" w:sz="0" w:space="0" w:color="auto"/>
        <w:bottom w:val="none" w:sz="0" w:space="0" w:color="auto"/>
        <w:right w:val="none" w:sz="0" w:space="0" w:color="auto"/>
      </w:divBdr>
    </w:div>
    <w:div w:id="829293988">
      <w:bodyDiv w:val="1"/>
      <w:marLeft w:val="0"/>
      <w:marRight w:val="0"/>
      <w:marTop w:val="0"/>
      <w:marBottom w:val="0"/>
      <w:divBdr>
        <w:top w:val="none" w:sz="0" w:space="0" w:color="auto"/>
        <w:left w:val="none" w:sz="0" w:space="0" w:color="auto"/>
        <w:bottom w:val="none" w:sz="0" w:space="0" w:color="auto"/>
        <w:right w:val="none" w:sz="0" w:space="0" w:color="auto"/>
      </w:divBdr>
    </w:div>
    <w:div w:id="847870727">
      <w:bodyDiv w:val="1"/>
      <w:marLeft w:val="0"/>
      <w:marRight w:val="0"/>
      <w:marTop w:val="0"/>
      <w:marBottom w:val="0"/>
      <w:divBdr>
        <w:top w:val="none" w:sz="0" w:space="0" w:color="auto"/>
        <w:left w:val="none" w:sz="0" w:space="0" w:color="auto"/>
        <w:bottom w:val="none" w:sz="0" w:space="0" w:color="auto"/>
        <w:right w:val="none" w:sz="0" w:space="0" w:color="auto"/>
      </w:divBdr>
    </w:div>
    <w:div w:id="848910844">
      <w:bodyDiv w:val="1"/>
      <w:marLeft w:val="0"/>
      <w:marRight w:val="0"/>
      <w:marTop w:val="0"/>
      <w:marBottom w:val="0"/>
      <w:divBdr>
        <w:top w:val="none" w:sz="0" w:space="0" w:color="auto"/>
        <w:left w:val="none" w:sz="0" w:space="0" w:color="auto"/>
        <w:bottom w:val="none" w:sz="0" w:space="0" w:color="auto"/>
        <w:right w:val="none" w:sz="0" w:space="0" w:color="auto"/>
      </w:divBdr>
    </w:div>
    <w:div w:id="850265889">
      <w:bodyDiv w:val="1"/>
      <w:marLeft w:val="0"/>
      <w:marRight w:val="0"/>
      <w:marTop w:val="0"/>
      <w:marBottom w:val="0"/>
      <w:divBdr>
        <w:top w:val="none" w:sz="0" w:space="0" w:color="auto"/>
        <w:left w:val="none" w:sz="0" w:space="0" w:color="auto"/>
        <w:bottom w:val="none" w:sz="0" w:space="0" w:color="auto"/>
        <w:right w:val="none" w:sz="0" w:space="0" w:color="auto"/>
      </w:divBdr>
    </w:div>
    <w:div w:id="854533533">
      <w:bodyDiv w:val="1"/>
      <w:marLeft w:val="0"/>
      <w:marRight w:val="0"/>
      <w:marTop w:val="0"/>
      <w:marBottom w:val="0"/>
      <w:divBdr>
        <w:top w:val="none" w:sz="0" w:space="0" w:color="auto"/>
        <w:left w:val="none" w:sz="0" w:space="0" w:color="auto"/>
        <w:bottom w:val="none" w:sz="0" w:space="0" w:color="auto"/>
        <w:right w:val="none" w:sz="0" w:space="0" w:color="auto"/>
      </w:divBdr>
    </w:div>
    <w:div w:id="860439927">
      <w:bodyDiv w:val="1"/>
      <w:marLeft w:val="0"/>
      <w:marRight w:val="0"/>
      <w:marTop w:val="0"/>
      <w:marBottom w:val="0"/>
      <w:divBdr>
        <w:top w:val="none" w:sz="0" w:space="0" w:color="auto"/>
        <w:left w:val="none" w:sz="0" w:space="0" w:color="auto"/>
        <w:bottom w:val="none" w:sz="0" w:space="0" w:color="auto"/>
        <w:right w:val="none" w:sz="0" w:space="0" w:color="auto"/>
      </w:divBdr>
    </w:div>
    <w:div w:id="863009398">
      <w:bodyDiv w:val="1"/>
      <w:marLeft w:val="0"/>
      <w:marRight w:val="0"/>
      <w:marTop w:val="0"/>
      <w:marBottom w:val="0"/>
      <w:divBdr>
        <w:top w:val="none" w:sz="0" w:space="0" w:color="auto"/>
        <w:left w:val="none" w:sz="0" w:space="0" w:color="auto"/>
        <w:bottom w:val="none" w:sz="0" w:space="0" w:color="auto"/>
        <w:right w:val="none" w:sz="0" w:space="0" w:color="auto"/>
      </w:divBdr>
    </w:div>
    <w:div w:id="864756266">
      <w:bodyDiv w:val="1"/>
      <w:marLeft w:val="0"/>
      <w:marRight w:val="0"/>
      <w:marTop w:val="0"/>
      <w:marBottom w:val="0"/>
      <w:divBdr>
        <w:top w:val="none" w:sz="0" w:space="0" w:color="auto"/>
        <w:left w:val="none" w:sz="0" w:space="0" w:color="auto"/>
        <w:bottom w:val="none" w:sz="0" w:space="0" w:color="auto"/>
        <w:right w:val="none" w:sz="0" w:space="0" w:color="auto"/>
      </w:divBdr>
    </w:div>
    <w:div w:id="866874597">
      <w:bodyDiv w:val="1"/>
      <w:marLeft w:val="0"/>
      <w:marRight w:val="0"/>
      <w:marTop w:val="0"/>
      <w:marBottom w:val="0"/>
      <w:divBdr>
        <w:top w:val="none" w:sz="0" w:space="0" w:color="auto"/>
        <w:left w:val="none" w:sz="0" w:space="0" w:color="auto"/>
        <w:bottom w:val="none" w:sz="0" w:space="0" w:color="auto"/>
        <w:right w:val="none" w:sz="0" w:space="0" w:color="auto"/>
      </w:divBdr>
    </w:div>
    <w:div w:id="872425773">
      <w:bodyDiv w:val="1"/>
      <w:marLeft w:val="0"/>
      <w:marRight w:val="0"/>
      <w:marTop w:val="0"/>
      <w:marBottom w:val="0"/>
      <w:divBdr>
        <w:top w:val="none" w:sz="0" w:space="0" w:color="auto"/>
        <w:left w:val="none" w:sz="0" w:space="0" w:color="auto"/>
        <w:bottom w:val="none" w:sz="0" w:space="0" w:color="auto"/>
        <w:right w:val="none" w:sz="0" w:space="0" w:color="auto"/>
      </w:divBdr>
    </w:div>
    <w:div w:id="873273212">
      <w:bodyDiv w:val="1"/>
      <w:marLeft w:val="0"/>
      <w:marRight w:val="0"/>
      <w:marTop w:val="0"/>
      <w:marBottom w:val="0"/>
      <w:divBdr>
        <w:top w:val="none" w:sz="0" w:space="0" w:color="auto"/>
        <w:left w:val="none" w:sz="0" w:space="0" w:color="auto"/>
        <w:bottom w:val="none" w:sz="0" w:space="0" w:color="auto"/>
        <w:right w:val="none" w:sz="0" w:space="0" w:color="auto"/>
      </w:divBdr>
    </w:div>
    <w:div w:id="874733621">
      <w:bodyDiv w:val="1"/>
      <w:marLeft w:val="0"/>
      <w:marRight w:val="0"/>
      <w:marTop w:val="0"/>
      <w:marBottom w:val="0"/>
      <w:divBdr>
        <w:top w:val="none" w:sz="0" w:space="0" w:color="auto"/>
        <w:left w:val="none" w:sz="0" w:space="0" w:color="auto"/>
        <w:bottom w:val="none" w:sz="0" w:space="0" w:color="auto"/>
        <w:right w:val="none" w:sz="0" w:space="0" w:color="auto"/>
      </w:divBdr>
    </w:div>
    <w:div w:id="875890251">
      <w:bodyDiv w:val="1"/>
      <w:marLeft w:val="0"/>
      <w:marRight w:val="0"/>
      <w:marTop w:val="0"/>
      <w:marBottom w:val="0"/>
      <w:divBdr>
        <w:top w:val="none" w:sz="0" w:space="0" w:color="auto"/>
        <w:left w:val="none" w:sz="0" w:space="0" w:color="auto"/>
        <w:bottom w:val="none" w:sz="0" w:space="0" w:color="auto"/>
        <w:right w:val="none" w:sz="0" w:space="0" w:color="auto"/>
      </w:divBdr>
      <w:divsChild>
        <w:div w:id="645084014">
          <w:blockQuote w:val="1"/>
          <w:marLeft w:val="720"/>
          <w:marRight w:val="720"/>
          <w:marTop w:val="100"/>
          <w:marBottom w:val="100"/>
          <w:divBdr>
            <w:top w:val="none" w:sz="0" w:space="0" w:color="auto"/>
            <w:left w:val="none" w:sz="0" w:space="0" w:color="auto"/>
            <w:bottom w:val="none" w:sz="0" w:space="0" w:color="auto"/>
            <w:right w:val="none" w:sz="0" w:space="0" w:color="auto"/>
          </w:divBdr>
        </w:div>
        <w:div w:id="304312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7623215">
      <w:bodyDiv w:val="1"/>
      <w:marLeft w:val="0"/>
      <w:marRight w:val="0"/>
      <w:marTop w:val="0"/>
      <w:marBottom w:val="0"/>
      <w:divBdr>
        <w:top w:val="none" w:sz="0" w:space="0" w:color="auto"/>
        <w:left w:val="none" w:sz="0" w:space="0" w:color="auto"/>
        <w:bottom w:val="none" w:sz="0" w:space="0" w:color="auto"/>
        <w:right w:val="none" w:sz="0" w:space="0" w:color="auto"/>
      </w:divBdr>
    </w:div>
    <w:div w:id="877816631">
      <w:bodyDiv w:val="1"/>
      <w:marLeft w:val="0"/>
      <w:marRight w:val="0"/>
      <w:marTop w:val="0"/>
      <w:marBottom w:val="0"/>
      <w:divBdr>
        <w:top w:val="none" w:sz="0" w:space="0" w:color="auto"/>
        <w:left w:val="none" w:sz="0" w:space="0" w:color="auto"/>
        <w:bottom w:val="none" w:sz="0" w:space="0" w:color="auto"/>
        <w:right w:val="none" w:sz="0" w:space="0" w:color="auto"/>
      </w:divBdr>
      <w:divsChild>
        <w:div w:id="1010371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5529442">
      <w:bodyDiv w:val="1"/>
      <w:marLeft w:val="0"/>
      <w:marRight w:val="0"/>
      <w:marTop w:val="0"/>
      <w:marBottom w:val="0"/>
      <w:divBdr>
        <w:top w:val="none" w:sz="0" w:space="0" w:color="auto"/>
        <w:left w:val="none" w:sz="0" w:space="0" w:color="auto"/>
        <w:bottom w:val="none" w:sz="0" w:space="0" w:color="auto"/>
        <w:right w:val="none" w:sz="0" w:space="0" w:color="auto"/>
      </w:divBdr>
    </w:div>
    <w:div w:id="894462906">
      <w:bodyDiv w:val="1"/>
      <w:marLeft w:val="0"/>
      <w:marRight w:val="0"/>
      <w:marTop w:val="0"/>
      <w:marBottom w:val="0"/>
      <w:divBdr>
        <w:top w:val="none" w:sz="0" w:space="0" w:color="auto"/>
        <w:left w:val="none" w:sz="0" w:space="0" w:color="auto"/>
        <w:bottom w:val="none" w:sz="0" w:space="0" w:color="auto"/>
        <w:right w:val="none" w:sz="0" w:space="0" w:color="auto"/>
      </w:divBdr>
    </w:div>
    <w:div w:id="914626322">
      <w:bodyDiv w:val="1"/>
      <w:marLeft w:val="0"/>
      <w:marRight w:val="0"/>
      <w:marTop w:val="0"/>
      <w:marBottom w:val="0"/>
      <w:divBdr>
        <w:top w:val="none" w:sz="0" w:space="0" w:color="auto"/>
        <w:left w:val="none" w:sz="0" w:space="0" w:color="auto"/>
        <w:bottom w:val="none" w:sz="0" w:space="0" w:color="auto"/>
        <w:right w:val="none" w:sz="0" w:space="0" w:color="auto"/>
      </w:divBdr>
    </w:div>
    <w:div w:id="918833479">
      <w:bodyDiv w:val="1"/>
      <w:marLeft w:val="0"/>
      <w:marRight w:val="0"/>
      <w:marTop w:val="0"/>
      <w:marBottom w:val="0"/>
      <w:divBdr>
        <w:top w:val="none" w:sz="0" w:space="0" w:color="auto"/>
        <w:left w:val="none" w:sz="0" w:space="0" w:color="auto"/>
        <w:bottom w:val="none" w:sz="0" w:space="0" w:color="auto"/>
        <w:right w:val="none" w:sz="0" w:space="0" w:color="auto"/>
      </w:divBdr>
    </w:div>
    <w:div w:id="920988598">
      <w:bodyDiv w:val="1"/>
      <w:marLeft w:val="0"/>
      <w:marRight w:val="0"/>
      <w:marTop w:val="0"/>
      <w:marBottom w:val="0"/>
      <w:divBdr>
        <w:top w:val="none" w:sz="0" w:space="0" w:color="auto"/>
        <w:left w:val="none" w:sz="0" w:space="0" w:color="auto"/>
        <w:bottom w:val="none" w:sz="0" w:space="0" w:color="auto"/>
        <w:right w:val="none" w:sz="0" w:space="0" w:color="auto"/>
      </w:divBdr>
    </w:div>
    <w:div w:id="923148558">
      <w:bodyDiv w:val="1"/>
      <w:marLeft w:val="0"/>
      <w:marRight w:val="0"/>
      <w:marTop w:val="0"/>
      <w:marBottom w:val="0"/>
      <w:divBdr>
        <w:top w:val="none" w:sz="0" w:space="0" w:color="auto"/>
        <w:left w:val="none" w:sz="0" w:space="0" w:color="auto"/>
        <w:bottom w:val="none" w:sz="0" w:space="0" w:color="auto"/>
        <w:right w:val="none" w:sz="0" w:space="0" w:color="auto"/>
      </w:divBdr>
      <w:divsChild>
        <w:div w:id="1382290874">
          <w:marLeft w:val="0"/>
          <w:marRight w:val="0"/>
          <w:marTop w:val="0"/>
          <w:marBottom w:val="0"/>
          <w:divBdr>
            <w:top w:val="none" w:sz="0" w:space="0" w:color="auto"/>
            <w:left w:val="none" w:sz="0" w:space="0" w:color="auto"/>
            <w:bottom w:val="none" w:sz="0" w:space="0" w:color="auto"/>
            <w:right w:val="none" w:sz="0" w:space="0" w:color="auto"/>
          </w:divBdr>
          <w:divsChild>
            <w:div w:id="1674990409">
              <w:marLeft w:val="0"/>
              <w:marRight w:val="0"/>
              <w:marTop w:val="0"/>
              <w:marBottom w:val="0"/>
              <w:divBdr>
                <w:top w:val="none" w:sz="0" w:space="0" w:color="auto"/>
                <w:left w:val="none" w:sz="0" w:space="0" w:color="auto"/>
                <w:bottom w:val="none" w:sz="0" w:space="0" w:color="auto"/>
                <w:right w:val="none" w:sz="0" w:space="0" w:color="auto"/>
              </w:divBdr>
            </w:div>
            <w:div w:id="1778477806">
              <w:marLeft w:val="0"/>
              <w:marRight w:val="0"/>
              <w:marTop w:val="0"/>
              <w:marBottom w:val="0"/>
              <w:divBdr>
                <w:top w:val="none" w:sz="0" w:space="0" w:color="auto"/>
                <w:left w:val="none" w:sz="0" w:space="0" w:color="auto"/>
                <w:bottom w:val="none" w:sz="0" w:space="0" w:color="auto"/>
                <w:right w:val="none" w:sz="0" w:space="0" w:color="auto"/>
              </w:divBdr>
            </w:div>
          </w:divsChild>
        </w:div>
        <w:div w:id="1744372090">
          <w:marLeft w:val="0"/>
          <w:marRight w:val="0"/>
          <w:marTop w:val="0"/>
          <w:marBottom w:val="0"/>
          <w:divBdr>
            <w:top w:val="none" w:sz="0" w:space="0" w:color="auto"/>
            <w:left w:val="none" w:sz="0" w:space="0" w:color="auto"/>
            <w:bottom w:val="none" w:sz="0" w:space="0" w:color="auto"/>
            <w:right w:val="none" w:sz="0" w:space="0" w:color="auto"/>
          </w:divBdr>
          <w:divsChild>
            <w:div w:id="595212515">
              <w:marLeft w:val="0"/>
              <w:marRight w:val="0"/>
              <w:marTop w:val="0"/>
              <w:marBottom w:val="0"/>
              <w:divBdr>
                <w:top w:val="none" w:sz="0" w:space="0" w:color="auto"/>
                <w:left w:val="none" w:sz="0" w:space="0" w:color="auto"/>
                <w:bottom w:val="none" w:sz="0" w:space="0" w:color="auto"/>
                <w:right w:val="none" w:sz="0" w:space="0" w:color="auto"/>
              </w:divBdr>
            </w:div>
            <w:div w:id="156383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992992">
      <w:bodyDiv w:val="1"/>
      <w:marLeft w:val="0"/>
      <w:marRight w:val="0"/>
      <w:marTop w:val="0"/>
      <w:marBottom w:val="0"/>
      <w:divBdr>
        <w:top w:val="none" w:sz="0" w:space="0" w:color="auto"/>
        <w:left w:val="none" w:sz="0" w:space="0" w:color="auto"/>
        <w:bottom w:val="none" w:sz="0" w:space="0" w:color="auto"/>
        <w:right w:val="none" w:sz="0" w:space="0" w:color="auto"/>
      </w:divBdr>
    </w:div>
    <w:div w:id="928319756">
      <w:bodyDiv w:val="1"/>
      <w:marLeft w:val="0"/>
      <w:marRight w:val="0"/>
      <w:marTop w:val="0"/>
      <w:marBottom w:val="0"/>
      <w:divBdr>
        <w:top w:val="none" w:sz="0" w:space="0" w:color="auto"/>
        <w:left w:val="none" w:sz="0" w:space="0" w:color="auto"/>
        <w:bottom w:val="none" w:sz="0" w:space="0" w:color="auto"/>
        <w:right w:val="none" w:sz="0" w:space="0" w:color="auto"/>
      </w:divBdr>
    </w:div>
    <w:div w:id="930046419">
      <w:bodyDiv w:val="1"/>
      <w:marLeft w:val="0"/>
      <w:marRight w:val="0"/>
      <w:marTop w:val="0"/>
      <w:marBottom w:val="0"/>
      <w:divBdr>
        <w:top w:val="none" w:sz="0" w:space="0" w:color="auto"/>
        <w:left w:val="none" w:sz="0" w:space="0" w:color="auto"/>
        <w:bottom w:val="none" w:sz="0" w:space="0" w:color="auto"/>
        <w:right w:val="none" w:sz="0" w:space="0" w:color="auto"/>
      </w:divBdr>
    </w:div>
    <w:div w:id="930625082">
      <w:bodyDiv w:val="1"/>
      <w:marLeft w:val="0"/>
      <w:marRight w:val="0"/>
      <w:marTop w:val="0"/>
      <w:marBottom w:val="0"/>
      <w:divBdr>
        <w:top w:val="none" w:sz="0" w:space="0" w:color="auto"/>
        <w:left w:val="none" w:sz="0" w:space="0" w:color="auto"/>
        <w:bottom w:val="none" w:sz="0" w:space="0" w:color="auto"/>
        <w:right w:val="none" w:sz="0" w:space="0" w:color="auto"/>
      </w:divBdr>
    </w:div>
    <w:div w:id="931664067">
      <w:bodyDiv w:val="1"/>
      <w:marLeft w:val="0"/>
      <w:marRight w:val="0"/>
      <w:marTop w:val="0"/>
      <w:marBottom w:val="0"/>
      <w:divBdr>
        <w:top w:val="none" w:sz="0" w:space="0" w:color="auto"/>
        <w:left w:val="none" w:sz="0" w:space="0" w:color="auto"/>
        <w:bottom w:val="none" w:sz="0" w:space="0" w:color="auto"/>
        <w:right w:val="none" w:sz="0" w:space="0" w:color="auto"/>
      </w:divBdr>
      <w:divsChild>
        <w:div w:id="1680084023">
          <w:marLeft w:val="0"/>
          <w:marRight w:val="0"/>
          <w:marTop w:val="0"/>
          <w:marBottom w:val="0"/>
          <w:divBdr>
            <w:top w:val="none" w:sz="0" w:space="0" w:color="auto"/>
            <w:left w:val="none" w:sz="0" w:space="0" w:color="auto"/>
            <w:bottom w:val="none" w:sz="0" w:space="0" w:color="auto"/>
            <w:right w:val="none" w:sz="0" w:space="0" w:color="auto"/>
          </w:divBdr>
          <w:divsChild>
            <w:div w:id="54140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14714">
      <w:bodyDiv w:val="1"/>
      <w:marLeft w:val="0"/>
      <w:marRight w:val="0"/>
      <w:marTop w:val="0"/>
      <w:marBottom w:val="0"/>
      <w:divBdr>
        <w:top w:val="none" w:sz="0" w:space="0" w:color="auto"/>
        <w:left w:val="none" w:sz="0" w:space="0" w:color="auto"/>
        <w:bottom w:val="none" w:sz="0" w:space="0" w:color="auto"/>
        <w:right w:val="none" w:sz="0" w:space="0" w:color="auto"/>
      </w:divBdr>
    </w:div>
    <w:div w:id="945769489">
      <w:bodyDiv w:val="1"/>
      <w:marLeft w:val="0"/>
      <w:marRight w:val="0"/>
      <w:marTop w:val="0"/>
      <w:marBottom w:val="0"/>
      <w:divBdr>
        <w:top w:val="none" w:sz="0" w:space="0" w:color="auto"/>
        <w:left w:val="none" w:sz="0" w:space="0" w:color="auto"/>
        <w:bottom w:val="none" w:sz="0" w:space="0" w:color="auto"/>
        <w:right w:val="none" w:sz="0" w:space="0" w:color="auto"/>
      </w:divBdr>
      <w:divsChild>
        <w:div w:id="775322440">
          <w:marLeft w:val="0"/>
          <w:marRight w:val="0"/>
          <w:marTop w:val="0"/>
          <w:marBottom w:val="0"/>
          <w:divBdr>
            <w:top w:val="none" w:sz="0" w:space="0" w:color="auto"/>
            <w:left w:val="none" w:sz="0" w:space="0" w:color="auto"/>
            <w:bottom w:val="none" w:sz="0" w:space="0" w:color="auto"/>
            <w:right w:val="none" w:sz="0" w:space="0" w:color="auto"/>
          </w:divBdr>
          <w:divsChild>
            <w:div w:id="36460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839">
      <w:bodyDiv w:val="1"/>
      <w:marLeft w:val="0"/>
      <w:marRight w:val="0"/>
      <w:marTop w:val="0"/>
      <w:marBottom w:val="0"/>
      <w:divBdr>
        <w:top w:val="none" w:sz="0" w:space="0" w:color="auto"/>
        <w:left w:val="none" w:sz="0" w:space="0" w:color="auto"/>
        <w:bottom w:val="none" w:sz="0" w:space="0" w:color="auto"/>
        <w:right w:val="none" w:sz="0" w:space="0" w:color="auto"/>
      </w:divBdr>
      <w:divsChild>
        <w:div w:id="1442607267">
          <w:marLeft w:val="0"/>
          <w:marRight w:val="0"/>
          <w:marTop w:val="0"/>
          <w:marBottom w:val="0"/>
          <w:divBdr>
            <w:top w:val="none" w:sz="0" w:space="0" w:color="auto"/>
            <w:left w:val="none" w:sz="0" w:space="0" w:color="auto"/>
            <w:bottom w:val="none" w:sz="0" w:space="0" w:color="auto"/>
            <w:right w:val="none" w:sz="0" w:space="0" w:color="auto"/>
          </w:divBdr>
          <w:divsChild>
            <w:div w:id="158802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545554">
      <w:bodyDiv w:val="1"/>
      <w:marLeft w:val="0"/>
      <w:marRight w:val="0"/>
      <w:marTop w:val="0"/>
      <w:marBottom w:val="0"/>
      <w:divBdr>
        <w:top w:val="none" w:sz="0" w:space="0" w:color="auto"/>
        <w:left w:val="none" w:sz="0" w:space="0" w:color="auto"/>
        <w:bottom w:val="none" w:sz="0" w:space="0" w:color="auto"/>
        <w:right w:val="none" w:sz="0" w:space="0" w:color="auto"/>
      </w:divBdr>
    </w:div>
    <w:div w:id="949508129">
      <w:bodyDiv w:val="1"/>
      <w:marLeft w:val="0"/>
      <w:marRight w:val="0"/>
      <w:marTop w:val="0"/>
      <w:marBottom w:val="0"/>
      <w:divBdr>
        <w:top w:val="none" w:sz="0" w:space="0" w:color="auto"/>
        <w:left w:val="none" w:sz="0" w:space="0" w:color="auto"/>
        <w:bottom w:val="none" w:sz="0" w:space="0" w:color="auto"/>
        <w:right w:val="none" w:sz="0" w:space="0" w:color="auto"/>
      </w:divBdr>
    </w:div>
    <w:div w:id="952323168">
      <w:bodyDiv w:val="1"/>
      <w:marLeft w:val="0"/>
      <w:marRight w:val="0"/>
      <w:marTop w:val="0"/>
      <w:marBottom w:val="0"/>
      <w:divBdr>
        <w:top w:val="none" w:sz="0" w:space="0" w:color="auto"/>
        <w:left w:val="none" w:sz="0" w:space="0" w:color="auto"/>
        <w:bottom w:val="none" w:sz="0" w:space="0" w:color="auto"/>
        <w:right w:val="none" w:sz="0" w:space="0" w:color="auto"/>
      </w:divBdr>
    </w:div>
    <w:div w:id="952786157">
      <w:bodyDiv w:val="1"/>
      <w:marLeft w:val="0"/>
      <w:marRight w:val="0"/>
      <w:marTop w:val="0"/>
      <w:marBottom w:val="0"/>
      <w:divBdr>
        <w:top w:val="none" w:sz="0" w:space="0" w:color="auto"/>
        <w:left w:val="none" w:sz="0" w:space="0" w:color="auto"/>
        <w:bottom w:val="none" w:sz="0" w:space="0" w:color="auto"/>
        <w:right w:val="none" w:sz="0" w:space="0" w:color="auto"/>
      </w:divBdr>
      <w:divsChild>
        <w:div w:id="1958941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418522">
      <w:bodyDiv w:val="1"/>
      <w:marLeft w:val="0"/>
      <w:marRight w:val="0"/>
      <w:marTop w:val="0"/>
      <w:marBottom w:val="0"/>
      <w:divBdr>
        <w:top w:val="none" w:sz="0" w:space="0" w:color="auto"/>
        <w:left w:val="none" w:sz="0" w:space="0" w:color="auto"/>
        <w:bottom w:val="none" w:sz="0" w:space="0" w:color="auto"/>
        <w:right w:val="none" w:sz="0" w:space="0" w:color="auto"/>
      </w:divBdr>
    </w:div>
    <w:div w:id="958341655">
      <w:bodyDiv w:val="1"/>
      <w:marLeft w:val="0"/>
      <w:marRight w:val="0"/>
      <w:marTop w:val="0"/>
      <w:marBottom w:val="0"/>
      <w:divBdr>
        <w:top w:val="none" w:sz="0" w:space="0" w:color="auto"/>
        <w:left w:val="none" w:sz="0" w:space="0" w:color="auto"/>
        <w:bottom w:val="none" w:sz="0" w:space="0" w:color="auto"/>
        <w:right w:val="none" w:sz="0" w:space="0" w:color="auto"/>
      </w:divBdr>
    </w:div>
    <w:div w:id="967322197">
      <w:bodyDiv w:val="1"/>
      <w:marLeft w:val="0"/>
      <w:marRight w:val="0"/>
      <w:marTop w:val="0"/>
      <w:marBottom w:val="0"/>
      <w:divBdr>
        <w:top w:val="none" w:sz="0" w:space="0" w:color="auto"/>
        <w:left w:val="none" w:sz="0" w:space="0" w:color="auto"/>
        <w:bottom w:val="none" w:sz="0" w:space="0" w:color="auto"/>
        <w:right w:val="none" w:sz="0" w:space="0" w:color="auto"/>
      </w:divBdr>
      <w:divsChild>
        <w:div w:id="1973174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61117">
          <w:blockQuote w:val="1"/>
          <w:marLeft w:val="720"/>
          <w:marRight w:val="720"/>
          <w:marTop w:val="100"/>
          <w:marBottom w:val="100"/>
          <w:divBdr>
            <w:top w:val="none" w:sz="0" w:space="0" w:color="auto"/>
            <w:left w:val="none" w:sz="0" w:space="0" w:color="auto"/>
            <w:bottom w:val="none" w:sz="0" w:space="0" w:color="auto"/>
            <w:right w:val="none" w:sz="0" w:space="0" w:color="auto"/>
          </w:divBdr>
        </w:div>
        <w:div w:id="591671617">
          <w:blockQuote w:val="1"/>
          <w:marLeft w:val="720"/>
          <w:marRight w:val="720"/>
          <w:marTop w:val="100"/>
          <w:marBottom w:val="100"/>
          <w:divBdr>
            <w:top w:val="none" w:sz="0" w:space="0" w:color="auto"/>
            <w:left w:val="none" w:sz="0" w:space="0" w:color="auto"/>
            <w:bottom w:val="none" w:sz="0" w:space="0" w:color="auto"/>
            <w:right w:val="none" w:sz="0" w:space="0" w:color="auto"/>
          </w:divBdr>
        </w:div>
        <w:div w:id="56198854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611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1787081">
      <w:bodyDiv w:val="1"/>
      <w:marLeft w:val="0"/>
      <w:marRight w:val="0"/>
      <w:marTop w:val="0"/>
      <w:marBottom w:val="0"/>
      <w:divBdr>
        <w:top w:val="none" w:sz="0" w:space="0" w:color="auto"/>
        <w:left w:val="none" w:sz="0" w:space="0" w:color="auto"/>
        <w:bottom w:val="none" w:sz="0" w:space="0" w:color="auto"/>
        <w:right w:val="none" w:sz="0" w:space="0" w:color="auto"/>
      </w:divBdr>
    </w:div>
    <w:div w:id="976103806">
      <w:bodyDiv w:val="1"/>
      <w:marLeft w:val="0"/>
      <w:marRight w:val="0"/>
      <w:marTop w:val="0"/>
      <w:marBottom w:val="0"/>
      <w:divBdr>
        <w:top w:val="none" w:sz="0" w:space="0" w:color="auto"/>
        <w:left w:val="none" w:sz="0" w:space="0" w:color="auto"/>
        <w:bottom w:val="none" w:sz="0" w:space="0" w:color="auto"/>
        <w:right w:val="none" w:sz="0" w:space="0" w:color="auto"/>
      </w:divBdr>
      <w:divsChild>
        <w:div w:id="1410227184">
          <w:marLeft w:val="0"/>
          <w:marRight w:val="0"/>
          <w:marTop w:val="0"/>
          <w:marBottom w:val="0"/>
          <w:divBdr>
            <w:top w:val="none" w:sz="0" w:space="0" w:color="auto"/>
            <w:left w:val="none" w:sz="0" w:space="0" w:color="auto"/>
            <w:bottom w:val="none" w:sz="0" w:space="0" w:color="auto"/>
            <w:right w:val="none" w:sz="0" w:space="0" w:color="auto"/>
          </w:divBdr>
          <w:divsChild>
            <w:div w:id="208922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107254">
      <w:bodyDiv w:val="1"/>
      <w:marLeft w:val="0"/>
      <w:marRight w:val="0"/>
      <w:marTop w:val="0"/>
      <w:marBottom w:val="0"/>
      <w:divBdr>
        <w:top w:val="none" w:sz="0" w:space="0" w:color="auto"/>
        <w:left w:val="none" w:sz="0" w:space="0" w:color="auto"/>
        <w:bottom w:val="none" w:sz="0" w:space="0" w:color="auto"/>
        <w:right w:val="none" w:sz="0" w:space="0" w:color="auto"/>
      </w:divBdr>
      <w:divsChild>
        <w:div w:id="69396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744498087">
          <w:blockQuote w:val="1"/>
          <w:marLeft w:val="720"/>
          <w:marRight w:val="720"/>
          <w:marTop w:val="100"/>
          <w:marBottom w:val="100"/>
          <w:divBdr>
            <w:top w:val="none" w:sz="0" w:space="0" w:color="auto"/>
            <w:left w:val="none" w:sz="0" w:space="0" w:color="auto"/>
            <w:bottom w:val="none" w:sz="0" w:space="0" w:color="auto"/>
            <w:right w:val="none" w:sz="0" w:space="0" w:color="auto"/>
          </w:divBdr>
        </w:div>
        <w:div w:id="642321077">
          <w:marLeft w:val="0"/>
          <w:marRight w:val="0"/>
          <w:marTop w:val="0"/>
          <w:marBottom w:val="0"/>
          <w:divBdr>
            <w:top w:val="none" w:sz="0" w:space="0" w:color="auto"/>
            <w:left w:val="none" w:sz="0" w:space="0" w:color="auto"/>
            <w:bottom w:val="none" w:sz="0" w:space="0" w:color="auto"/>
            <w:right w:val="none" w:sz="0" w:space="0" w:color="auto"/>
          </w:divBdr>
          <w:divsChild>
            <w:div w:id="61394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338055">
      <w:bodyDiv w:val="1"/>
      <w:marLeft w:val="0"/>
      <w:marRight w:val="0"/>
      <w:marTop w:val="0"/>
      <w:marBottom w:val="0"/>
      <w:divBdr>
        <w:top w:val="none" w:sz="0" w:space="0" w:color="auto"/>
        <w:left w:val="none" w:sz="0" w:space="0" w:color="auto"/>
        <w:bottom w:val="none" w:sz="0" w:space="0" w:color="auto"/>
        <w:right w:val="none" w:sz="0" w:space="0" w:color="auto"/>
      </w:divBdr>
    </w:div>
    <w:div w:id="981613399">
      <w:bodyDiv w:val="1"/>
      <w:marLeft w:val="0"/>
      <w:marRight w:val="0"/>
      <w:marTop w:val="0"/>
      <w:marBottom w:val="0"/>
      <w:divBdr>
        <w:top w:val="none" w:sz="0" w:space="0" w:color="auto"/>
        <w:left w:val="none" w:sz="0" w:space="0" w:color="auto"/>
        <w:bottom w:val="none" w:sz="0" w:space="0" w:color="auto"/>
        <w:right w:val="none" w:sz="0" w:space="0" w:color="auto"/>
      </w:divBdr>
    </w:div>
    <w:div w:id="984041775">
      <w:bodyDiv w:val="1"/>
      <w:marLeft w:val="0"/>
      <w:marRight w:val="0"/>
      <w:marTop w:val="0"/>
      <w:marBottom w:val="0"/>
      <w:divBdr>
        <w:top w:val="none" w:sz="0" w:space="0" w:color="auto"/>
        <w:left w:val="none" w:sz="0" w:space="0" w:color="auto"/>
        <w:bottom w:val="none" w:sz="0" w:space="0" w:color="auto"/>
        <w:right w:val="none" w:sz="0" w:space="0" w:color="auto"/>
      </w:divBdr>
    </w:div>
    <w:div w:id="989480667">
      <w:bodyDiv w:val="1"/>
      <w:marLeft w:val="0"/>
      <w:marRight w:val="0"/>
      <w:marTop w:val="0"/>
      <w:marBottom w:val="0"/>
      <w:divBdr>
        <w:top w:val="none" w:sz="0" w:space="0" w:color="auto"/>
        <w:left w:val="none" w:sz="0" w:space="0" w:color="auto"/>
        <w:bottom w:val="none" w:sz="0" w:space="0" w:color="auto"/>
        <w:right w:val="none" w:sz="0" w:space="0" w:color="auto"/>
      </w:divBdr>
      <w:divsChild>
        <w:div w:id="21994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3603875">
      <w:bodyDiv w:val="1"/>
      <w:marLeft w:val="0"/>
      <w:marRight w:val="0"/>
      <w:marTop w:val="0"/>
      <w:marBottom w:val="0"/>
      <w:divBdr>
        <w:top w:val="none" w:sz="0" w:space="0" w:color="auto"/>
        <w:left w:val="none" w:sz="0" w:space="0" w:color="auto"/>
        <w:bottom w:val="none" w:sz="0" w:space="0" w:color="auto"/>
        <w:right w:val="none" w:sz="0" w:space="0" w:color="auto"/>
      </w:divBdr>
    </w:div>
    <w:div w:id="995841968">
      <w:bodyDiv w:val="1"/>
      <w:marLeft w:val="0"/>
      <w:marRight w:val="0"/>
      <w:marTop w:val="0"/>
      <w:marBottom w:val="0"/>
      <w:divBdr>
        <w:top w:val="none" w:sz="0" w:space="0" w:color="auto"/>
        <w:left w:val="none" w:sz="0" w:space="0" w:color="auto"/>
        <w:bottom w:val="none" w:sz="0" w:space="0" w:color="auto"/>
        <w:right w:val="none" w:sz="0" w:space="0" w:color="auto"/>
      </w:divBdr>
    </w:div>
    <w:div w:id="997611718">
      <w:bodyDiv w:val="1"/>
      <w:marLeft w:val="0"/>
      <w:marRight w:val="0"/>
      <w:marTop w:val="0"/>
      <w:marBottom w:val="0"/>
      <w:divBdr>
        <w:top w:val="none" w:sz="0" w:space="0" w:color="auto"/>
        <w:left w:val="none" w:sz="0" w:space="0" w:color="auto"/>
        <w:bottom w:val="none" w:sz="0" w:space="0" w:color="auto"/>
        <w:right w:val="none" w:sz="0" w:space="0" w:color="auto"/>
      </w:divBdr>
      <w:divsChild>
        <w:div w:id="11869440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851814">
      <w:bodyDiv w:val="1"/>
      <w:marLeft w:val="0"/>
      <w:marRight w:val="0"/>
      <w:marTop w:val="0"/>
      <w:marBottom w:val="0"/>
      <w:divBdr>
        <w:top w:val="none" w:sz="0" w:space="0" w:color="auto"/>
        <w:left w:val="none" w:sz="0" w:space="0" w:color="auto"/>
        <w:bottom w:val="none" w:sz="0" w:space="0" w:color="auto"/>
        <w:right w:val="none" w:sz="0" w:space="0" w:color="auto"/>
      </w:divBdr>
    </w:div>
    <w:div w:id="1001159986">
      <w:bodyDiv w:val="1"/>
      <w:marLeft w:val="0"/>
      <w:marRight w:val="0"/>
      <w:marTop w:val="0"/>
      <w:marBottom w:val="0"/>
      <w:divBdr>
        <w:top w:val="none" w:sz="0" w:space="0" w:color="auto"/>
        <w:left w:val="none" w:sz="0" w:space="0" w:color="auto"/>
        <w:bottom w:val="none" w:sz="0" w:space="0" w:color="auto"/>
        <w:right w:val="none" w:sz="0" w:space="0" w:color="auto"/>
      </w:divBdr>
    </w:div>
    <w:div w:id="1001665252">
      <w:bodyDiv w:val="1"/>
      <w:marLeft w:val="0"/>
      <w:marRight w:val="0"/>
      <w:marTop w:val="0"/>
      <w:marBottom w:val="0"/>
      <w:divBdr>
        <w:top w:val="none" w:sz="0" w:space="0" w:color="auto"/>
        <w:left w:val="none" w:sz="0" w:space="0" w:color="auto"/>
        <w:bottom w:val="none" w:sz="0" w:space="0" w:color="auto"/>
        <w:right w:val="none" w:sz="0" w:space="0" w:color="auto"/>
      </w:divBdr>
    </w:div>
    <w:div w:id="1003388851">
      <w:bodyDiv w:val="1"/>
      <w:marLeft w:val="0"/>
      <w:marRight w:val="0"/>
      <w:marTop w:val="0"/>
      <w:marBottom w:val="0"/>
      <w:divBdr>
        <w:top w:val="none" w:sz="0" w:space="0" w:color="auto"/>
        <w:left w:val="none" w:sz="0" w:space="0" w:color="auto"/>
        <w:bottom w:val="none" w:sz="0" w:space="0" w:color="auto"/>
        <w:right w:val="none" w:sz="0" w:space="0" w:color="auto"/>
      </w:divBdr>
    </w:div>
    <w:div w:id="1008750434">
      <w:bodyDiv w:val="1"/>
      <w:marLeft w:val="0"/>
      <w:marRight w:val="0"/>
      <w:marTop w:val="0"/>
      <w:marBottom w:val="0"/>
      <w:divBdr>
        <w:top w:val="none" w:sz="0" w:space="0" w:color="auto"/>
        <w:left w:val="none" w:sz="0" w:space="0" w:color="auto"/>
        <w:bottom w:val="none" w:sz="0" w:space="0" w:color="auto"/>
        <w:right w:val="none" w:sz="0" w:space="0" w:color="auto"/>
      </w:divBdr>
    </w:div>
    <w:div w:id="1010374455">
      <w:bodyDiv w:val="1"/>
      <w:marLeft w:val="0"/>
      <w:marRight w:val="0"/>
      <w:marTop w:val="0"/>
      <w:marBottom w:val="0"/>
      <w:divBdr>
        <w:top w:val="none" w:sz="0" w:space="0" w:color="auto"/>
        <w:left w:val="none" w:sz="0" w:space="0" w:color="auto"/>
        <w:bottom w:val="none" w:sz="0" w:space="0" w:color="auto"/>
        <w:right w:val="none" w:sz="0" w:space="0" w:color="auto"/>
      </w:divBdr>
    </w:div>
    <w:div w:id="1013457829">
      <w:bodyDiv w:val="1"/>
      <w:marLeft w:val="0"/>
      <w:marRight w:val="0"/>
      <w:marTop w:val="0"/>
      <w:marBottom w:val="0"/>
      <w:divBdr>
        <w:top w:val="none" w:sz="0" w:space="0" w:color="auto"/>
        <w:left w:val="none" w:sz="0" w:space="0" w:color="auto"/>
        <w:bottom w:val="none" w:sz="0" w:space="0" w:color="auto"/>
        <w:right w:val="none" w:sz="0" w:space="0" w:color="auto"/>
      </w:divBdr>
    </w:div>
    <w:div w:id="1018241837">
      <w:bodyDiv w:val="1"/>
      <w:marLeft w:val="0"/>
      <w:marRight w:val="0"/>
      <w:marTop w:val="0"/>
      <w:marBottom w:val="0"/>
      <w:divBdr>
        <w:top w:val="none" w:sz="0" w:space="0" w:color="auto"/>
        <w:left w:val="none" w:sz="0" w:space="0" w:color="auto"/>
        <w:bottom w:val="none" w:sz="0" w:space="0" w:color="auto"/>
        <w:right w:val="none" w:sz="0" w:space="0" w:color="auto"/>
      </w:divBdr>
    </w:div>
    <w:div w:id="1018579815">
      <w:bodyDiv w:val="1"/>
      <w:marLeft w:val="0"/>
      <w:marRight w:val="0"/>
      <w:marTop w:val="0"/>
      <w:marBottom w:val="0"/>
      <w:divBdr>
        <w:top w:val="none" w:sz="0" w:space="0" w:color="auto"/>
        <w:left w:val="none" w:sz="0" w:space="0" w:color="auto"/>
        <w:bottom w:val="none" w:sz="0" w:space="0" w:color="auto"/>
        <w:right w:val="none" w:sz="0" w:space="0" w:color="auto"/>
      </w:divBdr>
    </w:div>
    <w:div w:id="1019967511">
      <w:bodyDiv w:val="1"/>
      <w:marLeft w:val="0"/>
      <w:marRight w:val="0"/>
      <w:marTop w:val="0"/>
      <w:marBottom w:val="0"/>
      <w:divBdr>
        <w:top w:val="none" w:sz="0" w:space="0" w:color="auto"/>
        <w:left w:val="none" w:sz="0" w:space="0" w:color="auto"/>
        <w:bottom w:val="none" w:sz="0" w:space="0" w:color="auto"/>
        <w:right w:val="none" w:sz="0" w:space="0" w:color="auto"/>
      </w:divBdr>
    </w:div>
    <w:div w:id="1021976282">
      <w:bodyDiv w:val="1"/>
      <w:marLeft w:val="0"/>
      <w:marRight w:val="0"/>
      <w:marTop w:val="0"/>
      <w:marBottom w:val="0"/>
      <w:divBdr>
        <w:top w:val="none" w:sz="0" w:space="0" w:color="auto"/>
        <w:left w:val="none" w:sz="0" w:space="0" w:color="auto"/>
        <w:bottom w:val="none" w:sz="0" w:space="0" w:color="auto"/>
        <w:right w:val="none" w:sz="0" w:space="0" w:color="auto"/>
      </w:divBdr>
      <w:divsChild>
        <w:div w:id="1610812872">
          <w:marLeft w:val="0"/>
          <w:marRight w:val="0"/>
          <w:marTop w:val="0"/>
          <w:marBottom w:val="0"/>
          <w:divBdr>
            <w:top w:val="none" w:sz="0" w:space="0" w:color="auto"/>
            <w:left w:val="none" w:sz="0" w:space="0" w:color="auto"/>
            <w:bottom w:val="none" w:sz="0" w:space="0" w:color="auto"/>
            <w:right w:val="none" w:sz="0" w:space="0" w:color="auto"/>
          </w:divBdr>
          <w:divsChild>
            <w:div w:id="15580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5086">
      <w:bodyDiv w:val="1"/>
      <w:marLeft w:val="0"/>
      <w:marRight w:val="0"/>
      <w:marTop w:val="0"/>
      <w:marBottom w:val="0"/>
      <w:divBdr>
        <w:top w:val="none" w:sz="0" w:space="0" w:color="auto"/>
        <w:left w:val="none" w:sz="0" w:space="0" w:color="auto"/>
        <w:bottom w:val="none" w:sz="0" w:space="0" w:color="auto"/>
        <w:right w:val="none" w:sz="0" w:space="0" w:color="auto"/>
      </w:divBdr>
    </w:div>
    <w:div w:id="1022895850">
      <w:bodyDiv w:val="1"/>
      <w:marLeft w:val="0"/>
      <w:marRight w:val="0"/>
      <w:marTop w:val="0"/>
      <w:marBottom w:val="0"/>
      <w:divBdr>
        <w:top w:val="none" w:sz="0" w:space="0" w:color="auto"/>
        <w:left w:val="none" w:sz="0" w:space="0" w:color="auto"/>
        <w:bottom w:val="none" w:sz="0" w:space="0" w:color="auto"/>
        <w:right w:val="none" w:sz="0" w:space="0" w:color="auto"/>
      </w:divBdr>
    </w:div>
    <w:div w:id="1023479233">
      <w:bodyDiv w:val="1"/>
      <w:marLeft w:val="0"/>
      <w:marRight w:val="0"/>
      <w:marTop w:val="0"/>
      <w:marBottom w:val="0"/>
      <w:divBdr>
        <w:top w:val="none" w:sz="0" w:space="0" w:color="auto"/>
        <w:left w:val="none" w:sz="0" w:space="0" w:color="auto"/>
        <w:bottom w:val="none" w:sz="0" w:space="0" w:color="auto"/>
        <w:right w:val="none" w:sz="0" w:space="0" w:color="auto"/>
      </w:divBdr>
    </w:div>
    <w:div w:id="1027485764">
      <w:bodyDiv w:val="1"/>
      <w:marLeft w:val="0"/>
      <w:marRight w:val="0"/>
      <w:marTop w:val="0"/>
      <w:marBottom w:val="0"/>
      <w:divBdr>
        <w:top w:val="none" w:sz="0" w:space="0" w:color="auto"/>
        <w:left w:val="none" w:sz="0" w:space="0" w:color="auto"/>
        <w:bottom w:val="none" w:sz="0" w:space="0" w:color="auto"/>
        <w:right w:val="none" w:sz="0" w:space="0" w:color="auto"/>
      </w:divBdr>
      <w:divsChild>
        <w:div w:id="7837666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8797003">
      <w:bodyDiv w:val="1"/>
      <w:marLeft w:val="0"/>
      <w:marRight w:val="0"/>
      <w:marTop w:val="0"/>
      <w:marBottom w:val="0"/>
      <w:divBdr>
        <w:top w:val="none" w:sz="0" w:space="0" w:color="auto"/>
        <w:left w:val="none" w:sz="0" w:space="0" w:color="auto"/>
        <w:bottom w:val="none" w:sz="0" w:space="0" w:color="auto"/>
        <w:right w:val="none" w:sz="0" w:space="0" w:color="auto"/>
      </w:divBdr>
    </w:div>
    <w:div w:id="1032463158">
      <w:bodyDiv w:val="1"/>
      <w:marLeft w:val="0"/>
      <w:marRight w:val="0"/>
      <w:marTop w:val="0"/>
      <w:marBottom w:val="0"/>
      <w:divBdr>
        <w:top w:val="none" w:sz="0" w:space="0" w:color="auto"/>
        <w:left w:val="none" w:sz="0" w:space="0" w:color="auto"/>
        <w:bottom w:val="none" w:sz="0" w:space="0" w:color="auto"/>
        <w:right w:val="none" w:sz="0" w:space="0" w:color="auto"/>
      </w:divBdr>
    </w:div>
    <w:div w:id="1034501803">
      <w:bodyDiv w:val="1"/>
      <w:marLeft w:val="0"/>
      <w:marRight w:val="0"/>
      <w:marTop w:val="0"/>
      <w:marBottom w:val="0"/>
      <w:divBdr>
        <w:top w:val="none" w:sz="0" w:space="0" w:color="auto"/>
        <w:left w:val="none" w:sz="0" w:space="0" w:color="auto"/>
        <w:bottom w:val="none" w:sz="0" w:space="0" w:color="auto"/>
        <w:right w:val="none" w:sz="0" w:space="0" w:color="auto"/>
      </w:divBdr>
    </w:div>
    <w:div w:id="1040131634">
      <w:bodyDiv w:val="1"/>
      <w:marLeft w:val="0"/>
      <w:marRight w:val="0"/>
      <w:marTop w:val="0"/>
      <w:marBottom w:val="0"/>
      <w:divBdr>
        <w:top w:val="none" w:sz="0" w:space="0" w:color="auto"/>
        <w:left w:val="none" w:sz="0" w:space="0" w:color="auto"/>
        <w:bottom w:val="none" w:sz="0" w:space="0" w:color="auto"/>
        <w:right w:val="none" w:sz="0" w:space="0" w:color="auto"/>
      </w:divBdr>
    </w:div>
    <w:div w:id="1052385324">
      <w:bodyDiv w:val="1"/>
      <w:marLeft w:val="0"/>
      <w:marRight w:val="0"/>
      <w:marTop w:val="0"/>
      <w:marBottom w:val="0"/>
      <w:divBdr>
        <w:top w:val="none" w:sz="0" w:space="0" w:color="auto"/>
        <w:left w:val="none" w:sz="0" w:space="0" w:color="auto"/>
        <w:bottom w:val="none" w:sz="0" w:space="0" w:color="auto"/>
        <w:right w:val="none" w:sz="0" w:space="0" w:color="auto"/>
      </w:divBdr>
      <w:divsChild>
        <w:div w:id="715936165">
          <w:marLeft w:val="0"/>
          <w:marRight w:val="0"/>
          <w:marTop w:val="0"/>
          <w:marBottom w:val="0"/>
          <w:divBdr>
            <w:top w:val="none" w:sz="0" w:space="0" w:color="auto"/>
            <w:left w:val="none" w:sz="0" w:space="0" w:color="auto"/>
            <w:bottom w:val="none" w:sz="0" w:space="0" w:color="auto"/>
            <w:right w:val="none" w:sz="0" w:space="0" w:color="auto"/>
          </w:divBdr>
          <w:divsChild>
            <w:div w:id="131598958">
              <w:marLeft w:val="0"/>
              <w:marRight w:val="0"/>
              <w:marTop w:val="0"/>
              <w:marBottom w:val="0"/>
              <w:divBdr>
                <w:top w:val="none" w:sz="0" w:space="0" w:color="auto"/>
                <w:left w:val="none" w:sz="0" w:space="0" w:color="auto"/>
                <w:bottom w:val="none" w:sz="0" w:space="0" w:color="auto"/>
                <w:right w:val="none" w:sz="0" w:space="0" w:color="auto"/>
              </w:divBdr>
            </w:div>
          </w:divsChild>
        </w:div>
        <w:div w:id="1214730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692182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8821279">
      <w:bodyDiv w:val="1"/>
      <w:marLeft w:val="0"/>
      <w:marRight w:val="0"/>
      <w:marTop w:val="0"/>
      <w:marBottom w:val="0"/>
      <w:divBdr>
        <w:top w:val="none" w:sz="0" w:space="0" w:color="auto"/>
        <w:left w:val="none" w:sz="0" w:space="0" w:color="auto"/>
        <w:bottom w:val="none" w:sz="0" w:space="0" w:color="auto"/>
        <w:right w:val="none" w:sz="0" w:space="0" w:color="auto"/>
      </w:divBdr>
      <w:divsChild>
        <w:div w:id="585070034">
          <w:blockQuote w:val="1"/>
          <w:marLeft w:val="720"/>
          <w:marRight w:val="720"/>
          <w:marTop w:val="100"/>
          <w:marBottom w:val="100"/>
          <w:divBdr>
            <w:top w:val="none" w:sz="0" w:space="0" w:color="auto"/>
            <w:left w:val="none" w:sz="0" w:space="0" w:color="auto"/>
            <w:bottom w:val="none" w:sz="0" w:space="0" w:color="auto"/>
            <w:right w:val="none" w:sz="0" w:space="0" w:color="auto"/>
          </w:divBdr>
        </w:div>
        <w:div w:id="255092241">
          <w:marLeft w:val="0"/>
          <w:marRight w:val="0"/>
          <w:marTop w:val="0"/>
          <w:marBottom w:val="0"/>
          <w:divBdr>
            <w:top w:val="none" w:sz="0" w:space="0" w:color="auto"/>
            <w:left w:val="none" w:sz="0" w:space="0" w:color="auto"/>
            <w:bottom w:val="none" w:sz="0" w:space="0" w:color="auto"/>
            <w:right w:val="none" w:sz="0" w:space="0" w:color="auto"/>
          </w:divBdr>
          <w:divsChild>
            <w:div w:id="112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6036">
      <w:bodyDiv w:val="1"/>
      <w:marLeft w:val="0"/>
      <w:marRight w:val="0"/>
      <w:marTop w:val="0"/>
      <w:marBottom w:val="0"/>
      <w:divBdr>
        <w:top w:val="none" w:sz="0" w:space="0" w:color="auto"/>
        <w:left w:val="none" w:sz="0" w:space="0" w:color="auto"/>
        <w:bottom w:val="none" w:sz="0" w:space="0" w:color="auto"/>
        <w:right w:val="none" w:sz="0" w:space="0" w:color="auto"/>
      </w:divBdr>
    </w:div>
    <w:div w:id="1061170331">
      <w:bodyDiv w:val="1"/>
      <w:marLeft w:val="0"/>
      <w:marRight w:val="0"/>
      <w:marTop w:val="0"/>
      <w:marBottom w:val="0"/>
      <w:divBdr>
        <w:top w:val="none" w:sz="0" w:space="0" w:color="auto"/>
        <w:left w:val="none" w:sz="0" w:space="0" w:color="auto"/>
        <w:bottom w:val="none" w:sz="0" w:space="0" w:color="auto"/>
        <w:right w:val="none" w:sz="0" w:space="0" w:color="auto"/>
      </w:divBdr>
    </w:div>
    <w:div w:id="1061364628">
      <w:bodyDiv w:val="1"/>
      <w:marLeft w:val="0"/>
      <w:marRight w:val="0"/>
      <w:marTop w:val="0"/>
      <w:marBottom w:val="0"/>
      <w:divBdr>
        <w:top w:val="none" w:sz="0" w:space="0" w:color="auto"/>
        <w:left w:val="none" w:sz="0" w:space="0" w:color="auto"/>
        <w:bottom w:val="none" w:sz="0" w:space="0" w:color="auto"/>
        <w:right w:val="none" w:sz="0" w:space="0" w:color="auto"/>
      </w:divBdr>
    </w:div>
    <w:div w:id="1067998512">
      <w:bodyDiv w:val="1"/>
      <w:marLeft w:val="0"/>
      <w:marRight w:val="0"/>
      <w:marTop w:val="0"/>
      <w:marBottom w:val="0"/>
      <w:divBdr>
        <w:top w:val="none" w:sz="0" w:space="0" w:color="auto"/>
        <w:left w:val="none" w:sz="0" w:space="0" w:color="auto"/>
        <w:bottom w:val="none" w:sz="0" w:space="0" w:color="auto"/>
        <w:right w:val="none" w:sz="0" w:space="0" w:color="auto"/>
      </w:divBdr>
      <w:divsChild>
        <w:div w:id="825244968">
          <w:marLeft w:val="0"/>
          <w:marRight w:val="0"/>
          <w:marTop w:val="0"/>
          <w:marBottom w:val="0"/>
          <w:divBdr>
            <w:top w:val="none" w:sz="0" w:space="0" w:color="auto"/>
            <w:left w:val="none" w:sz="0" w:space="0" w:color="auto"/>
            <w:bottom w:val="none" w:sz="0" w:space="0" w:color="auto"/>
            <w:right w:val="none" w:sz="0" w:space="0" w:color="auto"/>
          </w:divBdr>
          <w:divsChild>
            <w:div w:id="180689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502286">
      <w:bodyDiv w:val="1"/>
      <w:marLeft w:val="0"/>
      <w:marRight w:val="0"/>
      <w:marTop w:val="0"/>
      <w:marBottom w:val="0"/>
      <w:divBdr>
        <w:top w:val="none" w:sz="0" w:space="0" w:color="auto"/>
        <w:left w:val="none" w:sz="0" w:space="0" w:color="auto"/>
        <w:bottom w:val="none" w:sz="0" w:space="0" w:color="auto"/>
        <w:right w:val="none" w:sz="0" w:space="0" w:color="auto"/>
      </w:divBdr>
    </w:div>
    <w:div w:id="1074931569">
      <w:bodyDiv w:val="1"/>
      <w:marLeft w:val="0"/>
      <w:marRight w:val="0"/>
      <w:marTop w:val="0"/>
      <w:marBottom w:val="0"/>
      <w:divBdr>
        <w:top w:val="none" w:sz="0" w:space="0" w:color="auto"/>
        <w:left w:val="none" w:sz="0" w:space="0" w:color="auto"/>
        <w:bottom w:val="none" w:sz="0" w:space="0" w:color="auto"/>
        <w:right w:val="none" w:sz="0" w:space="0" w:color="auto"/>
      </w:divBdr>
    </w:div>
    <w:div w:id="1079643439">
      <w:bodyDiv w:val="1"/>
      <w:marLeft w:val="0"/>
      <w:marRight w:val="0"/>
      <w:marTop w:val="0"/>
      <w:marBottom w:val="0"/>
      <w:divBdr>
        <w:top w:val="none" w:sz="0" w:space="0" w:color="auto"/>
        <w:left w:val="none" w:sz="0" w:space="0" w:color="auto"/>
        <w:bottom w:val="none" w:sz="0" w:space="0" w:color="auto"/>
        <w:right w:val="none" w:sz="0" w:space="0" w:color="auto"/>
      </w:divBdr>
    </w:div>
    <w:div w:id="1086196603">
      <w:bodyDiv w:val="1"/>
      <w:marLeft w:val="0"/>
      <w:marRight w:val="0"/>
      <w:marTop w:val="0"/>
      <w:marBottom w:val="0"/>
      <w:divBdr>
        <w:top w:val="none" w:sz="0" w:space="0" w:color="auto"/>
        <w:left w:val="none" w:sz="0" w:space="0" w:color="auto"/>
        <w:bottom w:val="none" w:sz="0" w:space="0" w:color="auto"/>
        <w:right w:val="none" w:sz="0" w:space="0" w:color="auto"/>
      </w:divBdr>
    </w:div>
    <w:div w:id="1108088965">
      <w:bodyDiv w:val="1"/>
      <w:marLeft w:val="0"/>
      <w:marRight w:val="0"/>
      <w:marTop w:val="0"/>
      <w:marBottom w:val="0"/>
      <w:divBdr>
        <w:top w:val="none" w:sz="0" w:space="0" w:color="auto"/>
        <w:left w:val="none" w:sz="0" w:space="0" w:color="auto"/>
        <w:bottom w:val="none" w:sz="0" w:space="0" w:color="auto"/>
        <w:right w:val="none" w:sz="0" w:space="0" w:color="auto"/>
      </w:divBdr>
    </w:div>
    <w:div w:id="1120033658">
      <w:bodyDiv w:val="1"/>
      <w:marLeft w:val="0"/>
      <w:marRight w:val="0"/>
      <w:marTop w:val="0"/>
      <w:marBottom w:val="0"/>
      <w:divBdr>
        <w:top w:val="none" w:sz="0" w:space="0" w:color="auto"/>
        <w:left w:val="none" w:sz="0" w:space="0" w:color="auto"/>
        <w:bottom w:val="none" w:sz="0" w:space="0" w:color="auto"/>
        <w:right w:val="none" w:sz="0" w:space="0" w:color="auto"/>
      </w:divBdr>
    </w:div>
    <w:div w:id="1120148098">
      <w:bodyDiv w:val="1"/>
      <w:marLeft w:val="0"/>
      <w:marRight w:val="0"/>
      <w:marTop w:val="0"/>
      <w:marBottom w:val="0"/>
      <w:divBdr>
        <w:top w:val="none" w:sz="0" w:space="0" w:color="auto"/>
        <w:left w:val="none" w:sz="0" w:space="0" w:color="auto"/>
        <w:bottom w:val="none" w:sz="0" w:space="0" w:color="auto"/>
        <w:right w:val="none" w:sz="0" w:space="0" w:color="auto"/>
      </w:divBdr>
    </w:div>
    <w:div w:id="1121807705">
      <w:bodyDiv w:val="1"/>
      <w:marLeft w:val="0"/>
      <w:marRight w:val="0"/>
      <w:marTop w:val="0"/>
      <w:marBottom w:val="0"/>
      <w:divBdr>
        <w:top w:val="none" w:sz="0" w:space="0" w:color="auto"/>
        <w:left w:val="none" w:sz="0" w:space="0" w:color="auto"/>
        <w:bottom w:val="none" w:sz="0" w:space="0" w:color="auto"/>
        <w:right w:val="none" w:sz="0" w:space="0" w:color="auto"/>
      </w:divBdr>
    </w:div>
    <w:div w:id="1123963671">
      <w:bodyDiv w:val="1"/>
      <w:marLeft w:val="0"/>
      <w:marRight w:val="0"/>
      <w:marTop w:val="0"/>
      <w:marBottom w:val="0"/>
      <w:divBdr>
        <w:top w:val="none" w:sz="0" w:space="0" w:color="auto"/>
        <w:left w:val="none" w:sz="0" w:space="0" w:color="auto"/>
        <w:bottom w:val="none" w:sz="0" w:space="0" w:color="auto"/>
        <w:right w:val="none" w:sz="0" w:space="0" w:color="auto"/>
      </w:divBdr>
    </w:div>
    <w:div w:id="1128280575">
      <w:bodyDiv w:val="1"/>
      <w:marLeft w:val="0"/>
      <w:marRight w:val="0"/>
      <w:marTop w:val="0"/>
      <w:marBottom w:val="0"/>
      <w:divBdr>
        <w:top w:val="none" w:sz="0" w:space="0" w:color="auto"/>
        <w:left w:val="none" w:sz="0" w:space="0" w:color="auto"/>
        <w:bottom w:val="none" w:sz="0" w:space="0" w:color="auto"/>
        <w:right w:val="none" w:sz="0" w:space="0" w:color="auto"/>
      </w:divBdr>
      <w:divsChild>
        <w:div w:id="2071537105">
          <w:marLeft w:val="0"/>
          <w:marRight w:val="0"/>
          <w:marTop w:val="0"/>
          <w:marBottom w:val="0"/>
          <w:divBdr>
            <w:top w:val="none" w:sz="0" w:space="0" w:color="auto"/>
            <w:left w:val="none" w:sz="0" w:space="0" w:color="auto"/>
            <w:bottom w:val="none" w:sz="0" w:space="0" w:color="auto"/>
            <w:right w:val="none" w:sz="0" w:space="0" w:color="auto"/>
          </w:divBdr>
          <w:divsChild>
            <w:div w:id="175774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88682">
      <w:bodyDiv w:val="1"/>
      <w:marLeft w:val="0"/>
      <w:marRight w:val="0"/>
      <w:marTop w:val="0"/>
      <w:marBottom w:val="0"/>
      <w:divBdr>
        <w:top w:val="none" w:sz="0" w:space="0" w:color="auto"/>
        <w:left w:val="none" w:sz="0" w:space="0" w:color="auto"/>
        <w:bottom w:val="none" w:sz="0" w:space="0" w:color="auto"/>
        <w:right w:val="none" w:sz="0" w:space="0" w:color="auto"/>
      </w:divBdr>
    </w:div>
    <w:div w:id="1143741821">
      <w:bodyDiv w:val="1"/>
      <w:marLeft w:val="0"/>
      <w:marRight w:val="0"/>
      <w:marTop w:val="0"/>
      <w:marBottom w:val="0"/>
      <w:divBdr>
        <w:top w:val="none" w:sz="0" w:space="0" w:color="auto"/>
        <w:left w:val="none" w:sz="0" w:space="0" w:color="auto"/>
        <w:bottom w:val="none" w:sz="0" w:space="0" w:color="auto"/>
        <w:right w:val="none" w:sz="0" w:space="0" w:color="auto"/>
      </w:divBdr>
      <w:divsChild>
        <w:div w:id="737870716">
          <w:marLeft w:val="0"/>
          <w:marRight w:val="0"/>
          <w:marTop w:val="0"/>
          <w:marBottom w:val="0"/>
          <w:divBdr>
            <w:top w:val="none" w:sz="0" w:space="0" w:color="auto"/>
            <w:left w:val="none" w:sz="0" w:space="0" w:color="auto"/>
            <w:bottom w:val="none" w:sz="0" w:space="0" w:color="auto"/>
            <w:right w:val="none" w:sz="0" w:space="0" w:color="auto"/>
          </w:divBdr>
          <w:divsChild>
            <w:div w:id="253629849">
              <w:marLeft w:val="0"/>
              <w:marRight w:val="0"/>
              <w:marTop w:val="0"/>
              <w:marBottom w:val="0"/>
              <w:divBdr>
                <w:top w:val="none" w:sz="0" w:space="0" w:color="auto"/>
                <w:left w:val="none" w:sz="0" w:space="0" w:color="auto"/>
                <w:bottom w:val="none" w:sz="0" w:space="0" w:color="auto"/>
                <w:right w:val="none" w:sz="0" w:space="0" w:color="auto"/>
              </w:divBdr>
              <w:divsChild>
                <w:div w:id="1544244657">
                  <w:marLeft w:val="0"/>
                  <w:marRight w:val="0"/>
                  <w:marTop w:val="0"/>
                  <w:marBottom w:val="0"/>
                  <w:divBdr>
                    <w:top w:val="none" w:sz="0" w:space="0" w:color="auto"/>
                    <w:left w:val="none" w:sz="0" w:space="0" w:color="auto"/>
                    <w:bottom w:val="none" w:sz="0" w:space="0" w:color="auto"/>
                    <w:right w:val="none" w:sz="0" w:space="0" w:color="auto"/>
                  </w:divBdr>
                  <w:divsChild>
                    <w:div w:id="242570442">
                      <w:marLeft w:val="0"/>
                      <w:marRight w:val="0"/>
                      <w:marTop w:val="0"/>
                      <w:marBottom w:val="0"/>
                      <w:divBdr>
                        <w:top w:val="none" w:sz="0" w:space="0" w:color="auto"/>
                        <w:left w:val="none" w:sz="0" w:space="0" w:color="auto"/>
                        <w:bottom w:val="none" w:sz="0" w:space="0" w:color="auto"/>
                        <w:right w:val="none" w:sz="0" w:space="0" w:color="auto"/>
                      </w:divBdr>
                      <w:divsChild>
                        <w:div w:id="1763646279">
                          <w:marLeft w:val="0"/>
                          <w:marRight w:val="0"/>
                          <w:marTop w:val="0"/>
                          <w:marBottom w:val="0"/>
                          <w:divBdr>
                            <w:top w:val="none" w:sz="0" w:space="0" w:color="auto"/>
                            <w:left w:val="none" w:sz="0" w:space="0" w:color="auto"/>
                            <w:bottom w:val="none" w:sz="0" w:space="0" w:color="auto"/>
                            <w:right w:val="none" w:sz="0" w:space="0" w:color="auto"/>
                          </w:divBdr>
                          <w:divsChild>
                            <w:div w:id="1660693560">
                              <w:marLeft w:val="0"/>
                              <w:marRight w:val="0"/>
                              <w:marTop w:val="0"/>
                              <w:marBottom w:val="0"/>
                              <w:divBdr>
                                <w:top w:val="none" w:sz="0" w:space="0" w:color="auto"/>
                                <w:left w:val="none" w:sz="0" w:space="0" w:color="auto"/>
                                <w:bottom w:val="none" w:sz="0" w:space="0" w:color="auto"/>
                                <w:right w:val="none" w:sz="0" w:space="0" w:color="auto"/>
                              </w:divBdr>
                              <w:divsChild>
                                <w:div w:id="997730783">
                                  <w:marLeft w:val="0"/>
                                  <w:marRight w:val="0"/>
                                  <w:marTop w:val="0"/>
                                  <w:marBottom w:val="0"/>
                                  <w:divBdr>
                                    <w:top w:val="none" w:sz="0" w:space="0" w:color="auto"/>
                                    <w:left w:val="none" w:sz="0" w:space="0" w:color="auto"/>
                                    <w:bottom w:val="none" w:sz="0" w:space="0" w:color="auto"/>
                                    <w:right w:val="none" w:sz="0" w:space="0" w:color="auto"/>
                                  </w:divBdr>
                                  <w:divsChild>
                                    <w:div w:id="19689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4586650">
      <w:bodyDiv w:val="1"/>
      <w:marLeft w:val="0"/>
      <w:marRight w:val="0"/>
      <w:marTop w:val="0"/>
      <w:marBottom w:val="0"/>
      <w:divBdr>
        <w:top w:val="none" w:sz="0" w:space="0" w:color="auto"/>
        <w:left w:val="none" w:sz="0" w:space="0" w:color="auto"/>
        <w:bottom w:val="none" w:sz="0" w:space="0" w:color="auto"/>
        <w:right w:val="none" w:sz="0" w:space="0" w:color="auto"/>
      </w:divBdr>
    </w:div>
    <w:div w:id="1148126809">
      <w:bodyDiv w:val="1"/>
      <w:marLeft w:val="0"/>
      <w:marRight w:val="0"/>
      <w:marTop w:val="0"/>
      <w:marBottom w:val="0"/>
      <w:divBdr>
        <w:top w:val="none" w:sz="0" w:space="0" w:color="auto"/>
        <w:left w:val="none" w:sz="0" w:space="0" w:color="auto"/>
        <w:bottom w:val="none" w:sz="0" w:space="0" w:color="auto"/>
        <w:right w:val="none" w:sz="0" w:space="0" w:color="auto"/>
      </w:divBdr>
    </w:div>
    <w:div w:id="1150055260">
      <w:bodyDiv w:val="1"/>
      <w:marLeft w:val="0"/>
      <w:marRight w:val="0"/>
      <w:marTop w:val="0"/>
      <w:marBottom w:val="0"/>
      <w:divBdr>
        <w:top w:val="none" w:sz="0" w:space="0" w:color="auto"/>
        <w:left w:val="none" w:sz="0" w:space="0" w:color="auto"/>
        <w:bottom w:val="none" w:sz="0" w:space="0" w:color="auto"/>
        <w:right w:val="none" w:sz="0" w:space="0" w:color="auto"/>
      </w:divBdr>
    </w:div>
    <w:div w:id="1165047085">
      <w:bodyDiv w:val="1"/>
      <w:marLeft w:val="0"/>
      <w:marRight w:val="0"/>
      <w:marTop w:val="0"/>
      <w:marBottom w:val="0"/>
      <w:divBdr>
        <w:top w:val="none" w:sz="0" w:space="0" w:color="auto"/>
        <w:left w:val="none" w:sz="0" w:space="0" w:color="auto"/>
        <w:bottom w:val="none" w:sz="0" w:space="0" w:color="auto"/>
        <w:right w:val="none" w:sz="0" w:space="0" w:color="auto"/>
      </w:divBdr>
    </w:div>
    <w:div w:id="1168441861">
      <w:bodyDiv w:val="1"/>
      <w:marLeft w:val="0"/>
      <w:marRight w:val="0"/>
      <w:marTop w:val="0"/>
      <w:marBottom w:val="0"/>
      <w:divBdr>
        <w:top w:val="none" w:sz="0" w:space="0" w:color="auto"/>
        <w:left w:val="none" w:sz="0" w:space="0" w:color="auto"/>
        <w:bottom w:val="none" w:sz="0" w:space="0" w:color="auto"/>
        <w:right w:val="none" w:sz="0" w:space="0" w:color="auto"/>
      </w:divBdr>
    </w:div>
    <w:div w:id="1168594385">
      <w:bodyDiv w:val="1"/>
      <w:marLeft w:val="0"/>
      <w:marRight w:val="0"/>
      <w:marTop w:val="0"/>
      <w:marBottom w:val="0"/>
      <w:divBdr>
        <w:top w:val="none" w:sz="0" w:space="0" w:color="auto"/>
        <w:left w:val="none" w:sz="0" w:space="0" w:color="auto"/>
        <w:bottom w:val="none" w:sz="0" w:space="0" w:color="auto"/>
        <w:right w:val="none" w:sz="0" w:space="0" w:color="auto"/>
      </w:divBdr>
    </w:div>
    <w:div w:id="1169980765">
      <w:bodyDiv w:val="1"/>
      <w:marLeft w:val="0"/>
      <w:marRight w:val="0"/>
      <w:marTop w:val="0"/>
      <w:marBottom w:val="0"/>
      <w:divBdr>
        <w:top w:val="none" w:sz="0" w:space="0" w:color="auto"/>
        <w:left w:val="none" w:sz="0" w:space="0" w:color="auto"/>
        <w:bottom w:val="none" w:sz="0" w:space="0" w:color="auto"/>
        <w:right w:val="none" w:sz="0" w:space="0" w:color="auto"/>
      </w:divBdr>
      <w:divsChild>
        <w:div w:id="1040933576">
          <w:marLeft w:val="0"/>
          <w:marRight w:val="0"/>
          <w:marTop w:val="0"/>
          <w:marBottom w:val="0"/>
          <w:divBdr>
            <w:top w:val="none" w:sz="0" w:space="0" w:color="auto"/>
            <w:left w:val="none" w:sz="0" w:space="0" w:color="auto"/>
            <w:bottom w:val="none" w:sz="0" w:space="0" w:color="auto"/>
            <w:right w:val="none" w:sz="0" w:space="0" w:color="auto"/>
          </w:divBdr>
          <w:divsChild>
            <w:div w:id="113194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602721">
      <w:bodyDiv w:val="1"/>
      <w:marLeft w:val="0"/>
      <w:marRight w:val="0"/>
      <w:marTop w:val="0"/>
      <w:marBottom w:val="0"/>
      <w:divBdr>
        <w:top w:val="none" w:sz="0" w:space="0" w:color="auto"/>
        <w:left w:val="none" w:sz="0" w:space="0" w:color="auto"/>
        <w:bottom w:val="none" w:sz="0" w:space="0" w:color="auto"/>
        <w:right w:val="none" w:sz="0" w:space="0" w:color="auto"/>
      </w:divBdr>
      <w:divsChild>
        <w:div w:id="685984738">
          <w:marLeft w:val="0"/>
          <w:marRight w:val="0"/>
          <w:marTop w:val="0"/>
          <w:marBottom w:val="0"/>
          <w:divBdr>
            <w:top w:val="none" w:sz="0" w:space="0" w:color="auto"/>
            <w:left w:val="none" w:sz="0" w:space="0" w:color="auto"/>
            <w:bottom w:val="none" w:sz="0" w:space="0" w:color="auto"/>
            <w:right w:val="none" w:sz="0" w:space="0" w:color="auto"/>
          </w:divBdr>
          <w:divsChild>
            <w:div w:id="187145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463026">
      <w:bodyDiv w:val="1"/>
      <w:marLeft w:val="0"/>
      <w:marRight w:val="0"/>
      <w:marTop w:val="0"/>
      <w:marBottom w:val="0"/>
      <w:divBdr>
        <w:top w:val="none" w:sz="0" w:space="0" w:color="auto"/>
        <w:left w:val="none" w:sz="0" w:space="0" w:color="auto"/>
        <w:bottom w:val="none" w:sz="0" w:space="0" w:color="auto"/>
        <w:right w:val="none" w:sz="0" w:space="0" w:color="auto"/>
      </w:divBdr>
    </w:div>
    <w:div w:id="1179664563">
      <w:bodyDiv w:val="1"/>
      <w:marLeft w:val="0"/>
      <w:marRight w:val="0"/>
      <w:marTop w:val="0"/>
      <w:marBottom w:val="0"/>
      <w:divBdr>
        <w:top w:val="none" w:sz="0" w:space="0" w:color="auto"/>
        <w:left w:val="none" w:sz="0" w:space="0" w:color="auto"/>
        <w:bottom w:val="none" w:sz="0" w:space="0" w:color="auto"/>
        <w:right w:val="none" w:sz="0" w:space="0" w:color="auto"/>
      </w:divBdr>
      <w:divsChild>
        <w:div w:id="2023971064">
          <w:marLeft w:val="0"/>
          <w:marRight w:val="0"/>
          <w:marTop w:val="0"/>
          <w:marBottom w:val="0"/>
          <w:divBdr>
            <w:top w:val="none" w:sz="0" w:space="0" w:color="auto"/>
            <w:left w:val="none" w:sz="0" w:space="0" w:color="auto"/>
            <w:bottom w:val="none" w:sz="0" w:space="0" w:color="auto"/>
            <w:right w:val="none" w:sz="0" w:space="0" w:color="auto"/>
          </w:divBdr>
          <w:divsChild>
            <w:div w:id="174806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857191">
      <w:bodyDiv w:val="1"/>
      <w:marLeft w:val="0"/>
      <w:marRight w:val="0"/>
      <w:marTop w:val="0"/>
      <w:marBottom w:val="0"/>
      <w:divBdr>
        <w:top w:val="none" w:sz="0" w:space="0" w:color="auto"/>
        <w:left w:val="none" w:sz="0" w:space="0" w:color="auto"/>
        <w:bottom w:val="none" w:sz="0" w:space="0" w:color="auto"/>
        <w:right w:val="none" w:sz="0" w:space="0" w:color="auto"/>
      </w:divBdr>
    </w:div>
    <w:div w:id="1186871244">
      <w:bodyDiv w:val="1"/>
      <w:marLeft w:val="0"/>
      <w:marRight w:val="0"/>
      <w:marTop w:val="0"/>
      <w:marBottom w:val="0"/>
      <w:divBdr>
        <w:top w:val="none" w:sz="0" w:space="0" w:color="auto"/>
        <w:left w:val="none" w:sz="0" w:space="0" w:color="auto"/>
        <w:bottom w:val="none" w:sz="0" w:space="0" w:color="auto"/>
        <w:right w:val="none" w:sz="0" w:space="0" w:color="auto"/>
      </w:divBdr>
    </w:div>
    <w:div w:id="1188061014">
      <w:bodyDiv w:val="1"/>
      <w:marLeft w:val="0"/>
      <w:marRight w:val="0"/>
      <w:marTop w:val="0"/>
      <w:marBottom w:val="0"/>
      <w:divBdr>
        <w:top w:val="none" w:sz="0" w:space="0" w:color="auto"/>
        <w:left w:val="none" w:sz="0" w:space="0" w:color="auto"/>
        <w:bottom w:val="none" w:sz="0" w:space="0" w:color="auto"/>
        <w:right w:val="none" w:sz="0" w:space="0" w:color="auto"/>
      </w:divBdr>
      <w:divsChild>
        <w:div w:id="533233158">
          <w:marLeft w:val="0"/>
          <w:marRight w:val="0"/>
          <w:marTop w:val="0"/>
          <w:marBottom w:val="0"/>
          <w:divBdr>
            <w:top w:val="none" w:sz="0" w:space="0" w:color="auto"/>
            <w:left w:val="none" w:sz="0" w:space="0" w:color="auto"/>
            <w:bottom w:val="none" w:sz="0" w:space="0" w:color="auto"/>
            <w:right w:val="none" w:sz="0" w:space="0" w:color="auto"/>
          </w:divBdr>
          <w:divsChild>
            <w:div w:id="106845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08231">
      <w:bodyDiv w:val="1"/>
      <w:marLeft w:val="0"/>
      <w:marRight w:val="0"/>
      <w:marTop w:val="0"/>
      <w:marBottom w:val="0"/>
      <w:divBdr>
        <w:top w:val="none" w:sz="0" w:space="0" w:color="auto"/>
        <w:left w:val="none" w:sz="0" w:space="0" w:color="auto"/>
        <w:bottom w:val="none" w:sz="0" w:space="0" w:color="auto"/>
        <w:right w:val="none" w:sz="0" w:space="0" w:color="auto"/>
      </w:divBdr>
    </w:div>
    <w:div w:id="1189173502">
      <w:bodyDiv w:val="1"/>
      <w:marLeft w:val="0"/>
      <w:marRight w:val="0"/>
      <w:marTop w:val="0"/>
      <w:marBottom w:val="0"/>
      <w:divBdr>
        <w:top w:val="none" w:sz="0" w:space="0" w:color="auto"/>
        <w:left w:val="none" w:sz="0" w:space="0" w:color="auto"/>
        <w:bottom w:val="none" w:sz="0" w:space="0" w:color="auto"/>
        <w:right w:val="none" w:sz="0" w:space="0" w:color="auto"/>
      </w:divBdr>
    </w:div>
    <w:div w:id="1194346589">
      <w:bodyDiv w:val="1"/>
      <w:marLeft w:val="0"/>
      <w:marRight w:val="0"/>
      <w:marTop w:val="0"/>
      <w:marBottom w:val="0"/>
      <w:divBdr>
        <w:top w:val="none" w:sz="0" w:space="0" w:color="auto"/>
        <w:left w:val="none" w:sz="0" w:space="0" w:color="auto"/>
        <w:bottom w:val="none" w:sz="0" w:space="0" w:color="auto"/>
        <w:right w:val="none" w:sz="0" w:space="0" w:color="auto"/>
      </w:divBdr>
    </w:div>
    <w:div w:id="1197886609">
      <w:bodyDiv w:val="1"/>
      <w:marLeft w:val="0"/>
      <w:marRight w:val="0"/>
      <w:marTop w:val="0"/>
      <w:marBottom w:val="0"/>
      <w:divBdr>
        <w:top w:val="none" w:sz="0" w:space="0" w:color="auto"/>
        <w:left w:val="none" w:sz="0" w:space="0" w:color="auto"/>
        <w:bottom w:val="none" w:sz="0" w:space="0" w:color="auto"/>
        <w:right w:val="none" w:sz="0" w:space="0" w:color="auto"/>
      </w:divBdr>
    </w:div>
    <w:div w:id="1201623683">
      <w:bodyDiv w:val="1"/>
      <w:marLeft w:val="0"/>
      <w:marRight w:val="0"/>
      <w:marTop w:val="0"/>
      <w:marBottom w:val="0"/>
      <w:divBdr>
        <w:top w:val="none" w:sz="0" w:space="0" w:color="auto"/>
        <w:left w:val="none" w:sz="0" w:space="0" w:color="auto"/>
        <w:bottom w:val="none" w:sz="0" w:space="0" w:color="auto"/>
        <w:right w:val="none" w:sz="0" w:space="0" w:color="auto"/>
      </w:divBdr>
    </w:div>
    <w:div w:id="1208253698">
      <w:bodyDiv w:val="1"/>
      <w:marLeft w:val="0"/>
      <w:marRight w:val="0"/>
      <w:marTop w:val="0"/>
      <w:marBottom w:val="0"/>
      <w:divBdr>
        <w:top w:val="none" w:sz="0" w:space="0" w:color="auto"/>
        <w:left w:val="none" w:sz="0" w:space="0" w:color="auto"/>
        <w:bottom w:val="none" w:sz="0" w:space="0" w:color="auto"/>
        <w:right w:val="none" w:sz="0" w:space="0" w:color="auto"/>
      </w:divBdr>
      <w:divsChild>
        <w:div w:id="1704819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9033441">
      <w:bodyDiv w:val="1"/>
      <w:marLeft w:val="0"/>
      <w:marRight w:val="0"/>
      <w:marTop w:val="0"/>
      <w:marBottom w:val="0"/>
      <w:divBdr>
        <w:top w:val="none" w:sz="0" w:space="0" w:color="auto"/>
        <w:left w:val="none" w:sz="0" w:space="0" w:color="auto"/>
        <w:bottom w:val="none" w:sz="0" w:space="0" w:color="auto"/>
        <w:right w:val="none" w:sz="0" w:space="0" w:color="auto"/>
      </w:divBdr>
    </w:div>
    <w:div w:id="1215852238">
      <w:bodyDiv w:val="1"/>
      <w:marLeft w:val="0"/>
      <w:marRight w:val="0"/>
      <w:marTop w:val="0"/>
      <w:marBottom w:val="0"/>
      <w:divBdr>
        <w:top w:val="none" w:sz="0" w:space="0" w:color="auto"/>
        <w:left w:val="none" w:sz="0" w:space="0" w:color="auto"/>
        <w:bottom w:val="none" w:sz="0" w:space="0" w:color="auto"/>
        <w:right w:val="none" w:sz="0" w:space="0" w:color="auto"/>
      </w:divBdr>
    </w:div>
    <w:div w:id="1218855291">
      <w:bodyDiv w:val="1"/>
      <w:marLeft w:val="0"/>
      <w:marRight w:val="0"/>
      <w:marTop w:val="0"/>
      <w:marBottom w:val="0"/>
      <w:divBdr>
        <w:top w:val="none" w:sz="0" w:space="0" w:color="auto"/>
        <w:left w:val="none" w:sz="0" w:space="0" w:color="auto"/>
        <w:bottom w:val="none" w:sz="0" w:space="0" w:color="auto"/>
        <w:right w:val="none" w:sz="0" w:space="0" w:color="auto"/>
      </w:divBdr>
    </w:div>
    <w:div w:id="1219901839">
      <w:bodyDiv w:val="1"/>
      <w:marLeft w:val="0"/>
      <w:marRight w:val="0"/>
      <w:marTop w:val="0"/>
      <w:marBottom w:val="0"/>
      <w:divBdr>
        <w:top w:val="none" w:sz="0" w:space="0" w:color="auto"/>
        <w:left w:val="none" w:sz="0" w:space="0" w:color="auto"/>
        <w:bottom w:val="none" w:sz="0" w:space="0" w:color="auto"/>
        <w:right w:val="none" w:sz="0" w:space="0" w:color="auto"/>
      </w:divBdr>
    </w:div>
    <w:div w:id="1222792421">
      <w:bodyDiv w:val="1"/>
      <w:marLeft w:val="0"/>
      <w:marRight w:val="0"/>
      <w:marTop w:val="0"/>
      <w:marBottom w:val="0"/>
      <w:divBdr>
        <w:top w:val="none" w:sz="0" w:space="0" w:color="auto"/>
        <w:left w:val="none" w:sz="0" w:space="0" w:color="auto"/>
        <w:bottom w:val="none" w:sz="0" w:space="0" w:color="auto"/>
        <w:right w:val="none" w:sz="0" w:space="0" w:color="auto"/>
      </w:divBdr>
    </w:div>
    <w:div w:id="1242519313">
      <w:bodyDiv w:val="1"/>
      <w:marLeft w:val="0"/>
      <w:marRight w:val="0"/>
      <w:marTop w:val="0"/>
      <w:marBottom w:val="0"/>
      <w:divBdr>
        <w:top w:val="none" w:sz="0" w:space="0" w:color="auto"/>
        <w:left w:val="none" w:sz="0" w:space="0" w:color="auto"/>
        <w:bottom w:val="none" w:sz="0" w:space="0" w:color="auto"/>
        <w:right w:val="none" w:sz="0" w:space="0" w:color="auto"/>
      </w:divBdr>
    </w:div>
    <w:div w:id="1245921487">
      <w:bodyDiv w:val="1"/>
      <w:marLeft w:val="0"/>
      <w:marRight w:val="0"/>
      <w:marTop w:val="0"/>
      <w:marBottom w:val="0"/>
      <w:divBdr>
        <w:top w:val="none" w:sz="0" w:space="0" w:color="auto"/>
        <w:left w:val="none" w:sz="0" w:space="0" w:color="auto"/>
        <w:bottom w:val="none" w:sz="0" w:space="0" w:color="auto"/>
        <w:right w:val="none" w:sz="0" w:space="0" w:color="auto"/>
      </w:divBdr>
    </w:div>
    <w:div w:id="1247763514">
      <w:bodyDiv w:val="1"/>
      <w:marLeft w:val="0"/>
      <w:marRight w:val="0"/>
      <w:marTop w:val="0"/>
      <w:marBottom w:val="0"/>
      <w:divBdr>
        <w:top w:val="none" w:sz="0" w:space="0" w:color="auto"/>
        <w:left w:val="none" w:sz="0" w:space="0" w:color="auto"/>
        <w:bottom w:val="none" w:sz="0" w:space="0" w:color="auto"/>
        <w:right w:val="none" w:sz="0" w:space="0" w:color="auto"/>
      </w:divBdr>
    </w:div>
    <w:div w:id="1251623605">
      <w:bodyDiv w:val="1"/>
      <w:marLeft w:val="0"/>
      <w:marRight w:val="0"/>
      <w:marTop w:val="0"/>
      <w:marBottom w:val="0"/>
      <w:divBdr>
        <w:top w:val="none" w:sz="0" w:space="0" w:color="auto"/>
        <w:left w:val="none" w:sz="0" w:space="0" w:color="auto"/>
        <w:bottom w:val="none" w:sz="0" w:space="0" w:color="auto"/>
        <w:right w:val="none" w:sz="0" w:space="0" w:color="auto"/>
      </w:divBdr>
      <w:divsChild>
        <w:div w:id="358432898">
          <w:marLeft w:val="0"/>
          <w:marRight w:val="0"/>
          <w:marTop w:val="0"/>
          <w:marBottom w:val="0"/>
          <w:divBdr>
            <w:top w:val="none" w:sz="0" w:space="0" w:color="auto"/>
            <w:left w:val="none" w:sz="0" w:space="0" w:color="auto"/>
            <w:bottom w:val="none" w:sz="0" w:space="0" w:color="auto"/>
            <w:right w:val="none" w:sz="0" w:space="0" w:color="auto"/>
          </w:divBdr>
          <w:divsChild>
            <w:div w:id="19254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741865">
      <w:bodyDiv w:val="1"/>
      <w:marLeft w:val="0"/>
      <w:marRight w:val="0"/>
      <w:marTop w:val="0"/>
      <w:marBottom w:val="0"/>
      <w:divBdr>
        <w:top w:val="none" w:sz="0" w:space="0" w:color="auto"/>
        <w:left w:val="none" w:sz="0" w:space="0" w:color="auto"/>
        <w:bottom w:val="none" w:sz="0" w:space="0" w:color="auto"/>
        <w:right w:val="none" w:sz="0" w:space="0" w:color="auto"/>
      </w:divBdr>
    </w:div>
    <w:div w:id="1253927850">
      <w:bodyDiv w:val="1"/>
      <w:marLeft w:val="0"/>
      <w:marRight w:val="0"/>
      <w:marTop w:val="0"/>
      <w:marBottom w:val="0"/>
      <w:divBdr>
        <w:top w:val="none" w:sz="0" w:space="0" w:color="auto"/>
        <w:left w:val="none" w:sz="0" w:space="0" w:color="auto"/>
        <w:bottom w:val="none" w:sz="0" w:space="0" w:color="auto"/>
        <w:right w:val="none" w:sz="0" w:space="0" w:color="auto"/>
      </w:divBdr>
    </w:div>
    <w:div w:id="1256400818">
      <w:bodyDiv w:val="1"/>
      <w:marLeft w:val="0"/>
      <w:marRight w:val="0"/>
      <w:marTop w:val="0"/>
      <w:marBottom w:val="0"/>
      <w:divBdr>
        <w:top w:val="none" w:sz="0" w:space="0" w:color="auto"/>
        <w:left w:val="none" w:sz="0" w:space="0" w:color="auto"/>
        <w:bottom w:val="none" w:sz="0" w:space="0" w:color="auto"/>
        <w:right w:val="none" w:sz="0" w:space="0" w:color="auto"/>
      </w:divBdr>
    </w:div>
    <w:div w:id="1263881369">
      <w:bodyDiv w:val="1"/>
      <w:marLeft w:val="0"/>
      <w:marRight w:val="0"/>
      <w:marTop w:val="0"/>
      <w:marBottom w:val="0"/>
      <w:divBdr>
        <w:top w:val="none" w:sz="0" w:space="0" w:color="auto"/>
        <w:left w:val="none" w:sz="0" w:space="0" w:color="auto"/>
        <w:bottom w:val="none" w:sz="0" w:space="0" w:color="auto"/>
        <w:right w:val="none" w:sz="0" w:space="0" w:color="auto"/>
      </w:divBdr>
    </w:div>
    <w:div w:id="1264537135">
      <w:bodyDiv w:val="1"/>
      <w:marLeft w:val="0"/>
      <w:marRight w:val="0"/>
      <w:marTop w:val="0"/>
      <w:marBottom w:val="0"/>
      <w:divBdr>
        <w:top w:val="none" w:sz="0" w:space="0" w:color="auto"/>
        <w:left w:val="none" w:sz="0" w:space="0" w:color="auto"/>
        <w:bottom w:val="none" w:sz="0" w:space="0" w:color="auto"/>
        <w:right w:val="none" w:sz="0" w:space="0" w:color="auto"/>
      </w:divBdr>
    </w:div>
    <w:div w:id="1268929326">
      <w:bodyDiv w:val="1"/>
      <w:marLeft w:val="0"/>
      <w:marRight w:val="0"/>
      <w:marTop w:val="0"/>
      <w:marBottom w:val="0"/>
      <w:divBdr>
        <w:top w:val="none" w:sz="0" w:space="0" w:color="auto"/>
        <w:left w:val="none" w:sz="0" w:space="0" w:color="auto"/>
        <w:bottom w:val="none" w:sz="0" w:space="0" w:color="auto"/>
        <w:right w:val="none" w:sz="0" w:space="0" w:color="auto"/>
      </w:divBdr>
      <w:divsChild>
        <w:div w:id="467749024">
          <w:blockQuote w:val="1"/>
          <w:marLeft w:val="720"/>
          <w:marRight w:val="720"/>
          <w:marTop w:val="100"/>
          <w:marBottom w:val="100"/>
          <w:divBdr>
            <w:top w:val="none" w:sz="0" w:space="0" w:color="auto"/>
            <w:left w:val="none" w:sz="0" w:space="0" w:color="auto"/>
            <w:bottom w:val="none" w:sz="0" w:space="0" w:color="auto"/>
            <w:right w:val="none" w:sz="0" w:space="0" w:color="auto"/>
          </w:divBdr>
        </w:div>
        <w:div w:id="242227711">
          <w:marLeft w:val="0"/>
          <w:marRight w:val="0"/>
          <w:marTop w:val="0"/>
          <w:marBottom w:val="0"/>
          <w:divBdr>
            <w:top w:val="none" w:sz="0" w:space="0" w:color="auto"/>
            <w:left w:val="none" w:sz="0" w:space="0" w:color="auto"/>
            <w:bottom w:val="none" w:sz="0" w:space="0" w:color="auto"/>
            <w:right w:val="none" w:sz="0" w:space="0" w:color="auto"/>
          </w:divBdr>
          <w:divsChild>
            <w:div w:id="69200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388661">
      <w:bodyDiv w:val="1"/>
      <w:marLeft w:val="0"/>
      <w:marRight w:val="0"/>
      <w:marTop w:val="0"/>
      <w:marBottom w:val="0"/>
      <w:divBdr>
        <w:top w:val="none" w:sz="0" w:space="0" w:color="auto"/>
        <w:left w:val="none" w:sz="0" w:space="0" w:color="auto"/>
        <w:bottom w:val="none" w:sz="0" w:space="0" w:color="auto"/>
        <w:right w:val="none" w:sz="0" w:space="0" w:color="auto"/>
      </w:divBdr>
      <w:divsChild>
        <w:div w:id="1208955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6447171">
      <w:bodyDiv w:val="1"/>
      <w:marLeft w:val="0"/>
      <w:marRight w:val="0"/>
      <w:marTop w:val="0"/>
      <w:marBottom w:val="0"/>
      <w:divBdr>
        <w:top w:val="none" w:sz="0" w:space="0" w:color="auto"/>
        <w:left w:val="none" w:sz="0" w:space="0" w:color="auto"/>
        <w:bottom w:val="none" w:sz="0" w:space="0" w:color="auto"/>
        <w:right w:val="none" w:sz="0" w:space="0" w:color="auto"/>
      </w:divBdr>
    </w:div>
    <w:div w:id="1299064685">
      <w:bodyDiv w:val="1"/>
      <w:marLeft w:val="0"/>
      <w:marRight w:val="0"/>
      <w:marTop w:val="0"/>
      <w:marBottom w:val="0"/>
      <w:divBdr>
        <w:top w:val="none" w:sz="0" w:space="0" w:color="auto"/>
        <w:left w:val="none" w:sz="0" w:space="0" w:color="auto"/>
        <w:bottom w:val="none" w:sz="0" w:space="0" w:color="auto"/>
        <w:right w:val="none" w:sz="0" w:space="0" w:color="auto"/>
      </w:divBdr>
      <w:divsChild>
        <w:div w:id="1998731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113916">
      <w:bodyDiv w:val="1"/>
      <w:marLeft w:val="0"/>
      <w:marRight w:val="0"/>
      <w:marTop w:val="0"/>
      <w:marBottom w:val="0"/>
      <w:divBdr>
        <w:top w:val="none" w:sz="0" w:space="0" w:color="auto"/>
        <w:left w:val="none" w:sz="0" w:space="0" w:color="auto"/>
        <w:bottom w:val="none" w:sz="0" w:space="0" w:color="auto"/>
        <w:right w:val="none" w:sz="0" w:space="0" w:color="auto"/>
      </w:divBdr>
    </w:div>
    <w:div w:id="1311716318">
      <w:bodyDiv w:val="1"/>
      <w:marLeft w:val="0"/>
      <w:marRight w:val="0"/>
      <w:marTop w:val="0"/>
      <w:marBottom w:val="0"/>
      <w:divBdr>
        <w:top w:val="none" w:sz="0" w:space="0" w:color="auto"/>
        <w:left w:val="none" w:sz="0" w:space="0" w:color="auto"/>
        <w:bottom w:val="none" w:sz="0" w:space="0" w:color="auto"/>
        <w:right w:val="none" w:sz="0" w:space="0" w:color="auto"/>
      </w:divBdr>
    </w:div>
    <w:div w:id="1311910842">
      <w:bodyDiv w:val="1"/>
      <w:marLeft w:val="0"/>
      <w:marRight w:val="0"/>
      <w:marTop w:val="0"/>
      <w:marBottom w:val="0"/>
      <w:divBdr>
        <w:top w:val="none" w:sz="0" w:space="0" w:color="auto"/>
        <w:left w:val="none" w:sz="0" w:space="0" w:color="auto"/>
        <w:bottom w:val="none" w:sz="0" w:space="0" w:color="auto"/>
        <w:right w:val="none" w:sz="0" w:space="0" w:color="auto"/>
      </w:divBdr>
      <w:divsChild>
        <w:div w:id="2328162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983168">
      <w:bodyDiv w:val="1"/>
      <w:marLeft w:val="0"/>
      <w:marRight w:val="0"/>
      <w:marTop w:val="0"/>
      <w:marBottom w:val="0"/>
      <w:divBdr>
        <w:top w:val="none" w:sz="0" w:space="0" w:color="auto"/>
        <w:left w:val="none" w:sz="0" w:space="0" w:color="auto"/>
        <w:bottom w:val="none" w:sz="0" w:space="0" w:color="auto"/>
        <w:right w:val="none" w:sz="0" w:space="0" w:color="auto"/>
      </w:divBdr>
    </w:div>
    <w:div w:id="1314528127">
      <w:bodyDiv w:val="1"/>
      <w:marLeft w:val="0"/>
      <w:marRight w:val="0"/>
      <w:marTop w:val="0"/>
      <w:marBottom w:val="0"/>
      <w:divBdr>
        <w:top w:val="none" w:sz="0" w:space="0" w:color="auto"/>
        <w:left w:val="none" w:sz="0" w:space="0" w:color="auto"/>
        <w:bottom w:val="none" w:sz="0" w:space="0" w:color="auto"/>
        <w:right w:val="none" w:sz="0" w:space="0" w:color="auto"/>
      </w:divBdr>
    </w:div>
    <w:div w:id="1316447976">
      <w:bodyDiv w:val="1"/>
      <w:marLeft w:val="0"/>
      <w:marRight w:val="0"/>
      <w:marTop w:val="0"/>
      <w:marBottom w:val="0"/>
      <w:divBdr>
        <w:top w:val="none" w:sz="0" w:space="0" w:color="auto"/>
        <w:left w:val="none" w:sz="0" w:space="0" w:color="auto"/>
        <w:bottom w:val="none" w:sz="0" w:space="0" w:color="auto"/>
        <w:right w:val="none" w:sz="0" w:space="0" w:color="auto"/>
      </w:divBdr>
    </w:div>
    <w:div w:id="1318873828">
      <w:bodyDiv w:val="1"/>
      <w:marLeft w:val="0"/>
      <w:marRight w:val="0"/>
      <w:marTop w:val="0"/>
      <w:marBottom w:val="0"/>
      <w:divBdr>
        <w:top w:val="none" w:sz="0" w:space="0" w:color="auto"/>
        <w:left w:val="none" w:sz="0" w:space="0" w:color="auto"/>
        <w:bottom w:val="none" w:sz="0" w:space="0" w:color="auto"/>
        <w:right w:val="none" w:sz="0" w:space="0" w:color="auto"/>
      </w:divBdr>
    </w:div>
    <w:div w:id="1320425809">
      <w:bodyDiv w:val="1"/>
      <w:marLeft w:val="0"/>
      <w:marRight w:val="0"/>
      <w:marTop w:val="0"/>
      <w:marBottom w:val="0"/>
      <w:divBdr>
        <w:top w:val="none" w:sz="0" w:space="0" w:color="auto"/>
        <w:left w:val="none" w:sz="0" w:space="0" w:color="auto"/>
        <w:bottom w:val="none" w:sz="0" w:space="0" w:color="auto"/>
        <w:right w:val="none" w:sz="0" w:space="0" w:color="auto"/>
      </w:divBdr>
      <w:divsChild>
        <w:div w:id="17923570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2273160">
      <w:bodyDiv w:val="1"/>
      <w:marLeft w:val="0"/>
      <w:marRight w:val="0"/>
      <w:marTop w:val="0"/>
      <w:marBottom w:val="0"/>
      <w:divBdr>
        <w:top w:val="none" w:sz="0" w:space="0" w:color="auto"/>
        <w:left w:val="none" w:sz="0" w:space="0" w:color="auto"/>
        <w:bottom w:val="none" w:sz="0" w:space="0" w:color="auto"/>
        <w:right w:val="none" w:sz="0" w:space="0" w:color="auto"/>
      </w:divBdr>
    </w:div>
    <w:div w:id="1323584077">
      <w:bodyDiv w:val="1"/>
      <w:marLeft w:val="0"/>
      <w:marRight w:val="0"/>
      <w:marTop w:val="0"/>
      <w:marBottom w:val="0"/>
      <w:divBdr>
        <w:top w:val="none" w:sz="0" w:space="0" w:color="auto"/>
        <w:left w:val="none" w:sz="0" w:space="0" w:color="auto"/>
        <w:bottom w:val="none" w:sz="0" w:space="0" w:color="auto"/>
        <w:right w:val="none" w:sz="0" w:space="0" w:color="auto"/>
      </w:divBdr>
    </w:div>
    <w:div w:id="1324623417">
      <w:bodyDiv w:val="1"/>
      <w:marLeft w:val="0"/>
      <w:marRight w:val="0"/>
      <w:marTop w:val="0"/>
      <w:marBottom w:val="0"/>
      <w:divBdr>
        <w:top w:val="none" w:sz="0" w:space="0" w:color="auto"/>
        <w:left w:val="none" w:sz="0" w:space="0" w:color="auto"/>
        <w:bottom w:val="none" w:sz="0" w:space="0" w:color="auto"/>
        <w:right w:val="none" w:sz="0" w:space="0" w:color="auto"/>
      </w:divBdr>
    </w:div>
    <w:div w:id="1325740271">
      <w:bodyDiv w:val="1"/>
      <w:marLeft w:val="0"/>
      <w:marRight w:val="0"/>
      <w:marTop w:val="0"/>
      <w:marBottom w:val="0"/>
      <w:divBdr>
        <w:top w:val="none" w:sz="0" w:space="0" w:color="auto"/>
        <w:left w:val="none" w:sz="0" w:space="0" w:color="auto"/>
        <w:bottom w:val="none" w:sz="0" w:space="0" w:color="auto"/>
        <w:right w:val="none" w:sz="0" w:space="0" w:color="auto"/>
      </w:divBdr>
    </w:div>
    <w:div w:id="1330212725">
      <w:bodyDiv w:val="1"/>
      <w:marLeft w:val="0"/>
      <w:marRight w:val="0"/>
      <w:marTop w:val="0"/>
      <w:marBottom w:val="0"/>
      <w:divBdr>
        <w:top w:val="none" w:sz="0" w:space="0" w:color="auto"/>
        <w:left w:val="none" w:sz="0" w:space="0" w:color="auto"/>
        <w:bottom w:val="none" w:sz="0" w:space="0" w:color="auto"/>
        <w:right w:val="none" w:sz="0" w:space="0" w:color="auto"/>
      </w:divBdr>
    </w:div>
    <w:div w:id="1332218177">
      <w:bodyDiv w:val="1"/>
      <w:marLeft w:val="0"/>
      <w:marRight w:val="0"/>
      <w:marTop w:val="0"/>
      <w:marBottom w:val="0"/>
      <w:divBdr>
        <w:top w:val="none" w:sz="0" w:space="0" w:color="auto"/>
        <w:left w:val="none" w:sz="0" w:space="0" w:color="auto"/>
        <w:bottom w:val="none" w:sz="0" w:space="0" w:color="auto"/>
        <w:right w:val="none" w:sz="0" w:space="0" w:color="auto"/>
      </w:divBdr>
    </w:div>
    <w:div w:id="1334264798">
      <w:bodyDiv w:val="1"/>
      <w:marLeft w:val="0"/>
      <w:marRight w:val="0"/>
      <w:marTop w:val="0"/>
      <w:marBottom w:val="0"/>
      <w:divBdr>
        <w:top w:val="none" w:sz="0" w:space="0" w:color="auto"/>
        <w:left w:val="none" w:sz="0" w:space="0" w:color="auto"/>
        <w:bottom w:val="none" w:sz="0" w:space="0" w:color="auto"/>
        <w:right w:val="none" w:sz="0" w:space="0" w:color="auto"/>
      </w:divBdr>
    </w:div>
    <w:div w:id="1342706057">
      <w:bodyDiv w:val="1"/>
      <w:marLeft w:val="0"/>
      <w:marRight w:val="0"/>
      <w:marTop w:val="0"/>
      <w:marBottom w:val="0"/>
      <w:divBdr>
        <w:top w:val="none" w:sz="0" w:space="0" w:color="auto"/>
        <w:left w:val="none" w:sz="0" w:space="0" w:color="auto"/>
        <w:bottom w:val="none" w:sz="0" w:space="0" w:color="auto"/>
        <w:right w:val="none" w:sz="0" w:space="0" w:color="auto"/>
      </w:divBdr>
    </w:div>
    <w:div w:id="1343431973">
      <w:bodyDiv w:val="1"/>
      <w:marLeft w:val="0"/>
      <w:marRight w:val="0"/>
      <w:marTop w:val="0"/>
      <w:marBottom w:val="0"/>
      <w:divBdr>
        <w:top w:val="none" w:sz="0" w:space="0" w:color="auto"/>
        <w:left w:val="none" w:sz="0" w:space="0" w:color="auto"/>
        <w:bottom w:val="none" w:sz="0" w:space="0" w:color="auto"/>
        <w:right w:val="none" w:sz="0" w:space="0" w:color="auto"/>
      </w:divBdr>
      <w:divsChild>
        <w:div w:id="1077824326">
          <w:marLeft w:val="0"/>
          <w:marRight w:val="0"/>
          <w:marTop w:val="0"/>
          <w:marBottom w:val="0"/>
          <w:divBdr>
            <w:top w:val="none" w:sz="0" w:space="0" w:color="auto"/>
            <w:left w:val="none" w:sz="0" w:space="0" w:color="auto"/>
            <w:bottom w:val="none" w:sz="0" w:space="0" w:color="auto"/>
            <w:right w:val="none" w:sz="0" w:space="0" w:color="auto"/>
          </w:divBdr>
          <w:divsChild>
            <w:div w:id="48910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862084">
      <w:bodyDiv w:val="1"/>
      <w:marLeft w:val="0"/>
      <w:marRight w:val="0"/>
      <w:marTop w:val="0"/>
      <w:marBottom w:val="0"/>
      <w:divBdr>
        <w:top w:val="none" w:sz="0" w:space="0" w:color="auto"/>
        <w:left w:val="none" w:sz="0" w:space="0" w:color="auto"/>
        <w:bottom w:val="none" w:sz="0" w:space="0" w:color="auto"/>
        <w:right w:val="none" w:sz="0" w:space="0" w:color="auto"/>
      </w:divBdr>
    </w:div>
    <w:div w:id="1352953266">
      <w:bodyDiv w:val="1"/>
      <w:marLeft w:val="0"/>
      <w:marRight w:val="0"/>
      <w:marTop w:val="0"/>
      <w:marBottom w:val="0"/>
      <w:divBdr>
        <w:top w:val="none" w:sz="0" w:space="0" w:color="auto"/>
        <w:left w:val="none" w:sz="0" w:space="0" w:color="auto"/>
        <w:bottom w:val="none" w:sz="0" w:space="0" w:color="auto"/>
        <w:right w:val="none" w:sz="0" w:space="0" w:color="auto"/>
      </w:divBdr>
    </w:div>
    <w:div w:id="1354377117">
      <w:bodyDiv w:val="1"/>
      <w:marLeft w:val="0"/>
      <w:marRight w:val="0"/>
      <w:marTop w:val="0"/>
      <w:marBottom w:val="0"/>
      <w:divBdr>
        <w:top w:val="none" w:sz="0" w:space="0" w:color="auto"/>
        <w:left w:val="none" w:sz="0" w:space="0" w:color="auto"/>
        <w:bottom w:val="none" w:sz="0" w:space="0" w:color="auto"/>
        <w:right w:val="none" w:sz="0" w:space="0" w:color="auto"/>
      </w:divBdr>
    </w:div>
    <w:div w:id="1357074698">
      <w:bodyDiv w:val="1"/>
      <w:marLeft w:val="0"/>
      <w:marRight w:val="0"/>
      <w:marTop w:val="0"/>
      <w:marBottom w:val="0"/>
      <w:divBdr>
        <w:top w:val="none" w:sz="0" w:space="0" w:color="auto"/>
        <w:left w:val="none" w:sz="0" w:space="0" w:color="auto"/>
        <w:bottom w:val="none" w:sz="0" w:space="0" w:color="auto"/>
        <w:right w:val="none" w:sz="0" w:space="0" w:color="auto"/>
      </w:divBdr>
    </w:div>
    <w:div w:id="1357342090">
      <w:bodyDiv w:val="1"/>
      <w:marLeft w:val="0"/>
      <w:marRight w:val="0"/>
      <w:marTop w:val="0"/>
      <w:marBottom w:val="0"/>
      <w:divBdr>
        <w:top w:val="none" w:sz="0" w:space="0" w:color="auto"/>
        <w:left w:val="none" w:sz="0" w:space="0" w:color="auto"/>
        <w:bottom w:val="none" w:sz="0" w:space="0" w:color="auto"/>
        <w:right w:val="none" w:sz="0" w:space="0" w:color="auto"/>
      </w:divBdr>
    </w:div>
    <w:div w:id="1359896493">
      <w:bodyDiv w:val="1"/>
      <w:marLeft w:val="0"/>
      <w:marRight w:val="0"/>
      <w:marTop w:val="0"/>
      <w:marBottom w:val="0"/>
      <w:divBdr>
        <w:top w:val="none" w:sz="0" w:space="0" w:color="auto"/>
        <w:left w:val="none" w:sz="0" w:space="0" w:color="auto"/>
        <w:bottom w:val="none" w:sz="0" w:space="0" w:color="auto"/>
        <w:right w:val="none" w:sz="0" w:space="0" w:color="auto"/>
      </w:divBdr>
    </w:div>
    <w:div w:id="1361854276">
      <w:bodyDiv w:val="1"/>
      <w:marLeft w:val="0"/>
      <w:marRight w:val="0"/>
      <w:marTop w:val="0"/>
      <w:marBottom w:val="0"/>
      <w:divBdr>
        <w:top w:val="none" w:sz="0" w:space="0" w:color="auto"/>
        <w:left w:val="none" w:sz="0" w:space="0" w:color="auto"/>
        <w:bottom w:val="none" w:sz="0" w:space="0" w:color="auto"/>
        <w:right w:val="none" w:sz="0" w:space="0" w:color="auto"/>
      </w:divBdr>
    </w:div>
    <w:div w:id="1363897199">
      <w:bodyDiv w:val="1"/>
      <w:marLeft w:val="0"/>
      <w:marRight w:val="0"/>
      <w:marTop w:val="0"/>
      <w:marBottom w:val="0"/>
      <w:divBdr>
        <w:top w:val="none" w:sz="0" w:space="0" w:color="auto"/>
        <w:left w:val="none" w:sz="0" w:space="0" w:color="auto"/>
        <w:bottom w:val="none" w:sz="0" w:space="0" w:color="auto"/>
        <w:right w:val="none" w:sz="0" w:space="0" w:color="auto"/>
      </w:divBdr>
    </w:div>
    <w:div w:id="1370376774">
      <w:bodyDiv w:val="1"/>
      <w:marLeft w:val="0"/>
      <w:marRight w:val="0"/>
      <w:marTop w:val="0"/>
      <w:marBottom w:val="0"/>
      <w:divBdr>
        <w:top w:val="none" w:sz="0" w:space="0" w:color="auto"/>
        <w:left w:val="none" w:sz="0" w:space="0" w:color="auto"/>
        <w:bottom w:val="none" w:sz="0" w:space="0" w:color="auto"/>
        <w:right w:val="none" w:sz="0" w:space="0" w:color="auto"/>
      </w:divBdr>
    </w:div>
    <w:div w:id="1376075462">
      <w:bodyDiv w:val="1"/>
      <w:marLeft w:val="0"/>
      <w:marRight w:val="0"/>
      <w:marTop w:val="0"/>
      <w:marBottom w:val="0"/>
      <w:divBdr>
        <w:top w:val="none" w:sz="0" w:space="0" w:color="auto"/>
        <w:left w:val="none" w:sz="0" w:space="0" w:color="auto"/>
        <w:bottom w:val="none" w:sz="0" w:space="0" w:color="auto"/>
        <w:right w:val="none" w:sz="0" w:space="0" w:color="auto"/>
      </w:divBdr>
    </w:div>
    <w:div w:id="1378820325">
      <w:bodyDiv w:val="1"/>
      <w:marLeft w:val="0"/>
      <w:marRight w:val="0"/>
      <w:marTop w:val="0"/>
      <w:marBottom w:val="0"/>
      <w:divBdr>
        <w:top w:val="none" w:sz="0" w:space="0" w:color="auto"/>
        <w:left w:val="none" w:sz="0" w:space="0" w:color="auto"/>
        <w:bottom w:val="none" w:sz="0" w:space="0" w:color="auto"/>
        <w:right w:val="none" w:sz="0" w:space="0" w:color="auto"/>
      </w:divBdr>
    </w:div>
    <w:div w:id="1381133410">
      <w:bodyDiv w:val="1"/>
      <w:marLeft w:val="0"/>
      <w:marRight w:val="0"/>
      <w:marTop w:val="0"/>
      <w:marBottom w:val="0"/>
      <w:divBdr>
        <w:top w:val="none" w:sz="0" w:space="0" w:color="auto"/>
        <w:left w:val="none" w:sz="0" w:space="0" w:color="auto"/>
        <w:bottom w:val="none" w:sz="0" w:space="0" w:color="auto"/>
        <w:right w:val="none" w:sz="0" w:space="0" w:color="auto"/>
      </w:divBdr>
      <w:divsChild>
        <w:div w:id="123933377">
          <w:blockQuote w:val="1"/>
          <w:marLeft w:val="720"/>
          <w:marRight w:val="720"/>
          <w:marTop w:val="100"/>
          <w:marBottom w:val="100"/>
          <w:divBdr>
            <w:top w:val="none" w:sz="0" w:space="0" w:color="auto"/>
            <w:left w:val="none" w:sz="0" w:space="0" w:color="auto"/>
            <w:bottom w:val="none" w:sz="0" w:space="0" w:color="auto"/>
            <w:right w:val="none" w:sz="0" w:space="0" w:color="auto"/>
          </w:divBdr>
        </w:div>
        <w:div w:id="71893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6294787">
      <w:bodyDiv w:val="1"/>
      <w:marLeft w:val="0"/>
      <w:marRight w:val="0"/>
      <w:marTop w:val="0"/>
      <w:marBottom w:val="0"/>
      <w:divBdr>
        <w:top w:val="none" w:sz="0" w:space="0" w:color="auto"/>
        <w:left w:val="none" w:sz="0" w:space="0" w:color="auto"/>
        <w:bottom w:val="none" w:sz="0" w:space="0" w:color="auto"/>
        <w:right w:val="none" w:sz="0" w:space="0" w:color="auto"/>
      </w:divBdr>
    </w:div>
    <w:div w:id="1407220503">
      <w:bodyDiv w:val="1"/>
      <w:marLeft w:val="0"/>
      <w:marRight w:val="0"/>
      <w:marTop w:val="0"/>
      <w:marBottom w:val="0"/>
      <w:divBdr>
        <w:top w:val="none" w:sz="0" w:space="0" w:color="auto"/>
        <w:left w:val="none" w:sz="0" w:space="0" w:color="auto"/>
        <w:bottom w:val="none" w:sz="0" w:space="0" w:color="auto"/>
        <w:right w:val="none" w:sz="0" w:space="0" w:color="auto"/>
      </w:divBdr>
    </w:div>
    <w:div w:id="1413896744">
      <w:bodyDiv w:val="1"/>
      <w:marLeft w:val="0"/>
      <w:marRight w:val="0"/>
      <w:marTop w:val="0"/>
      <w:marBottom w:val="0"/>
      <w:divBdr>
        <w:top w:val="none" w:sz="0" w:space="0" w:color="auto"/>
        <w:left w:val="none" w:sz="0" w:space="0" w:color="auto"/>
        <w:bottom w:val="none" w:sz="0" w:space="0" w:color="auto"/>
        <w:right w:val="none" w:sz="0" w:space="0" w:color="auto"/>
      </w:divBdr>
    </w:div>
    <w:div w:id="1425610926">
      <w:bodyDiv w:val="1"/>
      <w:marLeft w:val="0"/>
      <w:marRight w:val="0"/>
      <w:marTop w:val="0"/>
      <w:marBottom w:val="0"/>
      <w:divBdr>
        <w:top w:val="none" w:sz="0" w:space="0" w:color="auto"/>
        <w:left w:val="none" w:sz="0" w:space="0" w:color="auto"/>
        <w:bottom w:val="none" w:sz="0" w:space="0" w:color="auto"/>
        <w:right w:val="none" w:sz="0" w:space="0" w:color="auto"/>
      </w:divBdr>
    </w:div>
    <w:div w:id="1431202396">
      <w:bodyDiv w:val="1"/>
      <w:marLeft w:val="0"/>
      <w:marRight w:val="0"/>
      <w:marTop w:val="0"/>
      <w:marBottom w:val="0"/>
      <w:divBdr>
        <w:top w:val="none" w:sz="0" w:space="0" w:color="auto"/>
        <w:left w:val="none" w:sz="0" w:space="0" w:color="auto"/>
        <w:bottom w:val="none" w:sz="0" w:space="0" w:color="auto"/>
        <w:right w:val="none" w:sz="0" w:space="0" w:color="auto"/>
      </w:divBdr>
      <w:divsChild>
        <w:div w:id="17268771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7602651">
      <w:bodyDiv w:val="1"/>
      <w:marLeft w:val="0"/>
      <w:marRight w:val="0"/>
      <w:marTop w:val="0"/>
      <w:marBottom w:val="0"/>
      <w:divBdr>
        <w:top w:val="none" w:sz="0" w:space="0" w:color="auto"/>
        <w:left w:val="none" w:sz="0" w:space="0" w:color="auto"/>
        <w:bottom w:val="none" w:sz="0" w:space="0" w:color="auto"/>
        <w:right w:val="none" w:sz="0" w:space="0" w:color="auto"/>
      </w:divBdr>
    </w:div>
    <w:div w:id="1445884464">
      <w:bodyDiv w:val="1"/>
      <w:marLeft w:val="0"/>
      <w:marRight w:val="0"/>
      <w:marTop w:val="0"/>
      <w:marBottom w:val="0"/>
      <w:divBdr>
        <w:top w:val="none" w:sz="0" w:space="0" w:color="auto"/>
        <w:left w:val="none" w:sz="0" w:space="0" w:color="auto"/>
        <w:bottom w:val="none" w:sz="0" w:space="0" w:color="auto"/>
        <w:right w:val="none" w:sz="0" w:space="0" w:color="auto"/>
      </w:divBdr>
    </w:div>
    <w:div w:id="1448085312">
      <w:bodyDiv w:val="1"/>
      <w:marLeft w:val="0"/>
      <w:marRight w:val="0"/>
      <w:marTop w:val="0"/>
      <w:marBottom w:val="0"/>
      <w:divBdr>
        <w:top w:val="none" w:sz="0" w:space="0" w:color="auto"/>
        <w:left w:val="none" w:sz="0" w:space="0" w:color="auto"/>
        <w:bottom w:val="none" w:sz="0" w:space="0" w:color="auto"/>
        <w:right w:val="none" w:sz="0" w:space="0" w:color="auto"/>
      </w:divBdr>
    </w:div>
    <w:div w:id="1457135969">
      <w:bodyDiv w:val="1"/>
      <w:marLeft w:val="0"/>
      <w:marRight w:val="0"/>
      <w:marTop w:val="0"/>
      <w:marBottom w:val="0"/>
      <w:divBdr>
        <w:top w:val="none" w:sz="0" w:space="0" w:color="auto"/>
        <w:left w:val="none" w:sz="0" w:space="0" w:color="auto"/>
        <w:bottom w:val="none" w:sz="0" w:space="0" w:color="auto"/>
        <w:right w:val="none" w:sz="0" w:space="0" w:color="auto"/>
      </w:divBdr>
    </w:div>
    <w:div w:id="1457404372">
      <w:bodyDiv w:val="1"/>
      <w:marLeft w:val="0"/>
      <w:marRight w:val="0"/>
      <w:marTop w:val="0"/>
      <w:marBottom w:val="0"/>
      <w:divBdr>
        <w:top w:val="none" w:sz="0" w:space="0" w:color="auto"/>
        <w:left w:val="none" w:sz="0" w:space="0" w:color="auto"/>
        <w:bottom w:val="none" w:sz="0" w:space="0" w:color="auto"/>
        <w:right w:val="none" w:sz="0" w:space="0" w:color="auto"/>
      </w:divBdr>
    </w:div>
    <w:div w:id="1463769412">
      <w:bodyDiv w:val="1"/>
      <w:marLeft w:val="0"/>
      <w:marRight w:val="0"/>
      <w:marTop w:val="0"/>
      <w:marBottom w:val="0"/>
      <w:divBdr>
        <w:top w:val="none" w:sz="0" w:space="0" w:color="auto"/>
        <w:left w:val="none" w:sz="0" w:space="0" w:color="auto"/>
        <w:bottom w:val="none" w:sz="0" w:space="0" w:color="auto"/>
        <w:right w:val="none" w:sz="0" w:space="0" w:color="auto"/>
      </w:divBdr>
    </w:div>
    <w:div w:id="1464156324">
      <w:bodyDiv w:val="1"/>
      <w:marLeft w:val="0"/>
      <w:marRight w:val="0"/>
      <w:marTop w:val="0"/>
      <w:marBottom w:val="0"/>
      <w:divBdr>
        <w:top w:val="none" w:sz="0" w:space="0" w:color="auto"/>
        <w:left w:val="none" w:sz="0" w:space="0" w:color="auto"/>
        <w:bottom w:val="none" w:sz="0" w:space="0" w:color="auto"/>
        <w:right w:val="none" w:sz="0" w:space="0" w:color="auto"/>
      </w:divBdr>
    </w:div>
    <w:div w:id="1465851371">
      <w:bodyDiv w:val="1"/>
      <w:marLeft w:val="0"/>
      <w:marRight w:val="0"/>
      <w:marTop w:val="0"/>
      <w:marBottom w:val="0"/>
      <w:divBdr>
        <w:top w:val="none" w:sz="0" w:space="0" w:color="auto"/>
        <w:left w:val="none" w:sz="0" w:space="0" w:color="auto"/>
        <w:bottom w:val="none" w:sz="0" w:space="0" w:color="auto"/>
        <w:right w:val="none" w:sz="0" w:space="0" w:color="auto"/>
      </w:divBdr>
    </w:div>
    <w:div w:id="1471749022">
      <w:bodyDiv w:val="1"/>
      <w:marLeft w:val="0"/>
      <w:marRight w:val="0"/>
      <w:marTop w:val="0"/>
      <w:marBottom w:val="0"/>
      <w:divBdr>
        <w:top w:val="none" w:sz="0" w:space="0" w:color="auto"/>
        <w:left w:val="none" w:sz="0" w:space="0" w:color="auto"/>
        <w:bottom w:val="none" w:sz="0" w:space="0" w:color="auto"/>
        <w:right w:val="none" w:sz="0" w:space="0" w:color="auto"/>
      </w:divBdr>
    </w:div>
    <w:div w:id="1477840857">
      <w:bodyDiv w:val="1"/>
      <w:marLeft w:val="0"/>
      <w:marRight w:val="0"/>
      <w:marTop w:val="0"/>
      <w:marBottom w:val="0"/>
      <w:divBdr>
        <w:top w:val="none" w:sz="0" w:space="0" w:color="auto"/>
        <w:left w:val="none" w:sz="0" w:space="0" w:color="auto"/>
        <w:bottom w:val="none" w:sz="0" w:space="0" w:color="auto"/>
        <w:right w:val="none" w:sz="0" w:space="0" w:color="auto"/>
      </w:divBdr>
    </w:div>
    <w:div w:id="1482162411">
      <w:bodyDiv w:val="1"/>
      <w:marLeft w:val="0"/>
      <w:marRight w:val="0"/>
      <w:marTop w:val="0"/>
      <w:marBottom w:val="0"/>
      <w:divBdr>
        <w:top w:val="none" w:sz="0" w:space="0" w:color="auto"/>
        <w:left w:val="none" w:sz="0" w:space="0" w:color="auto"/>
        <w:bottom w:val="none" w:sz="0" w:space="0" w:color="auto"/>
        <w:right w:val="none" w:sz="0" w:space="0" w:color="auto"/>
      </w:divBdr>
    </w:div>
    <w:div w:id="1483931782">
      <w:bodyDiv w:val="1"/>
      <w:marLeft w:val="0"/>
      <w:marRight w:val="0"/>
      <w:marTop w:val="0"/>
      <w:marBottom w:val="0"/>
      <w:divBdr>
        <w:top w:val="none" w:sz="0" w:space="0" w:color="auto"/>
        <w:left w:val="none" w:sz="0" w:space="0" w:color="auto"/>
        <w:bottom w:val="none" w:sz="0" w:space="0" w:color="auto"/>
        <w:right w:val="none" w:sz="0" w:space="0" w:color="auto"/>
      </w:divBdr>
    </w:div>
    <w:div w:id="1484659736">
      <w:bodyDiv w:val="1"/>
      <w:marLeft w:val="0"/>
      <w:marRight w:val="0"/>
      <w:marTop w:val="0"/>
      <w:marBottom w:val="0"/>
      <w:divBdr>
        <w:top w:val="none" w:sz="0" w:space="0" w:color="auto"/>
        <w:left w:val="none" w:sz="0" w:space="0" w:color="auto"/>
        <w:bottom w:val="none" w:sz="0" w:space="0" w:color="auto"/>
        <w:right w:val="none" w:sz="0" w:space="0" w:color="auto"/>
      </w:divBdr>
      <w:divsChild>
        <w:div w:id="178843085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29941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5296819">
      <w:bodyDiv w:val="1"/>
      <w:marLeft w:val="0"/>
      <w:marRight w:val="0"/>
      <w:marTop w:val="0"/>
      <w:marBottom w:val="0"/>
      <w:divBdr>
        <w:top w:val="none" w:sz="0" w:space="0" w:color="auto"/>
        <w:left w:val="none" w:sz="0" w:space="0" w:color="auto"/>
        <w:bottom w:val="none" w:sz="0" w:space="0" w:color="auto"/>
        <w:right w:val="none" w:sz="0" w:space="0" w:color="auto"/>
      </w:divBdr>
    </w:div>
    <w:div w:id="1498184963">
      <w:bodyDiv w:val="1"/>
      <w:marLeft w:val="0"/>
      <w:marRight w:val="0"/>
      <w:marTop w:val="0"/>
      <w:marBottom w:val="0"/>
      <w:divBdr>
        <w:top w:val="none" w:sz="0" w:space="0" w:color="auto"/>
        <w:left w:val="none" w:sz="0" w:space="0" w:color="auto"/>
        <w:bottom w:val="none" w:sz="0" w:space="0" w:color="auto"/>
        <w:right w:val="none" w:sz="0" w:space="0" w:color="auto"/>
      </w:divBdr>
    </w:div>
    <w:div w:id="1499535494">
      <w:bodyDiv w:val="1"/>
      <w:marLeft w:val="0"/>
      <w:marRight w:val="0"/>
      <w:marTop w:val="0"/>
      <w:marBottom w:val="0"/>
      <w:divBdr>
        <w:top w:val="none" w:sz="0" w:space="0" w:color="auto"/>
        <w:left w:val="none" w:sz="0" w:space="0" w:color="auto"/>
        <w:bottom w:val="none" w:sz="0" w:space="0" w:color="auto"/>
        <w:right w:val="none" w:sz="0" w:space="0" w:color="auto"/>
      </w:divBdr>
    </w:div>
    <w:div w:id="1507475919">
      <w:bodyDiv w:val="1"/>
      <w:marLeft w:val="0"/>
      <w:marRight w:val="0"/>
      <w:marTop w:val="0"/>
      <w:marBottom w:val="0"/>
      <w:divBdr>
        <w:top w:val="none" w:sz="0" w:space="0" w:color="auto"/>
        <w:left w:val="none" w:sz="0" w:space="0" w:color="auto"/>
        <w:bottom w:val="none" w:sz="0" w:space="0" w:color="auto"/>
        <w:right w:val="none" w:sz="0" w:space="0" w:color="auto"/>
      </w:divBdr>
    </w:div>
    <w:div w:id="1511721471">
      <w:bodyDiv w:val="1"/>
      <w:marLeft w:val="0"/>
      <w:marRight w:val="0"/>
      <w:marTop w:val="0"/>
      <w:marBottom w:val="0"/>
      <w:divBdr>
        <w:top w:val="none" w:sz="0" w:space="0" w:color="auto"/>
        <w:left w:val="none" w:sz="0" w:space="0" w:color="auto"/>
        <w:bottom w:val="none" w:sz="0" w:space="0" w:color="auto"/>
        <w:right w:val="none" w:sz="0" w:space="0" w:color="auto"/>
      </w:divBdr>
    </w:div>
    <w:div w:id="1520001754">
      <w:bodyDiv w:val="1"/>
      <w:marLeft w:val="0"/>
      <w:marRight w:val="0"/>
      <w:marTop w:val="0"/>
      <w:marBottom w:val="0"/>
      <w:divBdr>
        <w:top w:val="none" w:sz="0" w:space="0" w:color="auto"/>
        <w:left w:val="none" w:sz="0" w:space="0" w:color="auto"/>
        <w:bottom w:val="none" w:sz="0" w:space="0" w:color="auto"/>
        <w:right w:val="none" w:sz="0" w:space="0" w:color="auto"/>
      </w:divBdr>
    </w:div>
    <w:div w:id="1522352499">
      <w:bodyDiv w:val="1"/>
      <w:marLeft w:val="0"/>
      <w:marRight w:val="0"/>
      <w:marTop w:val="0"/>
      <w:marBottom w:val="0"/>
      <w:divBdr>
        <w:top w:val="none" w:sz="0" w:space="0" w:color="auto"/>
        <w:left w:val="none" w:sz="0" w:space="0" w:color="auto"/>
        <w:bottom w:val="none" w:sz="0" w:space="0" w:color="auto"/>
        <w:right w:val="none" w:sz="0" w:space="0" w:color="auto"/>
      </w:divBdr>
      <w:divsChild>
        <w:div w:id="1614895323">
          <w:marLeft w:val="0"/>
          <w:marRight w:val="0"/>
          <w:marTop w:val="0"/>
          <w:marBottom w:val="0"/>
          <w:divBdr>
            <w:top w:val="none" w:sz="0" w:space="0" w:color="auto"/>
            <w:left w:val="none" w:sz="0" w:space="0" w:color="auto"/>
            <w:bottom w:val="none" w:sz="0" w:space="0" w:color="auto"/>
            <w:right w:val="none" w:sz="0" w:space="0" w:color="auto"/>
          </w:divBdr>
          <w:divsChild>
            <w:div w:id="14972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740166">
      <w:bodyDiv w:val="1"/>
      <w:marLeft w:val="0"/>
      <w:marRight w:val="0"/>
      <w:marTop w:val="0"/>
      <w:marBottom w:val="0"/>
      <w:divBdr>
        <w:top w:val="none" w:sz="0" w:space="0" w:color="auto"/>
        <w:left w:val="none" w:sz="0" w:space="0" w:color="auto"/>
        <w:bottom w:val="none" w:sz="0" w:space="0" w:color="auto"/>
        <w:right w:val="none" w:sz="0" w:space="0" w:color="auto"/>
      </w:divBdr>
      <w:divsChild>
        <w:div w:id="1418208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5165908">
      <w:bodyDiv w:val="1"/>
      <w:marLeft w:val="0"/>
      <w:marRight w:val="0"/>
      <w:marTop w:val="0"/>
      <w:marBottom w:val="0"/>
      <w:divBdr>
        <w:top w:val="none" w:sz="0" w:space="0" w:color="auto"/>
        <w:left w:val="none" w:sz="0" w:space="0" w:color="auto"/>
        <w:bottom w:val="none" w:sz="0" w:space="0" w:color="auto"/>
        <w:right w:val="none" w:sz="0" w:space="0" w:color="auto"/>
      </w:divBdr>
    </w:div>
    <w:div w:id="1530680103">
      <w:bodyDiv w:val="1"/>
      <w:marLeft w:val="0"/>
      <w:marRight w:val="0"/>
      <w:marTop w:val="0"/>
      <w:marBottom w:val="0"/>
      <w:divBdr>
        <w:top w:val="none" w:sz="0" w:space="0" w:color="auto"/>
        <w:left w:val="none" w:sz="0" w:space="0" w:color="auto"/>
        <w:bottom w:val="none" w:sz="0" w:space="0" w:color="auto"/>
        <w:right w:val="none" w:sz="0" w:space="0" w:color="auto"/>
      </w:divBdr>
    </w:div>
    <w:div w:id="1532720262">
      <w:bodyDiv w:val="1"/>
      <w:marLeft w:val="0"/>
      <w:marRight w:val="0"/>
      <w:marTop w:val="0"/>
      <w:marBottom w:val="0"/>
      <w:divBdr>
        <w:top w:val="none" w:sz="0" w:space="0" w:color="auto"/>
        <w:left w:val="none" w:sz="0" w:space="0" w:color="auto"/>
        <w:bottom w:val="none" w:sz="0" w:space="0" w:color="auto"/>
        <w:right w:val="none" w:sz="0" w:space="0" w:color="auto"/>
      </w:divBdr>
    </w:div>
    <w:div w:id="1536583155">
      <w:bodyDiv w:val="1"/>
      <w:marLeft w:val="0"/>
      <w:marRight w:val="0"/>
      <w:marTop w:val="0"/>
      <w:marBottom w:val="0"/>
      <w:divBdr>
        <w:top w:val="none" w:sz="0" w:space="0" w:color="auto"/>
        <w:left w:val="none" w:sz="0" w:space="0" w:color="auto"/>
        <w:bottom w:val="none" w:sz="0" w:space="0" w:color="auto"/>
        <w:right w:val="none" w:sz="0" w:space="0" w:color="auto"/>
      </w:divBdr>
    </w:div>
    <w:div w:id="1536768503">
      <w:bodyDiv w:val="1"/>
      <w:marLeft w:val="0"/>
      <w:marRight w:val="0"/>
      <w:marTop w:val="0"/>
      <w:marBottom w:val="0"/>
      <w:divBdr>
        <w:top w:val="none" w:sz="0" w:space="0" w:color="auto"/>
        <w:left w:val="none" w:sz="0" w:space="0" w:color="auto"/>
        <w:bottom w:val="none" w:sz="0" w:space="0" w:color="auto"/>
        <w:right w:val="none" w:sz="0" w:space="0" w:color="auto"/>
      </w:divBdr>
    </w:div>
    <w:div w:id="1537504094">
      <w:bodyDiv w:val="1"/>
      <w:marLeft w:val="0"/>
      <w:marRight w:val="0"/>
      <w:marTop w:val="0"/>
      <w:marBottom w:val="0"/>
      <w:divBdr>
        <w:top w:val="none" w:sz="0" w:space="0" w:color="auto"/>
        <w:left w:val="none" w:sz="0" w:space="0" w:color="auto"/>
        <w:bottom w:val="none" w:sz="0" w:space="0" w:color="auto"/>
        <w:right w:val="none" w:sz="0" w:space="0" w:color="auto"/>
      </w:divBdr>
    </w:div>
    <w:div w:id="1538394109">
      <w:bodyDiv w:val="1"/>
      <w:marLeft w:val="0"/>
      <w:marRight w:val="0"/>
      <w:marTop w:val="0"/>
      <w:marBottom w:val="0"/>
      <w:divBdr>
        <w:top w:val="none" w:sz="0" w:space="0" w:color="auto"/>
        <w:left w:val="none" w:sz="0" w:space="0" w:color="auto"/>
        <w:bottom w:val="none" w:sz="0" w:space="0" w:color="auto"/>
        <w:right w:val="none" w:sz="0" w:space="0" w:color="auto"/>
      </w:divBdr>
    </w:div>
    <w:div w:id="1539971088">
      <w:bodyDiv w:val="1"/>
      <w:marLeft w:val="0"/>
      <w:marRight w:val="0"/>
      <w:marTop w:val="0"/>
      <w:marBottom w:val="0"/>
      <w:divBdr>
        <w:top w:val="none" w:sz="0" w:space="0" w:color="auto"/>
        <w:left w:val="none" w:sz="0" w:space="0" w:color="auto"/>
        <w:bottom w:val="none" w:sz="0" w:space="0" w:color="auto"/>
        <w:right w:val="none" w:sz="0" w:space="0" w:color="auto"/>
      </w:divBdr>
    </w:div>
    <w:div w:id="1542666661">
      <w:bodyDiv w:val="1"/>
      <w:marLeft w:val="0"/>
      <w:marRight w:val="0"/>
      <w:marTop w:val="0"/>
      <w:marBottom w:val="0"/>
      <w:divBdr>
        <w:top w:val="none" w:sz="0" w:space="0" w:color="auto"/>
        <w:left w:val="none" w:sz="0" w:space="0" w:color="auto"/>
        <w:bottom w:val="none" w:sz="0" w:space="0" w:color="auto"/>
        <w:right w:val="none" w:sz="0" w:space="0" w:color="auto"/>
      </w:divBdr>
      <w:divsChild>
        <w:div w:id="93743339">
          <w:marLeft w:val="0"/>
          <w:marRight w:val="0"/>
          <w:marTop w:val="0"/>
          <w:marBottom w:val="0"/>
          <w:divBdr>
            <w:top w:val="none" w:sz="0" w:space="0" w:color="auto"/>
            <w:left w:val="none" w:sz="0" w:space="0" w:color="auto"/>
            <w:bottom w:val="none" w:sz="0" w:space="0" w:color="auto"/>
            <w:right w:val="none" w:sz="0" w:space="0" w:color="auto"/>
          </w:divBdr>
          <w:divsChild>
            <w:div w:id="1185288887">
              <w:marLeft w:val="0"/>
              <w:marRight w:val="0"/>
              <w:marTop w:val="0"/>
              <w:marBottom w:val="0"/>
              <w:divBdr>
                <w:top w:val="none" w:sz="0" w:space="0" w:color="auto"/>
                <w:left w:val="none" w:sz="0" w:space="0" w:color="auto"/>
                <w:bottom w:val="none" w:sz="0" w:space="0" w:color="auto"/>
                <w:right w:val="none" w:sz="0" w:space="0" w:color="auto"/>
              </w:divBdr>
            </w:div>
          </w:divsChild>
        </w:div>
        <w:div w:id="1249535099">
          <w:marLeft w:val="0"/>
          <w:marRight w:val="0"/>
          <w:marTop w:val="0"/>
          <w:marBottom w:val="0"/>
          <w:divBdr>
            <w:top w:val="none" w:sz="0" w:space="0" w:color="auto"/>
            <w:left w:val="none" w:sz="0" w:space="0" w:color="auto"/>
            <w:bottom w:val="none" w:sz="0" w:space="0" w:color="auto"/>
            <w:right w:val="none" w:sz="0" w:space="0" w:color="auto"/>
          </w:divBdr>
          <w:divsChild>
            <w:div w:id="338000536">
              <w:marLeft w:val="0"/>
              <w:marRight w:val="0"/>
              <w:marTop w:val="0"/>
              <w:marBottom w:val="0"/>
              <w:divBdr>
                <w:top w:val="none" w:sz="0" w:space="0" w:color="auto"/>
                <w:left w:val="none" w:sz="0" w:space="0" w:color="auto"/>
                <w:bottom w:val="none" w:sz="0" w:space="0" w:color="auto"/>
                <w:right w:val="none" w:sz="0" w:space="0" w:color="auto"/>
              </w:divBdr>
            </w:div>
          </w:divsChild>
        </w:div>
        <w:div w:id="957183934">
          <w:marLeft w:val="0"/>
          <w:marRight w:val="0"/>
          <w:marTop w:val="0"/>
          <w:marBottom w:val="0"/>
          <w:divBdr>
            <w:top w:val="none" w:sz="0" w:space="0" w:color="auto"/>
            <w:left w:val="none" w:sz="0" w:space="0" w:color="auto"/>
            <w:bottom w:val="none" w:sz="0" w:space="0" w:color="auto"/>
            <w:right w:val="none" w:sz="0" w:space="0" w:color="auto"/>
          </w:divBdr>
          <w:divsChild>
            <w:div w:id="180874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344328">
      <w:bodyDiv w:val="1"/>
      <w:marLeft w:val="0"/>
      <w:marRight w:val="0"/>
      <w:marTop w:val="0"/>
      <w:marBottom w:val="0"/>
      <w:divBdr>
        <w:top w:val="none" w:sz="0" w:space="0" w:color="auto"/>
        <w:left w:val="none" w:sz="0" w:space="0" w:color="auto"/>
        <w:bottom w:val="none" w:sz="0" w:space="0" w:color="auto"/>
        <w:right w:val="none" w:sz="0" w:space="0" w:color="auto"/>
      </w:divBdr>
    </w:div>
    <w:div w:id="1558709504">
      <w:bodyDiv w:val="1"/>
      <w:marLeft w:val="0"/>
      <w:marRight w:val="0"/>
      <w:marTop w:val="0"/>
      <w:marBottom w:val="0"/>
      <w:divBdr>
        <w:top w:val="none" w:sz="0" w:space="0" w:color="auto"/>
        <w:left w:val="none" w:sz="0" w:space="0" w:color="auto"/>
        <w:bottom w:val="none" w:sz="0" w:space="0" w:color="auto"/>
        <w:right w:val="none" w:sz="0" w:space="0" w:color="auto"/>
      </w:divBdr>
    </w:div>
    <w:div w:id="1560240869">
      <w:bodyDiv w:val="1"/>
      <w:marLeft w:val="0"/>
      <w:marRight w:val="0"/>
      <w:marTop w:val="0"/>
      <w:marBottom w:val="0"/>
      <w:divBdr>
        <w:top w:val="none" w:sz="0" w:space="0" w:color="auto"/>
        <w:left w:val="none" w:sz="0" w:space="0" w:color="auto"/>
        <w:bottom w:val="none" w:sz="0" w:space="0" w:color="auto"/>
        <w:right w:val="none" w:sz="0" w:space="0" w:color="auto"/>
      </w:divBdr>
      <w:divsChild>
        <w:div w:id="1451557744">
          <w:marLeft w:val="0"/>
          <w:marRight w:val="0"/>
          <w:marTop w:val="0"/>
          <w:marBottom w:val="0"/>
          <w:divBdr>
            <w:top w:val="none" w:sz="0" w:space="0" w:color="auto"/>
            <w:left w:val="none" w:sz="0" w:space="0" w:color="auto"/>
            <w:bottom w:val="none" w:sz="0" w:space="0" w:color="auto"/>
            <w:right w:val="none" w:sz="0" w:space="0" w:color="auto"/>
          </w:divBdr>
          <w:divsChild>
            <w:div w:id="111648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21636">
      <w:bodyDiv w:val="1"/>
      <w:marLeft w:val="0"/>
      <w:marRight w:val="0"/>
      <w:marTop w:val="0"/>
      <w:marBottom w:val="0"/>
      <w:divBdr>
        <w:top w:val="none" w:sz="0" w:space="0" w:color="auto"/>
        <w:left w:val="none" w:sz="0" w:space="0" w:color="auto"/>
        <w:bottom w:val="none" w:sz="0" w:space="0" w:color="auto"/>
        <w:right w:val="none" w:sz="0" w:space="0" w:color="auto"/>
      </w:divBdr>
    </w:div>
    <w:div w:id="1562252089">
      <w:bodyDiv w:val="1"/>
      <w:marLeft w:val="0"/>
      <w:marRight w:val="0"/>
      <w:marTop w:val="0"/>
      <w:marBottom w:val="0"/>
      <w:divBdr>
        <w:top w:val="none" w:sz="0" w:space="0" w:color="auto"/>
        <w:left w:val="none" w:sz="0" w:space="0" w:color="auto"/>
        <w:bottom w:val="none" w:sz="0" w:space="0" w:color="auto"/>
        <w:right w:val="none" w:sz="0" w:space="0" w:color="auto"/>
      </w:divBdr>
      <w:divsChild>
        <w:div w:id="10989149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5020315">
      <w:bodyDiv w:val="1"/>
      <w:marLeft w:val="0"/>
      <w:marRight w:val="0"/>
      <w:marTop w:val="0"/>
      <w:marBottom w:val="0"/>
      <w:divBdr>
        <w:top w:val="none" w:sz="0" w:space="0" w:color="auto"/>
        <w:left w:val="none" w:sz="0" w:space="0" w:color="auto"/>
        <w:bottom w:val="none" w:sz="0" w:space="0" w:color="auto"/>
        <w:right w:val="none" w:sz="0" w:space="0" w:color="auto"/>
      </w:divBdr>
    </w:div>
    <w:div w:id="1567107353">
      <w:bodyDiv w:val="1"/>
      <w:marLeft w:val="0"/>
      <w:marRight w:val="0"/>
      <w:marTop w:val="0"/>
      <w:marBottom w:val="0"/>
      <w:divBdr>
        <w:top w:val="none" w:sz="0" w:space="0" w:color="auto"/>
        <w:left w:val="none" w:sz="0" w:space="0" w:color="auto"/>
        <w:bottom w:val="none" w:sz="0" w:space="0" w:color="auto"/>
        <w:right w:val="none" w:sz="0" w:space="0" w:color="auto"/>
      </w:divBdr>
    </w:div>
    <w:div w:id="1569802147">
      <w:bodyDiv w:val="1"/>
      <w:marLeft w:val="0"/>
      <w:marRight w:val="0"/>
      <w:marTop w:val="0"/>
      <w:marBottom w:val="0"/>
      <w:divBdr>
        <w:top w:val="none" w:sz="0" w:space="0" w:color="auto"/>
        <w:left w:val="none" w:sz="0" w:space="0" w:color="auto"/>
        <w:bottom w:val="none" w:sz="0" w:space="0" w:color="auto"/>
        <w:right w:val="none" w:sz="0" w:space="0" w:color="auto"/>
      </w:divBdr>
    </w:div>
    <w:div w:id="1573271742">
      <w:bodyDiv w:val="1"/>
      <w:marLeft w:val="0"/>
      <w:marRight w:val="0"/>
      <w:marTop w:val="0"/>
      <w:marBottom w:val="0"/>
      <w:divBdr>
        <w:top w:val="none" w:sz="0" w:space="0" w:color="auto"/>
        <w:left w:val="none" w:sz="0" w:space="0" w:color="auto"/>
        <w:bottom w:val="none" w:sz="0" w:space="0" w:color="auto"/>
        <w:right w:val="none" w:sz="0" w:space="0" w:color="auto"/>
      </w:divBdr>
    </w:div>
    <w:div w:id="1588035570">
      <w:bodyDiv w:val="1"/>
      <w:marLeft w:val="0"/>
      <w:marRight w:val="0"/>
      <w:marTop w:val="0"/>
      <w:marBottom w:val="0"/>
      <w:divBdr>
        <w:top w:val="none" w:sz="0" w:space="0" w:color="auto"/>
        <w:left w:val="none" w:sz="0" w:space="0" w:color="auto"/>
        <w:bottom w:val="none" w:sz="0" w:space="0" w:color="auto"/>
        <w:right w:val="none" w:sz="0" w:space="0" w:color="auto"/>
      </w:divBdr>
      <w:divsChild>
        <w:div w:id="17652210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0374968">
              <w:marLeft w:val="0"/>
              <w:marRight w:val="0"/>
              <w:marTop w:val="0"/>
              <w:marBottom w:val="0"/>
              <w:divBdr>
                <w:top w:val="none" w:sz="0" w:space="0" w:color="auto"/>
                <w:left w:val="none" w:sz="0" w:space="0" w:color="auto"/>
                <w:bottom w:val="none" w:sz="0" w:space="0" w:color="auto"/>
                <w:right w:val="none" w:sz="0" w:space="0" w:color="auto"/>
              </w:divBdr>
              <w:divsChild>
                <w:div w:id="189346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651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1235618">
      <w:bodyDiv w:val="1"/>
      <w:marLeft w:val="0"/>
      <w:marRight w:val="0"/>
      <w:marTop w:val="0"/>
      <w:marBottom w:val="0"/>
      <w:divBdr>
        <w:top w:val="none" w:sz="0" w:space="0" w:color="auto"/>
        <w:left w:val="none" w:sz="0" w:space="0" w:color="auto"/>
        <w:bottom w:val="none" w:sz="0" w:space="0" w:color="auto"/>
        <w:right w:val="none" w:sz="0" w:space="0" w:color="auto"/>
      </w:divBdr>
    </w:div>
    <w:div w:id="1592006221">
      <w:bodyDiv w:val="1"/>
      <w:marLeft w:val="0"/>
      <w:marRight w:val="0"/>
      <w:marTop w:val="0"/>
      <w:marBottom w:val="0"/>
      <w:divBdr>
        <w:top w:val="none" w:sz="0" w:space="0" w:color="auto"/>
        <w:left w:val="none" w:sz="0" w:space="0" w:color="auto"/>
        <w:bottom w:val="none" w:sz="0" w:space="0" w:color="auto"/>
        <w:right w:val="none" w:sz="0" w:space="0" w:color="auto"/>
      </w:divBdr>
    </w:div>
    <w:div w:id="1592929696">
      <w:bodyDiv w:val="1"/>
      <w:marLeft w:val="0"/>
      <w:marRight w:val="0"/>
      <w:marTop w:val="0"/>
      <w:marBottom w:val="0"/>
      <w:divBdr>
        <w:top w:val="none" w:sz="0" w:space="0" w:color="auto"/>
        <w:left w:val="none" w:sz="0" w:space="0" w:color="auto"/>
        <w:bottom w:val="none" w:sz="0" w:space="0" w:color="auto"/>
        <w:right w:val="none" w:sz="0" w:space="0" w:color="auto"/>
      </w:divBdr>
      <w:divsChild>
        <w:div w:id="21005153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4778462">
      <w:bodyDiv w:val="1"/>
      <w:marLeft w:val="0"/>
      <w:marRight w:val="0"/>
      <w:marTop w:val="0"/>
      <w:marBottom w:val="0"/>
      <w:divBdr>
        <w:top w:val="none" w:sz="0" w:space="0" w:color="auto"/>
        <w:left w:val="none" w:sz="0" w:space="0" w:color="auto"/>
        <w:bottom w:val="none" w:sz="0" w:space="0" w:color="auto"/>
        <w:right w:val="none" w:sz="0" w:space="0" w:color="auto"/>
      </w:divBdr>
    </w:div>
    <w:div w:id="1596741710">
      <w:bodyDiv w:val="1"/>
      <w:marLeft w:val="0"/>
      <w:marRight w:val="0"/>
      <w:marTop w:val="0"/>
      <w:marBottom w:val="0"/>
      <w:divBdr>
        <w:top w:val="none" w:sz="0" w:space="0" w:color="auto"/>
        <w:left w:val="none" w:sz="0" w:space="0" w:color="auto"/>
        <w:bottom w:val="none" w:sz="0" w:space="0" w:color="auto"/>
        <w:right w:val="none" w:sz="0" w:space="0" w:color="auto"/>
      </w:divBdr>
    </w:div>
    <w:div w:id="1603566605">
      <w:bodyDiv w:val="1"/>
      <w:marLeft w:val="0"/>
      <w:marRight w:val="0"/>
      <w:marTop w:val="0"/>
      <w:marBottom w:val="0"/>
      <w:divBdr>
        <w:top w:val="none" w:sz="0" w:space="0" w:color="auto"/>
        <w:left w:val="none" w:sz="0" w:space="0" w:color="auto"/>
        <w:bottom w:val="none" w:sz="0" w:space="0" w:color="auto"/>
        <w:right w:val="none" w:sz="0" w:space="0" w:color="auto"/>
      </w:divBdr>
    </w:div>
    <w:div w:id="1620137220">
      <w:bodyDiv w:val="1"/>
      <w:marLeft w:val="0"/>
      <w:marRight w:val="0"/>
      <w:marTop w:val="0"/>
      <w:marBottom w:val="0"/>
      <w:divBdr>
        <w:top w:val="none" w:sz="0" w:space="0" w:color="auto"/>
        <w:left w:val="none" w:sz="0" w:space="0" w:color="auto"/>
        <w:bottom w:val="none" w:sz="0" w:space="0" w:color="auto"/>
        <w:right w:val="none" w:sz="0" w:space="0" w:color="auto"/>
      </w:divBdr>
    </w:div>
    <w:div w:id="1623196189">
      <w:bodyDiv w:val="1"/>
      <w:marLeft w:val="0"/>
      <w:marRight w:val="0"/>
      <w:marTop w:val="0"/>
      <w:marBottom w:val="0"/>
      <w:divBdr>
        <w:top w:val="none" w:sz="0" w:space="0" w:color="auto"/>
        <w:left w:val="none" w:sz="0" w:space="0" w:color="auto"/>
        <w:bottom w:val="none" w:sz="0" w:space="0" w:color="auto"/>
        <w:right w:val="none" w:sz="0" w:space="0" w:color="auto"/>
      </w:divBdr>
      <w:divsChild>
        <w:div w:id="11462379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9699647">
      <w:bodyDiv w:val="1"/>
      <w:marLeft w:val="0"/>
      <w:marRight w:val="0"/>
      <w:marTop w:val="0"/>
      <w:marBottom w:val="0"/>
      <w:divBdr>
        <w:top w:val="none" w:sz="0" w:space="0" w:color="auto"/>
        <w:left w:val="none" w:sz="0" w:space="0" w:color="auto"/>
        <w:bottom w:val="none" w:sz="0" w:space="0" w:color="auto"/>
        <w:right w:val="none" w:sz="0" w:space="0" w:color="auto"/>
      </w:divBdr>
    </w:div>
    <w:div w:id="1630479185">
      <w:bodyDiv w:val="1"/>
      <w:marLeft w:val="0"/>
      <w:marRight w:val="0"/>
      <w:marTop w:val="0"/>
      <w:marBottom w:val="0"/>
      <w:divBdr>
        <w:top w:val="none" w:sz="0" w:space="0" w:color="auto"/>
        <w:left w:val="none" w:sz="0" w:space="0" w:color="auto"/>
        <w:bottom w:val="none" w:sz="0" w:space="0" w:color="auto"/>
        <w:right w:val="none" w:sz="0" w:space="0" w:color="auto"/>
      </w:divBdr>
    </w:div>
    <w:div w:id="1631860290">
      <w:bodyDiv w:val="1"/>
      <w:marLeft w:val="0"/>
      <w:marRight w:val="0"/>
      <w:marTop w:val="0"/>
      <w:marBottom w:val="0"/>
      <w:divBdr>
        <w:top w:val="none" w:sz="0" w:space="0" w:color="auto"/>
        <w:left w:val="none" w:sz="0" w:space="0" w:color="auto"/>
        <w:bottom w:val="none" w:sz="0" w:space="0" w:color="auto"/>
        <w:right w:val="none" w:sz="0" w:space="0" w:color="auto"/>
      </w:divBdr>
    </w:div>
    <w:div w:id="1633553665">
      <w:bodyDiv w:val="1"/>
      <w:marLeft w:val="0"/>
      <w:marRight w:val="0"/>
      <w:marTop w:val="0"/>
      <w:marBottom w:val="0"/>
      <w:divBdr>
        <w:top w:val="none" w:sz="0" w:space="0" w:color="auto"/>
        <w:left w:val="none" w:sz="0" w:space="0" w:color="auto"/>
        <w:bottom w:val="none" w:sz="0" w:space="0" w:color="auto"/>
        <w:right w:val="none" w:sz="0" w:space="0" w:color="auto"/>
      </w:divBdr>
    </w:div>
    <w:div w:id="1637639183">
      <w:bodyDiv w:val="1"/>
      <w:marLeft w:val="0"/>
      <w:marRight w:val="0"/>
      <w:marTop w:val="0"/>
      <w:marBottom w:val="0"/>
      <w:divBdr>
        <w:top w:val="none" w:sz="0" w:space="0" w:color="auto"/>
        <w:left w:val="none" w:sz="0" w:space="0" w:color="auto"/>
        <w:bottom w:val="none" w:sz="0" w:space="0" w:color="auto"/>
        <w:right w:val="none" w:sz="0" w:space="0" w:color="auto"/>
      </w:divBdr>
    </w:div>
    <w:div w:id="1639915548">
      <w:bodyDiv w:val="1"/>
      <w:marLeft w:val="0"/>
      <w:marRight w:val="0"/>
      <w:marTop w:val="0"/>
      <w:marBottom w:val="0"/>
      <w:divBdr>
        <w:top w:val="none" w:sz="0" w:space="0" w:color="auto"/>
        <w:left w:val="none" w:sz="0" w:space="0" w:color="auto"/>
        <w:bottom w:val="none" w:sz="0" w:space="0" w:color="auto"/>
        <w:right w:val="none" w:sz="0" w:space="0" w:color="auto"/>
      </w:divBdr>
      <w:divsChild>
        <w:div w:id="1471171324">
          <w:blockQuote w:val="1"/>
          <w:marLeft w:val="720"/>
          <w:marRight w:val="720"/>
          <w:marTop w:val="100"/>
          <w:marBottom w:val="100"/>
          <w:divBdr>
            <w:top w:val="none" w:sz="0" w:space="0" w:color="auto"/>
            <w:left w:val="none" w:sz="0" w:space="0" w:color="auto"/>
            <w:bottom w:val="none" w:sz="0" w:space="0" w:color="auto"/>
            <w:right w:val="none" w:sz="0" w:space="0" w:color="auto"/>
          </w:divBdr>
        </w:div>
        <w:div w:id="8756995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5041350">
      <w:bodyDiv w:val="1"/>
      <w:marLeft w:val="0"/>
      <w:marRight w:val="0"/>
      <w:marTop w:val="0"/>
      <w:marBottom w:val="0"/>
      <w:divBdr>
        <w:top w:val="none" w:sz="0" w:space="0" w:color="auto"/>
        <w:left w:val="none" w:sz="0" w:space="0" w:color="auto"/>
        <w:bottom w:val="none" w:sz="0" w:space="0" w:color="auto"/>
        <w:right w:val="none" w:sz="0" w:space="0" w:color="auto"/>
      </w:divBdr>
    </w:div>
    <w:div w:id="1649821856">
      <w:bodyDiv w:val="1"/>
      <w:marLeft w:val="0"/>
      <w:marRight w:val="0"/>
      <w:marTop w:val="0"/>
      <w:marBottom w:val="0"/>
      <w:divBdr>
        <w:top w:val="none" w:sz="0" w:space="0" w:color="auto"/>
        <w:left w:val="none" w:sz="0" w:space="0" w:color="auto"/>
        <w:bottom w:val="none" w:sz="0" w:space="0" w:color="auto"/>
        <w:right w:val="none" w:sz="0" w:space="0" w:color="auto"/>
      </w:divBdr>
    </w:div>
    <w:div w:id="1650133764">
      <w:bodyDiv w:val="1"/>
      <w:marLeft w:val="0"/>
      <w:marRight w:val="0"/>
      <w:marTop w:val="0"/>
      <w:marBottom w:val="0"/>
      <w:divBdr>
        <w:top w:val="none" w:sz="0" w:space="0" w:color="auto"/>
        <w:left w:val="none" w:sz="0" w:space="0" w:color="auto"/>
        <w:bottom w:val="none" w:sz="0" w:space="0" w:color="auto"/>
        <w:right w:val="none" w:sz="0" w:space="0" w:color="auto"/>
      </w:divBdr>
    </w:div>
    <w:div w:id="1653025023">
      <w:bodyDiv w:val="1"/>
      <w:marLeft w:val="0"/>
      <w:marRight w:val="0"/>
      <w:marTop w:val="0"/>
      <w:marBottom w:val="0"/>
      <w:divBdr>
        <w:top w:val="none" w:sz="0" w:space="0" w:color="auto"/>
        <w:left w:val="none" w:sz="0" w:space="0" w:color="auto"/>
        <w:bottom w:val="none" w:sz="0" w:space="0" w:color="auto"/>
        <w:right w:val="none" w:sz="0" w:space="0" w:color="auto"/>
      </w:divBdr>
    </w:div>
    <w:div w:id="1668482356">
      <w:bodyDiv w:val="1"/>
      <w:marLeft w:val="0"/>
      <w:marRight w:val="0"/>
      <w:marTop w:val="0"/>
      <w:marBottom w:val="0"/>
      <w:divBdr>
        <w:top w:val="none" w:sz="0" w:space="0" w:color="auto"/>
        <w:left w:val="none" w:sz="0" w:space="0" w:color="auto"/>
        <w:bottom w:val="none" w:sz="0" w:space="0" w:color="auto"/>
        <w:right w:val="none" w:sz="0" w:space="0" w:color="auto"/>
      </w:divBdr>
    </w:div>
    <w:div w:id="1676108925">
      <w:bodyDiv w:val="1"/>
      <w:marLeft w:val="0"/>
      <w:marRight w:val="0"/>
      <w:marTop w:val="0"/>
      <w:marBottom w:val="0"/>
      <w:divBdr>
        <w:top w:val="none" w:sz="0" w:space="0" w:color="auto"/>
        <w:left w:val="none" w:sz="0" w:space="0" w:color="auto"/>
        <w:bottom w:val="none" w:sz="0" w:space="0" w:color="auto"/>
        <w:right w:val="none" w:sz="0" w:space="0" w:color="auto"/>
      </w:divBdr>
    </w:div>
    <w:div w:id="1679380472">
      <w:bodyDiv w:val="1"/>
      <w:marLeft w:val="0"/>
      <w:marRight w:val="0"/>
      <w:marTop w:val="0"/>
      <w:marBottom w:val="0"/>
      <w:divBdr>
        <w:top w:val="none" w:sz="0" w:space="0" w:color="auto"/>
        <w:left w:val="none" w:sz="0" w:space="0" w:color="auto"/>
        <w:bottom w:val="none" w:sz="0" w:space="0" w:color="auto"/>
        <w:right w:val="none" w:sz="0" w:space="0" w:color="auto"/>
      </w:divBdr>
      <w:divsChild>
        <w:div w:id="944412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0616263">
      <w:bodyDiv w:val="1"/>
      <w:marLeft w:val="0"/>
      <w:marRight w:val="0"/>
      <w:marTop w:val="0"/>
      <w:marBottom w:val="0"/>
      <w:divBdr>
        <w:top w:val="none" w:sz="0" w:space="0" w:color="auto"/>
        <w:left w:val="none" w:sz="0" w:space="0" w:color="auto"/>
        <w:bottom w:val="none" w:sz="0" w:space="0" w:color="auto"/>
        <w:right w:val="none" w:sz="0" w:space="0" w:color="auto"/>
      </w:divBdr>
    </w:div>
    <w:div w:id="1687094453">
      <w:bodyDiv w:val="1"/>
      <w:marLeft w:val="0"/>
      <w:marRight w:val="0"/>
      <w:marTop w:val="0"/>
      <w:marBottom w:val="0"/>
      <w:divBdr>
        <w:top w:val="none" w:sz="0" w:space="0" w:color="auto"/>
        <w:left w:val="none" w:sz="0" w:space="0" w:color="auto"/>
        <w:bottom w:val="none" w:sz="0" w:space="0" w:color="auto"/>
        <w:right w:val="none" w:sz="0" w:space="0" w:color="auto"/>
      </w:divBdr>
    </w:div>
    <w:div w:id="1690133362">
      <w:bodyDiv w:val="1"/>
      <w:marLeft w:val="0"/>
      <w:marRight w:val="0"/>
      <w:marTop w:val="0"/>
      <w:marBottom w:val="0"/>
      <w:divBdr>
        <w:top w:val="none" w:sz="0" w:space="0" w:color="auto"/>
        <w:left w:val="none" w:sz="0" w:space="0" w:color="auto"/>
        <w:bottom w:val="none" w:sz="0" w:space="0" w:color="auto"/>
        <w:right w:val="none" w:sz="0" w:space="0" w:color="auto"/>
      </w:divBdr>
    </w:div>
    <w:div w:id="1693989719">
      <w:bodyDiv w:val="1"/>
      <w:marLeft w:val="0"/>
      <w:marRight w:val="0"/>
      <w:marTop w:val="0"/>
      <w:marBottom w:val="0"/>
      <w:divBdr>
        <w:top w:val="none" w:sz="0" w:space="0" w:color="auto"/>
        <w:left w:val="none" w:sz="0" w:space="0" w:color="auto"/>
        <w:bottom w:val="none" w:sz="0" w:space="0" w:color="auto"/>
        <w:right w:val="none" w:sz="0" w:space="0" w:color="auto"/>
      </w:divBdr>
      <w:divsChild>
        <w:div w:id="1331829995">
          <w:marLeft w:val="0"/>
          <w:marRight w:val="0"/>
          <w:marTop w:val="0"/>
          <w:marBottom w:val="0"/>
          <w:divBdr>
            <w:top w:val="none" w:sz="0" w:space="0" w:color="auto"/>
            <w:left w:val="none" w:sz="0" w:space="0" w:color="auto"/>
            <w:bottom w:val="none" w:sz="0" w:space="0" w:color="auto"/>
            <w:right w:val="none" w:sz="0" w:space="0" w:color="auto"/>
          </w:divBdr>
          <w:divsChild>
            <w:div w:id="16194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7458">
      <w:bodyDiv w:val="1"/>
      <w:marLeft w:val="0"/>
      <w:marRight w:val="0"/>
      <w:marTop w:val="0"/>
      <w:marBottom w:val="0"/>
      <w:divBdr>
        <w:top w:val="none" w:sz="0" w:space="0" w:color="auto"/>
        <w:left w:val="none" w:sz="0" w:space="0" w:color="auto"/>
        <w:bottom w:val="none" w:sz="0" w:space="0" w:color="auto"/>
        <w:right w:val="none" w:sz="0" w:space="0" w:color="auto"/>
      </w:divBdr>
    </w:div>
    <w:div w:id="1705330681">
      <w:bodyDiv w:val="1"/>
      <w:marLeft w:val="0"/>
      <w:marRight w:val="0"/>
      <w:marTop w:val="0"/>
      <w:marBottom w:val="0"/>
      <w:divBdr>
        <w:top w:val="none" w:sz="0" w:space="0" w:color="auto"/>
        <w:left w:val="none" w:sz="0" w:space="0" w:color="auto"/>
        <w:bottom w:val="none" w:sz="0" w:space="0" w:color="auto"/>
        <w:right w:val="none" w:sz="0" w:space="0" w:color="auto"/>
      </w:divBdr>
    </w:div>
    <w:div w:id="1713142955">
      <w:bodyDiv w:val="1"/>
      <w:marLeft w:val="0"/>
      <w:marRight w:val="0"/>
      <w:marTop w:val="0"/>
      <w:marBottom w:val="0"/>
      <w:divBdr>
        <w:top w:val="none" w:sz="0" w:space="0" w:color="auto"/>
        <w:left w:val="none" w:sz="0" w:space="0" w:color="auto"/>
        <w:bottom w:val="none" w:sz="0" w:space="0" w:color="auto"/>
        <w:right w:val="none" w:sz="0" w:space="0" w:color="auto"/>
      </w:divBdr>
    </w:div>
    <w:div w:id="1713771735">
      <w:bodyDiv w:val="1"/>
      <w:marLeft w:val="0"/>
      <w:marRight w:val="0"/>
      <w:marTop w:val="0"/>
      <w:marBottom w:val="0"/>
      <w:divBdr>
        <w:top w:val="none" w:sz="0" w:space="0" w:color="auto"/>
        <w:left w:val="none" w:sz="0" w:space="0" w:color="auto"/>
        <w:bottom w:val="none" w:sz="0" w:space="0" w:color="auto"/>
        <w:right w:val="none" w:sz="0" w:space="0" w:color="auto"/>
      </w:divBdr>
    </w:div>
    <w:div w:id="1713772350">
      <w:bodyDiv w:val="1"/>
      <w:marLeft w:val="0"/>
      <w:marRight w:val="0"/>
      <w:marTop w:val="0"/>
      <w:marBottom w:val="0"/>
      <w:divBdr>
        <w:top w:val="none" w:sz="0" w:space="0" w:color="auto"/>
        <w:left w:val="none" w:sz="0" w:space="0" w:color="auto"/>
        <w:bottom w:val="none" w:sz="0" w:space="0" w:color="auto"/>
        <w:right w:val="none" w:sz="0" w:space="0" w:color="auto"/>
      </w:divBdr>
      <w:divsChild>
        <w:div w:id="856118042">
          <w:blockQuote w:val="1"/>
          <w:marLeft w:val="720"/>
          <w:marRight w:val="720"/>
          <w:marTop w:val="100"/>
          <w:marBottom w:val="100"/>
          <w:divBdr>
            <w:top w:val="none" w:sz="0" w:space="0" w:color="auto"/>
            <w:left w:val="none" w:sz="0" w:space="0" w:color="auto"/>
            <w:bottom w:val="none" w:sz="0" w:space="0" w:color="auto"/>
            <w:right w:val="none" w:sz="0" w:space="0" w:color="auto"/>
          </w:divBdr>
        </w:div>
        <w:div w:id="916673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7996126">
      <w:bodyDiv w:val="1"/>
      <w:marLeft w:val="0"/>
      <w:marRight w:val="0"/>
      <w:marTop w:val="0"/>
      <w:marBottom w:val="0"/>
      <w:divBdr>
        <w:top w:val="none" w:sz="0" w:space="0" w:color="auto"/>
        <w:left w:val="none" w:sz="0" w:space="0" w:color="auto"/>
        <w:bottom w:val="none" w:sz="0" w:space="0" w:color="auto"/>
        <w:right w:val="none" w:sz="0" w:space="0" w:color="auto"/>
      </w:divBdr>
      <w:divsChild>
        <w:div w:id="209538329">
          <w:marLeft w:val="0"/>
          <w:marRight w:val="0"/>
          <w:marTop w:val="0"/>
          <w:marBottom w:val="0"/>
          <w:divBdr>
            <w:top w:val="none" w:sz="0" w:space="0" w:color="auto"/>
            <w:left w:val="none" w:sz="0" w:space="0" w:color="auto"/>
            <w:bottom w:val="none" w:sz="0" w:space="0" w:color="auto"/>
            <w:right w:val="none" w:sz="0" w:space="0" w:color="auto"/>
          </w:divBdr>
          <w:divsChild>
            <w:div w:id="1843081066">
              <w:marLeft w:val="0"/>
              <w:marRight w:val="0"/>
              <w:marTop w:val="0"/>
              <w:marBottom w:val="0"/>
              <w:divBdr>
                <w:top w:val="none" w:sz="0" w:space="0" w:color="auto"/>
                <w:left w:val="none" w:sz="0" w:space="0" w:color="auto"/>
                <w:bottom w:val="none" w:sz="0" w:space="0" w:color="auto"/>
                <w:right w:val="none" w:sz="0" w:space="0" w:color="auto"/>
              </w:divBdr>
            </w:div>
          </w:divsChild>
        </w:div>
        <w:div w:id="13313683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835412">
      <w:bodyDiv w:val="1"/>
      <w:marLeft w:val="0"/>
      <w:marRight w:val="0"/>
      <w:marTop w:val="0"/>
      <w:marBottom w:val="0"/>
      <w:divBdr>
        <w:top w:val="none" w:sz="0" w:space="0" w:color="auto"/>
        <w:left w:val="none" w:sz="0" w:space="0" w:color="auto"/>
        <w:bottom w:val="none" w:sz="0" w:space="0" w:color="auto"/>
        <w:right w:val="none" w:sz="0" w:space="0" w:color="auto"/>
      </w:divBdr>
      <w:divsChild>
        <w:div w:id="1097478867">
          <w:marLeft w:val="0"/>
          <w:marRight w:val="0"/>
          <w:marTop w:val="0"/>
          <w:marBottom w:val="0"/>
          <w:divBdr>
            <w:top w:val="none" w:sz="0" w:space="0" w:color="auto"/>
            <w:left w:val="none" w:sz="0" w:space="0" w:color="auto"/>
            <w:bottom w:val="none" w:sz="0" w:space="0" w:color="auto"/>
            <w:right w:val="none" w:sz="0" w:space="0" w:color="auto"/>
          </w:divBdr>
          <w:divsChild>
            <w:div w:id="104459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567578">
      <w:bodyDiv w:val="1"/>
      <w:marLeft w:val="0"/>
      <w:marRight w:val="0"/>
      <w:marTop w:val="0"/>
      <w:marBottom w:val="0"/>
      <w:divBdr>
        <w:top w:val="none" w:sz="0" w:space="0" w:color="auto"/>
        <w:left w:val="none" w:sz="0" w:space="0" w:color="auto"/>
        <w:bottom w:val="none" w:sz="0" w:space="0" w:color="auto"/>
        <w:right w:val="none" w:sz="0" w:space="0" w:color="auto"/>
      </w:divBdr>
    </w:div>
    <w:div w:id="1744136176">
      <w:bodyDiv w:val="1"/>
      <w:marLeft w:val="0"/>
      <w:marRight w:val="0"/>
      <w:marTop w:val="0"/>
      <w:marBottom w:val="0"/>
      <w:divBdr>
        <w:top w:val="none" w:sz="0" w:space="0" w:color="auto"/>
        <w:left w:val="none" w:sz="0" w:space="0" w:color="auto"/>
        <w:bottom w:val="none" w:sz="0" w:space="0" w:color="auto"/>
        <w:right w:val="none" w:sz="0" w:space="0" w:color="auto"/>
      </w:divBdr>
    </w:div>
    <w:div w:id="1746999357">
      <w:bodyDiv w:val="1"/>
      <w:marLeft w:val="0"/>
      <w:marRight w:val="0"/>
      <w:marTop w:val="0"/>
      <w:marBottom w:val="0"/>
      <w:divBdr>
        <w:top w:val="none" w:sz="0" w:space="0" w:color="auto"/>
        <w:left w:val="none" w:sz="0" w:space="0" w:color="auto"/>
        <w:bottom w:val="none" w:sz="0" w:space="0" w:color="auto"/>
        <w:right w:val="none" w:sz="0" w:space="0" w:color="auto"/>
      </w:divBdr>
      <w:divsChild>
        <w:div w:id="1420180096">
          <w:marLeft w:val="0"/>
          <w:marRight w:val="0"/>
          <w:marTop w:val="0"/>
          <w:marBottom w:val="0"/>
          <w:divBdr>
            <w:top w:val="none" w:sz="0" w:space="0" w:color="auto"/>
            <w:left w:val="none" w:sz="0" w:space="0" w:color="auto"/>
            <w:bottom w:val="none" w:sz="0" w:space="0" w:color="auto"/>
            <w:right w:val="none" w:sz="0" w:space="0" w:color="auto"/>
          </w:divBdr>
          <w:divsChild>
            <w:div w:id="1185555777">
              <w:marLeft w:val="0"/>
              <w:marRight w:val="0"/>
              <w:marTop w:val="0"/>
              <w:marBottom w:val="0"/>
              <w:divBdr>
                <w:top w:val="none" w:sz="0" w:space="0" w:color="auto"/>
                <w:left w:val="none" w:sz="0" w:space="0" w:color="auto"/>
                <w:bottom w:val="none" w:sz="0" w:space="0" w:color="auto"/>
                <w:right w:val="none" w:sz="0" w:space="0" w:color="auto"/>
              </w:divBdr>
              <w:divsChild>
                <w:div w:id="1602763575">
                  <w:marLeft w:val="0"/>
                  <w:marRight w:val="0"/>
                  <w:marTop w:val="0"/>
                  <w:marBottom w:val="0"/>
                  <w:divBdr>
                    <w:top w:val="none" w:sz="0" w:space="0" w:color="auto"/>
                    <w:left w:val="none" w:sz="0" w:space="0" w:color="auto"/>
                    <w:bottom w:val="none" w:sz="0" w:space="0" w:color="auto"/>
                    <w:right w:val="none" w:sz="0" w:space="0" w:color="auto"/>
                  </w:divBdr>
                  <w:divsChild>
                    <w:div w:id="1419516635">
                      <w:marLeft w:val="0"/>
                      <w:marRight w:val="0"/>
                      <w:marTop w:val="0"/>
                      <w:marBottom w:val="0"/>
                      <w:divBdr>
                        <w:top w:val="none" w:sz="0" w:space="0" w:color="auto"/>
                        <w:left w:val="none" w:sz="0" w:space="0" w:color="auto"/>
                        <w:bottom w:val="none" w:sz="0" w:space="0" w:color="auto"/>
                        <w:right w:val="none" w:sz="0" w:space="0" w:color="auto"/>
                      </w:divBdr>
                      <w:divsChild>
                        <w:div w:id="1812360919">
                          <w:marLeft w:val="0"/>
                          <w:marRight w:val="0"/>
                          <w:marTop w:val="0"/>
                          <w:marBottom w:val="0"/>
                          <w:divBdr>
                            <w:top w:val="none" w:sz="0" w:space="0" w:color="auto"/>
                            <w:left w:val="none" w:sz="0" w:space="0" w:color="auto"/>
                            <w:bottom w:val="none" w:sz="0" w:space="0" w:color="auto"/>
                            <w:right w:val="none" w:sz="0" w:space="0" w:color="auto"/>
                          </w:divBdr>
                          <w:divsChild>
                            <w:div w:id="1441342109">
                              <w:marLeft w:val="0"/>
                              <w:marRight w:val="0"/>
                              <w:marTop w:val="0"/>
                              <w:marBottom w:val="0"/>
                              <w:divBdr>
                                <w:top w:val="none" w:sz="0" w:space="0" w:color="auto"/>
                                <w:left w:val="none" w:sz="0" w:space="0" w:color="auto"/>
                                <w:bottom w:val="none" w:sz="0" w:space="0" w:color="auto"/>
                                <w:right w:val="none" w:sz="0" w:space="0" w:color="auto"/>
                              </w:divBdr>
                              <w:divsChild>
                                <w:div w:id="1639722513">
                                  <w:marLeft w:val="0"/>
                                  <w:marRight w:val="0"/>
                                  <w:marTop w:val="0"/>
                                  <w:marBottom w:val="0"/>
                                  <w:divBdr>
                                    <w:top w:val="none" w:sz="0" w:space="0" w:color="auto"/>
                                    <w:left w:val="none" w:sz="0" w:space="0" w:color="auto"/>
                                    <w:bottom w:val="none" w:sz="0" w:space="0" w:color="auto"/>
                                    <w:right w:val="none" w:sz="0" w:space="0" w:color="auto"/>
                                  </w:divBdr>
                                  <w:divsChild>
                                    <w:div w:id="22977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7335281">
      <w:bodyDiv w:val="1"/>
      <w:marLeft w:val="0"/>
      <w:marRight w:val="0"/>
      <w:marTop w:val="0"/>
      <w:marBottom w:val="0"/>
      <w:divBdr>
        <w:top w:val="none" w:sz="0" w:space="0" w:color="auto"/>
        <w:left w:val="none" w:sz="0" w:space="0" w:color="auto"/>
        <w:bottom w:val="none" w:sz="0" w:space="0" w:color="auto"/>
        <w:right w:val="none" w:sz="0" w:space="0" w:color="auto"/>
      </w:divBdr>
      <w:divsChild>
        <w:div w:id="1588921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8190052">
      <w:bodyDiv w:val="1"/>
      <w:marLeft w:val="0"/>
      <w:marRight w:val="0"/>
      <w:marTop w:val="0"/>
      <w:marBottom w:val="0"/>
      <w:divBdr>
        <w:top w:val="none" w:sz="0" w:space="0" w:color="auto"/>
        <w:left w:val="none" w:sz="0" w:space="0" w:color="auto"/>
        <w:bottom w:val="none" w:sz="0" w:space="0" w:color="auto"/>
        <w:right w:val="none" w:sz="0" w:space="0" w:color="auto"/>
      </w:divBdr>
    </w:div>
    <w:div w:id="1750807924">
      <w:bodyDiv w:val="1"/>
      <w:marLeft w:val="0"/>
      <w:marRight w:val="0"/>
      <w:marTop w:val="0"/>
      <w:marBottom w:val="0"/>
      <w:divBdr>
        <w:top w:val="none" w:sz="0" w:space="0" w:color="auto"/>
        <w:left w:val="none" w:sz="0" w:space="0" w:color="auto"/>
        <w:bottom w:val="none" w:sz="0" w:space="0" w:color="auto"/>
        <w:right w:val="none" w:sz="0" w:space="0" w:color="auto"/>
      </w:divBdr>
    </w:div>
    <w:div w:id="1751272221">
      <w:bodyDiv w:val="1"/>
      <w:marLeft w:val="0"/>
      <w:marRight w:val="0"/>
      <w:marTop w:val="0"/>
      <w:marBottom w:val="0"/>
      <w:divBdr>
        <w:top w:val="none" w:sz="0" w:space="0" w:color="auto"/>
        <w:left w:val="none" w:sz="0" w:space="0" w:color="auto"/>
        <w:bottom w:val="none" w:sz="0" w:space="0" w:color="auto"/>
        <w:right w:val="none" w:sz="0" w:space="0" w:color="auto"/>
      </w:divBdr>
    </w:div>
    <w:div w:id="1758481843">
      <w:bodyDiv w:val="1"/>
      <w:marLeft w:val="0"/>
      <w:marRight w:val="0"/>
      <w:marTop w:val="0"/>
      <w:marBottom w:val="0"/>
      <w:divBdr>
        <w:top w:val="none" w:sz="0" w:space="0" w:color="auto"/>
        <w:left w:val="none" w:sz="0" w:space="0" w:color="auto"/>
        <w:bottom w:val="none" w:sz="0" w:space="0" w:color="auto"/>
        <w:right w:val="none" w:sz="0" w:space="0" w:color="auto"/>
      </w:divBdr>
    </w:div>
    <w:div w:id="1777674787">
      <w:bodyDiv w:val="1"/>
      <w:marLeft w:val="0"/>
      <w:marRight w:val="0"/>
      <w:marTop w:val="0"/>
      <w:marBottom w:val="0"/>
      <w:divBdr>
        <w:top w:val="none" w:sz="0" w:space="0" w:color="auto"/>
        <w:left w:val="none" w:sz="0" w:space="0" w:color="auto"/>
        <w:bottom w:val="none" w:sz="0" w:space="0" w:color="auto"/>
        <w:right w:val="none" w:sz="0" w:space="0" w:color="auto"/>
      </w:divBdr>
    </w:div>
    <w:div w:id="1784034068">
      <w:bodyDiv w:val="1"/>
      <w:marLeft w:val="0"/>
      <w:marRight w:val="0"/>
      <w:marTop w:val="0"/>
      <w:marBottom w:val="0"/>
      <w:divBdr>
        <w:top w:val="none" w:sz="0" w:space="0" w:color="auto"/>
        <w:left w:val="none" w:sz="0" w:space="0" w:color="auto"/>
        <w:bottom w:val="none" w:sz="0" w:space="0" w:color="auto"/>
        <w:right w:val="none" w:sz="0" w:space="0" w:color="auto"/>
      </w:divBdr>
    </w:div>
    <w:div w:id="1793086444">
      <w:bodyDiv w:val="1"/>
      <w:marLeft w:val="0"/>
      <w:marRight w:val="0"/>
      <w:marTop w:val="0"/>
      <w:marBottom w:val="0"/>
      <w:divBdr>
        <w:top w:val="none" w:sz="0" w:space="0" w:color="auto"/>
        <w:left w:val="none" w:sz="0" w:space="0" w:color="auto"/>
        <w:bottom w:val="none" w:sz="0" w:space="0" w:color="auto"/>
        <w:right w:val="none" w:sz="0" w:space="0" w:color="auto"/>
      </w:divBdr>
    </w:div>
    <w:div w:id="1794784140">
      <w:bodyDiv w:val="1"/>
      <w:marLeft w:val="0"/>
      <w:marRight w:val="0"/>
      <w:marTop w:val="0"/>
      <w:marBottom w:val="0"/>
      <w:divBdr>
        <w:top w:val="none" w:sz="0" w:space="0" w:color="auto"/>
        <w:left w:val="none" w:sz="0" w:space="0" w:color="auto"/>
        <w:bottom w:val="none" w:sz="0" w:space="0" w:color="auto"/>
        <w:right w:val="none" w:sz="0" w:space="0" w:color="auto"/>
      </w:divBdr>
    </w:div>
    <w:div w:id="1797795449">
      <w:bodyDiv w:val="1"/>
      <w:marLeft w:val="0"/>
      <w:marRight w:val="0"/>
      <w:marTop w:val="0"/>
      <w:marBottom w:val="0"/>
      <w:divBdr>
        <w:top w:val="none" w:sz="0" w:space="0" w:color="auto"/>
        <w:left w:val="none" w:sz="0" w:space="0" w:color="auto"/>
        <w:bottom w:val="none" w:sz="0" w:space="0" w:color="auto"/>
        <w:right w:val="none" w:sz="0" w:space="0" w:color="auto"/>
      </w:divBdr>
      <w:divsChild>
        <w:div w:id="502203243">
          <w:blockQuote w:val="1"/>
          <w:marLeft w:val="720"/>
          <w:marRight w:val="720"/>
          <w:marTop w:val="100"/>
          <w:marBottom w:val="100"/>
          <w:divBdr>
            <w:top w:val="none" w:sz="0" w:space="0" w:color="auto"/>
            <w:left w:val="none" w:sz="0" w:space="0" w:color="auto"/>
            <w:bottom w:val="none" w:sz="0" w:space="0" w:color="auto"/>
            <w:right w:val="none" w:sz="0" w:space="0" w:color="auto"/>
          </w:divBdr>
        </w:div>
        <w:div w:id="56303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151418">
      <w:bodyDiv w:val="1"/>
      <w:marLeft w:val="0"/>
      <w:marRight w:val="0"/>
      <w:marTop w:val="0"/>
      <w:marBottom w:val="0"/>
      <w:divBdr>
        <w:top w:val="none" w:sz="0" w:space="0" w:color="auto"/>
        <w:left w:val="none" w:sz="0" w:space="0" w:color="auto"/>
        <w:bottom w:val="none" w:sz="0" w:space="0" w:color="auto"/>
        <w:right w:val="none" w:sz="0" w:space="0" w:color="auto"/>
      </w:divBdr>
    </w:div>
    <w:div w:id="1807159533">
      <w:bodyDiv w:val="1"/>
      <w:marLeft w:val="0"/>
      <w:marRight w:val="0"/>
      <w:marTop w:val="0"/>
      <w:marBottom w:val="0"/>
      <w:divBdr>
        <w:top w:val="none" w:sz="0" w:space="0" w:color="auto"/>
        <w:left w:val="none" w:sz="0" w:space="0" w:color="auto"/>
        <w:bottom w:val="none" w:sz="0" w:space="0" w:color="auto"/>
        <w:right w:val="none" w:sz="0" w:space="0" w:color="auto"/>
      </w:divBdr>
      <w:divsChild>
        <w:div w:id="990600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7821553">
      <w:bodyDiv w:val="1"/>
      <w:marLeft w:val="0"/>
      <w:marRight w:val="0"/>
      <w:marTop w:val="0"/>
      <w:marBottom w:val="0"/>
      <w:divBdr>
        <w:top w:val="none" w:sz="0" w:space="0" w:color="auto"/>
        <w:left w:val="none" w:sz="0" w:space="0" w:color="auto"/>
        <w:bottom w:val="none" w:sz="0" w:space="0" w:color="auto"/>
        <w:right w:val="none" w:sz="0" w:space="0" w:color="auto"/>
      </w:divBdr>
    </w:div>
    <w:div w:id="1816527094">
      <w:bodyDiv w:val="1"/>
      <w:marLeft w:val="0"/>
      <w:marRight w:val="0"/>
      <w:marTop w:val="0"/>
      <w:marBottom w:val="0"/>
      <w:divBdr>
        <w:top w:val="none" w:sz="0" w:space="0" w:color="auto"/>
        <w:left w:val="none" w:sz="0" w:space="0" w:color="auto"/>
        <w:bottom w:val="none" w:sz="0" w:space="0" w:color="auto"/>
        <w:right w:val="none" w:sz="0" w:space="0" w:color="auto"/>
      </w:divBdr>
    </w:div>
    <w:div w:id="1820535190">
      <w:bodyDiv w:val="1"/>
      <w:marLeft w:val="0"/>
      <w:marRight w:val="0"/>
      <w:marTop w:val="0"/>
      <w:marBottom w:val="0"/>
      <w:divBdr>
        <w:top w:val="none" w:sz="0" w:space="0" w:color="auto"/>
        <w:left w:val="none" w:sz="0" w:space="0" w:color="auto"/>
        <w:bottom w:val="none" w:sz="0" w:space="0" w:color="auto"/>
        <w:right w:val="none" w:sz="0" w:space="0" w:color="auto"/>
      </w:divBdr>
      <w:divsChild>
        <w:div w:id="90708883">
          <w:marLeft w:val="0"/>
          <w:marRight w:val="0"/>
          <w:marTop w:val="0"/>
          <w:marBottom w:val="0"/>
          <w:divBdr>
            <w:top w:val="none" w:sz="0" w:space="0" w:color="auto"/>
            <w:left w:val="none" w:sz="0" w:space="0" w:color="auto"/>
            <w:bottom w:val="none" w:sz="0" w:space="0" w:color="auto"/>
            <w:right w:val="none" w:sz="0" w:space="0" w:color="auto"/>
          </w:divBdr>
          <w:divsChild>
            <w:div w:id="150447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907726">
      <w:bodyDiv w:val="1"/>
      <w:marLeft w:val="0"/>
      <w:marRight w:val="0"/>
      <w:marTop w:val="0"/>
      <w:marBottom w:val="0"/>
      <w:divBdr>
        <w:top w:val="none" w:sz="0" w:space="0" w:color="auto"/>
        <w:left w:val="none" w:sz="0" w:space="0" w:color="auto"/>
        <w:bottom w:val="none" w:sz="0" w:space="0" w:color="auto"/>
        <w:right w:val="none" w:sz="0" w:space="0" w:color="auto"/>
      </w:divBdr>
    </w:div>
    <w:div w:id="1830948178">
      <w:bodyDiv w:val="1"/>
      <w:marLeft w:val="0"/>
      <w:marRight w:val="0"/>
      <w:marTop w:val="0"/>
      <w:marBottom w:val="0"/>
      <w:divBdr>
        <w:top w:val="none" w:sz="0" w:space="0" w:color="auto"/>
        <w:left w:val="none" w:sz="0" w:space="0" w:color="auto"/>
        <w:bottom w:val="none" w:sz="0" w:space="0" w:color="auto"/>
        <w:right w:val="none" w:sz="0" w:space="0" w:color="auto"/>
      </w:divBdr>
    </w:div>
    <w:div w:id="1832480631">
      <w:bodyDiv w:val="1"/>
      <w:marLeft w:val="0"/>
      <w:marRight w:val="0"/>
      <w:marTop w:val="0"/>
      <w:marBottom w:val="0"/>
      <w:divBdr>
        <w:top w:val="none" w:sz="0" w:space="0" w:color="auto"/>
        <w:left w:val="none" w:sz="0" w:space="0" w:color="auto"/>
        <w:bottom w:val="none" w:sz="0" w:space="0" w:color="auto"/>
        <w:right w:val="none" w:sz="0" w:space="0" w:color="auto"/>
      </w:divBdr>
    </w:div>
    <w:div w:id="1833133621">
      <w:bodyDiv w:val="1"/>
      <w:marLeft w:val="0"/>
      <w:marRight w:val="0"/>
      <w:marTop w:val="0"/>
      <w:marBottom w:val="0"/>
      <w:divBdr>
        <w:top w:val="none" w:sz="0" w:space="0" w:color="auto"/>
        <w:left w:val="none" w:sz="0" w:space="0" w:color="auto"/>
        <w:bottom w:val="none" w:sz="0" w:space="0" w:color="auto"/>
        <w:right w:val="none" w:sz="0" w:space="0" w:color="auto"/>
      </w:divBdr>
    </w:div>
    <w:div w:id="1835217597">
      <w:bodyDiv w:val="1"/>
      <w:marLeft w:val="0"/>
      <w:marRight w:val="0"/>
      <w:marTop w:val="0"/>
      <w:marBottom w:val="0"/>
      <w:divBdr>
        <w:top w:val="none" w:sz="0" w:space="0" w:color="auto"/>
        <w:left w:val="none" w:sz="0" w:space="0" w:color="auto"/>
        <w:bottom w:val="none" w:sz="0" w:space="0" w:color="auto"/>
        <w:right w:val="none" w:sz="0" w:space="0" w:color="auto"/>
      </w:divBdr>
      <w:divsChild>
        <w:div w:id="379012626">
          <w:marLeft w:val="0"/>
          <w:marRight w:val="0"/>
          <w:marTop w:val="0"/>
          <w:marBottom w:val="0"/>
          <w:divBdr>
            <w:top w:val="none" w:sz="0" w:space="0" w:color="auto"/>
            <w:left w:val="none" w:sz="0" w:space="0" w:color="auto"/>
            <w:bottom w:val="none" w:sz="0" w:space="0" w:color="auto"/>
            <w:right w:val="none" w:sz="0" w:space="0" w:color="auto"/>
          </w:divBdr>
          <w:divsChild>
            <w:div w:id="2006013338">
              <w:marLeft w:val="0"/>
              <w:marRight w:val="0"/>
              <w:marTop w:val="0"/>
              <w:marBottom w:val="0"/>
              <w:divBdr>
                <w:top w:val="none" w:sz="0" w:space="0" w:color="auto"/>
                <w:left w:val="none" w:sz="0" w:space="0" w:color="auto"/>
                <w:bottom w:val="none" w:sz="0" w:space="0" w:color="auto"/>
                <w:right w:val="none" w:sz="0" w:space="0" w:color="auto"/>
              </w:divBdr>
            </w:div>
          </w:divsChild>
        </w:div>
        <w:div w:id="980040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9496932">
      <w:bodyDiv w:val="1"/>
      <w:marLeft w:val="0"/>
      <w:marRight w:val="0"/>
      <w:marTop w:val="0"/>
      <w:marBottom w:val="0"/>
      <w:divBdr>
        <w:top w:val="none" w:sz="0" w:space="0" w:color="auto"/>
        <w:left w:val="none" w:sz="0" w:space="0" w:color="auto"/>
        <w:bottom w:val="none" w:sz="0" w:space="0" w:color="auto"/>
        <w:right w:val="none" w:sz="0" w:space="0" w:color="auto"/>
      </w:divBdr>
      <w:divsChild>
        <w:div w:id="2105150837">
          <w:blockQuote w:val="1"/>
          <w:marLeft w:val="720"/>
          <w:marRight w:val="720"/>
          <w:marTop w:val="100"/>
          <w:marBottom w:val="100"/>
          <w:divBdr>
            <w:top w:val="none" w:sz="0" w:space="0" w:color="auto"/>
            <w:left w:val="none" w:sz="0" w:space="0" w:color="auto"/>
            <w:bottom w:val="none" w:sz="0" w:space="0" w:color="auto"/>
            <w:right w:val="none" w:sz="0" w:space="0" w:color="auto"/>
          </w:divBdr>
        </w:div>
        <w:div w:id="738677490">
          <w:blockQuote w:val="1"/>
          <w:marLeft w:val="720"/>
          <w:marRight w:val="720"/>
          <w:marTop w:val="100"/>
          <w:marBottom w:val="100"/>
          <w:divBdr>
            <w:top w:val="none" w:sz="0" w:space="0" w:color="auto"/>
            <w:left w:val="none" w:sz="0" w:space="0" w:color="auto"/>
            <w:bottom w:val="none" w:sz="0" w:space="0" w:color="auto"/>
            <w:right w:val="none" w:sz="0" w:space="0" w:color="auto"/>
          </w:divBdr>
        </w:div>
        <w:div w:id="8368478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176746">
          <w:marLeft w:val="0"/>
          <w:marRight w:val="0"/>
          <w:marTop w:val="0"/>
          <w:marBottom w:val="0"/>
          <w:divBdr>
            <w:top w:val="none" w:sz="0" w:space="0" w:color="auto"/>
            <w:left w:val="none" w:sz="0" w:space="0" w:color="auto"/>
            <w:bottom w:val="none" w:sz="0" w:space="0" w:color="auto"/>
            <w:right w:val="none" w:sz="0" w:space="0" w:color="auto"/>
          </w:divBdr>
          <w:divsChild>
            <w:div w:id="89647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8734">
      <w:bodyDiv w:val="1"/>
      <w:marLeft w:val="0"/>
      <w:marRight w:val="0"/>
      <w:marTop w:val="0"/>
      <w:marBottom w:val="0"/>
      <w:divBdr>
        <w:top w:val="none" w:sz="0" w:space="0" w:color="auto"/>
        <w:left w:val="none" w:sz="0" w:space="0" w:color="auto"/>
        <w:bottom w:val="none" w:sz="0" w:space="0" w:color="auto"/>
        <w:right w:val="none" w:sz="0" w:space="0" w:color="auto"/>
      </w:divBdr>
    </w:div>
    <w:div w:id="1848517821">
      <w:bodyDiv w:val="1"/>
      <w:marLeft w:val="0"/>
      <w:marRight w:val="0"/>
      <w:marTop w:val="0"/>
      <w:marBottom w:val="0"/>
      <w:divBdr>
        <w:top w:val="none" w:sz="0" w:space="0" w:color="auto"/>
        <w:left w:val="none" w:sz="0" w:space="0" w:color="auto"/>
        <w:bottom w:val="none" w:sz="0" w:space="0" w:color="auto"/>
        <w:right w:val="none" w:sz="0" w:space="0" w:color="auto"/>
      </w:divBdr>
    </w:div>
    <w:div w:id="1853840773">
      <w:bodyDiv w:val="1"/>
      <w:marLeft w:val="0"/>
      <w:marRight w:val="0"/>
      <w:marTop w:val="0"/>
      <w:marBottom w:val="0"/>
      <w:divBdr>
        <w:top w:val="none" w:sz="0" w:space="0" w:color="auto"/>
        <w:left w:val="none" w:sz="0" w:space="0" w:color="auto"/>
        <w:bottom w:val="none" w:sz="0" w:space="0" w:color="auto"/>
        <w:right w:val="none" w:sz="0" w:space="0" w:color="auto"/>
      </w:divBdr>
    </w:div>
    <w:div w:id="1854147293">
      <w:bodyDiv w:val="1"/>
      <w:marLeft w:val="0"/>
      <w:marRight w:val="0"/>
      <w:marTop w:val="0"/>
      <w:marBottom w:val="0"/>
      <w:divBdr>
        <w:top w:val="none" w:sz="0" w:space="0" w:color="auto"/>
        <w:left w:val="none" w:sz="0" w:space="0" w:color="auto"/>
        <w:bottom w:val="none" w:sz="0" w:space="0" w:color="auto"/>
        <w:right w:val="none" w:sz="0" w:space="0" w:color="auto"/>
      </w:divBdr>
    </w:div>
    <w:div w:id="1861160491">
      <w:bodyDiv w:val="1"/>
      <w:marLeft w:val="0"/>
      <w:marRight w:val="0"/>
      <w:marTop w:val="0"/>
      <w:marBottom w:val="0"/>
      <w:divBdr>
        <w:top w:val="none" w:sz="0" w:space="0" w:color="auto"/>
        <w:left w:val="none" w:sz="0" w:space="0" w:color="auto"/>
        <w:bottom w:val="none" w:sz="0" w:space="0" w:color="auto"/>
        <w:right w:val="none" w:sz="0" w:space="0" w:color="auto"/>
      </w:divBdr>
    </w:div>
    <w:div w:id="1861582289">
      <w:bodyDiv w:val="1"/>
      <w:marLeft w:val="0"/>
      <w:marRight w:val="0"/>
      <w:marTop w:val="0"/>
      <w:marBottom w:val="0"/>
      <w:divBdr>
        <w:top w:val="none" w:sz="0" w:space="0" w:color="auto"/>
        <w:left w:val="none" w:sz="0" w:space="0" w:color="auto"/>
        <w:bottom w:val="none" w:sz="0" w:space="0" w:color="auto"/>
        <w:right w:val="none" w:sz="0" w:space="0" w:color="auto"/>
      </w:divBdr>
      <w:divsChild>
        <w:div w:id="637996369">
          <w:marLeft w:val="0"/>
          <w:marRight w:val="0"/>
          <w:marTop w:val="0"/>
          <w:marBottom w:val="0"/>
          <w:divBdr>
            <w:top w:val="none" w:sz="0" w:space="0" w:color="auto"/>
            <w:left w:val="none" w:sz="0" w:space="0" w:color="auto"/>
            <w:bottom w:val="none" w:sz="0" w:space="0" w:color="auto"/>
            <w:right w:val="none" w:sz="0" w:space="0" w:color="auto"/>
          </w:divBdr>
          <w:divsChild>
            <w:div w:id="179405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983028">
      <w:bodyDiv w:val="1"/>
      <w:marLeft w:val="0"/>
      <w:marRight w:val="0"/>
      <w:marTop w:val="0"/>
      <w:marBottom w:val="0"/>
      <w:divBdr>
        <w:top w:val="none" w:sz="0" w:space="0" w:color="auto"/>
        <w:left w:val="none" w:sz="0" w:space="0" w:color="auto"/>
        <w:bottom w:val="none" w:sz="0" w:space="0" w:color="auto"/>
        <w:right w:val="none" w:sz="0" w:space="0" w:color="auto"/>
      </w:divBdr>
      <w:divsChild>
        <w:div w:id="1495879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774648">
      <w:bodyDiv w:val="1"/>
      <w:marLeft w:val="0"/>
      <w:marRight w:val="0"/>
      <w:marTop w:val="0"/>
      <w:marBottom w:val="0"/>
      <w:divBdr>
        <w:top w:val="none" w:sz="0" w:space="0" w:color="auto"/>
        <w:left w:val="none" w:sz="0" w:space="0" w:color="auto"/>
        <w:bottom w:val="none" w:sz="0" w:space="0" w:color="auto"/>
        <w:right w:val="none" w:sz="0" w:space="0" w:color="auto"/>
      </w:divBdr>
    </w:div>
    <w:div w:id="1882862014">
      <w:bodyDiv w:val="1"/>
      <w:marLeft w:val="0"/>
      <w:marRight w:val="0"/>
      <w:marTop w:val="0"/>
      <w:marBottom w:val="0"/>
      <w:divBdr>
        <w:top w:val="none" w:sz="0" w:space="0" w:color="auto"/>
        <w:left w:val="none" w:sz="0" w:space="0" w:color="auto"/>
        <w:bottom w:val="none" w:sz="0" w:space="0" w:color="auto"/>
        <w:right w:val="none" w:sz="0" w:space="0" w:color="auto"/>
      </w:divBdr>
    </w:div>
    <w:div w:id="1884559211">
      <w:bodyDiv w:val="1"/>
      <w:marLeft w:val="0"/>
      <w:marRight w:val="0"/>
      <w:marTop w:val="0"/>
      <w:marBottom w:val="0"/>
      <w:divBdr>
        <w:top w:val="none" w:sz="0" w:space="0" w:color="auto"/>
        <w:left w:val="none" w:sz="0" w:space="0" w:color="auto"/>
        <w:bottom w:val="none" w:sz="0" w:space="0" w:color="auto"/>
        <w:right w:val="none" w:sz="0" w:space="0" w:color="auto"/>
      </w:divBdr>
      <w:divsChild>
        <w:div w:id="231549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6092456">
      <w:bodyDiv w:val="1"/>
      <w:marLeft w:val="0"/>
      <w:marRight w:val="0"/>
      <w:marTop w:val="0"/>
      <w:marBottom w:val="0"/>
      <w:divBdr>
        <w:top w:val="none" w:sz="0" w:space="0" w:color="auto"/>
        <w:left w:val="none" w:sz="0" w:space="0" w:color="auto"/>
        <w:bottom w:val="none" w:sz="0" w:space="0" w:color="auto"/>
        <w:right w:val="none" w:sz="0" w:space="0" w:color="auto"/>
      </w:divBdr>
    </w:div>
    <w:div w:id="1887571037">
      <w:bodyDiv w:val="1"/>
      <w:marLeft w:val="0"/>
      <w:marRight w:val="0"/>
      <w:marTop w:val="0"/>
      <w:marBottom w:val="0"/>
      <w:divBdr>
        <w:top w:val="none" w:sz="0" w:space="0" w:color="auto"/>
        <w:left w:val="none" w:sz="0" w:space="0" w:color="auto"/>
        <w:bottom w:val="none" w:sz="0" w:space="0" w:color="auto"/>
        <w:right w:val="none" w:sz="0" w:space="0" w:color="auto"/>
      </w:divBdr>
    </w:div>
    <w:div w:id="1888182388">
      <w:bodyDiv w:val="1"/>
      <w:marLeft w:val="0"/>
      <w:marRight w:val="0"/>
      <w:marTop w:val="0"/>
      <w:marBottom w:val="0"/>
      <w:divBdr>
        <w:top w:val="none" w:sz="0" w:space="0" w:color="auto"/>
        <w:left w:val="none" w:sz="0" w:space="0" w:color="auto"/>
        <w:bottom w:val="none" w:sz="0" w:space="0" w:color="auto"/>
        <w:right w:val="none" w:sz="0" w:space="0" w:color="auto"/>
      </w:divBdr>
    </w:div>
    <w:div w:id="1891842857">
      <w:bodyDiv w:val="1"/>
      <w:marLeft w:val="0"/>
      <w:marRight w:val="0"/>
      <w:marTop w:val="0"/>
      <w:marBottom w:val="0"/>
      <w:divBdr>
        <w:top w:val="none" w:sz="0" w:space="0" w:color="auto"/>
        <w:left w:val="none" w:sz="0" w:space="0" w:color="auto"/>
        <w:bottom w:val="none" w:sz="0" w:space="0" w:color="auto"/>
        <w:right w:val="none" w:sz="0" w:space="0" w:color="auto"/>
      </w:divBdr>
      <w:divsChild>
        <w:div w:id="1210728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4147555">
      <w:bodyDiv w:val="1"/>
      <w:marLeft w:val="0"/>
      <w:marRight w:val="0"/>
      <w:marTop w:val="0"/>
      <w:marBottom w:val="0"/>
      <w:divBdr>
        <w:top w:val="none" w:sz="0" w:space="0" w:color="auto"/>
        <w:left w:val="none" w:sz="0" w:space="0" w:color="auto"/>
        <w:bottom w:val="none" w:sz="0" w:space="0" w:color="auto"/>
        <w:right w:val="none" w:sz="0" w:space="0" w:color="auto"/>
      </w:divBdr>
    </w:div>
    <w:div w:id="1898734986">
      <w:bodyDiv w:val="1"/>
      <w:marLeft w:val="0"/>
      <w:marRight w:val="0"/>
      <w:marTop w:val="0"/>
      <w:marBottom w:val="0"/>
      <w:divBdr>
        <w:top w:val="none" w:sz="0" w:space="0" w:color="auto"/>
        <w:left w:val="none" w:sz="0" w:space="0" w:color="auto"/>
        <w:bottom w:val="none" w:sz="0" w:space="0" w:color="auto"/>
        <w:right w:val="none" w:sz="0" w:space="0" w:color="auto"/>
      </w:divBdr>
    </w:div>
    <w:div w:id="1900435069">
      <w:bodyDiv w:val="1"/>
      <w:marLeft w:val="0"/>
      <w:marRight w:val="0"/>
      <w:marTop w:val="0"/>
      <w:marBottom w:val="0"/>
      <w:divBdr>
        <w:top w:val="none" w:sz="0" w:space="0" w:color="auto"/>
        <w:left w:val="none" w:sz="0" w:space="0" w:color="auto"/>
        <w:bottom w:val="none" w:sz="0" w:space="0" w:color="auto"/>
        <w:right w:val="none" w:sz="0" w:space="0" w:color="auto"/>
      </w:divBdr>
    </w:div>
    <w:div w:id="1911188082">
      <w:bodyDiv w:val="1"/>
      <w:marLeft w:val="0"/>
      <w:marRight w:val="0"/>
      <w:marTop w:val="0"/>
      <w:marBottom w:val="0"/>
      <w:divBdr>
        <w:top w:val="none" w:sz="0" w:space="0" w:color="auto"/>
        <w:left w:val="none" w:sz="0" w:space="0" w:color="auto"/>
        <w:bottom w:val="none" w:sz="0" w:space="0" w:color="auto"/>
        <w:right w:val="none" w:sz="0" w:space="0" w:color="auto"/>
      </w:divBdr>
    </w:div>
    <w:div w:id="1916890167">
      <w:bodyDiv w:val="1"/>
      <w:marLeft w:val="0"/>
      <w:marRight w:val="0"/>
      <w:marTop w:val="0"/>
      <w:marBottom w:val="0"/>
      <w:divBdr>
        <w:top w:val="none" w:sz="0" w:space="0" w:color="auto"/>
        <w:left w:val="none" w:sz="0" w:space="0" w:color="auto"/>
        <w:bottom w:val="none" w:sz="0" w:space="0" w:color="auto"/>
        <w:right w:val="none" w:sz="0" w:space="0" w:color="auto"/>
      </w:divBdr>
    </w:div>
    <w:div w:id="1921405679">
      <w:bodyDiv w:val="1"/>
      <w:marLeft w:val="0"/>
      <w:marRight w:val="0"/>
      <w:marTop w:val="0"/>
      <w:marBottom w:val="0"/>
      <w:divBdr>
        <w:top w:val="none" w:sz="0" w:space="0" w:color="auto"/>
        <w:left w:val="none" w:sz="0" w:space="0" w:color="auto"/>
        <w:bottom w:val="none" w:sz="0" w:space="0" w:color="auto"/>
        <w:right w:val="none" w:sz="0" w:space="0" w:color="auto"/>
      </w:divBdr>
      <w:divsChild>
        <w:div w:id="13735728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4008867">
              <w:marLeft w:val="0"/>
              <w:marRight w:val="0"/>
              <w:marTop w:val="0"/>
              <w:marBottom w:val="0"/>
              <w:divBdr>
                <w:top w:val="none" w:sz="0" w:space="0" w:color="auto"/>
                <w:left w:val="none" w:sz="0" w:space="0" w:color="auto"/>
                <w:bottom w:val="none" w:sz="0" w:space="0" w:color="auto"/>
                <w:right w:val="none" w:sz="0" w:space="0" w:color="auto"/>
              </w:divBdr>
              <w:divsChild>
                <w:div w:id="3193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918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0195835">
      <w:bodyDiv w:val="1"/>
      <w:marLeft w:val="0"/>
      <w:marRight w:val="0"/>
      <w:marTop w:val="0"/>
      <w:marBottom w:val="0"/>
      <w:divBdr>
        <w:top w:val="none" w:sz="0" w:space="0" w:color="auto"/>
        <w:left w:val="none" w:sz="0" w:space="0" w:color="auto"/>
        <w:bottom w:val="none" w:sz="0" w:space="0" w:color="auto"/>
        <w:right w:val="none" w:sz="0" w:space="0" w:color="auto"/>
      </w:divBdr>
    </w:div>
    <w:div w:id="1932355450">
      <w:bodyDiv w:val="1"/>
      <w:marLeft w:val="0"/>
      <w:marRight w:val="0"/>
      <w:marTop w:val="0"/>
      <w:marBottom w:val="0"/>
      <w:divBdr>
        <w:top w:val="none" w:sz="0" w:space="0" w:color="auto"/>
        <w:left w:val="none" w:sz="0" w:space="0" w:color="auto"/>
        <w:bottom w:val="none" w:sz="0" w:space="0" w:color="auto"/>
        <w:right w:val="none" w:sz="0" w:space="0" w:color="auto"/>
      </w:divBdr>
      <w:divsChild>
        <w:div w:id="793211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9832424">
      <w:bodyDiv w:val="1"/>
      <w:marLeft w:val="0"/>
      <w:marRight w:val="0"/>
      <w:marTop w:val="0"/>
      <w:marBottom w:val="0"/>
      <w:divBdr>
        <w:top w:val="none" w:sz="0" w:space="0" w:color="auto"/>
        <w:left w:val="none" w:sz="0" w:space="0" w:color="auto"/>
        <w:bottom w:val="none" w:sz="0" w:space="0" w:color="auto"/>
        <w:right w:val="none" w:sz="0" w:space="0" w:color="auto"/>
      </w:divBdr>
      <w:divsChild>
        <w:div w:id="28922235">
          <w:marLeft w:val="0"/>
          <w:marRight w:val="0"/>
          <w:marTop w:val="0"/>
          <w:marBottom w:val="0"/>
          <w:divBdr>
            <w:top w:val="none" w:sz="0" w:space="0" w:color="auto"/>
            <w:left w:val="none" w:sz="0" w:space="0" w:color="auto"/>
            <w:bottom w:val="none" w:sz="0" w:space="0" w:color="auto"/>
            <w:right w:val="none" w:sz="0" w:space="0" w:color="auto"/>
          </w:divBdr>
          <w:divsChild>
            <w:div w:id="57462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028893">
      <w:bodyDiv w:val="1"/>
      <w:marLeft w:val="0"/>
      <w:marRight w:val="0"/>
      <w:marTop w:val="0"/>
      <w:marBottom w:val="0"/>
      <w:divBdr>
        <w:top w:val="none" w:sz="0" w:space="0" w:color="auto"/>
        <w:left w:val="none" w:sz="0" w:space="0" w:color="auto"/>
        <w:bottom w:val="none" w:sz="0" w:space="0" w:color="auto"/>
        <w:right w:val="none" w:sz="0" w:space="0" w:color="auto"/>
      </w:divBdr>
    </w:div>
    <w:div w:id="1967345392">
      <w:bodyDiv w:val="1"/>
      <w:marLeft w:val="0"/>
      <w:marRight w:val="0"/>
      <w:marTop w:val="0"/>
      <w:marBottom w:val="0"/>
      <w:divBdr>
        <w:top w:val="none" w:sz="0" w:space="0" w:color="auto"/>
        <w:left w:val="none" w:sz="0" w:space="0" w:color="auto"/>
        <w:bottom w:val="none" w:sz="0" w:space="0" w:color="auto"/>
        <w:right w:val="none" w:sz="0" w:space="0" w:color="auto"/>
      </w:divBdr>
    </w:div>
    <w:div w:id="1971399100">
      <w:bodyDiv w:val="1"/>
      <w:marLeft w:val="0"/>
      <w:marRight w:val="0"/>
      <w:marTop w:val="0"/>
      <w:marBottom w:val="0"/>
      <w:divBdr>
        <w:top w:val="none" w:sz="0" w:space="0" w:color="auto"/>
        <w:left w:val="none" w:sz="0" w:space="0" w:color="auto"/>
        <w:bottom w:val="none" w:sz="0" w:space="0" w:color="auto"/>
        <w:right w:val="none" w:sz="0" w:space="0" w:color="auto"/>
      </w:divBdr>
    </w:div>
    <w:div w:id="1974094525">
      <w:bodyDiv w:val="1"/>
      <w:marLeft w:val="0"/>
      <w:marRight w:val="0"/>
      <w:marTop w:val="0"/>
      <w:marBottom w:val="0"/>
      <w:divBdr>
        <w:top w:val="none" w:sz="0" w:space="0" w:color="auto"/>
        <w:left w:val="none" w:sz="0" w:space="0" w:color="auto"/>
        <w:bottom w:val="none" w:sz="0" w:space="0" w:color="auto"/>
        <w:right w:val="none" w:sz="0" w:space="0" w:color="auto"/>
      </w:divBdr>
    </w:div>
    <w:div w:id="1978685700">
      <w:bodyDiv w:val="1"/>
      <w:marLeft w:val="0"/>
      <w:marRight w:val="0"/>
      <w:marTop w:val="0"/>
      <w:marBottom w:val="0"/>
      <w:divBdr>
        <w:top w:val="none" w:sz="0" w:space="0" w:color="auto"/>
        <w:left w:val="none" w:sz="0" w:space="0" w:color="auto"/>
        <w:bottom w:val="none" w:sz="0" w:space="0" w:color="auto"/>
        <w:right w:val="none" w:sz="0" w:space="0" w:color="auto"/>
      </w:divBdr>
    </w:div>
    <w:div w:id="1986229440">
      <w:bodyDiv w:val="1"/>
      <w:marLeft w:val="0"/>
      <w:marRight w:val="0"/>
      <w:marTop w:val="0"/>
      <w:marBottom w:val="0"/>
      <w:divBdr>
        <w:top w:val="none" w:sz="0" w:space="0" w:color="auto"/>
        <w:left w:val="none" w:sz="0" w:space="0" w:color="auto"/>
        <w:bottom w:val="none" w:sz="0" w:space="0" w:color="auto"/>
        <w:right w:val="none" w:sz="0" w:space="0" w:color="auto"/>
      </w:divBdr>
    </w:div>
    <w:div w:id="1990136928">
      <w:bodyDiv w:val="1"/>
      <w:marLeft w:val="0"/>
      <w:marRight w:val="0"/>
      <w:marTop w:val="0"/>
      <w:marBottom w:val="0"/>
      <w:divBdr>
        <w:top w:val="none" w:sz="0" w:space="0" w:color="auto"/>
        <w:left w:val="none" w:sz="0" w:space="0" w:color="auto"/>
        <w:bottom w:val="none" w:sz="0" w:space="0" w:color="auto"/>
        <w:right w:val="none" w:sz="0" w:space="0" w:color="auto"/>
      </w:divBdr>
    </w:div>
    <w:div w:id="1993096642">
      <w:bodyDiv w:val="1"/>
      <w:marLeft w:val="0"/>
      <w:marRight w:val="0"/>
      <w:marTop w:val="0"/>
      <w:marBottom w:val="0"/>
      <w:divBdr>
        <w:top w:val="none" w:sz="0" w:space="0" w:color="auto"/>
        <w:left w:val="none" w:sz="0" w:space="0" w:color="auto"/>
        <w:bottom w:val="none" w:sz="0" w:space="0" w:color="auto"/>
        <w:right w:val="none" w:sz="0" w:space="0" w:color="auto"/>
      </w:divBdr>
      <w:divsChild>
        <w:div w:id="10299122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3097146">
      <w:bodyDiv w:val="1"/>
      <w:marLeft w:val="0"/>
      <w:marRight w:val="0"/>
      <w:marTop w:val="0"/>
      <w:marBottom w:val="0"/>
      <w:divBdr>
        <w:top w:val="none" w:sz="0" w:space="0" w:color="auto"/>
        <w:left w:val="none" w:sz="0" w:space="0" w:color="auto"/>
        <w:bottom w:val="none" w:sz="0" w:space="0" w:color="auto"/>
        <w:right w:val="none" w:sz="0" w:space="0" w:color="auto"/>
      </w:divBdr>
      <w:divsChild>
        <w:div w:id="1674212844">
          <w:blockQuote w:val="1"/>
          <w:marLeft w:val="720"/>
          <w:marRight w:val="720"/>
          <w:marTop w:val="100"/>
          <w:marBottom w:val="100"/>
          <w:divBdr>
            <w:top w:val="none" w:sz="0" w:space="0" w:color="auto"/>
            <w:left w:val="none" w:sz="0" w:space="0" w:color="auto"/>
            <w:bottom w:val="none" w:sz="0" w:space="0" w:color="auto"/>
            <w:right w:val="none" w:sz="0" w:space="0" w:color="auto"/>
          </w:divBdr>
        </w:div>
        <w:div w:id="392434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843665">
      <w:bodyDiv w:val="1"/>
      <w:marLeft w:val="0"/>
      <w:marRight w:val="0"/>
      <w:marTop w:val="0"/>
      <w:marBottom w:val="0"/>
      <w:divBdr>
        <w:top w:val="none" w:sz="0" w:space="0" w:color="auto"/>
        <w:left w:val="none" w:sz="0" w:space="0" w:color="auto"/>
        <w:bottom w:val="none" w:sz="0" w:space="0" w:color="auto"/>
        <w:right w:val="none" w:sz="0" w:space="0" w:color="auto"/>
      </w:divBdr>
    </w:div>
    <w:div w:id="1999846257">
      <w:bodyDiv w:val="1"/>
      <w:marLeft w:val="0"/>
      <w:marRight w:val="0"/>
      <w:marTop w:val="0"/>
      <w:marBottom w:val="0"/>
      <w:divBdr>
        <w:top w:val="none" w:sz="0" w:space="0" w:color="auto"/>
        <w:left w:val="none" w:sz="0" w:space="0" w:color="auto"/>
        <w:bottom w:val="none" w:sz="0" w:space="0" w:color="auto"/>
        <w:right w:val="none" w:sz="0" w:space="0" w:color="auto"/>
      </w:divBdr>
      <w:divsChild>
        <w:div w:id="4617707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993742">
      <w:bodyDiv w:val="1"/>
      <w:marLeft w:val="0"/>
      <w:marRight w:val="0"/>
      <w:marTop w:val="0"/>
      <w:marBottom w:val="0"/>
      <w:divBdr>
        <w:top w:val="none" w:sz="0" w:space="0" w:color="auto"/>
        <w:left w:val="none" w:sz="0" w:space="0" w:color="auto"/>
        <w:bottom w:val="none" w:sz="0" w:space="0" w:color="auto"/>
        <w:right w:val="none" w:sz="0" w:space="0" w:color="auto"/>
      </w:divBdr>
    </w:div>
    <w:div w:id="2000844814">
      <w:bodyDiv w:val="1"/>
      <w:marLeft w:val="0"/>
      <w:marRight w:val="0"/>
      <w:marTop w:val="0"/>
      <w:marBottom w:val="0"/>
      <w:divBdr>
        <w:top w:val="none" w:sz="0" w:space="0" w:color="auto"/>
        <w:left w:val="none" w:sz="0" w:space="0" w:color="auto"/>
        <w:bottom w:val="none" w:sz="0" w:space="0" w:color="auto"/>
        <w:right w:val="none" w:sz="0" w:space="0" w:color="auto"/>
      </w:divBdr>
    </w:div>
    <w:div w:id="2001080901">
      <w:bodyDiv w:val="1"/>
      <w:marLeft w:val="0"/>
      <w:marRight w:val="0"/>
      <w:marTop w:val="0"/>
      <w:marBottom w:val="0"/>
      <w:divBdr>
        <w:top w:val="none" w:sz="0" w:space="0" w:color="auto"/>
        <w:left w:val="none" w:sz="0" w:space="0" w:color="auto"/>
        <w:bottom w:val="none" w:sz="0" w:space="0" w:color="auto"/>
        <w:right w:val="none" w:sz="0" w:space="0" w:color="auto"/>
      </w:divBdr>
    </w:div>
    <w:div w:id="2005543681">
      <w:bodyDiv w:val="1"/>
      <w:marLeft w:val="0"/>
      <w:marRight w:val="0"/>
      <w:marTop w:val="0"/>
      <w:marBottom w:val="0"/>
      <w:divBdr>
        <w:top w:val="none" w:sz="0" w:space="0" w:color="auto"/>
        <w:left w:val="none" w:sz="0" w:space="0" w:color="auto"/>
        <w:bottom w:val="none" w:sz="0" w:space="0" w:color="auto"/>
        <w:right w:val="none" w:sz="0" w:space="0" w:color="auto"/>
      </w:divBdr>
    </w:div>
    <w:div w:id="2005930655">
      <w:bodyDiv w:val="1"/>
      <w:marLeft w:val="0"/>
      <w:marRight w:val="0"/>
      <w:marTop w:val="0"/>
      <w:marBottom w:val="0"/>
      <w:divBdr>
        <w:top w:val="none" w:sz="0" w:space="0" w:color="auto"/>
        <w:left w:val="none" w:sz="0" w:space="0" w:color="auto"/>
        <w:bottom w:val="none" w:sz="0" w:space="0" w:color="auto"/>
        <w:right w:val="none" w:sz="0" w:space="0" w:color="auto"/>
      </w:divBdr>
    </w:div>
    <w:div w:id="2006778612">
      <w:bodyDiv w:val="1"/>
      <w:marLeft w:val="0"/>
      <w:marRight w:val="0"/>
      <w:marTop w:val="0"/>
      <w:marBottom w:val="0"/>
      <w:divBdr>
        <w:top w:val="none" w:sz="0" w:space="0" w:color="auto"/>
        <w:left w:val="none" w:sz="0" w:space="0" w:color="auto"/>
        <w:bottom w:val="none" w:sz="0" w:space="0" w:color="auto"/>
        <w:right w:val="none" w:sz="0" w:space="0" w:color="auto"/>
      </w:divBdr>
    </w:div>
    <w:div w:id="2007320110">
      <w:bodyDiv w:val="1"/>
      <w:marLeft w:val="0"/>
      <w:marRight w:val="0"/>
      <w:marTop w:val="0"/>
      <w:marBottom w:val="0"/>
      <w:divBdr>
        <w:top w:val="none" w:sz="0" w:space="0" w:color="auto"/>
        <w:left w:val="none" w:sz="0" w:space="0" w:color="auto"/>
        <w:bottom w:val="none" w:sz="0" w:space="0" w:color="auto"/>
        <w:right w:val="none" w:sz="0" w:space="0" w:color="auto"/>
      </w:divBdr>
    </w:div>
    <w:div w:id="2012485725">
      <w:bodyDiv w:val="1"/>
      <w:marLeft w:val="0"/>
      <w:marRight w:val="0"/>
      <w:marTop w:val="0"/>
      <w:marBottom w:val="0"/>
      <w:divBdr>
        <w:top w:val="none" w:sz="0" w:space="0" w:color="auto"/>
        <w:left w:val="none" w:sz="0" w:space="0" w:color="auto"/>
        <w:bottom w:val="none" w:sz="0" w:space="0" w:color="auto"/>
        <w:right w:val="none" w:sz="0" w:space="0" w:color="auto"/>
      </w:divBdr>
      <w:divsChild>
        <w:div w:id="555161299">
          <w:blockQuote w:val="1"/>
          <w:marLeft w:val="720"/>
          <w:marRight w:val="720"/>
          <w:marTop w:val="100"/>
          <w:marBottom w:val="100"/>
          <w:divBdr>
            <w:top w:val="none" w:sz="0" w:space="0" w:color="auto"/>
            <w:left w:val="none" w:sz="0" w:space="0" w:color="auto"/>
            <w:bottom w:val="none" w:sz="0" w:space="0" w:color="auto"/>
            <w:right w:val="none" w:sz="0" w:space="0" w:color="auto"/>
          </w:divBdr>
        </w:div>
        <w:div w:id="337149610">
          <w:marLeft w:val="0"/>
          <w:marRight w:val="0"/>
          <w:marTop w:val="0"/>
          <w:marBottom w:val="0"/>
          <w:divBdr>
            <w:top w:val="none" w:sz="0" w:space="0" w:color="auto"/>
            <w:left w:val="none" w:sz="0" w:space="0" w:color="auto"/>
            <w:bottom w:val="none" w:sz="0" w:space="0" w:color="auto"/>
            <w:right w:val="none" w:sz="0" w:space="0" w:color="auto"/>
          </w:divBdr>
          <w:divsChild>
            <w:div w:id="93448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66068">
      <w:bodyDiv w:val="1"/>
      <w:marLeft w:val="0"/>
      <w:marRight w:val="0"/>
      <w:marTop w:val="0"/>
      <w:marBottom w:val="0"/>
      <w:divBdr>
        <w:top w:val="none" w:sz="0" w:space="0" w:color="auto"/>
        <w:left w:val="none" w:sz="0" w:space="0" w:color="auto"/>
        <w:bottom w:val="none" w:sz="0" w:space="0" w:color="auto"/>
        <w:right w:val="none" w:sz="0" w:space="0" w:color="auto"/>
      </w:divBdr>
    </w:div>
    <w:div w:id="2015843007">
      <w:bodyDiv w:val="1"/>
      <w:marLeft w:val="0"/>
      <w:marRight w:val="0"/>
      <w:marTop w:val="0"/>
      <w:marBottom w:val="0"/>
      <w:divBdr>
        <w:top w:val="none" w:sz="0" w:space="0" w:color="auto"/>
        <w:left w:val="none" w:sz="0" w:space="0" w:color="auto"/>
        <w:bottom w:val="none" w:sz="0" w:space="0" w:color="auto"/>
        <w:right w:val="none" w:sz="0" w:space="0" w:color="auto"/>
      </w:divBdr>
    </w:div>
    <w:div w:id="2019229761">
      <w:bodyDiv w:val="1"/>
      <w:marLeft w:val="0"/>
      <w:marRight w:val="0"/>
      <w:marTop w:val="0"/>
      <w:marBottom w:val="0"/>
      <w:divBdr>
        <w:top w:val="none" w:sz="0" w:space="0" w:color="auto"/>
        <w:left w:val="none" w:sz="0" w:space="0" w:color="auto"/>
        <w:bottom w:val="none" w:sz="0" w:space="0" w:color="auto"/>
        <w:right w:val="none" w:sz="0" w:space="0" w:color="auto"/>
      </w:divBdr>
    </w:div>
    <w:div w:id="2031058522">
      <w:bodyDiv w:val="1"/>
      <w:marLeft w:val="0"/>
      <w:marRight w:val="0"/>
      <w:marTop w:val="0"/>
      <w:marBottom w:val="0"/>
      <w:divBdr>
        <w:top w:val="none" w:sz="0" w:space="0" w:color="auto"/>
        <w:left w:val="none" w:sz="0" w:space="0" w:color="auto"/>
        <w:bottom w:val="none" w:sz="0" w:space="0" w:color="auto"/>
        <w:right w:val="none" w:sz="0" w:space="0" w:color="auto"/>
      </w:divBdr>
    </w:div>
    <w:div w:id="2032564401">
      <w:bodyDiv w:val="1"/>
      <w:marLeft w:val="0"/>
      <w:marRight w:val="0"/>
      <w:marTop w:val="0"/>
      <w:marBottom w:val="0"/>
      <w:divBdr>
        <w:top w:val="none" w:sz="0" w:space="0" w:color="auto"/>
        <w:left w:val="none" w:sz="0" w:space="0" w:color="auto"/>
        <w:bottom w:val="none" w:sz="0" w:space="0" w:color="auto"/>
        <w:right w:val="none" w:sz="0" w:space="0" w:color="auto"/>
      </w:divBdr>
      <w:divsChild>
        <w:div w:id="295258867">
          <w:marLeft w:val="0"/>
          <w:marRight w:val="0"/>
          <w:marTop w:val="0"/>
          <w:marBottom w:val="0"/>
          <w:divBdr>
            <w:top w:val="none" w:sz="0" w:space="0" w:color="auto"/>
            <w:left w:val="none" w:sz="0" w:space="0" w:color="auto"/>
            <w:bottom w:val="none" w:sz="0" w:space="0" w:color="auto"/>
            <w:right w:val="none" w:sz="0" w:space="0" w:color="auto"/>
          </w:divBdr>
          <w:divsChild>
            <w:div w:id="57043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731659">
      <w:bodyDiv w:val="1"/>
      <w:marLeft w:val="0"/>
      <w:marRight w:val="0"/>
      <w:marTop w:val="0"/>
      <w:marBottom w:val="0"/>
      <w:divBdr>
        <w:top w:val="none" w:sz="0" w:space="0" w:color="auto"/>
        <w:left w:val="none" w:sz="0" w:space="0" w:color="auto"/>
        <w:bottom w:val="none" w:sz="0" w:space="0" w:color="auto"/>
        <w:right w:val="none" w:sz="0" w:space="0" w:color="auto"/>
      </w:divBdr>
    </w:div>
    <w:div w:id="2039233750">
      <w:bodyDiv w:val="1"/>
      <w:marLeft w:val="0"/>
      <w:marRight w:val="0"/>
      <w:marTop w:val="0"/>
      <w:marBottom w:val="0"/>
      <w:divBdr>
        <w:top w:val="none" w:sz="0" w:space="0" w:color="auto"/>
        <w:left w:val="none" w:sz="0" w:space="0" w:color="auto"/>
        <w:bottom w:val="none" w:sz="0" w:space="0" w:color="auto"/>
        <w:right w:val="none" w:sz="0" w:space="0" w:color="auto"/>
      </w:divBdr>
      <w:divsChild>
        <w:div w:id="735510865">
          <w:marLeft w:val="0"/>
          <w:marRight w:val="0"/>
          <w:marTop w:val="0"/>
          <w:marBottom w:val="0"/>
          <w:divBdr>
            <w:top w:val="none" w:sz="0" w:space="0" w:color="auto"/>
            <w:left w:val="none" w:sz="0" w:space="0" w:color="auto"/>
            <w:bottom w:val="none" w:sz="0" w:space="0" w:color="auto"/>
            <w:right w:val="none" w:sz="0" w:space="0" w:color="auto"/>
          </w:divBdr>
          <w:divsChild>
            <w:div w:id="1656254823">
              <w:marLeft w:val="0"/>
              <w:marRight w:val="0"/>
              <w:marTop w:val="0"/>
              <w:marBottom w:val="0"/>
              <w:divBdr>
                <w:top w:val="none" w:sz="0" w:space="0" w:color="auto"/>
                <w:left w:val="none" w:sz="0" w:space="0" w:color="auto"/>
                <w:bottom w:val="none" w:sz="0" w:space="0" w:color="auto"/>
                <w:right w:val="none" w:sz="0" w:space="0" w:color="auto"/>
              </w:divBdr>
              <w:divsChild>
                <w:div w:id="1762988920">
                  <w:marLeft w:val="0"/>
                  <w:marRight w:val="0"/>
                  <w:marTop w:val="0"/>
                  <w:marBottom w:val="0"/>
                  <w:divBdr>
                    <w:top w:val="none" w:sz="0" w:space="0" w:color="auto"/>
                    <w:left w:val="none" w:sz="0" w:space="0" w:color="auto"/>
                    <w:bottom w:val="none" w:sz="0" w:space="0" w:color="auto"/>
                    <w:right w:val="none" w:sz="0" w:space="0" w:color="auto"/>
                  </w:divBdr>
                  <w:divsChild>
                    <w:div w:id="1285884414">
                      <w:marLeft w:val="0"/>
                      <w:marRight w:val="0"/>
                      <w:marTop w:val="0"/>
                      <w:marBottom w:val="0"/>
                      <w:divBdr>
                        <w:top w:val="none" w:sz="0" w:space="0" w:color="auto"/>
                        <w:left w:val="none" w:sz="0" w:space="0" w:color="auto"/>
                        <w:bottom w:val="none" w:sz="0" w:space="0" w:color="auto"/>
                        <w:right w:val="none" w:sz="0" w:space="0" w:color="auto"/>
                      </w:divBdr>
                      <w:divsChild>
                        <w:div w:id="1888099248">
                          <w:marLeft w:val="0"/>
                          <w:marRight w:val="0"/>
                          <w:marTop w:val="0"/>
                          <w:marBottom w:val="0"/>
                          <w:divBdr>
                            <w:top w:val="none" w:sz="0" w:space="0" w:color="auto"/>
                            <w:left w:val="none" w:sz="0" w:space="0" w:color="auto"/>
                            <w:bottom w:val="none" w:sz="0" w:space="0" w:color="auto"/>
                            <w:right w:val="none" w:sz="0" w:space="0" w:color="auto"/>
                          </w:divBdr>
                          <w:divsChild>
                            <w:div w:id="1802453576">
                              <w:marLeft w:val="0"/>
                              <w:marRight w:val="0"/>
                              <w:marTop w:val="0"/>
                              <w:marBottom w:val="0"/>
                              <w:divBdr>
                                <w:top w:val="none" w:sz="0" w:space="0" w:color="auto"/>
                                <w:left w:val="none" w:sz="0" w:space="0" w:color="auto"/>
                                <w:bottom w:val="none" w:sz="0" w:space="0" w:color="auto"/>
                                <w:right w:val="none" w:sz="0" w:space="0" w:color="auto"/>
                              </w:divBdr>
                              <w:divsChild>
                                <w:div w:id="1709721421">
                                  <w:marLeft w:val="0"/>
                                  <w:marRight w:val="0"/>
                                  <w:marTop w:val="0"/>
                                  <w:marBottom w:val="0"/>
                                  <w:divBdr>
                                    <w:top w:val="none" w:sz="0" w:space="0" w:color="auto"/>
                                    <w:left w:val="none" w:sz="0" w:space="0" w:color="auto"/>
                                    <w:bottom w:val="none" w:sz="0" w:space="0" w:color="auto"/>
                                    <w:right w:val="none" w:sz="0" w:space="0" w:color="auto"/>
                                  </w:divBdr>
                                  <w:divsChild>
                                    <w:div w:id="185722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665787">
      <w:bodyDiv w:val="1"/>
      <w:marLeft w:val="0"/>
      <w:marRight w:val="0"/>
      <w:marTop w:val="0"/>
      <w:marBottom w:val="0"/>
      <w:divBdr>
        <w:top w:val="none" w:sz="0" w:space="0" w:color="auto"/>
        <w:left w:val="none" w:sz="0" w:space="0" w:color="auto"/>
        <w:bottom w:val="none" w:sz="0" w:space="0" w:color="auto"/>
        <w:right w:val="none" w:sz="0" w:space="0" w:color="auto"/>
      </w:divBdr>
      <w:divsChild>
        <w:div w:id="1294827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2896920">
      <w:bodyDiv w:val="1"/>
      <w:marLeft w:val="0"/>
      <w:marRight w:val="0"/>
      <w:marTop w:val="0"/>
      <w:marBottom w:val="0"/>
      <w:divBdr>
        <w:top w:val="none" w:sz="0" w:space="0" w:color="auto"/>
        <w:left w:val="none" w:sz="0" w:space="0" w:color="auto"/>
        <w:bottom w:val="none" w:sz="0" w:space="0" w:color="auto"/>
        <w:right w:val="none" w:sz="0" w:space="0" w:color="auto"/>
      </w:divBdr>
    </w:div>
    <w:div w:id="2048992249">
      <w:bodyDiv w:val="1"/>
      <w:marLeft w:val="0"/>
      <w:marRight w:val="0"/>
      <w:marTop w:val="0"/>
      <w:marBottom w:val="0"/>
      <w:divBdr>
        <w:top w:val="none" w:sz="0" w:space="0" w:color="auto"/>
        <w:left w:val="none" w:sz="0" w:space="0" w:color="auto"/>
        <w:bottom w:val="none" w:sz="0" w:space="0" w:color="auto"/>
        <w:right w:val="none" w:sz="0" w:space="0" w:color="auto"/>
      </w:divBdr>
    </w:div>
    <w:div w:id="2061858852">
      <w:bodyDiv w:val="1"/>
      <w:marLeft w:val="0"/>
      <w:marRight w:val="0"/>
      <w:marTop w:val="0"/>
      <w:marBottom w:val="0"/>
      <w:divBdr>
        <w:top w:val="none" w:sz="0" w:space="0" w:color="auto"/>
        <w:left w:val="none" w:sz="0" w:space="0" w:color="auto"/>
        <w:bottom w:val="none" w:sz="0" w:space="0" w:color="auto"/>
        <w:right w:val="none" w:sz="0" w:space="0" w:color="auto"/>
      </w:divBdr>
    </w:div>
    <w:div w:id="2066024537">
      <w:bodyDiv w:val="1"/>
      <w:marLeft w:val="0"/>
      <w:marRight w:val="0"/>
      <w:marTop w:val="0"/>
      <w:marBottom w:val="0"/>
      <w:divBdr>
        <w:top w:val="none" w:sz="0" w:space="0" w:color="auto"/>
        <w:left w:val="none" w:sz="0" w:space="0" w:color="auto"/>
        <w:bottom w:val="none" w:sz="0" w:space="0" w:color="auto"/>
        <w:right w:val="none" w:sz="0" w:space="0" w:color="auto"/>
      </w:divBdr>
    </w:div>
    <w:div w:id="2067291431">
      <w:bodyDiv w:val="1"/>
      <w:marLeft w:val="0"/>
      <w:marRight w:val="0"/>
      <w:marTop w:val="0"/>
      <w:marBottom w:val="0"/>
      <w:divBdr>
        <w:top w:val="none" w:sz="0" w:space="0" w:color="auto"/>
        <w:left w:val="none" w:sz="0" w:space="0" w:color="auto"/>
        <w:bottom w:val="none" w:sz="0" w:space="0" w:color="auto"/>
        <w:right w:val="none" w:sz="0" w:space="0" w:color="auto"/>
      </w:divBdr>
      <w:divsChild>
        <w:div w:id="3541618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6938939">
          <w:blockQuote w:val="1"/>
          <w:marLeft w:val="720"/>
          <w:marRight w:val="720"/>
          <w:marTop w:val="100"/>
          <w:marBottom w:val="100"/>
          <w:divBdr>
            <w:top w:val="none" w:sz="0" w:space="0" w:color="auto"/>
            <w:left w:val="none" w:sz="0" w:space="0" w:color="auto"/>
            <w:bottom w:val="none" w:sz="0" w:space="0" w:color="auto"/>
            <w:right w:val="none" w:sz="0" w:space="0" w:color="auto"/>
          </w:divBdr>
        </w:div>
        <w:div w:id="515533455">
          <w:blockQuote w:val="1"/>
          <w:marLeft w:val="720"/>
          <w:marRight w:val="720"/>
          <w:marTop w:val="100"/>
          <w:marBottom w:val="100"/>
          <w:divBdr>
            <w:top w:val="none" w:sz="0" w:space="0" w:color="auto"/>
            <w:left w:val="none" w:sz="0" w:space="0" w:color="auto"/>
            <w:bottom w:val="none" w:sz="0" w:space="0" w:color="auto"/>
            <w:right w:val="none" w:sz="0" w:space="0" w:color="auto"/>
          </w:divBdr>
        </w:div>
        <w:div w:id="3791307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7487868">
      <w:bodyDiv w:val="1"/>
      <w:marLeft w:val="0"/>
      <w:marRight w:val="0"/>
      <w:marTop w:val="0"/>
      <w:marBottom w:val="0"/>
      <w:divBdr>
        <w:top w:val="none" w:sz="0" w:space="0" w:color="auto"/>
        <w:left w:val="none" w:sz="0" w:space="0" w:color="auto"/>
        <w:bottom w:val="none" w:sz="0" w:space="0" w:color="auto"/>
        <w:right w:val="none" w:sz="0" w:space="0" w:color="auto"/>
      </w:divBdr>
      <w:divsChild>
        <w:div w:id="794249837">
          <w:blockQuote w:val="1"/>
          <w:marLeft w:val="720"/>
          <w:marRight w:val="720"/>
          <w:marTop w:val="100"/>
          <w:marBottom w:val="100"/>
          <w:divBdr>
            <w:top w:val="none" w:sz="0" w:space="0" w:color="auto"/>
            <w:left w:val="none" w:sz="0" w:space="0" w:color="auto"/>
            <w:bottom w:val="none" w:sz="0" w:space="0" w:color="auto"/>
            <w:right w:val="none" w:sz="0" w:space="0" w:color="auto"/>
          </w:divBdr>
        </w:div>
        <w:div w:id="1161044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423901">
          <w:marLeft w:val="0"/>
          <w:marRight w:val="0"/>
          <w:marTop w:val="0"/>
          <w:marBottom w:val="0"/>
          <w:divBdr>
            <w:top w:val="none" w:sz="0" w:space="0" w:color="auto"/>
            <w:left w:val="none" w:sz="0" w:space="0" w:color="auto"/>
            <w:bottom w:val="none" w:sz="0" w:space="0" w:color="auto"/>
            <w:right w:val="none" w:sz="0" w:space="0" w:color="auto"/>
          </w:divBdr>
          <w:divsChild>
            <w:div w:id="57870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25680">
      <w:bodyDiv w:val="1"/>
      <w:marLeft w:val="0"/>
      <w:marRight w:val="0"/>
      <w:marTop w:val="0"/>
      <w:marBottom w:val="0"/>
      <w:divBdr>
        <w:top w:val="none" w:sz="0" w:space="0" w:color="auto"/>
        <w:left w:val="none" w:sz="0" w:space="0" w:color="auto"/>
        <w:bottom w:val="none" w:sz="0" w:space="0" w:color="auto"/>
        <w:right w:val="none" w:sz="0" w:space="0" w:color="auto"/>
      </w:divBdr>
    </w:div>
    <w:div w:id="2069448065">
      <w:bodyDiv w:val="1"/>
      <w:marLeft w:val="0"/>
      <w:marRight w:val="0"/>
      <w:marTop w:val="0"/>
      <w:marBottom w:val="0"/>
      <w:divBdr>
        <w:top w:val="none" w:sz="0" w:space="0" w:color="auto"/>
        <w:left w:val="none" w:sz="0" w:space="0" w:color="auto"/>
        <w:bottom w:val="none" w:sz="0" w:space="0" w:color="auto"/>
        <w:right w:val="none" w:sz="0" w:space="0" w:color="auto"/>
      </w:divBdr>
    </w:div>
    <w:div w:id="2079092617">
      <w:bodyDiv w:val="1"/>
      <w:marLeft w:val="0"/>
      <w:marRight w:val="0"/>
      <w:marTop w:val="0"/>
      <w:marBottom w:val="0"/>
      <w:divBdr>
        <w:top w:val="none" w:sz="0" w:space="0" w:color="auto"/>
        <w:left w:val="none" w:sz="0" w:space="0" w:color="auto"/>
        <w:bottom w:val="none" w:sz="0" w:space="0" w:color="auto"/>
        <w:right w:val="none" w:sz="0" w:space="0" w:color="auto"/>
      </w:divBdr>
      <w:divsChild>
        <w:div w:id="403375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2213830">
      <w:bodyDiv w:val="1"/>
      <w:marLeft w:val="0"/>
      <w:marRight w:val="0"/>
      <w:marTop w:val="0"/>
      <w:marBottom w:val="0"/>
      <w:divBdr>
        <w:top w:val="none" w:sz="0" w:space="0" w:color="auto"/>
        <w:left w:val="none" w:sz="0" w:space="0" w:color="auto"/>
        <w:bottom w:val="none" w:sz="0" w:space="0" w:color="auto"/>
        <w:right w:val="none" w:sz="0" w:space="0" w:color="auto"/>
      </w:divBdr>
    </w:div>
    <w:div w:id="2083671206">
      <w:bodyDiv w:val="1"/>
      <w:marLeft w:val="0"/>
      <w:marRight w:val="0"/>
      <w:marTop w:val="0"/>
      <w:marBottom w:val="0"/>
      <w:divBdr>
        <w:top w:val="none" w:sz="0" w:space="0" w:color="auto"/>
        <w:left w:val="none" w:sz="0" w:space="0" w:color="auto"/>
        <w:bottom w:val="none" w:sz="0" w:space="0" w:color="auto"/>
        <w:right w:val="none" w:sz="0" w:space="0" w:color="auto"/>
      </w:divBdr>
      <w:divsChild>
        <w:div w:id="1405225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4447013">
      <w:bodyDiv w:val="1"/>
      <w:marLeft w:val="0"/>
      <w:marRight w:val="0"/>
      <w:marTop w:val="0"/>
      <w:marBottom w:val="0"/>
      <w:divBdr>
        <w:top w:val="none" w:sz="0" w:space="0" w:color="auto"/>
        <w:left w:val="none" w:sz="0" w:space="0" w:color="auto"/>
        <w:bottom w:val="none" w:sz="0" w:space="0" w:color="auto"/>
        <w:right w:val="none" w:sz="0" w:space="0" w:color="auto"/>
      </w:divBdr>
    </w:div>
    <w:div w:id="2096321323">
      <w:bodyDiv w:val="1"/>
      <w:marLeft w:val="0"/>
      <w:marRight w:val="0"/>
      <w:marTop w:val="0"/>
      <w:marBottom w:val="0"/>
      <w:divBdr>
        <w:top w:val="none" w:sz="0" w:space="0" w:color="auto"/>
        <w:left w:val="none" w:sz="0" w:space="0" w:color="auto"/>
        <w:bottom w:val="none" w:sz="0" w:space="0" w:color="auto"/>
        <w:right w:val="none" w:sz="0" w:space="0" w:color="auto"/>
      </w:divBdr>
    </w:div>
    <w:div w:id="2103909560">
      <w:bodyDiv w:val="1"/>
      <w:marLeft w:val="0"/>
      <w:marRight w:val="0"/>
      <w:marTop w:val="0"/>
      <w:marBottom w:val="0"/>
      <w:divBdr>
        <w:top w:val="none" w:sz="0" w:space="0" w:color="auto"/>
        <w:left w:val="none" w:sz="0" w:space="0" w:color="auto"/>
        <w:bottom w:val="none" w:sz="0" w:space="0" w:color="auto"/>
        <w:right w:val="none" w:sz="0" w:space="0" w:color="auto"/>
      </w:divBdr>
    </w:div>
    <w:div w:id="2115786618">
      <w:bodyDiv w:val="1"/>
      <w:marLeft w:val="0"/>
      <w:marRight w:val="0"/>
      <w:marTop w:val="0"/>
      <w:marBottom w:val="0"/>
      <w:divBdr>
        <w:top w:val="none" w:sz="0" w:space="0" w:color="auto"/>
        <w:left w:val="none" w:sz="0" w:space="0" w:color="auto"/>
        <w:bottom w:val="none" w:sz="0" w:space="0" w:color="auto"/>
        <w:right w:val="none" w:sz="0" w:space="0" w:color="auto"/>
      </w:divBdr>
      <w:divsChild>
        <w:div w:id="880824327">
          <w:blockQuote w:val="1"/>
          <w:marLeft w:val="720"/>
          <w:marRight w:val="720"/>
          <w:marTop w:val="100"/>
          <w:marBottom w:val="100"/>
          <w:divBdr>
            <w:top w:val="none" w:sz="0" w:space="0" w:color="auto"/>
            <w:left w:val="none" w:sz="0" w:space="0" w:color="auto"/>
            <w:bottom w:val="none" w:sz="0" w:space="0" w:color="auto"/>
            <w:right w:val="none" w:sz="0" w:space="0" w:color="auto"/>
          </w:divBdr>
        </w:div>
        <w:div w:id="980841373">
          <w:marLeft w:val="0"/>
          <w:marRight w:val="0"/>
          <w:marTop w:val="0"/>
          <w:marBottom w:val="0"/>
          <w:divBdr>
            <w:top w:val="none" w:sz="0" w:space="0" w:color="auto"/>
            <w:left w:val="none" w:sz="0" w:space="0" w:color="auto"/>
            <w:bottom w:val="none" w:sz="0" w:space="0" w:color="auto"/>
            <w:right w:val="none" w:sz="0" w:space="0" w:color="auto"/>
          </w:divBdr>
          <w:divsChild>
            <w:div w:id="4387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858967">
      <w:bodyDiv w:val="1"/>
      <w:marLeft w:val="0"/>
      <w:marRight w:val="0"/>
      <w:marTop w:val="0"/>
      <w:marBottom w:val="0"/>
      <w:divBdr>
        <w:top w:val="none" w:sz="0" w:space="0" w:color="auto"/>
        <w:left w:val="none" w:sz="0" w:space="0" w:color="auto"/>
        <w:bottom w:val="none" w:sz="0" w:space="0" w:color="auto"/>
        <w:right w:val="none" w:sz="0" w:space="0" w:color="auto"/>
      </w:divBdr>
    </w:div>
    <w:div w:id="2116098403">
      <w:bodyDiv w:val="1"/>
      <w:marLeft w:val="0"/>
      <w:marRight w:val="0"/>
      <w:marTop w:val="0"/>
      <w:marBottom w:val="0"/>
      <w:divBdr>
        <w:top w:val="none" w:sz="0" w:space="0" w:color="auto"/>
        <w:left w:val="none" w:sz="0" w:space="0" w:color="auto"/>
        <w:bottom w:val="none" w:sz="0" w:space="0" w:color="auto"/>
        <w:right w:val="none" w:sz="0" w:space="0" w:color="auto"/>
      </w:divBdr>
      <w:divsChild>
        <w:div w:id="572010813">
          <w:marLeft w:val="0"/>
          <w:marRight w:val="0"/>
          <w:marTop w:val="0"/>
          <w:marBottom w:val="0"/>
          <w:divBdr>
            <w:top w:val="none" w:sz="0" w:space="0" w:color="auto"/>
            <w:left w:val="none" w:sz="0" w:space="0" w:color="auto"/>
            <w:bottom w:val="none" w:sz="0" w:space="0" w:color="auto"/>
            <w:right w:val="none" w:sz="0" w:space="0" w:color="auto"/>
          </w:divBdr>
          <w:divsChild>
            <w:div w:id="1504321896">
              <w:marLeft w:val="0"/>
              <w:marRight w:val="0"/>
              <w:marTop w:val="0"/>
              <w:marBottom w:val="0"/>
              <w:divBdr>
                <w:top w:val="none" w:sz="0" w:space="0" w:color="auto"/>
                <w:left w:val="none" w:sz="0" w:space="0" w:color="auto"/>
                <w:bottom w:val="none" w:sz="0" w:space="0" w:color="auto"/>
                <w:right w:val="none" w:sz="0" w:space="0" w:color="auto"/>
              </w:divBdr>
              <w:divsChild>
                <w:div w:id="160623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168185">
      <w:bodyDiv w:val="1"/>
      <w:marLeft w:val="0"/>
      <w:marRight w:val="0"/>
      <w:marTop w:val="0"/>
      <w:marBottom w:val="0"/>
      <w:divBdr>
        <w:top w:val="none" w:sz="0" w:space="0" w:color="auto"/>
        <w:left w:val="none" w:sz="0" w:space="0" w:color="auto"/>
        <w:bottom w:val="none" w:sz="0" w:space="0" w:color="auto"/>
        <w:right w:val="none" w:sz="0" w:space="0" w:color="auto"/>
      </w:divBdr>
      <w:divsChild>
        <w:div w:id="870337538">
          <w:marLeft w:val="0"/>
          <w:marRight w:val="0"/>
          <w:marTop w:val="0"/>
          <w:marBottom w:val="0"/>
          <w:divBdr>
            <w:top w:val="none" w:sz="0" w:space="0" w:color="auto"/>
            <w:left w:val="none" w:sz="0" w:space="0" w:color="auto"/>
            <w:bottom w:val="none" w:sz="0" w:space="0" w:color="auto"/>
            <w:right w:val="none" w:sz="0" w:space="0" w:color="auto"/>
          </w:divBdr>
          <w:divsChild>
            <w:div w:id="53839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19100">
      <w:bodyDiv w:val="1"/>
      <w:marLeft w:val="0"/>
      <w:marRight w:val="0"/>
      <w:marTop w:val="0"/>
      <w:marBottom w:val="0"/>
      <w:divBdr>
        <w:top w:val="none" w:sz="0" w:space="0" w:color="auto"/>
        <w:left w:val="none" w:sz="0" w:space="0" w:color="auto"/>
        <w:bottom w:val="none" w:sz="0" w:space="0" w:color="auto"/>
        <w:right w:val="none" w:sz="0" w:space="0" w:color="auto"/>
      </w:divBdr>
    </w:div>
    <w:div w:id="2124305448">
      <w:bodyDiv w:val="1"/>
      <w:marLeft w:val="0"/>
      <w:marRight w:val="0"/>
      <w:marTop w:val="0"/>
      <w:marBottom w:val="0"/>
      <w:divBdr>
        <w:top w:val="none" w:sz="0" w:space="0" w:color="auto"/>
        <w:left w:val="none" w:sz="0" w:space="0" w:color="auto"/>
        <w:bottom w:val="none" w:sz="0" w:space="0" w:color="auto"/>
        <w:right w:val="none" w:sz="0" w:space="0" w:color="auto"/>
      </w:divBdr>
    </w:div>
    <w:div w:id="2126534403">
      <w:bodyDiv w:val="1"/>
      <w:marLeft w:val="0"/>
      <w:marRight w:val="0"/>
      <w:marTop w:val="0"/>
      <w:marBottom w:val="0"/>
      <w:divBdr>
        <w:top w:val="none" w:sz="0" w:space="0" w:color="auto"/>
        <w:left w:val="none" w:sz="0" w:space="0" w:color="auto"/>
        <w:bottom w:val="none" w:sz="0" w:space="0" w:color="auto"/>
        <w:right w:val="none" w:sz="0" w:space="0" w:color="auto"/>
      </w:divBdr>
      <w:divsChild>
        <w:div w:id="1361928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9229829">
      <w:bodyDiv w:val="1"/>
      <w:marLeft w:val="0"/>
      <w:marRight w:val="0"/>
      <w:marTop w:val="0"/>
      <w:marBottom w:val="0"/>
      <w:divBdr>
        <w:top w:val="none" w:sz="0" w:space="0" w:color="auto"/>
        <w:left w:val="none" w:sz="0" w:space="0" w:color="auto"/>
        <w:bottom w:val="none" w:sz="0" w:space="0" w:color="auto"/>
        <w:right w:val="none" w:sz="0" w:space="0" w:color="auto"/>
      </w:divBdr>
    </w:div>
    <w:div w:id="2134326104">
      <w:bodyDiv w:val="1"/>
      <w:marLeft w:val="0"/>
      <w:marRight w:val="0"/>
      <w:marTop w:val="0"/>
      <w:marBottom w:val="0"/>
      <w:divBdr>
        <w:top w:val="none" w:sz="0" w:space="0" w:color="auto"/>
        <w:left w:val="none" w:sz="0" w:space="0" w:color="auto"/>
        <w:bottom w:val="none" w:sz="0" w:space="0" w:color="auto"/>
        <w:right w:val="none" w:sz="0" w:space="0" w:color="auto"/>
      </w:divBdr>
    </w:div>
    <w:div w:id="2144150626">
      <w:bodyDiv w:val="1"/>
      <w:marLeft w:val="0"/>
      <w:marRight w:val="0"/>
      <w:marTop w:val="0"/>
      <w:marBottom w:val="0"/>
      <w:divBdr>
        <w:top w:val="none" w:sz="0" w:space="0" w:color="auto"/>
        <w:left w:val="none" w:sz="0" w:space="0" w:color="auto"/>
        <w:bottom w:val="none" w:sz="0" w:space="0" w:color="auto"/>
        <w:right w:val="none" w:sz="0" w:space="0" w:color="auto"/>
      </w:divBdr>
      <w:divsChild>
        <w:div w:id="265700224">
          <w:blockQuote w:val="1"/>
          <w:marLeft w:val="720"/>
          <w:marRight w:val="720"/>
          <w:marTop w:val="100"/>
          <w:marBottom w:val="100"/>
          <w:divBdr>
            <w:top w:val="none" w:sz="0" w:space="0" w:color="auto"/>
            <w:left w:val="none" w:sz="0" w:space="0" w:color="auto"/>
            <w:bottom w:val="none" w:sz="0" w:space="0" w:color="auto"/>
            <w:right w:val="none" w:sz="0" w:space="0" w:color="auto"/>
          </w:divBdr>
        </w:div>
        <w:div w:id="349333802">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5506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872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6894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hyperlink" Target="https://www.accenture.com/gb-en/insights/utilities/technology-trends-2022" TargetMode="External"/><Relationship Id="rId63" Type="http://schemas.openxmlformats.org/officeDocument/2006/relationships/hyperlink" Target="https://doi.org/10.1080/09537287.2021.1882690" TargetMode="External"/><Relationship Id="rId68" Type="http://schemas.openxmlformats.org/officeDocument/2006/relationships/hyperlink" Target="https://www.researchgate.net/profile/Amaka-Obijuru/publication/379231525_HARNESSING_BUSINESS_ANALYTICS_FOR_GAINING_COMPETITIVE_ADVANTAGE_IN_EMERGING_MARKETS_A_SYSTEMATIC_REVIEW_OF_APPROACHES_AND_OUTCOMES/links/66a964534433ad480e87a276/HARNESSING-BUSINESS-ANALYTICS-FOR-GAINING-COMPETITIVE-ADVANTAGE-IN-EMERGING-MARKETS-A-SYSTEMATIC-REVIEW-OF-APPROACHES-AND-OUTCOMES.pdf" TargetMode="External"/><Relationship Id="rId84" Type="http://schemas.openxmlformats.org/officeDocument/2006/relationships/hyperlink" Target="https://doi.org/10.17705/1CAIS.02903" TargetMode="External"/><Relationship Id="rId89" Type="http://schemas.openxmlformats.org/officeDocument/2006/relationships/hyperlink" Target="https://doi.org/10.1186/s40537-020-00329-2" TargetMode="External"/><Relationship Id="rId16" Type="http://schemas.openxmlformats.org/officeDocument/2006/relationships/image" Target="media/image4.png"/><Relationship Id="rId107" Type="http://schemas.openxmlformats.org/officeDocument/2006/relationships/theme" Target="theme/theme1.xml"/><Relationship Id="rId11" Type="http://schemas.openxmlformats.org/officeDocument/2006/relationships/footer" Target="footer2.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hyperlink" Target="https://www.academia.edu/download/118744919/GSCARR-2024-0180.pdf" TargetMode="External"/><Relationship Id="rId58" Type="http://schemas.openxmlformats.org/officeDocument/2006/relationships/hyperlink" Target="https://acrobat.adobe.com/id/urn:aaid:sc:eu:4fdc403a-00b9-432b-ad02-dfbaaa6e69f0" TargetMode="External"/><Relationship Id="rId74" Type="http://schemas.openxmlformats.org/officeDocument/2006/relationships/hyperlink" Target="http://dx.doi.org/10.1016/0147-1767(85)90062-8" TargetMode="External"/><Relationship Id="rId79" Type="http://schemas.openxmlformats.org/officeDocument/2006/relationships/hyperlink" Target="https://www.nationalgrid.com/electricity-transmission/about-us/digitalisation-strategy-and-action-plan" TargetMode="External"/><Relationship Id="rId102" Type="http://schemas.openxmlformats.org/officeDocument/2006/relationships/hyperlink" Target="https://acrobat.adobe.com/id/urn:aaid:sc:EU:32b65565-f821-4203-aa05-e8279865d1db" TargetMode="External"/><Relationship Id="rId5" Type="http://schemas.openxmlformats.org/officeDocument/2006/relationships/settings" Target="settings.xml"/><Relationship Id="rId90" Type="http://schemas.openxmlformats.org/officeDocument/2006/relationships/hyperlink" Target="https://journal.ijarps.org/index.php/IJARPS/article/download/325/298" TargetMode="External"/><Relationship Id="rId95" Type="http://schemas.openxmlformats.org/officeDocument/2006/relationships/hyperlink" Target="https://www.sse.com/media/214daz5u/sse-plc-net-zero-transition-report-2024.pdf" TargetMode="External"/><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image" Target="media/image31.png"/><Relationship Id="rId48" Type="http://schemas.openxmlformats.org/officeDocument/2006/relationships/hyperlink" Target="https://www.researchgate.net/profile/Bolaji-Adekunle/publication/390300594_A_Predictive_Modeling_Approach_to_Optimizing_Business_Operations_A_Case_Study_on_Reducing_Operational_Inefficiencies_through_Machine_Learning/links/67e80d129b1c6c4877627b15/A-Predictive-Modeling-Approach-to-Optimizing-Business-Operations-A-Case-Study-on-Reducing-Operational-Inefficiencies-through-Machine-Learning.pdf" TargetMode="External"/><Relationship Id="rId64" Type="http://schemas.openxmlformats.org/officeDocument/2006/relationships/hyperlink" Target="https://ico.org.uk/media/for-organisations/guide-to-data-protection/guide-to-the-general-data-protection-regulation-gdpr-1-1.pdf" TargetMode="External"/><Relationship Id="rId69" Type="http://schemas.openxmlformats.org/officeDocument/2006/relationships/hyperlink" Target="https://www.researchgate.net/profile/Hariharan-Pappil-Kothandapani-2/publication/386176561_Optimizing_Financial_Data_Governance_for_Improved_Risk_Management_and_Regulatory_Reporting_in_Data_Lakes/links/6747aa09359dcb4d9d3ca998/Optimizing-Financial-Data-Governance-for-Improved-Risk-Management-and-Regulatory-Reporting-in-Data-Lakes.pdf" TargetMode="External"/><Relationship Id="rId80" Type="http://schemas.openxmlformats.org/officeDocument/2006/relationships/hyperlink" Target="https://octopus.energy/about-us/technology-and-data-strategy" TargetMode="External"/><Relationship Id="rId85" Type="http://schemas.openxmlformats.org/officeDocument/2006/relationships/hyperlink" Target="https://www.liebertpub.com/doi/10.1089/big.2013.1508" TargetMode="External"/><Relationship Id="rId12" Type="http://schemas.openxmlformats.org/officeDocument/2006/relationships/footer" Target="footer3.xml"/><Relationship Id="rId17" Type="http://schemas.openxmlformats.org/officeDocument/2006/relationships/image" Target="media/image5.png"/><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hyperlink" Target="https://journals.sagepub.com/doi/10.1177/09722629211023024" TargetMode="External"/><Relationship Id="rId103" Type="http://schemas.openxmlformats.org/officeDocument/2006/relationships/hyperlink" Target="https://acrobat.adobe.com/id/urn:aaid:sc:EU:4c8f812b-9949-4ef8-9889-fa74d7376882" TargetMode="Externa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hyperlink" Target="https://www.bera.ac.uk/publication/ethical-guidelines-for-educational-research-2018" TargetMode="External"/><Relationship Id="rId62" Type="http://schemas.openxmlformats.org/officeDocument/2006/relationships/hyperlink" Target="https://doi.org/10.1016/j.ijpe.2014.04.018" TargetMode="External"/><Relationship Id="rId70" Type="http://schemas.openxmlformats.org/officeDocument/2006/relationships/hyperlink" Target="https://kpmg.com/us/en/articles/2023/kpmg-digital-maturity-assessment.html" TargetMode="External"/><Relationship Id="rId75" Type="http://schemas.openxmlformats.org/officeDocument/2006/relationships/hyperlink" Target="https://hbr.org/2012/10/big-data-the-management-revolution" TargetMode="External"/><Relationship Id="rId83" Type="http://schemas.openxmlformats.org/officeDocument/2006/relationships/hyperlink" Target="https://www.ofgem.gov.uk/publications/review-digitalisation-strategies-energy-networks-2023" TargetMode="External"/><Relationship Id="rId88" Type="http://schemas.openxmlformats.org/officeDocument/2006/relationships/hyperlink" Target="https://doi.org/10.1186/s40537-020-00329-2" TargetMode="External"/><Relationship Id="rId91" Type="http://schemas.openxmlformats.org/officeDocument/2006/relationships/hyperlink" Target="https://link.springer.com/article/10.1057/ejis.2014.17" TargetMode="External"/><Relationship Id="rId96" Type="http://schemas.openxmlformats.org/officeDocument/2006/relationships/hyperlink" Target="https://www.sse.com/investors/reports-and-result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wjarr.co.in/sites/default/files/WJARR-2024-1961.pdf" TargetMode="External"/><Relationship Id="rId57" Type="http://schemas.openxmlformats.org/officeDocument/2006/relationships/hyperlink" Target="https://doi.org/10.1007/978-3-030-32416-3_1" TargetMode="External"/><Relationship Id="rId106"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hyperlink" Target="https://doi.org/10.5281/zenodo.5540496" TargetMode="External"/><Relationship Id="rId60" Type="http://schemas.openxmlformats.org/officeDocument/2006/relationships/hyperlink" Target="https://doi.org/10.11648/j.ajtas.20160501.11" TargetMode="External"/><Relationship Id="rId65" Type="http://schemas.openxmlformats.org/officeDocument/2006/relationships/hyperlink" Target="https://www.iea.org/reports/world-energy-outlook-2022" TargetMode="External"/><Relationship Id="rId73" Type="http://schemas.openxmlformats.org/officeDocument/2006/relationships/hyperlink" Target="https://doi.org/10.3390/app10196784" TargetMode="External"/><Relationship Id="rId78" Type="http://schemas.openxmlformats.org/officeDocument/2006/relationships/hyperlink" Target="https://www.nationalgrid.com/document/151041/download" TargetMode="External"/><Relationship Id="rId81" Type="http://schemas.openxmlformats.org/officeDocument/2006/relationships/hyperlink" Target="https://www.ofgem.gov.uk/sites/default/files/2023-11/Data%20Sharing%20in%20a%20Digital%20Future%20-%20Consumer%20Consent.pdf" TargetMode="External"/><Relationship Id="rId86" Type="http://schemas.openxmlformats.org/officeDocument/2006/relationships/hyperlink" Target="https://sloanreview.mit.edu/wp-content/uploads/2017/02/621756dfdd-1.pdf?cid=1" TargetMode="External"/><Relationship Id="rId94" Type="http://schemas.openxmlformats.org/officeDocument/2006/relationships/hyperlink" Target="https://doi.org/10.2307/23042796" TargetMode="External"/><Relationship Id="rId99" Type="http://schemas.openxmlformats.org/officeDocument/2006/relationships/hyperlink" Target="https://www.ey.com/en_us/insights/power-utilities/power-utilities-why-the-future-of-power-and-utilities-depends-on-data" TargetMode="External"/><Relationship Id="rId101" Type="http://schemas.openxmlformats.org/officeDocument/2006/relationships/hyperlink" Target="https://www.sciencedirect.com/science/article/abs/pii/S0925527314001339" TargetMode="Externa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hyperlink" Target="https://doi.org/10.9734/ajeba/2023/v23i221165" TargetMode="External"/><Relationship Id="rId55" Type="http://schemas.openxmlformats.org/officeDocument/2006/relationships/hyperlink" Target="https://doi.org/10.1007/978-3-030-44999-5_36" TargetMode="External"/><Relationship Id="rId76" Type="http://schemas.openxmlformats.org/officeDocument/2006/relationships/hyperlink" Target="https://www.mckinsey.com/industries/oil-and-gas/our-insights/global-energy-perspective-2022" TargetMode="External"/><Relationship Id="rId97" Type="http://schemas.openxmlformats.org/officeDocument/2006/relationships/hyperlink" Target="https://www.sse.com/sustainability/" TargetMode="External"/><Relationship Id="rId104" Type="http://schemas.openxmlformats.org/officeDocument/2006/relationships/image" Target="media/image35.png"/><Relationship Id="rId7" Type="http://schemas.openxmlformats.org/officeDocument/2006/relationships/footnotes" Target="footnotes.xml"/><Relationship Id="rId71" Type="http://schemas.openxmlformats.org/officeDocument/2006/relationships/hyperlink" Target="https://doi.org/10.1016/j.ijinfomgt.2014.02.002" TargetMode="External"/><Relationship Id="rId92" Type="http://schemas.openxmlformats.org/officeDocument/2006/relationships/hyperlink" Target="https://www.researchgate.net/publication/385943560_Transforming_Decision-Making_The_Impact_of_AI_and_Machine_Learning_on_Strategic_Business_Operations" TargetMode="External"/><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hyperlink" Target="https://papers.ssrn.com/sol3/Delivery.cfm?abstractid=4881342" TargetMode="External"/><Relationship Id="rId87" Type="http://schemas.openxmlformats.org/officeDocument/2006/relationships/hyperlink" Target="https://www.spenergynetworks.co.uk/pages/our_digitalisation_strategy.aspx" TargetMode="External"/><Relationship Id="rId61" Type="http://schemas.openxmlformats.org/officeDocument/2006/relationships/hyperlink" Target="https://www.taylorfrancis.com/chapters/edit/10.4324/9780367806118-8/delta-analytics-maturity-model-james-gaston" TargetMode="External"/><Relationship Id="rId82" Type="http://schemas.openxmlformats.org/officeDocument/2006/relationships/hyperlink" Target="https://www.ofgem.gov.uk/publications/ofgems-decarbonisation-action-plan" TargetMode="External"/><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hyperlink" Target="https://ide.mit.edu/sites/default/files/publications/IDE%20Research%20Brief_v13_0.pdf" TargetMode="External"/><Relationship Id="rId77" Type="http://schemas.openxmlformats.org/officeDocument/2006/relationships/hyperlink" Target="https://doi.org/10.1145/3457607" TargetMode="External"/><Relationship Id="rId100" Type="http://schemas.openxmlformats.org/officeDocument/2006/relationships/hyperlink" Target="https://doi.org/10.1111/jbl.12010" TargetMode="External"/><Relationship Id="rId105" Type="http://schemas.openxmlformats.org/officeDocument/2006/relationships/image" Target="media/image36.png"/><Relationship Id="rId8" Type="http://schemas.openxmlformats.org/officeDocument/2006/relationships/endnotes" Target="endnotes.xml"/><Relationship Id="rId51" Type="http://schemas.openxmlformats.org/officeDocument/2006/relationships/hyperlink" Target="https://www.sciencedirect.com/science/article/abs/pii/S016792361730059X" TargetMode="External"/><Relationship Id="rId72" Type="http://schemas.openxmlformats.org/officeDocument/2006/relationships/hyperlink" Target="https://doi.org/10.2139/ssrn.2208741" TargetMode="External"/><Relationship Id="rId93" Type="http://schemas.openxmlformats.org/officeDocument/2006/relationships/hyperlink" Target="https://www.academia.edu/download/66680932/JBR_HRA_paper.pdf" TargetMode="External"/><Relationship Id="rId98" Type="http://schemas.openxmlformats.org/officeDocument/2006/relationships/hyperlink" Target="https://www.sse.com/investors/reportsresults/" TargetMode="External"/><Relationship Id="rId3" Type="http://schemas.openxmlformats.org/officeDocument/2006/relationships/numbering" Target="numbering.xml"/><Relationship Id="rId25" Type="http://schemas.openxmlformats.org/officeDocument/2006/relationships/image" Target="media/image13.png"/><Relationship Id="rId46" Type="http://schemas.openxmlformats.org/officeDocument/2006/relationships/image" Target="media/image34.png"/><Relationship Id="rId67" Type="http://schemas.openxmlformats.org/officeDocument/2006/relationships/hyperlink" Target="http://arno.uvt.nl/show.cgi?fid=171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0301674-DBF9-BD49-8B2C-31EA082EC03A}">
  <we:reference id="wa200004996" version="1.0.0.0" store="en-US" storeType="OMEX"/>
  <we:alternateReferences>
    <we:reference id="wa200004996" version="1.0.0.0" store="en-US" storeType="OMEX"/>
  </we:alternateReferences>
  <we:properties>
    <we:property name="bibcitation-word-citation-list" value="{&quot;id&quot;:&quot;873af842-a843-4464-b2c4-a59fea9b279c&quot;,&quot;citations&quot;:[{&quot;citationType&quot;:&quot;journalArticle&quot;,&quot;data&quot;:{&quot;id&quot;:&quot;33be6792-a312-49ab-98b0-e946430798da&quot;,&quot;type&quot;:&quot;article-journal&quot;,&quot;title&quot;:&quot;Data quality for data science, predictive analytics, and big data in supply chain management: An introduction to the problem and suggestions for research and applications&quot;,&quot;DOI&quot;:&quot;10.1016/j.ijpe.2014.04.018&quot;,&quot;ISSN&quot;:[&quot;0925-5273&quot;],&quot;author&quot;:[{&quot;given&quot;:&quot;Benjamin T.&quot;,&quot;family&quot;:&quot;Hazen&quot;,&quot;sequence&quot;:&quot;first&quot;,&quot;affiliation&quot;:[]},{&quot;given&quot;:&quot;Christopher A.&quot;,&quot;family&quot;:&quot;Boone&quot;,&quot;sequence&quot;:&quot;additional&quot;,&quot;affiliation&quot;:[]},{&quot;given&quot;:&quot;Jeremy D.&quot;,&quot;family&quot;:&quot;Ezell&quot;,&quot;sequence&quot;:&quot;additional&quot;,&quot;affiliation&quot;:[]},{&quot;given&quot;:&quot;L. Allison&quot;,&quot;family&quot;:&quot;Jones-Farmer&quot;,&quot;sequence&quot;:&quot;additional&quot;,&quot;affiliation&quot;:[]}],&quot;issued&quot;:{&quot;date-parts&quot;:[[2014,8]]},&quot;volume&quot;:&quot;154&quot;,&quot;publisher&quot;:&quot;Elsevier BV&quot;,&quot;container-title&quot;:&quot;International Journal of Production Economics&quot;,&quot;container-title-short&quot;:&quot;International Journal of Production Economics&quot;,&quot;URL&quot;:&quot;https://doi.org/10.1016/j.ijpe.2014.04.018&quot;,&quot;page&quot;:&quot;72-80&quot;,&quot;accessed&quot;:{&quot;date-parts&quot;:[[2025,4,29]]},&quot;regularType&quot;:&quot;journalArticle&quot;},&quot;requiredFieldsMetadata&quot;:{&quot;ignoredFields&quot;:{},&quot;missingFields&quot;:{&quot;Issue number&quot;:&quot;issue&quot;}}},{&quot;citationType&quot;:&quot;journalArticle&quot;,&quot;data&quot;:{&quot;id&quot;:&quot;0c7725e4-a551-4f56-bffb-12b682ff6ec3&quot;,&quot;type&quot;:&quot;article-journal&quot;,&quot;title&quot;:&quot;Predictive big data analytics for supply chain demand forecasting: methods, applications, and research opportunities&quot;,&quot;DOI&quot;:&quot;10.1186/s40537-020-00329-2&quot;,&quot;ISSN&quot;:[&quot;2196-1115&quot;],&quot;author&quot;:[{&quot;given&quot;:&quot;Mahya&quot;,&quot;family&quot;:&quot;Seyedan&quot;,&quot;sequence&quot;:&quot;first&quot;,&quot;affiliation&quot;:[]},{&quot;ORCID&quot;:&quot;https://orcid.org/0000-0002-7991-4635&quot;,&quot;authenticated-orcid&quot;:false,&quot;given&quot;:&quot;Fereshteh&quot;,&quot;family&quot;:&quot;Mafakheri&quot;,&quot;sequence&quot;:&quot;additional&quot;,&quot;affiliation&quot;:[]}],&quot;issue&quot;:&quot;1&quot;,&quot;issued&quot;:{&quot;date-parts&quot;:[[2020,7,25]]},&quot;volume&quot;:&quot;7&quot;,&quot;publisher&quot;:&quot;Springer Science and Business Media LLC&quot;,&quot;container-title&quot;:&quot;Journal of Big Data&quot;,&quot;container-title-short&quot;:&quot;J Big Data&quot;,&quot;URL&quot;:&quot;https://doi.org/10.1186/s40537-020-00329-2&quot;,&quot;accessed&quot;:{&quot;date-parts&quot;:[[2025,4,29]]},&quot;regularType&quot;:&quot;journalArticle&quot;},&quot;requiredFieldsMetadata&quot;:{&quot;ignoredFields&quot;:{},&quot;missingFields&quot;:{}}},{&quot;citationType&quot;:&quot;journalArticle&quot;,&quot;data&quot;:{&quot;id&quot;:&quot;50e7e89d-a96c-4563-8cf7-6e2f40ac38ee&quot;,&quot;type&quot;:&quot;article-journal&quot;,&quot;title&quot;:&quot;Sustainable Competitive Advantage Driven by Big Data Analytics and Innovation&quot;,&quot;DOI&quot;:&quot;10.3390/app10196784&quot;,&quot;ISSN&quot;:[&quot;2076-3417&quot;],&quot;author&quot;:[{&quot;ORCID&quot;:&quot;https://orcid.org/0000-0002-2476-6938&quot;,&quot;authenticated-orcid&quot;:false,&quot;given&quot;:&quot;Muawia&quot;,&quot;family&quot;:&quot;Ramadan&quot;,&quot;sequence&quot;:&quot;first&quot;,&quot;affiliation&quot;:[{&quot;name&quot;:&quot;Department of Industrial Engineering, Faculty of Engineering and Information Technology, An-Najah National University, P.O. Box 7, Nablus 97300, West Bank, Palestine&quot;}]},{&quot;given&quot;:&quot;Hana&quot;,&quot;family&quot;:&quot;Shuqqo&quot;,&quot;sequence&quot;:&quot;additional&quot;,&quot;affiliation&quot;:[{&quot;name&quot;:&quot;Department of Industrial Engineering, Faculty of Engineering and Information Technology, An-Najah National University, P.O. Box 7, Nablus 97300, West Bank, Palestine&quot;}]},{&quot;ORCID&quot;:&quot;https://orcid.org/0000-0002-0858-2450&quot;,&quot;authenticated-orcid&quot;:false,&quot;given&quot;:&quot;Layalee&quot;,&quot;family&quot;:&quot;Qtaishat&quot;,&quot;sequence&quot;:&quot;additional&quot;,&quot;affiliation&quot;:[{&quot;name&quot;:&quot;Department of Industrial Engineering, Faculty of Engineering and Information Technology, An-Najah National University, P.O. Box 7, Nablus 97300, West Bank, Palestine&quot;}]},{&quot;given&quot;:&quot;Hebaa&quot;,&quot;family&quot;:&quot;Asmar&quot;,&quot;sequence&quot;:&quot;additional&quot;,&quot;affiliation&quot;:[{&quot;name&quot;:&quot;Department of Industrial Engineering, Faculty of Engineering and Information Technology, An-Najah National University, P.O. Box 7, Nablus 97300, West Bank, Palestine&quot;}]},{&quot;ORCID&quot;:&quot;https://orcid.org/0000-0001-5254-7698&quot;,&quot;authenticated-orcid&quot;:false,&quot;given&quot;:&quot;Bashir&quot;,&quot;family&quot;:&quot;Salah&quot;,&quot;sequence&quot;:&quot;additional&quot;,&quot;affiliation&quot;:[{&quot;name&quot;:&quot;Department of Industrial Engineering, College of Engineering, King Saud University, P.O. Box 800, Riyadh 11421, Saudi Arabia&quot;}]}],&quot;issue&quot;:&quot;19&quot;,&quot;issued&quot;:{&quot;date-parts&quot;:[[2020,9,28]]},&quot;volume&quot;:&quot;10&quot;,&quot;publisher&quot;:&quot;MDPI AG&quot;,&quot;container-title&quot;:&quot;Applied Sciences&quot;,&quot;container-title-short&quot;:&quot;Applied Sciences&quot;,&quot;URL&quot;:&quot;https://doi.org/10.3390/app10196784&quot;,&quot;page&quot;:&quot;6784&quot;,&quot;accessed&quot;:{&quot;date-parts&quot;:[[2025,4,30]]},&quot;regularType&quot;:&quot;journalArticle&quot;},&quot;requiredFieldsMetadata&quot;:{&quot;ignoredFields&quot;:{},&quot;missingFields&quot;:{}}},{&quot;citationType&quot;:&quot;journalArticle&quot;,&quot;data&quot;:{&quot;id&quot;:&quot;6f2c45a4-aef7-43b6-8d96-e1fca1c4c057&quot;,&quot;type&quot;:&quot;article-journal&quot;,&quot;title&quot;:&quot;Artificial intelligence in operations management and supply chain management: an exploratory case study&quot;,&quot;DOI&quot;:&quot;10.1080/09537287.2021.1882690&quot;,&quot;ISSN&quot;:[&quot;0953-7287&quot;,&quot;1366-5871&quot;],&quot;author&quot;:[{&quot;ORCID&quot;:&quot;http://orcid.org/0000-0002-0501-2727&quot;,&quot;authenticated-orcid&quot;:false,&quot;given&quot;:&quot;Petri&quot;,&quot;family&quot;:&quot;Helo&quot;,&quot;sequence&quot;:&quot;first&quot;,&quot;affiliation&quot;:[{&quot;name&quot;:&quot;Department of Industrial Management, University of Vaasa, Vaasa, Finland&quot;}]},{&quot;given&quot;:&quot;Yuqiuge&quot;,&quot;family&quot;:&quot;Hao&quot;,&quot;sequence&quot;:&quot;additional&quot;,&quot;affiliation&quot;:[{&quot;name&quot;:&quot;Department of Industrial Management, University of Vaasa, Vaasa, Finland&quot;}]}],&quot;issue&quot;:&quot;16&quot;,&quot;issued&quot;:{&quot;date-parts&quot;:[[2021,4,1]]},&quot;volume&quot;:&quot;33&quot;,&quot;publisher&quot;:&quot;Informa UK Limited&quot;,&quot;container-title&quot;:&quot;Production Planning &amp;amp; Control&quot;,&quot;container-title-short&quot;:&quot;Production Planning &amp;amp; Control&quot;,&quot;URL&quot;:&quot;https://doi.org/10.1080/09537287.2021.1882690&quot;,&quot;page&quot;:&quot;1573-1590&quot;,&quot;accessed&quot;:{&quot;date-parts&quot;:[[2025,5,2]]},&quot;regularType&quot;:&quot;journalArticle&quot;},&quot;requiredFieldsMetadata&quot;:{&quot;ignoredFields&quot;:{},&quot;missingFields&quot;:{}}},{&quot;citationType&quot;:&quot;website&quot;,&quot;data&quot;:{&quot;id&quot;:&quot;947c7e27-8a5c-4892-ac02-b631a8a434a8&quot;,&quot;type&quot;:&quot;webpage&quot;,&quot;container-title&quot;:&quot;DNV&quot;,&quot;URL&quot;:&quot;https://www.dnv.com/article/digital-transformation-of-the-energy-sector/&quot;,&quot;title&quot;:&quot;Digital transformation of the energy sector&quot;,&quot;favicon&quot;:&quot;https://www.dnv.com/assets/meta/apple-touch-icon.png&quot;,&quot;regularType&quot;:&quot;website&quot;,&quot;accessed&quot;:{&quot;date-parts&quot;:[[2025,5,2]]},&quot;author&quot;:[{&quot;given&quot;:&quot;Graham&quot;,&quot;family&quot;:&quot;Faiz&quot;,&quot;suffix&quot;:&quot;&quot;,&quot;backups&quot;:{&quot;given&quot;:&quot;Graham&quot;,&quot;family&quot;:&quot;Faiz&quot;,&quot;suffix&quot;:&quot;&quot;}}],&quot;issued&quot;:{&quot;date-parts&quot;:[[2025,4,&quot;&quot;]]}},&quot;requiredFieldsMetadata&quot;:{&quot;ignoredFields&quot;:{},&quot;missingFields&quot;:{}}},{&quot;citationType&quot;:&quot;journalArticle&quot;,&quot;data&quot;:{&quot;id&quot;:&quot;3d4abb97-4bc7-4f45-9a23-9c7b795af18d&quot;,&quot;type&quot;:&quot;article-journal&quot;,&quot;title&quot;:&quot;Predictive Artificial Intelligence Models for Energy Efficiency in Hybrid and Electric Vehicles: Analysis for Enna, Sicily&quot;,&quot;DOI&quot;:&quot;10.3390/en17194913&quot;,&quot;ISSN&quot;:[&quot;1996-1073&quot;],&quot;author&quot;:[{&quot;ORCID&quot;:&quot;https://orcid.org/0000-0002-3957-8294&quot;,&quot;authenticated-orcid&quot;:false,&quot;given&quot;:&quot;Maksymilian&quot;,&quot;family&quot;:&quot;Mądziel&quot;,&quot;sequence&quot;:&quot;first&quot;,&quot;affiliation&quot;:[{&quot;name&quot;:&quot;Faculty of Mechanical Engineering and Aeronautics, Rzeszow University of Technology, 35-959 Rzeszow, Poland&quot;}]},{&quot;ORCID&quot;:&quot;https://orcid.org/0000-0003-4251-4838&quot;,&quot;authenticated-orcid&quot;:false,&quot;given&quot;:&quot;Tiziana&quot;,&quot;family&quot;:&quot;Campisi&quot;,&quot;sequence&quot;:&quot;additional&quot;,&quot;affiliation&quot;:[{&quot;name&quot;:&quot;Department of Engineering and Architecture, Kore University of Enna, Cittadella Universitaria, 94100 Enna, Italy&quot;}]}],&quot;issue&quot;:&quot;19&quot;,&quot;issued&quot;:{&quot;date-parts&quot;:[[2024,9,30]]},&quot;volume&quot;:&quot;17&quot;,&quot;publisher&quot;:&quot;MDPI AG&quot;,&quot;container-title&quot;:&quot;Energies&quot;,&quot;container-title-short&quot;:&quot;Energies&quot;,&quot;URL&quot;:&quot;https://doi.org/10.3390/en17194913&quot;,&quot;page&quot;:&quot;4913&quot;,&quot;accessed&quot;:{&quot;date-parts&quot;:[[2025,5,2]]},&quot;regularType&quot;:&quot;journalArticle&quot;},&quot;requiredFieldsMetadata&quot;:{&quot;ignoredFields&quot;:{},&quot;missingFields&quot;:{}}},{&quot;citationType&quot;:&quot;journalArticle&quot;,&quot;data&quot;:{&quot;id&quot;:&quot;727468be-bbba-46ea-aaae-1ad1f32f592e&quot;,&quot;type&quot;:&quot;article-journal&quot;,&quot;title&quot;:&quot;Maturity Models for Information Systems - A State of the Art&quot;,&quot;DOI&quot;:&quot;10.1016/j.procs.2016.09.279&quot;,&quot;ISSN&quot;:[&quot;1877-0509&quot;],&quot;author&quot;:[{&quot;given&quot;:&quot;Diogo&quot;,&quot;family&quot;:&quot;Proença&quot;,&quot;sequence&quot;:&quot;first&quot;,&quot;affiliation&quot;:[]},{&quot;given&quot;:&quot;José&quot;,&quot;family&quot;:&quot;Borbinha&quot;,&quot;sequence&quot;:&quot;additional&quot;,&quot;affiliation&quot;:[]}],&quot;issued&quot;:{&quot;date-parts&quot;:[[2016]]},&quot;volume&quot;:&quot;100&quot;,&quot;publisher&quot;:&quot;Elsevier BV&quot;,&quot;container-title&quot;:&quot;Procedia Computer Science&quot;,&quot;container-title-short&quot;:&quot;Procedia Computer Science&quot;,&quot;URL&quot;:&quot;https://doi.org/10.1016/j.procs.2016.09.279&quot;,&quot;page&quot;:&quot;1042-1049&quot;,&quot;accessed&quot;:{&quot;date-parts&quot;:[[2025,5,2]]},&quot;regularType&quot;:&quot;journalArticle&quot;},&quot;requiredFieldsMetadata&quot;:{&quot;ignoredFields&quot;:{},&quot;missingFields&quot;:{&quot;Issue number&quot;:&quot;issue&quot;}}},{&quot;citationType&quot;:&quot;website&quot;,&quot;data&quot;:{&quot;id&quot;:&quot;e74a9a83-0bfc-496f-b85c-e253073ebef5&quot;,&quot;type&quot;:&quot;webpage&quot;,&quot;container-title&quot;:&quot;MIT OpenCourseWare&quot;,&quot;URL&quot;:&quot;https://www.ey.com/en_us/insights/power-utilities/power-utilities-why-the-future-of-power-and-utilities-depends-on-data&quot;,&quot;title&quot;:&quot;Why the future of power and utilities depends on data&quot;,&quot;favicon&quot;:&quot;https://www.ey.com/content/dam/ey-unified-site/icon/ey-favicon.jpg&quot;,&quot;regularType&quot;:&quot;website&quot;,&quot;accessed&quot;:{&quot;date-parts&quot;:[[2025,5,2]]},&quot;author&quot;:[{&quot;given&quot;:&quot;Trey&quot;,&quot;family&quot;:&quot;Thornton&quot;,&quot;suffix&quot;:&quot;&quot;,&quot;backups&quot;:{&quot;given&quot;:&quot;Trey&quot;,&quot;family&quot;:&quot;Thornton&quot;,&quot;suffix&quot;:&quot;&quot;}}],&quot;issued&quot;:{&quot;date-parts&quot;:[[2022,12,2]]}},&quot;requiredFieldsMetadata&quot;:{&quot;ignoredFields&quot;:{},&quot;missingFields&quot;:{}}},{&quot;citationType&quot;:&quot;journalArticle&quot;,&quot;data&quot;:{&quot;id&quot;:&quot;470bf7a5-3388-41a2-b7fb-a26756d42ee1&quot;,&quot;type&quot;:&quot;article-journal&quot;,&quot;title&quot;:&quot;The Role of Knowledge-Oriented Leadership in Fostering Innovation Capabilities: The Mediating Role of Data Analytics Maturity&quot;,&quot;DOI&quot;:&quot;10.1109/access.2023.3333915&quot;,&quot;ISSN&quot;:[&quot;2169-3536&quot;],&quot;author&quot;:[{&quot;ORCID&quot;:&quot;https://orcid.org/0009-0004-7039-1753&quot;,&quot;authenticated-orcid&quot;:false,&quot;given&quot;:&quot;Destina Ratna Asih Khodijah&quot;,&quot;family&quot;:&quot;Kadarsah&quot;,&quot;sequence&quot;:&quot;first&quot;,&quot;affiliation&quot;:[{&quot;name&quot;:&quot;Industrial Engineering Department, Faculty of Industrial Technology, Bandung Institute of Technology, Bandung, Indonesia&quot;}]},{&quot;given&quot;:&quot;Rajesri&quot;,&quot;family&quot;:&quot;Govindaraju&quot;,&quot;sequence&quot;:&quot;additional&quot;,&quot;affiliation&quot;:[{&quot;name&quot;:&quot;Industrial Engineering Department, Faculty of Industrial Technology, Bandung Institute of Technology, Bandung, Indonesia&quot;}]},{&quot;given&quot;:&quot;Budhi&quot;,&quot;family&quot;:&quot;Prihartono&quot;,&quot;sequence&quot;:&quot;additional&quot;,&quot;affiliation&quot;:[{&quot;name&quot;:&quot;Industrial Engineering Department, Faculty of Industrial Technology, Bandung Institute of Technology, Bandung, Indonesia&quot;}]}],&quot;issued&quot;:{&quot;date-parts&quot;:[[2023]]},&quot;volume&quot;:&quot;11&quot;,&quot;publisher&quot;:&quot;Institute of Electrical and Electronics Engineers (IEEE)&quot;,&quot;container-title&quot;:&quot;IEEE Access&quot;,&quot;container-title-short&quot;:&quot;IEEE Access&quot;,&quot;URL&quot;:&quot;https://doi.org/10.1109/access.2023.3333915&quot;,&quot;page&quot;:&quot;129683-129702&quot;,&quot;accessed&quot;:{&quot;date-parts&quot;:[[2025,5,2]]},&quot;regularType&quot;:&quot;journalArticle&quot;},&quot;requiredFieldsMetadata&quot;:{&quot;ignoredFields&quot;:{},&quot;missingFields&quot;:{&quot;Issue number&quot;:&quot;issue&quot;}}},{&quot;citationType&quot;:&quot;book&quot;,&quot;data&quot;:{&quot;id&quot;:&quot;a1c26ad1-4595-44a8-9423-77d4f2daa511&quot;,&quot;type&quot;:&quot;book&quot;,&quot;title&quot;:&quot;DAMA-DMBOK: Data Management Body of Knowledge&quot;,&quot;author&quot;:[{&quot;literal&quot;:&quot;DAMA International&quot;,&quot;backups&quot;:{}}],&quot;issued&quot;:{&quot;date-parts&quot;:[[2024]]},&quot;language&quot;:&quot;en&quot;,&quot;publisher&quot;:&quot;DAMA DMBoK&quot;,&quot;abstract&quot;:&quot;Defining a set of guiding principles for data management and describing how these principles can be applied within data management functional areas; Providing a functional framework for the implementation of enterprise data management practices; including widely adopted practices, methods and techniques, functions, roles, deliverables and metrics; Establishing a common vocabulary for data management concepts and serving as the basis for best practices for data management professionals. DAMA-DMBOK2 provides data management and IT professionals, executives, knowledge workers, educators, and researchers with a framework to manage their data and mature their information infrastructure, based on these principles: Data is an asset with unique properties; The value of data can be and should be expressed in economic terms; Managing data means managing the quality of data; It takes metadata to manage data; It takes planning to manage data; Data management is cross-functional and requires a range of skills and expertise; Data management requires an enterprise perspective; Data management must account for a range of perspectives; Data management is data lifecycle management; Different types of data have different lifecycle requirements; Managing data includes managing risks associated with data; Data management requirements must drive information technology decisions; Effective data management requires leadership commitment.&quot;,&quot;ISBN&quot;:&quot;1634622340&quot;,&quot;number-of-pages&quot;:628,&quot;accessed&quot;:{&quot;date-parts&quot;:[[2025,5,6]]},&quot;page&quot;:&quot;1-626&quot;,&quot;publisher-place&quot;:&quot;Basking Ridge, NJ 07920 USA&quot;,&quot;original-date&quot;:{&quot;date-parts&quot;:[[2018,&quot;&quot;,&quot;&quot;]]},&quot;editor&quot;:[{&quot;given&quot;:&quot;Deborah&quot;,&quot;family&quot;:&quot;Henderson&quot;,&quot;suffix&quot;:&quot;&quot;,&quot;backups&quot;:{&quot;given&quot;:&quot;Deborah&quot;,&quot;family&quot;:&quot;Henderson&quot;,&quot;suffix&quot;:&quot;&quot;}},{&quot;given&quot;:&quot;Susan&quot;,&quot;family&quot;:&quot;Earley&quot;,&quot;suffix&quot;:&quot;&quot;,&quot;backups&quot;:{&quot;given&quot;:&quot;Susan&quot;,&quot;family&quot;:&quot;Earley&quot;,&quot;suffix&quot;:&quot;&quot;}},{&quot;given&quot;:&quot;Laura&quot;,&quot;family&quot;:&quot;Sebastian-Coleman&quot;,&quot;suffix&quot;:&quot;&quot;,&quot;backups&quot;:{&quot;given&quot;:&quot;Laura&quot;,&quot;family&quot;:&quot;Sebastian-Coleman&quot;,&quot;suffix&quot;:&quot;&quot;}}]},&quot;requiredFieldsMetadata&quot;:{&quot;ignoredFields&quot;:{},&quot;missingFields&quot;:{}}}],&quot;style&quot;:{&quot;name&quot;:&quot;Elsevier - Harvard (with titles)&quot;,&quot;xml&quot;:&quot;&lt;?xml version=\&quot;1.0\&quot; encoding=\&quot;utf-8\&quot;?&gt;\n&lt;style xmlns=\&quot;http://purl.org/net/xbiblio/csl\&quot; class=\&quot;in-text\&quot; version=\&quot;1.0\&quot; demote-non-dropping-particle=\&quot;never\&quot; default-locale=\&quot;en-US\&quot;&gt;\n  &lt;info&gt;\n    &lt;title&gt;Elsevier - Harvard (with titles)&lt;/title&gt;\n    &lt;id&gt;http://www.zotero.org/styles/elsevier-harvard&lt;/id&gt;\n    &lt;link href=\&quot;http://www.zotero.org/styles/elsevier-harvard\&quot; rel=\&quot;self\&quot;/&gt;\n    &lt;link href=\&quot;http://www.zotero.org/styles/ecology-letters\&quot; rel=\&quot;template\&quot;/&gt;\n    &lt;link href=\&quot;http://www.elsevier.com/journals/biological-conservation/0006-3207/guide-for-authors#68000\&quot; rel=\&quot;documentation\&quot;/&gt;\n    &lt;author&gt;\n      &lt;name&gt;David Kaplan&lt;/name&gt;\n      &lt;email&gt;david.kaplan@ird.fr&lt;/email&gt;\n    &lt;/author&gt;\n    &lt;contributor&gt;\n      &lt;name&gt;Simon Kornblith&lt;/name&gt;\n      &lt;email&gt;simon@simonster.com&lt;/email&gt;\n    &lt;/contributor&gt;\n    &lt;contributor&gt;\n      &lt;name&gt;Bruce D'Arcus&lt;/name&gt;\n    &lt;/contributor&gt;\n    &lt;contributor&gt;\n      &lt;name&gt;Curtis M. Humphrey&lt;/name&gt;\n    &lt;/contributor&gt;\n    &lt;contributor&gt;\n      &lt;name&gt;Richard Karnesky&lt;/name&gt;\n      &lt;email&gt;karnesky+zotero@gmail.com&lt;/email&gt;\n      &lt;uri&gt;http://arc.nucapt.northwestern.edu/Richard_Karnesky&lt;/uri&gt;\n    &lt;/contributor&gt;\n    &lt;contributor&gt;\n      &lt;name&gt;Sebastian Karcher&lt;/name&gt;\n    &lt;/contributor&gt;\n    &lt;category citation-format=\&quot;author-date\&quot;/&gt;\n    &lt;category field=\&quot;biology\&quot;/&gt;\n    &lt;category field=\&quot;generic-base\&quot;/&gt;\n    &lt;updated&gt;2014-03-04T00:09:00+00:00&lt;/updated&gt;\n    &lt;rights license=\&quot;http://creativecommons.org/licenses/by-sa/3.0/\&quot;&gt;This work is licensed under a Creative Commons Attribution-ShareAlike 3.0 License&lt;/rights&gt;\n  &lt;/info&gt;\n  &lt;macro name=\&quot;container\&quot;&gt;\n    &lt;choose&gt;\n      &lt;if type=\&quot;chapter paper-conference\&quot; match=\&quot;any\&quot;&gt;\n        &lt;text term=\&quot;in\&quot; prefix=\&quot;, \&quot; suffix=\&quot;: \&quot;/&gt;\n        &lt;names variable=\&quot;editor translator\&quot; delimiter=\&quot;, \&quot; suffix=\&quot;, \&quot;&gt;\n          &lt;name name-as-sort-order=\&quot;all\&quot; sort-separator=\&quot;, \&quot; initialize-with=\&quot;.\&quot; delimiter=\&quot;, \&quot; delimiter-precedes-last=\&quot;always\&quot;/&gt;\n          &lt;label form=\&quot;short\&quot; text-case=\&quot;capitalize-first\&quot; prefix=\&quot; (\&quot; suffix=\&quot;)\&quot;/&gt;\n        &lt;/names&gt;\n        &lt;group delimiter=\&quot;, \&quot;&gt;\n          &lt;text variable=\&quot;container-title\&quot; text-case=\&quot;title\&quot;/&gt;\n          &lt;text variable=\&quot;collection-title\&quot; text-case=\&quot;title\&quot;/&gt;\n        &lt;/group&gt;\n      &lt;/if&gt;\n      &lt;else-if type=\&quot;bill book graphic legal_case legislation motion_picture report song\&quot; match=\&quot;any\&quot;&gt;\n        &lt;group prefix=\&quot;, \&quot; delimiter=\&quot;, \&quot;&gt;\n          &lt;text variable=\&quot;container-title\&quot;/&gt;\n          &lt;text variable=\&quot;collection-title\&quot;/&gt;\n        &lt;/group&gt;\n      &lt;/else-if&gt;\n      &lt;else&gt;\n        &lt;group prefix=\&quot;. \&quot; delimiter=\&quot;, \&quot;&gt;\n          &lt;text variable=\&quot;container-title\&quot; form=\&quot;short\&quot;/&gt;\n          &lt;text variable=\&quot;collection-title\&quot;/&gt;\n        &lt;/group&gt;\n      &lt;/else&gt;\n    &lt;/choose&gt;\n  &lt;/macro&gt;\n  &lt;macro name=\&quot;author\&quot;&gt;\n    &lt;names variable=\&quot;author\&quot;&gt;\n      &lt;name name-as-sort-order=\&quot;all\&quot; sort-separator=\&quot;, \&quot; initialize-with=\&quot;.\&quot; delimiter=\&quot;, \&quot; delimiter-precedes-last=\&quot;always\&quot;/&gt;\n      &lt;label form=\&quot;short\&quot; prefix=\&quot; (\&quot; suffix=\&quot;)\&quot; text-case=\&quot;capitalize-first\&quot;/&gt;\n      &lt;substitute&gt;\n        &lt;names variable=\&quot;editor\&quot;/&gt;\n        &lt;names variable=\&quot;translator\&quot;/&gt;\n        &lt;text macro=\&quot;title\&quot;/&gt;\n      &lt;/substitute&gt;\n    &lt;/names&gt;\n  &lt;/macro&gt;\n  &lt;macro name=\&quot;author-short\&quot;&gt;\n    &lt;names variable=\&quot;author\&quot;&gt;\n      &lt;name form=\&quot;short\&quot; and=\&quot;text\&quot; delimiter=\&quot;, \&quot; initialize-with=\&quot;. \&quot;/&gt;\n      &lt;substitute&gt;\n        &lt;names variable=\&quot;editor\&quot;/&gt;\n        &lt;names variable=\&quot;translator\&quot;/&gt;\n        &lt;choose&gt;\n          &lt;if type=\&quot;bill book graphic legal_case legislation motion_picture report song\&quot; match=\&quot;any\&quot;&gt;\n            &lt;text variable=\&quot;title\&quot; form=\&quot;short\&quot; font-style=\&quot;italic\&quot;/&gt;\n          &lt;/if&gt;\n          &lt;else&gt;\n            &lt;text variable=\&quot;title\&quot; form=\&quot;short\&quot; quotes=\&quot;true\&quot;/&gt;\n          &lt;/else&gt;\n        &lt;/choose&gt;\n      &lt;/substitute&gt;\n    &lt;/names&gt;\n  &lt;/macro&gt;\n  &lt;macro name=\&quot;access\&quot;&gt;\n    &lt;choose&gt;\n      &lt;if variable=\&quot;DOI\&quot;&gt;\n        &lt;text variable=\&quot;DOI\&quot; prefix=\&quot;https://doi.org/\&quot;/&gt;\n      &lt;/if&gt;\n      &lt;else-if type=\&quot;webpage post-weblog\&quot; match=\&quot;any\&quot;&gt;\n        &lt;group delimiter=\&quot; \&quot;&gt;\n          &lt;text value=\&quot;URL\&quot;/&gt;\n          &lt;text variable=\&quot;URL\&quot;/&gt;\n          &lt;group prefix=\&quot;(\&quot; suffix=\&quot;).\&quot;&gt;\n            &lt;text term=\&quot;accessed\&quot; suffix=\&quot; \&quot;/&gt;\n            &lt;date variable=\&quot;accessed\&quot;&gt;\n              &lt;date-part name=\&quot;month\&quot; form=\&quot;numeric\&quot; suffix=\&quot;.\&quot;/&gt;\n              &lt;date-part name=\&quot;day\&quot; suffix=\&quot;.\&quot;/&gt;\n              &lt;date-part name=\&quot;year\&quot; form=\&quot;short\&quot;/&gt;\n            &lt;/date&gt;\n          &lt;/group&gt;\n        &lt;/group&gt;\n      &lt;/else-if&gt;\n    &lt;/choose&gt;\n  &lt;/macro&gt;\n  &lt;macro name=\&quot;title\&quot;&gt;\n    &lt;choose&gt;\n      &lt;if type=\&quot;report thesis\&quot; match=\&quot;any\&quot;&gt;\n        &lt;text variable=\&quot;title\&quot;/&gt;\n        &lt;group prefix=\&quot; (\&quot; suffix=\&quot;)\&quot; delimiter=\&quot; \&quot;&gt;\n          &lt;text variable=\&quot;genre\&quot;/&gt;\n          &lt;text variable=\&quot;number\&quot; prefix=\&quot;No. \&quot;/&gt;\n        &lt;/group&gt;\n      &lt;/if&gt;\n      &lt;else-if type=\&quot;bill book graphic legal_case legislation motion_picture report song speech\&quot; match=\&quot;any\&quot;&gt;\n        &lt;text variable=\&quot;title\&quot;/&gt;\n        &lt;text macro=\&quot;edition\&quot; prefix=\&quot;, \&quot;/&gt;\n      &lt;/else-if&gt;\n      &lt;else-if type=\&quot;webpage\&quot;&gt;\n        &lt;text variable=\&quot;title\&quot;/&gt;\n        &lt;text value=\&quot;WWW Document\&quot; prefix=\&quot; [\&quot; suffix=\&quot;]\&quot;/&gt;\n      &lt;/else-if&gt;\n      &lt;else&gt;\n        &lt;text variable=\&quot;title\&quot;/&gt;\n      &lt;/else&gt;\n    &lt;/choose&gt;\n  &lt;/macro&gt;\n  &lt;macro name=\&quot;publisher\&quot;&gt;\n    &lt;group delimiter=\&quot;, \&quot;&gt;\n      &lt;text variable=\&quot;publisher\&quot;/&gt;\n      &lt;text variable=\&quot;publisher-place\&quot;/&gt;\n    &lt;/group&gt;\n  &lt;/macro&gt;\n  &lt;macro name=\&quot;event\&quot;&gt;\n    &lt;choose&gt;\n      &lt;if variable=\&quot;event\&quot;&gt;\n        &lt;text term=\&quot;presented at\&quot; text-case=\&quot;capitalize-first\&quot; suffix=\&quot; \&quot;/&gt;\n        &lt;text variable=\&quot;event\&quot;/&gt;\n      &lt;/if&gt;\n    &lt;/choose&gt;\n  &lt;/macro&gt;\n  &lt;macro name=\&quot;issued\&quot;&gt;\n    &lt;choose&gt;\n      &lt;if variable=\&quot;issued\&quot;&gt;\n        &lt;date variable=\&quot;issued\&quot;&gt;\n          &lt;date-part name=\&quot;year\&quot;/&gt;\n        &lt;/date&gt;\n      &lt;/if&gt;\n      &lt;else&gt;\n        &lt;text term=\&quot;no date\&quot; form=\&quot;short\&quot;/&gt;\n      &lt;/else&gt;\n    &lt;/choose&gt;\n  &lt;/macro&gt;\n  &lt;macro name=\&quot;edition\&quot;&gt;\n    &lt;group delimiter=\&quot; \&quot;&gt;\n      &lt;choose&gt;\n        &lt;if is-numeric=\&quot;edition\&quot;&gt;\n          &lt;number variable=\&quot;edition\&quot; form=\&quot;ordinal\&quot;/&gt;\n        &lt;/if&gt;\n        &lt;else&gt;\n          &lt;text variable=\&quot;edition\&quot; suffix=\&quot;.\&quot;/&gt;\n        &lt;/else&gt;\n      &lt;/choose&gt;\n      &lt;text value=\&quot;ed\&quot;/&gt;\n    &lt;/group&gt;\n  &lt;/macro&gt;\n  &lt;macro name=\&quot;locators\&quot;&gt;\n    &lt;choose&gt;\n      &lt;if type=\&quot;article-journal article-magazine article-newspaper\&quot; match=\&quot;any\&quot;&gt;\n        &lt;group prefix=\&quot; \&quot; delimiter=\&quot;, \&quot;&gt;\n          &lt;group&gt;\n            &lt;text variable=\&quot;volume\&quot;/&gt;\n          &lt;/group&gt;\n          &lt;text variable=\&quot;page\&quot;/&gt;\n        &lt;/group&gt;\n      &lt;/if&gt;\n      &lt;else-if type=\&quot;bill book graphic legal_case legislation motion_picture report song thesis\&quot; match=\&quot;any\&quot;&gt;\n        &lt;group delimiter=\&quot;, \&quot; prefix=\&quot;. \&quot;&gt;\n          &lt;text macro=\&quot;event\&quot;/&gt;\n          &lt;text macro=\&quot;publisher\&quot;/&gt;\n        &lt;/group&gt;\n      &lt;/else-if&gt;\n      &lt;else-if type=\&quot;chapter paper-conference\&quot; match=\&quot;any\&quot;&gt;\n        &lt;group delimiter=\&quot;, \&quot; prefix=\&quot;. \&quot;&gt;\n          &lt;text macro=\&quot;event\&quot;/&gt;\n          &lt;text macro=\&quot;publisher\&quot;/&gt;\n          &lt;group&gt;\n            &lt;label variable=\&quot;page\&quot; form=\&quot;short\&quot; suffix=\&quot; \&quot;/&gt;\n            &lt;text variable=\&quot;page\&quot;/&gt;\n          &lt;/group&gt;\n        &lt;/group&gt;\n      &lt;/else-if&gt;\n      &lt;else-if type=\&quot;patent\&quot;&gt;\n        &lt;text variable=\&quot;number\&quot; prefix=\&quot;. \&quot;/&gt;\n      &lt;/else-if&gt;\n    &lt;/choose&gt;\n  &lt;/macro&gt;\n  &lt;citation et-al-min=\&quot;3\&quot; et-al-use-first=\&quot;1\&quot; disambiguate-add-givenname=\&quot;true\&quot; disambiguate-add-year-suffix=\&quot;true\&quot; collapse=\&quot;year\&quot; cite-group-delimiter=\&quot;, \&quot;&gt;\n    &lt;sort&gt;\n      &lt;key macro=\&quot;author\&quot;/&gt;\n      &lt;key macro=\&quot;issued\&quot; sort=\&quot;descending\&quot;/&gt;\n    &lt;/sort&gt;\n    &lt;layout prefix=\&quot;(\&quot; suffix=\&quot;)\&quot; delimiter=\&quot;; \&quot;&gt;\n      &lt;group delimiter=\&quot;, \&quot;&gt;\n        &lt;text macro=\&quot;author-short\&quot;/&gt;\n        &lt;text macro=\&quot;issued\&quot;/&gt;\n        &lt;group delimiter=\&quot; \&quot;&gt;\n          &lt;label variable=\&quot;locator\&quot; form=\&quot;short\&quot;/&gt;\n          &lt;text variable=\&quot;locator\&quot;/&gt;\n        &lt;/group&gt;\n      &lt;/group&gt;\n    &lt;/layout&gt;\n  &lt;/citation&gt;\n  &lt;bibliography hanging-indent=\&quot;true\&quot; entry-spacing=\&quot;0\&quot; line-spacing=\&quot;1\&quot;&gt;\n    &lt;sort&gt;\n      &lt;key macro=\&quot;author\&quot;/&gt;\n      &lt;key macro=\&quot;issued\&quot; sort=\&quot;descending\&quot;/&gt;\n    &lt;/sort&gt;\n    &lt;layout&gt;\n      &lt;group suffix=\&quot;.\&quot;&gt;\n        &lt;text macro=\&quot;author\&quot; suffix=\&quot;,\&quot;/&gt;\n        &lt;text macro=\&quot;issued\&quot; prefix=\&quot; \&quot;/&gt;\n        &lt;group prefix=\&quot;. \&quot;&gt;\n          &lt;text macro=\&quot;title\&quot;/&gt;\n          &lt;text macro=\&quot;container\&quot;/&gt;\n          &lt;text macro=\&quot;locators\&quot;/&gt;\n        &lt;/group&gt;\n      &lt;/group&gt;\n      &lt;text macro=\&quot;access\&quot; prefix=\&quot;. \&quot;/&gt;\n    &lt;/layout&gt;\n  &lt;/bibliography&gt;\n&lt;/style&gt;\n&quot;}}"/>
    <we:property name="bibcitation-word-document-id" value="&quot;118c8696-9d09-48d0-8694-342d5736c192&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9D014170-1321-B241-B150-096E3A33B645}">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2025-06-30T00:00:00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758F2C-AE96-AE4D-BDED-711FE3FF0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2361</TotalTime>
  <Pages>75</Pages>
  <Words>21010</Words>
  <Characters>121859</Characters>
  <Application>Microsoft Office Word</Application>
  <DocSecurity>0</DocSecurity>
  <Lines>2065</Lines>
  <Paragraphs>590</Paragraphs>
  <ScaleCrop>false</ScaleCrop>
  <HeadingPairs>
    <vt:vector size="2" baseType="variant">
      <vt:variant>
        <vt:lpstr>Title</vt:lpstr>
      </vt:variant>
      <vt:variant>
        <vt:i4>1</vt:i4>
      </vt:variant>
    </vt:vector>
  </HeadingPairs>
  <TitlesOfParts>
    <vt:vector size="1" baseType="lpstr">
      <vt:lpstr>Integration of Predictive Analytics into Strategic Decision-Making, using SSE PLC as the Case Study</vt:lpstr>
    </vt:vector>
  </TitlesOfParts>
  <Company>University of Wales, Trinity Saint David</Company>
  <LinksUpToDate>false</LinksUpToDate>
  <CharactersWithSpaces>142279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Integration of Predictive Analytics into Strategic Decision-Making (A Case Study of SSE PLC)</dc:title>
  <dc:subject>Evaluating Analytics Maturity, Data Governance Structures, and Future Pathways for Digital Innovation in the UK Energy Sector</dc:subject>
  <dc:creator>Joshua Depiver (2307234)</dc:creator>
  <cp:keywords/>
  <dc:description/>
  <cp:lastModifiedBy>Joshua Depiver (2307234)</cp:lastModifiedBy>
  <cp:revision>588</cp:revision>
  <dcterms:created xsi:type="dcterms:W3CDTF">2025-04-27T16:10:00Z</dcterms:created>
  <dcterms:modified xsi:type="dcterms:W3CDTF">2025-07-04T17:05:00Z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documentId_9163</vt:lpwstr>
  </property>
  <property fmtid="{D5CDD505-2E9C-101B-9397-08002B2CF9AE}" pid="3" name="grammarly_documentContext">
    <vt:lpwstr>{"goals":[],"domain":"general","emotions":[],"dialect":"british"}</vt:lpwstr>
  </property>
</Properties>
</file>