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BBE89" w14:textId="77777777" w:rsidR="00353015" w:rsidRPr="00294673" w:rsidRDefault="00AE1FB9" w:rsidP="003D1CFD">
      <w:pPr>
        <w:spacing w:after="2000" w:line="360" w:lineRule="auto"/>
        <w:rPr>
          <w:rFonts w:ascii="Times New Roman" w:hAnsi="Times New Roman" w:cs="Times New Roman"/>
          <w:sz w:val="24"/>
          <w:szCs w:val="24"/>
        </w:rPr>
      </w:pPr>
      <w:r w:rsidRPr="00294673">
        <w:rPr>
          <w:rFonts w:ascii="Times New Roman" w:hAnsi="Times New Roman" w:cs="Times New Roman"/>
          <w:noProof/>
          <w:sz w:val="24"/>
          <w:szCs w:val="24"/>
        </w:rPr>
        <w:drawing>
          <wp:inline distT="0" distB="0" distL="0" distR="0" wp14:anchorId="14D9B7DA" wp14:editId="7D0531DA">
            <wp:extent cx="1676400" cy="927783"/>
            <wp:effectExtent l="0" t="0" r="0" b="5715"/>
            <wp:docPr id="1" name="Picture 1" descr="Description: Description: 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cription: university-of-wales-trinity-saint-david-logo-vector | ESRC Wales Doctoral  Training Partnership"/>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80827" cy="930233"/>
                    </a:xfrm>
                    <a:prstGeom prst="rect">
                      <a:avLst/>
                    </a:prstGeom>
                    <a:noFill/>
                    <a:ln>
                      <a:noFill/>
                    </a:ln>
                  </pic:spPr>
                </pic:pic>
              </a:graphicData>
            </a:graphic>
          </wp:inline>
        </w:drawing>
      </w:r>
    </w:p>
    <w:p w14:paraId="37293C9A" w14:textId="77777777" w:rsidR="00353015" w:rsidRPr="00294673" w:rsidRDefault="00000000" w:rsidP="003D1CFD">
      <w:pPr>
        <w:spacing w:after="200" w:line="360" w:lineRule="auto"/>
        <w:jc w:val="center"/>
        <w:rPr>
          <w:rFonts w:ascii="Times New Roman" w:hAnsi="Times New Roman" w:cs="Times New Roman"/>
          <w:sz w:val="24"/>
          <w:szCs w:val="24"/>
        </w:rPr>
      </w:pPr>
      <w:r w:rsidRPr="00294673">
        <w:rPr>
          <w:rFonts w:ascii="Times New Roman" w:hAnsi="Times New Roman" w:cs="Times New Roman"/>
          <w:b/>
          <w:bCs/>
          <w:sz w:val="24"/>
          <w:szCs w:val="24"/>
        </w:rPr>
        <w:t>Artificial Intelligence and Risk Management at Unilever</w:t>
      </w:r>
    </w:p>
    <w:p w14:paraId="4406A794" w14:textId="77777777" w:rsidR="00353015" w:rsidRPr="00294673" w:rsidRDefault="00000000" w:rsidP="003D1CFD">
      <w:pPr>
        <w:spacing w:after="600" w:line="360" w:lineRule="auto"/>
        <w:jc w:val="center"/>
        <w:rPr>
          <w:rFonts w:ascii="Times New Roman" w:hAnsi="Times New Roman" w:cs="Times New Roman"/>
          <w:b/>
          <w:bCs/>
          <w:sz w:val="24"/>
          <w:szCs w:val="24"/>
        </w:rPr>
      </w:pPr>
      <w:r w:rsidRPr="00294673">
        <w:rPr>
          <w:rFonts w:ascii="Times New Roman" w:hAnsi="Times New Roman" w:cs="Times New Roman"/>
          <w:i/>
          <w:iCs/>
          <w:sz w:val="24"/>
          <w:szCs w:val="24"/>
        </w:rPr>
        <w:t>A PESTLE-Based Assessment of Consumer AI, Data Governance and Regulatory Risk in the United Kingdom and the European Union</w:t>
      </w:r>
      <w:r w:rsidR="00AE1FB9" w:rsidRPr="00294673">
        <w:rPr>
          <w:rFonts w:ascii="Times New Roman" w:hAnsi="Times New Roman" w:cs="Times New Roman"/>
          <w:i/>
          <w:iCs/>
          <w:sz w:val="24"/>
          <w:szCs w:val="24"/>
        </w:rPr>
        <w:br/>
      </w:r>
      <w:r w:rsidR="00AE1FB9" w:rsidRPr="00294673">
        <w:rPr>
          <w:rFonts w:ascii="Times New Roman" w:hAnsi="Times New Roman" w:cs="Times New Roman"/>
          <w:b/>
          <w:bCs/>
          <w:sz w:val="24"/>
          <w:szCs w:val="24"/>
        </w:rPr>
        <w:t>Name: SK MD SHOIB HASAN</w:t>
      </w:r>
      <w:r w:rsidR="00AE1FB9" w:rsidRPr="00294673">
        <w:rPr>
          <w:rFonts w:ascii="Times New Roman" w:hAnsi="Times New Roman" w:cs="Times New Roman"/>
          <w:b/>
          <w:bCs/>
          <w:sz w:val="24"/>
          <w:szCs w:val="24"/>
        </w:rPr>
        <w:br/>
        <w:t>ID: 2505891</w:t>
      </w:r>
    </w:p>
    <w:p w14:paraId="4E57A51E" w14:textId="77777777" w:rsidR="00353015" w:rsidRPr="00294673" w:rsidRDefault="00000000" w:rsidP="003D1CFD">
      <w:pPr>
        <w:spacing w:after="100" w:line="360" w:lineRule="auto"/>
        <w:jc w:val="center"/>
        <w:rPr>
          <w:rFonts w:ascii="Times New Roman" w:hAnsi="Times New Roman" w:cs="Times New Roman"/>
          <w:sz w:val="24"/>
          <w:szCs w:val="24"/>
        </w:rPr>
      </w:pPr>
      <w:r w:rsidRPr="00294673">
        <w:rPr>
          <w:rFonts w:ascii="Times New Roman" w:hAnsi="Times New Roman" w:cs="Times New Roman"/>
          <w:sz w:val="24"/>
          <w:szCs w:val="24"/>
        </w:rPr>
        <w:t>Module: Global Business Challenges (BMMB7006)</w:t>
      </w:r>
      <w:r w:rsidR="00AE1FB9" w:rsidRPr="00294673">
        <w:rPr>
          <w:rFonts w:ascii="Times New Roman" w:hAnsi="Times New Roman" w:cs="Times New Roman"/>
          <w:sz w:val="24"/>
          <w:szCs w:val="24"/>
        </w:rPr>
        <w:br/>
      </w:r>
    </w:p>
    <w:p w14:paraId="13664D43" w14:textId="77777777" w:rsidR="00353015" w:rsidRPr="00294673" w:rsidRDefault="00000000" w:rsidP="003D1CFD">
      <w:pPr>
        <w:spacing w:after="2000" w:line="360" w:lineRule="auto"/>
        <w:jc w:val="center"/>
        <w:rPr>
          <w:rFonts w:ascii="Times New Roman" w:hAnsi="Times New Roman" w:cs="Times New Roman"/>
          <w:sz w:val="24"/>
          <w:szCs w:val="24"/>
        </w:rPr>
      </w:pPr>
      <w:r w:rsidRPr="00294673">
        <w:rPr>
          <w:rFonts w:ascii="Times New Roman" w:hAnsi="Times New Roman" w:cs="Times New Roman"/>
          <w:sz w:val="24"/>
          <w:szCs w:val="24"/>
        </w:rPr>
        <w:t>University of Wales Trinity Saint David</w:t>
      </w:r>
    </w:p>
    <w:p w14:paraId="56AEC341"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sz w:val="24"/>
          <w:szCs w:val="24"/>
        </w:rPr>
        <w:br w:type="page"/>
      </w:r>
    </w:p>
    <w:p w14:paraId="09856C22" w14:textId="77777777" w:rsidR="00353015" w:rsidRPr="00294673" w:rsidRDefault="00000000" w:rsidP="003D1CFD">
      <w:pPr>
        <w:pStyle w:val="Heading1"/>
        <w:spacing w:line="360" w:lineRule="auto"/>
      </w:pPr>
      <w:bookmarkStart w:id="0" w:name="_Toc235421454"/>
      <w:bookmarkStart w:id="1" w:name="_Toc235422127"/>
      <w:bookmarkStart w:id="2" w:name="_Toc235700028"/>
      <w:r w:rsidRPr="00294673">
        <w:lastRenderedPageBreak/>
        <w:t>Executive Summary</w:t>
      </w:r>
      <w:bookmarkEnd w:id="0"/>
      <w:bookmarkEnd w:id="1"/>
      <w:bookmarkEnd w:id="2"/>
    </w:p>
    <w:p w14:paraId="5E920DD2" w14:textId="395BE70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This report has been prepared as part of an internship application to RFD Global and advises Unilever, a large multinational fast-moving consumer goods company, on the risks and opportunities created by its rapid adoption of artificial intelligence in consumer-facing marketing. Applying PESTLE, the resource-based view</w:t>
      </w:r>
      <w:r w:rsidR="00F81D3B" w:rsidRPr="00294673">
        <w:rPr>
          <w:rFonts w:ascii="Times New Roman" w:hAnsi="Times New Roman" w:cs="Times New Roman"/>
          <w:sz w:val="24"/>
          <w:szCs w:val="24"/>
        </w:rPr>
        <w:t xml:space="preserve">, and stakeholder theory, the analysis compares the regulatory and economic environments facing Unilever in the United Kingdom and the European Union, </w:t>
      </w:r>
      <w:r w:rsidR="00E04363" w:rsidRPr="00294673">
        <w:rPr>
          <w:rFonts w:ascii="Times New Roman" w:hAnsi="Times New Roman" w:cs="Times New Roman"/>
          <w:sz w:val="24"/>
          <w:szCs w:val="24"/>
        </w:rPr>
        <w:t>and then examines</w:t>
      </w:r>
      <w:r w:rsidR="00F81D3B" w:rsidRPr="00294673">
        <w:rPr>
          <w:rFonts w:ascii="Times New Roman" w:hAnsi="Times New Roman" w:cs="Times New Roman"/>
          <w:sz w:val="24"/>
          <w:szCs w:val="24"/>
        </w:rPr>
        <w:t xml:space="preserve"> data governance, algorithmic risk, ethical AI,</w:t>
      </w:r>
      <w:r w:rsidRPr="00294673">
        <w:rPr>
          <w:rFonts w:ascii="Times New Roman" w:hAnsi="Times New Roman" w:cs="Times New Roman"/>
          <w:sz w:val="24"/>
          <w:szCs w:val="24"/>
        </w:rPr>
        <w:t xml:space="preserve"> and consumer trust. </w:t>
      </w:r>
      <w:r w:rsidR="00E04363" w:rsidRPr="00294673">
        <w:rPr>
          <w:rFonts w:ascii="Times New Roman" w:hAnsi="Times New Roman" w:cs="Times New Roman"/>
          <w:sz w:val="24"/>
          <w:szCs w:val="24"/>
        </w:rPr>
        <w:t>Unilever has stated its ambition to be ‘fit for the AI age</w:t>
      </w:r>
      <w:r w:rsidR="00294673">
        <w:rPr>
          <w:rFonts w:ascii="Times New Roman" w:hAnsi="Times New Roman" w:cs="Times New Roman"/>
          <w:sz w:val="24"/>
          <w:szCs w:val="24"/>
        </w:rPr>
        <w:t>' (Unilever PLC, 2026), and this is evident in its beauty and personal care brands through features such as</w:t>
      </w:r>
      <w:r w:rsidR="00E04363" w:rsidRPr="00294673">
        <w:rPr>
          <w:rFonts w:ascii="Times New Roman" w:hAnsi="Times New Roman" w:cs="Times New Roman"/>
          <w:sz w:val="24"/>
          <w:szCs w:val="24"/>
        </w:rPr>
        <w:t xml:space="preserve"> </w:t>
      </w:r>
      <w:proofErr w:type="spellStart"/>
      <w:r w:rsidR="00E04363" w:rsidRPr="00294673">
        <w:rPr>
          <w:rFonts w:ascii="Times New Roman" w:hAnsi="Times New Roman" w:cs="Times New Roman"/>
          <w:sz w:val="24"/>
          <w:szCs w:val="24"/>
        </w:rPr>
        <w:t>BeautyHub</w:t>
      </w:r>
      <w:proofErr w:type="spellEnd"/>
      <w:r w:rsidR="00E04363" w:rsidRPr="00294673">
        <w:rPr>
          <w:rFonts w:ascii="Times New Roman" w:hAnsi="Times New Roman" w:cs="Times New Roman"/>
          <w:sz w:val="24"/>
          <w:szCs w:val="24"/>
        </w:rPr>
        <w:t xml:space="preserve"> PRO and </w:t>
      </w:r>
      <w:proofErr w:type="gramStart"/>
      <w:r w:rsidR="00E04363" w:rsidRPr="00294673">
        <w:rPr>
          <w:rFonts w:ascii="Times New Roman" w:hAnsi="Times New Roman" w:cs="Times New Roman"/>
          <w:sz w:val="24"/>
          <w:szCs w:val="24"/>
        </w:rPr>
        <w:t>the Beauty</w:t>
      </w:r>
      <w:proofErr w:type="gramEnd"/>
      <w:r w:rsidR="00E04363" w:rsidRPr="00294673">
        <w:rPr>
          <w:rFonts w:ascii="Times New Roman" w:hAnsi="Times New Roman" w:cs="Times New Roman"/>
          <w:sz w:val="24"/>
          <w:szCs w:val="24"/>
        </w:rPr>
        <w:t xml:space="preserve"> AI Studio (Unilever, 2024b; Unilever PLC, 2025a). The report highlights the two genuine compliance divergence scenarios a company may face in the EU due to the AI Act versus the UK approach, which is more principles based and sector led (Braidwood, 2026; Laux, Wachter and Mittelstadt, 2023), and the conditional nature of consumer trust in AI </w:t>
      </w:r>
      <w:proofErr w:type="spellStart"/>
      <w:r w:rsidR="00E04363" w:rsidRPr="00294673">
        <w:rPr>
          <w:rFonts w:ascii="Times New Roman" w:hAnsi="Times New Roman" w:cs="Times New Roman"/>
          <w:sz w:val="24"/>
          <w:szCs w:val="24"/>
        </w:rPr>
        <w:t>personalised</w:t>
      </w:r>
      <w:proofErr w:type="spellEnd"/>
      <w:r w:rsidR="00E04363" w:rsidRPr="00294673">
        <w:rPr>
          <w:rFonts w:ascii="Times New Roman" w:hAnsi="Times New Roman" w:cs="Times New Roman"/>
          <w:sz w:val="24"/>
          <w:szCs w:val="24"/>
        </w:rPr>
        <w:t xml:space="preserve"> marketing (Yuan et al., 2024; Rajavi, Kushwaha and Steenkamp, 2019). The report ends with a phased and costed implementation plan, both short, medium and long term, with indicative costs of between £60,000 and £400,000 per action (</w:t>
      </w:r>
      <w:proofErr w:type="spellStart"/>
      <w:r w:rsidR="00E04363" w:rsidRPr="00294673">
        <w:rPr>
          <w:rFonts w:ascii="Times New Roman" w:hAnsi="Times New Roman" w:cs="Times New Roman"/>
          <w:sz w:val="24"/>
          <w:szCs w:val="24"/>
        </w:rPr>
        <w:t>organisational</w:t>
      </w:r>
      <w:proofErr w:type="spellEnd"/>
      <w:r w:rsidR="00E04363" w:rsidRPr="00294673">
        <w:rPr>
          <w:rFonts w:ascii="Times New Roman" w:hAnsi="Times New Roman" w:cs="Times New Roman"/>
          <w:sz w:val="24"/>
          <w:szCs w:val="24"/>
        </w:rPr>
        <w:t xml:space="preserve"> ownership) and risk mitigations identified for each recommendation. The main idea is that the competitive edge Unilever is creating by leveraging AI </w:t>
      </w:r>
      <w:proofErr w:type="spellStart"/>
      <w:r w:rsidR="00E04363" w:rsidRPr="00294673">
        <w:rPr>
          <w:rFonts w:ascii="Times New Roman" w:hAnsi="Times New Roman" w:cs="Times New Roman"/>
          <w:sz w:val="24"/>
          <w:szCs w:val="24"/>
        </w:rPr>
        <w:t>personalisation</w:t>
      </w:r>
      <w:proofErr w:type="spellEnd"/>
      <w:r w:rsidR="00E04363" w:rsidRPr="00294673">
        <w:rPr>
          <w:rFonts w:ascii="Times New Roman" w:hAnsi="Times New Roman" w:cs="Times New Roman"/>
          <w:sz w:val="24"/>
          <w:szCs w:val="24"/>
        </w:rPr>
        <w:t xml:space="preserve"> will only be sustained if it is accompanied by a similar level of commitment to governance, transparency, and stakeholder trust.</w:t>
      </w:r>
    </w:p>
    <w:p w14:paraId="24291758"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sz w:val="24"/>
          <w:szCs w:val="24"/>
        </w:rPr>
        <w:br w:type="page"/>
      </w:r>
    </w:p>
    <w:sdt>
      <w:sdtPr>
        <w:id w:val="-33360927"/>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7A40FFA9" w14:textId="50419518" w:rsidR="003D1CFD" w:rsidRDefault="003D1CFD">
          <w:pPr>
            <w:pStyle w:val="TOCHeading"/>
          </w:pPr>
          <w:r>
            <w:t>Table of Contents</w:t>
          </w:r>
        </w:p>
        <w:p w14:paraId="57ABA7E1" w14:textId="57AD4F6E" w:rsidR="003D1CFD" w:rsidRPr="003D1CFD" w:rsidRDefault="003D1CFD" w:rsidP="003D1CFD">
          <w:pPr>
            <w:pStyle w:val="TOC1"/>
            <w:tabs>
              <w:tab w:val="right" w:leader="dot" w:pos="9628"/>
            </w:tabs>
            <w:spacing w:line="360" w:lineRule="auto"/>
            <w:rPr>
              <w:rFonts w:ascii="Times New Roman" w:hAnsi="Times New Roman" w:cs="Times New Roman"/>
              <w:noProof/>
              <w:kern w:val="2"/>
              <w:sz w:val="24"/>
              <w:szCs w:val="24"/>
              <w14:ligatures w14:val="standardContextual"/>
            </w:rPr>
          </w:pPr>
          <w:r w:rsidRPr="003D1CFD">
            <w:rPr>
              <w:rFonts w:ascii="Times New Roman" w:hAnsi="Times New Roman" w:cs="Times New Roman"/>
              <w:sz w:val="24"/>
              <w:szCs w:val="24"/>
            </w:rPr>
            <w:fldChar w:fldCharType="begin"/>
          </w:r>
          <w:r w:rsidRPr="003D1CFD">
            <w:rPr>
              <w:rFonts w:ascii="Times New Roman" w:hAnsi="Times New Roman" w:cs="Times New Roman"/>
              <w:sz w:val="24"/>
              <w:szCs w:val="24"/>
            </w:rPr>
            <w:instrText xml:space="preserve"> TOC \o "1-3" \h \z \u </w:instrText>
          </w:r>
          <w:r w:rsidRPr="003D1CFD">
            <w:rPr>
              <w:rFonts w:ascii="Times New Roman" w:hAnsi="Times New Roman" w:cs="Times New Roman"/>
              <w:sz w:val="24"/>
              <w:szCs w:val="24"/>
            </w:rPr>
            <w:fldChar w:fldCharType="separate"/>
          </w:r>
          <w:hyperlink w:anchor="_Toc235700028" w:history="1">
            <w:r w:rsidRPr="003D1CFD">
              <w:rPr>
                <w:rStyle w:val="Hyperlink"/>
                <w:rFonts w:ascii="Times New Roman" w:hAnsi="Times New Roman" w:cs="Times New Roman"/>
                <w:noProof/>
                <w:sz w:val="24"/>
                <w:szCs w:val="24"/>
              </w:rPr>
              <w:t>Executive Summary</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_Toc235700028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2</w:t>
            </w:r>
            <w:r w:rsidRPr="003D1CFD">
              <w:rPr>
                <w:rFonts w:ascii="Times New Roman" w:hAnsi="Times New Roman" w:cs="Times New Roman"/>
                <w:noProof/>
                <w:webHidden/>
                <w:sz w:val="24"/>
                <w:szCs w:val="24"/>
              </w:rPr>
              <w:fldChar w:fldCharType="end"/>
            </w:r>
          </w:hyperlink>
        </w:p>
        <w:p w14:paraId="6F5444BE" w14:textId="0A72D6AD" w:rsidR="003D1CFD" w:rsidRPr="003D1CFD" w:rsidRDefault="003D1CFD" w:rsidP="003D1CFD">
          <w:pPr>
            <w:pStyle w:val="TOC1"/>
            <w:tabs>
              <w:tab w:val="right" w:leader="dot" w:pos="9628"/>
            </w:tabs>
            <w:spacing w:line="360" w:lineRule="auto"/>
            <w:rPr>
              <w:rFonts w:ascii="Times New Roman" w:hAnsi="Times New Roman" w:cs="Times New Roman"/>
              <w:noProof/>
              <w:kern w:val="2"/>
              <w:sz w:val="24"/>
              <w:szCs w:val="24"/>
              <w14:ligatures w14:val="standardContextual"/>
            </w:rPr>
          </w:pPr>
          <w:hyperlink w:anchor="_Toc235700029" w:history="1">
            <w:r w:rsidRPr="003D1CFD">
              <w:rPr>
                <w:rStyle w:val="Hyperlink"/>
                <w:rFonts w:ascii="Times New Roman" w:hAnsi="Times New Roman" w:cs="Times New Roman"/>
                <w:noProof/>
                <w:sz w:val="24"/>
                <w:szCs w:val="24"/>
              </w:rPr>
              <w:t>1. Introduction</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_Toc235700029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4</w:t>
            </w:r>
            <w:r w:rsidRPr="003D1CFD">
              <w:rPr>
                <w:rFonts w:ascii="Times New Roman" w:hAnsi="Times New Roman" w:cs="Times New Roman"/>
                <w:noProof/>
                <w:webHidden/>
                <w:sz w:val="24"/>
                <w:szCs w:val="24"/>
              </w:rPr>
              <w:fldChar w:fldCharType="end"/>
            </w:r>
          </w:hyperlink>
        </w:p>
        <w:p w14:paraId="0EDE1D58" w14:textId="58969882" w:rsidR="003D1CFD" w:rsidRPr="003D1CFD" w:rsidRDefault="003D1CFD" w:rsidP="003D1CFD">
          <w:pPr>
            <w:pStyle w:val="TOC1"/>
            <w:tabs>
              <w:tab w:val="right" w:leader="dot" w:pos="9628"/>
            </w:tabs>
            <w:spacing w:line="360" w:lineRule="auto"/>
            <w:rPr>
              <w:rFonts w:ascii="Times New Roman" w:hAnsi="Times New Roman" w:cs="Times New Roman"/>
              <w:noProof/>
              <w:kern w:val="2"/>
              <w:sz w:val="24"/>
              <w:szCs w:val="24"/>
              <w14:ligatures w14:val="standardContextual"/>
            </w:rPr>
          </w:pPr>
          <w:hyperlink w:anchor="_Toc235700030" w:history="1">
            <w:r w:rsidRPr="003D1CFD">
              <w:rPr>
                <w:rStyle w:val="Hyperlink"/>
                <w:rFonts w:ascii="Times New Roman" w:hAnsi="Times New Roman" w:cs="Times New Roman"/>
                <w:noProof/>
                <w:sz w:val="24"/>
                <w:szCs w:val="24"/>
              </w:rPr>
              <w:t>2. Main Findings</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_Toc235700030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5</w:t>
            </w:r>
            <w:r w:rsidRPr="003D1CFD">
              <w:rPr>
                <w:rFonts w:ascii="Times New Roman" w:hAnsi="Times New Roman" w:cs="Times New Roman"/>
                <w:noProof/>
                <w:webHidden/>
                <w:sz w:val="24"/>
                <w:szCs w:val="24"/>
              </w:rPr>
              <w:fldChar w:fldCharType="end"/>
            </w:r>
          </w:hyperlink>
        </w:p>
        <w:p w14:paraId="7A18773B" w14:textId="660160EF" w:rsidR="003D1CFD" w:rsidRPr="003D1CFD" w:rsidRDefault="003D1CFD" w:rsidP="003D1CFD">
          <w:pPr>
            <w:pStyle w:val="TOC2"/>
            <w:tabs>
              <w:tab w:val="right" w:leader="dot" w:pos="9628"/>
            </w:tabs>
            <w:spacing w:line="360" w:lineRule="auto"/>
            <w:rPr>
              <w:rFonts w:ascii="Times New Roman" w:hAnsi="Times New Roman" w:cs="Times New Roman"/>
              <w:noProof/>
              <w:kern w:val="2"/>
              <w:sz w:val="24"/>
              <w:szCs w:val="24"/>
              <w14:ligatures w14:val="standardContextual"/>
            </w:rPr>
          </w:pPr>
          <w:hyperlink w:anchor="_Toc235700031" w:history="1">
            <w:r w:rsidRPr="003D1CFD">
              <w:rPr>
                <w:rStyle w:val="Hyperlink"/>
                <w:rFonts w:ascii="Times New Roman" w:hAnsi="Times New Roman" w:cs="Times New Roman"/>
                <w:noProof/>
                <w:sz w:val="24"/>
                <w:szCs w:val="24"/>
              </w:rPr>
              <w:t>2.1 Company and AI Context</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_Toc235700031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5</w:t>
            </w:r>
            <w:r w:rsidRPr="003D1CFD">
              <w:rPr>
                <w:rFonts w:ascii="Times New Roman" w:hAnsi="Times New Roman" w:cs="Times New Roman"/>
                <w:noProof/>
                <w:webHidden/>
                <w:sz w:val="24"/>
                <w:szCs w:val="24"/>
              </w:rPr>
              <w:fldChar w:fldCharType="end"/>
            </w:r>
          </w:hyperlink>
        </w:p>
        <w:p w14:paraId="17A31077" w14:textId="7220D51D" w:rsidR="003D1CFD" w:rsidRPr="003D1CFD" w:rsidRDefault="003D1CFD" w:rsidP="003D1CFD">
          <w:pPr>
            <w:pStyle w:val="TOC2"/>
            <w:tabs>
              <w:tab w:val="right" w:leader="dot" w:pos="9628"/>
            </w:tabs>
            <w:spacing w:line="360" w:lineRule="auto"/>
            <w:rPr>
              <w:rFonts w:ascii="Times New Roman" w:hAnsi="Times New Roman" w:cs="Times New Roman"/>
              <w:noProof/>
              <w:kern w:val="2"/>
              <w:sz w:val="24"/>
              <w:szCs w:val="24"/>
              <w14:ligatures w14:val="standardContextual"/>
            </w:rPr>
          </w:pPr>
          <w:hyperlink w:anchor="_Toc235700032" w:history="1">
            <w:r w:rsidRPr="003D1CFD">
              <w:rPr>
                <w:rStyle w:val="Hyperlink"/>
                <w:rFonts w:ascii="Times New Roman" w:hAnsi="Times New Roman" w:cs="Times New Roman"/>
                <w:noProof/>
                <w:sz w:val="24"/>
                <w:szCs w:val="24"/>
              </w:rPr>
              <w:t>2.2 Porter's Five Forces: Competitive Intensity in AI-Enabled Marketing</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_Toc235700032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6</w:t>
            </w:r>
            <w:r w:rsidRPr="003D1CFD">
              <w:rPr>
                <w:rFonts w:ascii="Times New Roman" w:hAnsi="Times New Roman" w:cs="Times New Roman"/>
                <w:noProof/>
                <w:webHidden/>
                <w:sz w:val="24"/>
                <w:szCs w:val="24"/>
              </w:rPr>
              <w:fldChar w:fldCharType="end"/>
            </w:r>
          </w:hyperlink>
        </w:p>
        <w:p w14:paraId="65BB6CC9" w14:textId="465DA71E" w:rsidR="003D1CFD" w:rsidRPr="003D1CFD" w:rsidRDefault="003D1CFD" w:rsidP="003D1CFD">
          <w:pPr>
            <w:pStyle w:val="TOC2"/>
            <w:tabs>
              <w:tab w:val="right" w:leader="dot" w:pos="9628"/>
            </w:tabs>
            <w:spacing w:line="360" w:lineRule="auto"/>
            <w:rPr>
              <w:rFonts w:ascii="Times New Roman" w:hAnsi="Times New Roman" w:cs="Times New Roman"/>
              <w:noProof/>
              <w:kern w:val="2"/>
              <w:sz w:val="24"/>
              <w:szCs w:val="24"/>
              <w14:ligatures w14:val="standardContextual"/>
            </w:rPr>
          </w:pPr>
          <w:hyperlink w:anchor="_Toc235700033" w:history="1">
            <w:r w:rsidRPr="003D1CFD">
              <w:rPr>
                <w:rStyle w:val="Hyperlink"/>
                <w:rFonts w:ascii="Times New Roman" w:hAnsi="Times New Roman" w:cs="Times New Roman"/>
                <w:noProof/>
                <w:sz w:val="24"/>
                <w:szCs w:val="24"/>
              </w:rPr>
              <w:t>2.3 PESTLE Analysis: United Kingdom and European Union Comparative Assessment</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_Toc235700033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7</w:t>
            </w:r>
            <w:r w:rsidRPr="003D1CFD">
              <w:rPr>
                <w:rFonts w:ascii="Times New Roman" w:hAnsi="Times New Roman" w:cs="Times New Roman"/>
                <w:noProof/>
                <w:webHidden/>
                <w:sz w:val="24"/>
                <w:szCs w:val="24"/>
              </w:rPr>
              <w:fldChar w:fldCharType="end"/>
            </w:r>
          </w:hyperlink>
        </w:p>
        <w:p w14:paraId="624946C4" w14:textId="7DCF988E" w:rsidR="003D1CFD" w:rsidRPr="003D1CFD" w:rsidRDefault="003D1CFD" w:rsidP="003D1CFD">
          <w:pPr>
            <w:pStyle w:val="TOC2"/>
            <w:tabs>
              <w:tab w:val="right" w:leader="dot" w:pos="9628"/>
            </w:tabs>
            <w:spacing w:line="360" w:lineRule="auto"/>
            <w:rPr>
              <w:rFonts w:ascii="Times New Roman" w:hAnsi="Times New Roman" w:cs="Times New Roman"/>
              <w:noProof/>
              <w:kern w:val="2"/>
              <w:sz w:val="24"/>
              <w:szCs w:val="24"/>
              <w14:ligatures w14:val="standardContextual"/>
            </w:rPr>
          </w:pPr>
          <w:hyperlink w:anchor="_Toc235700034" w:history="1">
            <w:r w:rsidRPr="003D1CFD">
              <w:rPr>
                <w:rStyle w:val="Hyperlink"/>
                <w:rFonts w:ascii="Times New Roman" w:hAnsi="Times New Roman" w:cs="Times New Roman"/>
                <w:noProof/>
                <w:sz w:val="24"/>
                <w:szCs w:val="24"/>
              </w:rPr>
              <w:t>2.4 AI Risk Management: Data Governance and Regulatory Compliance</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_Toc235700034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10</w:t>
            </w:r>
            <w:r w:rsidRPr="003D1CFD">
              <w:rPr>
                <w:rFonts w:ascii="Times New Roman" w:hAnsi="Times New Roman" w:cs="Times New Roman"/>
                <w:noProof/>
                <w:webHidden/>
                <w:sz w:val="24"/>
                <w:szCs w:val="24"/>
              </w:rPr>
              <w:fldChar w:fldCharType="end"/>
            </w:r>
          </w:hyperlink>
        </w:p>
        <w:p w14:paraId="302CAEB0" w14:textId="01E6288C" w:rsidR="003D1CFD" w:rsidRPr="003D1CFD" w:rsidRDefault="003D1CFD" w:rsidP="003D1CFD">
          <w:pPr>
            <w:pStyle w:val="TOC2"/>
            <w:tabs>
              <w:tab w:val="right" w:leader="dot" w:pos="9628"/>
            </w:tabs>
            <w:spacing w:line="360" w:lineRule="auto"/>
            <w:rPr>
              <w:rFonts w:ascii="Times New Roman" w:hAnsi="Times New Roman" w:cs="Times New Roman"/>
              <w:noProof/>
              <w:kern w:val="2"/>
              <w:sz w:val="24"/>
              <w:szCs w:val="24"/>
              <w14:ligatures w14:val="standardContextual"/>
            </w:rPr>
          </w:pPr>
          <w:hyperlink w:anchor="_Toc235700035" w:history="1">
            <w:r w:rsidRPr="003D1CFD">
              <w:rPr>
                <w:rStyle w:val="Hyperlink"/>
                <w:rFonts w:ascii="Times New Roman" w:hAnsi="Times New Roman" w:cs="Times New Roman"/>
                <w:noProof/>
                <w:sz w:val="24"/>
                <w:szCs w:val="24"/>
              </w:rPr>
              <w:t>2.5 Ethical AI, Personalisation and Consumer Trust</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_Toc235700035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13</w:t>
            </w:r>
            <w:r w:rsidRPr="003D1CFD">
              <w:rPr>
                <w:rFonts w:ascii="Times New Roman" w:hAnsi="Times New Roman" w:cs="Times New Roman"/>
                <w:noProof/>
                <w:webHidden/>
                <w:sz w:val="24"/>
                <w:szCs w:val="24"/>
              </w:rPr>
              <w:fldChar w:fldCharType="end"/>
            </w:r>
          </w:hyperlink>
        </w:p>
        <w:p w14:paraId="3D36557A" w14:textId="34E09004" w:rsidR="003D1CFD" w:rsidRPr="003D1CFD" w:rsidRDefault="003D1CFD" w:rsidP="003D1CFD">
          <w:pPr>
            <w:pStyle w:val="TOC2"/>
            <w:tabs>
              <w:tab w:val="right" w:leader="dot" w:pos="9628"/>
            </w:tabs>
            <w:spacing w:line="360" w:lineRule="auto"/>
            <w:rPr>
              <w:rFonts w:ascii="Times New Roman" w:hAnsi="Times New Roman" w:cs="Times New Roman"/>
              <w:noProof/>
              <w:kern w:val="2"/>
              <w:sz w:val="24"/>
              <w:szCs w:val="24"/>
              <w14:ligatures w14:val="standardContextual"/>
            </w:rPr>
          </w:pPr>
          <w:hyperlink w:anchor="_Toc235700036" w:history="1">
            <w:r w:rsidRPr="003D1CFD">
              <w:rPr>
                <w:rStyle w:val="Hyperlink"/>
                <w:rFonts w:ascii="Times New Roman" w:hAnsi="Times New Roman" w:cs="Times New Roman"/>
                <w:noProof/>
                <w:sz w:val="24"/>
                <w:szCs w:val="24"/>
              </w:rPr>
              <w:t>2.6 Critical Evaluation of the PESTLE Framework</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_Toc235700036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15</w:t>
            </w:r>
            <w:r w:rsidRPr="003D1CFD">
              <w:rPr>
                <w:rFonts w:ascii="Times New Roman" w:hAnsi="Times New Roman" w:cs="Times New Roman"/>
                <w:noProof/>
                <w:webHidden/>
                <w:sz w:val="24"/>
                <w:szCs w:val="24"/>
              </w:rPr>
              <w:fldChar w:fldCharType="end"/>
            </w:r>
          </w:hyperlink>
        </w:p>
        <w:p w14:paraId="687A045B" w14:textId="2B4975F5" w:rsidR="003D1CFD" w:rsidRPr="003D1CFD" w:rsidRDefault="003D1CFD" w:rsidP="003D1CFD">
          <w:pPr>
            <w:pStyle w:val="TOC1"/>
            <w:tabs>
              <w:tab w:val="right" w:leader="dot" w:pos="9628"/>
            </w:tabs>
            <w:spacing w:line="360" w:lineRule="auto"/>
            <w:rPr>
              <w:rFonts w:ascii="Times New Roman" w:hAnsi="Times New Roman" w:cs="Times New Roman"/>
              <w:noProof/>
              <w:kern w:val="2"/>
              <w:sz w:val="24"/>
              <w:szCs w:val="24"/>
              <w14:ligatures w14:val="standardContextual"/>
            </w:rPr>
          </w:pPr>
          <w:hyperlink w:anchor="_Toc235700037" w:history="1">
            <w:r w:rsidRPr="003D1CFD">
              <w:rPr>
                <w:rStyle w:val="Hyperlink"/>
                <w:rFonts w:ascii="Times New Roman" w:hAnsi="Times New Roman" w:cs="Times New Roman"/>
                <w:noProof/>
                <w:sz w:val="24"/>
                <w:szCs w:val="24"/>
              </w:rPr>
              <w:t>3. Implementation Plan</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_Toc235700037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15</w:t>
            </w:r>
            <w:r w:rsidRPr="003D1CFD">
              <w:rPr>
                <w:rFonts w:ascii="Times New Roman" w:hAnsi="Times New Roman" w:cs="Times New Roman"/>
                <w:noProof/>
                <w:webHidden/>
                <w:sz w:val="24"/>
                <w:szCs w:val="24"/>
              </w:rPr>
              <w:fldChar w:fldCharType="end"/>
            </w:r>
          </w:hyperlink>
        </w:p>
        <w:p w14:paraId="2C060B80" w14:textId="56A2CAEC" w:rsidR="003D1CFD" w:rsidRPr="003D1CFD" w:rsidRDefault="003D1CFD" w:rsidP="003D1CFD">
          <w:pPr>
            <w:pStyle w:val="TOC1"/>
            <w:tabs>
              <w:tab w:val="right" w:leader="dot" w:pos="9628"/>
            </w:tabs>
            <w:spacing w:line="360" w:lineRule="auto"/>
            <w:rPr>
              <w:rFonts w:ascii="Times New Roman" w:hAnsi="Times New Roman" w:cs="Times New Roman"/>
              <w:noProof/>
              <w:kern w:val="2"/>
              <w:sz w:val="24"/>
              <w:szCs w:val="24"/>
              <w14:ligatures w14:val="standardContextual"/>
            </w:rPr>
          </w:pPr>
          <w:hyperlink w:anchor="_Toc235700038" w:history="1">
            <w:r w:rsidRPr="003D1CFD">
              <w:rPr>
                <w:rStyle w:val="Hyperlink"/>
                <w:rFonts w:ascii="Times New Roman" w:hAnsi="Times New Roman" w:cs="Times New Roman"/>
                <w:noProof/>
                <w:sz w:val="24"/>
                <w:szCs w:val="24"/>
              </w:rPr>
              <w:t>4. Conclusion</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_Toc235700038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19</w:t>
            </w:r>
            <w:r w:rsidRPr="003D1CFD">
              <w:rPr>
                <w:rFonts w:ascii="Times New Roman" w:hAnsi="Times New Roman" w:cs="Times New Roman"/>
                <w:noProof/>
                <w:webHidden/>
                <w:sz w:val="24"/>
                <w:szCs w:val="24"/>
              </w:rPr>
              <w:fldChar w:fldCharType="end"/>
            </w:r>
          </w:hyperlink>
        </w:p>
        <w:p w14:paraId="7EF3EB50" w14:textId="0EDA6D0B" w:rsidR="003D1CFD" w:rsidRPr="003D1CFD" w:rsidRDefault="003D1CFD" w:rsidP="003D1CFD">
          <w:pPr>
            <w:pStyle w:val="TOC1"/>
            <w:tabs>
              <w:tab w:val="right" w:leader="dot" w:pos="9628"/>
            </w:tabs>
            <w:spacing w:line="360" w:lineRule="auto"/>
            <w:rPr>
              <w:rFonts w:ascii="Times New Roman" w:hAnsi="Times New Roman" w:cs="Times New Roman"/>
              <w:noProof/>
              <w:kern w:val="2"/>
              <w:sz w:val="24"/>
              <w:szCs w:val="24"/>
              <w14:ligatures w14:val="standardContextual"/>
            </w:rPr>
          </w:pPr>
          <w:hyperlink w:anchor="_Toc235700039" w:history="1">
            <w:r w:rsidRPr="003D1CFD">
              <w:rPr>
                <w:rStyle w:val="Hyperlink"/>
                <w:rFonts w:ascii="Times New Roman" w:hAnsi="Times New Roman" w:cs="Times New Roman"/>
                <w:noProof/>
                <w:sz w:val="24"/>
                <w:szCs w:val="24"/>
              </w:rPr>
              <w:t>Bibliography</w:t>
            </w:r>
            <w:r w:rsidRPr="003D1CFD">
              <w:rPr>
                <w:rFonts w:ascii="Times New Roman" w:hAnsi="Times New Roman" w:cs="Times New Roman"/>
                <w:noProof/>
                <w:webHidden/>
                <w:sz w:val="24"/>
                <w:szCs w:val="24"/>
              </w:rPr>
              <w:tab/>
            </w:r>
            <w:r w:rsidRPr="003D1CFD">
              <w:rPr>
                <w:rFonts w:ascii="Times New Roman" w:hAnsi="Times New Roman" w:cs="Times New Roman"/>
                <w:noProof/>
                <w:webHidden/>
                <w:sz w:val="24"/>
                <w:szCs w:val="24"/>
              </w:rPr>
              <w:fldChar w:fldCharType="begin"/>
            </w:r>
            <w:r w:rsidRPr="003D1CFD">
              <w:rPr>
                <w:rFonts w:ascii="Times New Roman" w:hAnsi="Times New Roman" w:cs="Times New Roman"/>
                <w:noProof/>
                <w:webHidden/>
                <w:sz w:val="24"/>
                <w:szCs w:val="24"/>
              </w:rPr>
              <w:instrText xml:space="preserve"> PAGEREF _Toc235700039 \h </w:instrText>
            </w:r>
            <w:r w:rsidRPr="003D1CFD">
              <w:rPr>
                <w:rFonts w:ascii="Times New Roman" w:hAnsi="Times New Roman" w:cs="Times New Roman"/>
                <w:noProof/>
                <w:webHidden/>
                <w:sz w:val="24"/>
                <w:szCs w:val="24"/>
              </w:rPr>
            </w:r>
            <w:r w:rsidRPr="003D1CFD">
              <w:rPr>
                <w:rFonts w:ascii="Times New Roman" w:hAnsi="Times New Roman" w:cs="Times New Roman"/>
                <w:noProof/>
                <w:webHidden/>
                <w:sz w:val="24"/>
                <w:szCs w:val="24"/>
              </w:rPr>
              <w:fldChar w:fldCharType="separate"/>
            </w:r>
            <w:r w:rsidRPr="003D1CFD">
              <w:rPr>
                <w:rFonts w:ascii="Times New Roman" w:hAnsi="Times New Roman" w:cs="Times New Roman"/>
                <w:noProof/>
                <w:webHidden/>
                <w:sz w:val="24"/>
                <w:szCs w:val="24"/>
              </w:rPr>
              <w:t>21</w:t>
            </w:r>
            <w:r w:rsidRPr="003D1CFD">
              <w:rPr>
                <w:rFonts w:ascii="Times New Roman" w:hAnsi="Times New Roman" w:cs="Times New Roman"/>
                <w:noProof/>
                <w:webHidden/>
                <w:sz w:val="24"/>
                <w:szCs w:val="24"/>
              </w:rPr>
              <w:fldChar w:fldCharType="end"/>
            </w:r>
          </w:hyperlink>
        </w:p>
        <w:p w14:paraId="2A9CDFF8" w14:textId="6C95F76A" w:rsidR="003D1CFD" w:rsidRDefault="003D1CFD" w:rsidP="003D1CFD">
          <w:pPr>
            <w:spacing w:line="360" w:lineRule="auto"/>
          </w:pPr>
          <w:r w:rsidRPr="003D1CFD">
            <w:rPr>
              <w:rFonts w:ascii="Times New Roman" w:hAnsi="Times New Roman" w:cs="Times New Roman"/>
              <w:b/>
              <w:bCs/>
              <w:noProof/>
              <w:sz w:val="24"/>
              <w:szCs w:val="24"/>
            </w:rPr>
            <w:fldChar w:fldCharType="end"/>
          </w:r>
        </w:p>
      </w:sdtContent>
    </w:sdt>
    <w:p w14:paraId="5967A32F" w14:textId="4EC6EA9A" w:rsidR="00F81D3B" w:rsidRPr="00294673" w:rsidRDefault="00F81D3B" w:rsidP="003D1CFD">
      <w:pPr>
        <w:spacing w:line="360" w:lineRule="auto"/>
        <w:rPr>
          <w:rFonts w:ascii="Times New Roman" w:hAnsi="Times New Roman" w:cs="Times New Roman"/>
          <w:sz w:val="24"/>
          <w:szCs w:val="24"/>
        </w:rPr>
      </w:pPr>
    </w:p>
    <w:p w14:paraId="77EC23ED" w14:textId="77777777" w:rsidR="00353015" w:rsidRPr="00294673" w:rsidRDefault="00353015" w:rsidP="003D1CFD">
      <w:pPr>
        <w:spacing w:line="360" w:lineRule="auto"/>
        <w:rPr>
          <w:rFonts w:ascii="Times New Roman" w:hAnsi="Times New Roman" w:cs="Times New Roman"/>
          <w:sz w:val="24"/>
          <w:szCs w:val="24"/>
        </w:rPr>
      </w:pPr>
    </w:p>
    <w:p w14:paraId="392B43D8"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sz w:val="24"/>
          <w:szCs w:val="24"/>
        </w:rPr>
        <w:br w:type="page"/>
      </w:r>
    </w:p>
    <w:p w14:paraId="4BD67BFA" w14:textId="77777777" w:rsidR="00353015" w:rsidRPr="00294673" w:rsidRDefault="00000000" w:rsidP="003D1CFD">
      <w:pPr>
        <w:pStyle w:val="Heading1"/>
        <w:spacing w:line="360" w:lineRule="auto"/>
      </w:pPr>
      <w:bookmarkStart w:id="3" w:name="_Toc235421456"/>
      <w:bookmarkStart w:id="4" w:name="_Toc235422128"/>
      <w:bookmarkStart w:id="5" w:name="_Toc235700029"/>
      <w:r w:rsidRPr="00294673">
        <w:lastRenderedPageBreak/>
        <w:t>1. Introduction</w:t>
      </w:r>
      <w:bookmarkEnd w:id="3"/>
      <w:bookmarkEnd w:id="4"/>
      <w:bookmarkEnd w:id="5"/>
    </w:p>
    <w:p w14:paraId="7E5EFCBC" w14:textId="7DC985E7" w:rsidR="00353015" w:rsidRPr="00294673" w:rsidRDefault="00E04363"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Unilever is among the world's largest fast moving consumer goods (FMCG) companies reporting </w:t>
      </w:r>
      <w:r w:rsidR="00BC3E38" w:rsidRPr="00294673">
        <w:rPr>
          <w:rFonts w:ascii="Times New Roman" w:hAnsi="Times New Roman" w:cs="Times New Roman"/>
          <w:sz w:val="24"/>
          <w:szCs w:val="24"/>
        </w:rPr>
        <w:t xml:space="preserve">a </w:t>
      </w:r>
      <w:r w:rsidRPr="00294673">
        <w:rPr>
          <w:rFonts w:ascii="Times New Roman" w:hAnsi="Times New Roman" w:cs="Times New Roman"/>
          <w:sz w:val="24"/>
          <w:szCs w:val="24"/>
        </w:rPr>
        <w:t>turnover of around €50.5 billion in 2025 and selling its brands in most countries around the world (</w:t>
      </w:r>
      <w:proofErr w:type="spellStart"/>
      <w:r w:rsidRPr="00294673">
        <w:rPr>
          <w:rFonts w:ascii="Times New Roman" w:hAnsi="Times New Roman" w:cs="Times New Roman"/>
          <w:sz w:val="24"/>
          <w:szCs w:val="24"/>
        </w:rPr>
        <w:t>Investegate</w:t>
      </w:r>
      <w:proofErr w:type="spellEnd"/>
      <w:r w:rsidRPr="00294673">
        <w:rPr>
          <w:rFonts w:ascii="Times New Roman" w:hAnsi="Times New Roman" w:cs="Times New Roman"/>
          <w:sz w:val="24"/>
          <w:szCs w:val="24"/>
        </w:rPr>
        <w:t xml:space="preserve">, 2025; Unilever PLC, 2026). Since the demerger of its Ice Cream business, the company </w:t>
      </w:r>
      <w:proofErr w:type="gramStart"/>
      <w:r w:rsidRPr="00294673">
        <w:rPr>
          <w:rFonts w:ascii="Times New Roman" w:hAnsi="Times New Roman" w:cs="Times New Roman"/>
          <w:sz w:val="24"/>
          <w:szCs w:val="24"/>
        </w:rPr>
        <w:t>is</w:t>
      </w:r>
      <w:proofErr w:type="gramEnd"/>
      <w:r w:rsidRPr="00294673">
        <w:rPr>
          <w:rFonts w:ascii="Times New Roman" w:hAnsi="Times New Roman" w:cs="Times New Roman"/>
          <w:sz w:val="24"/>
          <w:szCs w:val="24"/>
        </w:rPr>
        <w:t xml:space="preserve"> structured into four business </w:t>
      </w:r>
      <w:proofErr w:type="gramStart"/>
      <w:r w:rsidRPr="00294673">
        <w:rPr>
          <w:rFonts w:ascii="Times New Roman" w:hAnsi="Times New Roman" w:cs="Times New Roman"/>
          <w:sz w:val="24"/>
          <w:szCs w:val="24"/>
        </w:rPr>
        <w:t>groups, and</w:t>
      </w:r>
      <w:proofErr w:type="gramEnd"/>
      <w:r w:rsidRPr="00294673">
        <w:rPr>
          <w:rFonts w:ascii="Times New Roman" w:hAnsi="Times New Roman" w:cs="Times New Roman"/>
          <w:sz w:val="24"/>
          <w:szCs w:val="24"/>
        </w:rPr>
        <w:t xml:space="preserve"> has publicly stated its ambition to be "fit for the AI age" (Unilever PLC, 2026). The report has been prepared for an internship application to a consultancy firm (RFD Global) that advises multinationals in economics, policy, and regulation. It has been created to provide Unilever with guidance on the risks and opportunities of using Artificial Intelligence, with a focus on marketing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The central question is how Unilever can sustain this advantage while managing the governance, regulatory and reputational risk it creates across two divergent regulatory regions.</w:t>
      </w:r>
    </w:p>
    <w:p w14:paraId="674F17F9" w14:textId="0F5A77B4" w:rsidR="00BC3E38" w:rsidRPr="00294673" w:rsidRDefault="00BC3E38"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Artificial intelligence is not a peripheral tool for Unilever. The company has introduced AI-based diagnostic systems like </w:t>
      </w:r>
      <w:proofErr w:type="spellStart"/>
      <w:r w:rsidRPr="00294673">
        <w:rPr>
          <w:rFonts w:ascii="Times New Roman" w:hAnsi="Times New Roman" w:cs="Times New Roman"/>
          <w:sz w:val="24"/>
          <w:szCs w:val="24"/>
        </w:rPr>
        <w:t>BeautyHub</w:t>
      </w:r>
      <w:proofErr w:type="spellEnd"/>
      <w:r w:rsidRPr="00294673">
        <w:rPr>
          <w:rFonts w:ascii="Times New Roman" w:hAnsi="Times New Roman" w:cs="Times New Roman"/>
          <w:sz w:val="24"/>
          <w:szCs w:val="24"/>
        </w:rPr>
        <w:t xml:space="preserve"> PRO that </w:t>
      </w:r>
      <w:proofErr w:type="spellStart"/>
      <w:r w:rsidR="00294673">
        <w:rPr>
          <w:rFonts w:ascii="Times New Roman" w:hAnsi="Times New Roman" w:cs="Times New Roman"/>
          <w:sz w:val="24"/>
          <w:szCs w:val="24"/>
        </w:rPr>
        <w:t>utilise</w:t>
      </w:r>
      <w:proofErr w:type="spellEnd"/>
      <w:r w:rsidR="00294673">
        <w:rPr>
          <w:rFonts w:ascii="Times New Roman" w:hAnsi="Times New Roman" w:cs="Times New Roman"/>
          <w:sz w:val="24"/>
          <w:szCs w:val="24"/>
        </w:rPr>
        <w:t xml:space="preserve"> computer vision to evaluate a consumer's skin and suggest products, finding that shoppers </w:t>
      </w:r>
      <w:proofErr w:type="spellStart"/>
      <w:r w:rsidR="00294673">
        <w:rPr>
          <w:rFonts w:ascii="Times New Roman" w:hAnsi="Times New Roman" w:cs="Times New Roman"/>
          <w:sz w:val="24"/>
          <w:szCs w:val="24"/>
        </w:rPr>
        <w:t>utilising</w:t>
      </w:r>
      <w:proofErr w:type="spellEnd"/>
      <w:r w:rsidRPr="00294673">
        <w:rPr>
          <w:rFonts w:ascii="Times New Roman" w:hAnsi="Times New Roman" w:cs="Times New Roman"/>
          <w:sz w:val="24"/>
          <w:szCs w:val="24"/>
        </w:rPr>
        <w:t xml:space="preserve"> this device </w:t>
      </w:r>
      <w:proofErr w:type="gramStart"/>
      <w:r w:rsidRPr="00294673">
        <w:rPr>
          <w:rFonts w:ascii="Times New Roman" w:hAnsi="Times New Roman" w:cs="Times New Roman"/>
          <w:sz w:val="24"/>
          <w:szCs w:val="24"/>
        </w:rPr>
        <w:t>spend</w:t>
      </w:r>
      <w:proofErr w:type="gramEnd"/>
      <w:r w:rsidRPr="00294673">
        <w:rPr>
          <w:rFonts w:ascii="Times New Roman" w:hAnsi="Times New Roman" w:cs="Times New Roman"/>
          <w:sz w:val="24"/>
          <w:szCs w:val="24"/>
        </w:rPr>
        <w:t xml:space="preserve"> about 3</w:t>
      </w:r>
      <w:r w:rsidR="00887C17">
        <w:rPr>
          <w:rFonts w:ascii="Times New Roman" w:hAnsi="Times New Roman" w:cs="Times New Roman"/>
          <w:sz w:val="24"/>
          <w:szCs w:val="24"/>
        </w:rPr>
        <w:t>9</w:t>
      </w:r>
      <w:r w:rsidRPr="00294673">
        <w:rPr>
          <w:rFonts w:ascii="Times New Roman" w:hAnsi="Times New Roman" w:cs="Times New Roman"/>
          <w:sz w:val="24"/>
          <w:szCs w:val="24"/>
        </w:rPr>
        <w:t xml:space="preserve">% more than those who don't (Unilever, 2024b). According to Unilever PLC (2025a), its Beauty AI Studio has now generated marketing materials as much as 30% faster than </w:t>
      </w:r>
      <w:proofErr w:type="gramStart"/>
      <w:r w:rsidRPr="00294673">
        <w:rPr>
          <w:rFonts w:ascii="Times New Roman" w:hAnsi="Times New Roman" w:cs="Times New Roman"/>
          <w:sz w:val="24"/>
          <w:szCs w:val="24"/>
        </w:rPr>
        <w:t>previously, and</w:t>
      </w:r>
      <w:proofErr w:type="gramEnd"/>
      <w:r w:rsidRPr="00294673">
        <w:rPr>
          <w:rFonts w:ascii="Times New Roman" w:hAnsi="Times New Roman" w:cs="Times New Roman"/>
          <w:sz w:val="24"/>
          <w:szCs w:val="24"/>
        </w:rPr>
        <w:t xml:space="preserve"> is said to have more than doubled engagement rates in priority markets. Unilever also claims to have achieved an eight per cent boost in overall equipment effectiveness (OEE) </w:t>
      </w:r>
      <w:r w:rsidR="00294673">
        <w:rPr>
          <w:rFonts w:ascii="Times New Roman" w:hAnsi="Times New Roman" w:cs="Times New Roman"/>
          <w:sz w:val="24"/>
          <w:szCs w:val="24"/>
        </w:rPr>
        <w:t>at one personal care factory by leveraging AI tools to improve</w:t>
      </w:r>
      <w:r w:rsidRPr="00294673">
        <w:rPr>
          <w:rFonts w:ascii="Times New Roman" w:hAnsi="Times New Roman" w:cs="Times New Roman"/>
          <w:sz w:val="24"/>
          <w:szCs w:val="24"/>
        </w:rPr>
        <w:t xml:space="preserve"> manufacturing efficiency (Unilever PLC, 2025b). These are not small pilot schemes confined to a single market.</w:t>
      </w:r>
    </w:p>
    <w:p w14:paraId="6D0860DF" w14:textId="6057866B" w:rsidR="00BC3E38" w:rsidRPr="00294673" w:rsidRDefault="00BC3E38"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The role of AI in the broader rapidly evolving consumer goods industry is rapidly expanding. This trend towards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is becoming commonplace and Thangavel (2025) calls the new era of hyper-</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a revolution in how these companies engage individual customers instead of targeting a specific demographic. However, evidence has shown that the benefits of well-executed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can be significant in terms of engagement and purchase intention (Alipour, Gallegos and Sridhar, 2024; </w:t>
      </w:r>
      <w:proofErr w:type="spellStart"/>
      <w:r w:rsidRPr="00294673">
        <w:rPr>
          <w:rFonts w:ascii="Times New Roman" w:hAnsi="Times New Roman" w:cs="Times New Roman"/>
          <w:sz w:val="24"/>
          <w:szCs w:val="24"/>
        </w:rPr>
        <w:t>Teepapal</w:t>
      </w:r>
      <w:proofErr w:type="spellEnd"/>
      <w:r w:rsidRPr="00294673">
        <w:rPr>
          <w:rFonts w:ascii="Times New Roman" w:hAnsi="Times New Roman" w:cs="Times New Roman"/>
          <w:sz w:val="24"/>
          <w:szCs w:val="24"/>
        </w:rPr>
        <w:t xml:space="preserve">, 2025), and that these benefits will be contingent on the quality of data, algorithmic fairness and the readiness of the </w:t>
      </w:r>
      <w:proofErr w:type="spellStart"/>
      <w:r w:rsidRPr="00294673">
        <w:rPr>
          <w:rFonts w:ascii="Times New Roman" w:hAnsi="Times New Roman" w:cs="Times New Roman"/>
          <w:sz w:val="24"/>
          <w:szCs w:val="24"/>
        </w:rPr>
        <w:t>organisation</w:t>
      </w:r>
      <w:proofErr w:type="spellEnd"/>
      <w:r w:rsidRPr="00294673">
        <w:rPr>
          <w:rFonts w:ascii="Times New Roman" w:hAnsi="Times New Roman" w:cs="Times New Roman"/>
          <w:sz w:val="24"/>
          <w:szCs w:val="24"/>
        </w:rPr>
        <w:t>, with poor performance having a detrimental effect on the brand. (Kolesnik, 2025). The analysis that follows parallels this idea of tension between opportunity and exposure. The key findings are detailed in section two: Unilever's AI context; Porter's Five Forces; a PESTLE analysis (UK vs EU); data governance and regulatory compliance; ethical AI and consumer trust; and a critical assessment of PESTLE. The implementation plan is contained in section three and section four is the conclusion.</w:t>
      </w:r>
    </w:p>
    <w:p w14:paraId="64D305F1" w14:textId="77777777" w:rsidR="00BC3E38" w:rsidRPr="00294673" w:rsidRDefault="00BC3E38" w:rsidP="003D1CFD">
      <w:pPr>
        <w:spacing w:after="200" w:line="360" w:lineRule="auto"/>
        <w:jc w:val="both"/>
        <w:rPr>
          <w:rFonts w:ascii="Times New Roman" w:hAnsi="Times New Roman" w:cs="Times New Roman"/>
          <w:sz w:val="24"/>
          <w:szCs w:val="24"/>
        </w:rPr>
      </w:pPr>
    </w:p>
    <w:p w14:paraId="2971E9DE" w14:textId="77777777" w:rsidR="00353015" w:rsidRPr="00294673" w:rsidRDefault="00000000" w:rsidP="003D1CFD">
      <w:pPr>
        <w:pStyle w:val="Heading1"/>
        <w:spacing w:line="360" w:lineRule="auto"/>
      </w:pPr>
      <w:bookmarkStart w:id="6" w:name="_Toc235421457"/>
      <w:bookmarkStart w:id="7" w:name="_Toc235422129"/>
      <w:bookmarkStart w:id="8" w:name="_Toc235700030"/>
      <w:r w:rsidRPr="00294673">
        <w:lastRenderedPageBreak/>
        <w:t>2. Main Findings</w:t>
      </w:r>
      <w:bookmarkEnd w:id="6"/>
      <w:bookmarkEnd w:id="7"/>
      <w:bookmarkEnd w:id="8"/>
    </w:p>
    <w:p w14:paraId="1225A153" w14:textId="77777777" w:rsidR="00353015" w:rsidRPr="00294673" w:rsidRDefault="00000000" w:rsidP="003D1CFD">
      <w:pPr>
        <w:pStyle w:val="Heading2"/>
        <w:spacing w:line="360" w:lineRule="auto"/>
      </w:pPr>
      <w:bookmarkStart w:id="9" w:name="_Toc235700031"/>
      <w:r w:rsidRPr="00294673">
        <w:t>2.1 Company and AI Context</w:t>
      </w:r>
      <w:bookmarkEnd w:id="9"/>
    </w:p>
    <w:p w14:paraId="3C9B3355" w14:textId="375A927B" w:rsidR="00BC3E38" w:rsidRPr="00294673" w:rsidRDefault="00BC3E38"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The application of AI in Unilever's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efforts for consumers can be analyzed through the lens of the resource-based view of the firm, which suggests that a firm's sustainable competitive advantage is derived from resources that are valuable, rare and inimitable. While the benefit Unilever is gaining doesn't lie in artificial intelligence as a technology, as all its competitors could offer similar capabilities, it is leveraging the volumes of proprietary consumer data it's amassed across its portfolio of brands and its ability to act on that data to create </w:t>
      </w:r>
      <w:proofErr w:type="spellStart"/>
      <w:r w:rsidRPr="00294673">
        <w:rPr>
          <w:rFonts w:ascii="Times New Roman" w:hAnsi="Times New Roman" w:cs="Times New Roman"/>
          <w:sz w:val="24"/>
          <w:szCs w:val="24"/>
        </w:rPr>
        <w:t>personalised</w:t>
      </w:r>
      <w:proofErr w:type="spellEnd"/>
      <w:r w:rsidRPr="00294673">
        <w:rPr>
          <w:rFonts w:ascii="Times New Roman" w:hAnsi="Times New Roman" w:cs="Times New Roman"/>
          <w:sz w:val="24"/>
          <w:szCs w:val="24"/>
        </w:rPr>
        <w:t xml:space="preserve"> products, quickly (Kolesnik, 2025).  </w:t>
      </w:r>
      <w:r w:rsidR="00887C17" w:rsidRPr="00887C17">
        <w:rPr>
          <w:rFonts w:ascii="Times New Roman" w:hAnsi="Times New Roman" w:cs="Times New Roman"/>
          <w:sz w:val="24"/>
          <w:szCs w:val="24"/>
        </w:rPr>
        <w:t xml:space="preserve">Whether this capability remains genuinely </w:t>
      </w:r>
      <w:proofErr w:type="spellStart"/>
      <w:proofErr w:type="gramStart"/>
      <w:r w:rsidR="00887C17" w:rsidRPr="00887C17">
        <w:rPr>
          <w:rFonts w:ascii="Times New Roman" w:hAnsi="Times New Roman" w:cs="Times New Roman"/>
          <w:sz w:val="24"/>
          <w:szCs w:val="24"/>
        </w:rPr>
        <w:t>rare</w:t>
      </w:r>
      <w:r w:rsidRPr="00294673">
        <w:rPr>
          <w:rFonts w:ascii="Times New Roman" w:hAnsi="Times New Roman" w:cs="Times New Roman"/>
          <w:sz w:val="24"/>
          <w:szCs w:val="24"/>
        </w:rPr>
        <w:t>and</w:t>
      </w:r>
      <w:proofErr w:type="spellEnd"/>
      <w:proofErr w:type="gramEnd"/>
      <w:r w:rsidRPr="00294673">
        <w:rPr>
          <w:rFonts w:ascii="Times New Roman" w:hAnsi="Times New Roman" w:cs="Times New Roman"/>
          <w:sz w:val="24"/>
          <w:szCs w:val="24"/>
        </w:rPr>
        <w:t xml:space="preserve"> public disclosure has not proved that its capability is being matched by rival FMCG groups, so this is another reason to regard the advantage as one that needs to be actively maintained.</w:t>
      </w:r>
    </w:p>
    <w:p w14:paraId="290D1B2C" w14:textId="77777777" w:rsidR="00BC3E38" w:rsidRPr="00294673" w:rsidRDefault="00BC3E38"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This is reflected in practice. </w:t>
      </w:r>
      <w:proofErr w:type="spellStart"/>
      <w:r w:rsidRPr="00294673">
        <w:rPr>
          <w:rFonts w:ascii="Times New Roman" w:hAnsi="Times New Roman" w:cs="Times New Roman"/>
          <w:sz w:val="24"/>
          <w:szCs w:val="24"/>
        </w:rPr>
        <w:t>BeautyHub</w:t>
      </w:r>
      <w:proofErr w:type="spellEnd"/>
      <w:r w:rsidRPr="00294673">
        <w:rPr>
          <w:rFonts w:ascii="Times New Roman" w:hAnsi="Times New Roman" w:cs="Times New Roman"/>
          <w:sz w:val="24"/>
          <w:szCs w:val="24"/>
        </w:rPr>
        <w:t xml:space="preserve"> PRO captures around 30 visual data points from consumers' faces and correlates them with </w:t>
      </w:r>
      <w:proofErr w:type="spellStart"/>
      <w:r w:rsidRPr="00294673">
        <w:rPr>
          <w:rFonts w:ascii="Times New Roman" w:hAnsi="Times New Roman" w:cs="Times New Roman"/>
          <w:sz w:val="24"/>
          <w:szCs w:val="24"/>
        </w:rPr>
        <w:t>BeautyHub</w:t>
      </w:r>
      <w:proofErr w:type="spellEnd"/>
      <w:r w:rsidRPr="00294673">
        <w:rPr>
          <w:rFonts w:ascii="Times New Roman" w:hAnsi="Times New Roman" w:cs="Times New Roman"/>
          <w:sz w:val="24"/>
          <w:szCs w:val="24"/>
        </w:rPr>
        <w:t xml:space="preserve"> PRO’s algorithm, which uses their computer vision to provide recommendations from multiple Unilever brands at once, something that one brand competitor could not quickly replicate (Unilever, 2024b). The Beauty AI Studio has shortened the content lifecycle from ideation to </w:t>
      </w:r>
      <w:proofErr w:type="spellStart"/>
      <w:proofErr w:type="gram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and</w:t>
      </w:r>
      <w:proofErr w:type="gramEnd"/>
      <w:r w:rsidRPr="00294673">
        <w:rPr>
          <w:rFonts w:ascii="Times New Roman" w:hAnsi="Times New Roman" w:cs="Times New Roman"/>
          <w:sz w:val="24"/>
          <w:szCs w:val="24"/>
        </w:rPr>
        <w:t xml:space="preserve"> has more than doubled KPIs in priority markets (Unilever PLC, 2025a). In 2025, the group's turnover was around €50.5 </w:t>
      </w:r>
      <w:proofErr w:type="gramStart"/>
      <w:r w:rsidRPr="00294673">
        <w:rPr>
          <w:rFonts w:ascii="Times New Roman" w:hAnsi="Times New Roman" w:cs="Times New Roman"/>
          <w:sz w:val="24"/>
          <w:szCs w:val="24"/>
        </w:rPr>
        <w:t>billion</w:t>
      </w:r>
      <w:proofErr w:type="gramEnd"/>
      <w:r w:rsidRPr="00294673">
        <w:rPr>
          <w:rFonts w:ascii="Times New Roman" w:hAnsi="Times New Roman" w:cs="Times New Roman"/>
          <w:sz w:val="24"/>
          <w:szCs w:val="24"/>
        </w:rPr>
        <w:t xml:space="preserve"> and the brand and marketing investment increased to more than sixteen per cent of turnover, highlighting the amount of resources invested in this change (</w:t>
      </w:r>
      <w:proofErr w:type="spellStart"/>
      <w:r w:rsidRPr="00294673">
        <w:rPr>
          <w:rFonts w:ascii="Times New Roman" w:hAnsi="Times New Roman" w:cs="Times New Roman"/>
          <w:sz w:val="24"/>
          <w:szCs w:val="24"/>
        </w:rPr>
        <w:t>Investegate</w:t>
      </w:r>
      <w:proofErr w:type="spellEnd"/>
      <w:r w:rsidRPr="00294673">
        <w:rPr>
          <w:rFonts w:ascii="Times New Roman" w:hAnsi="Times New Roman" w:cs="Times New Roman"/>
          <w:sz w:val="24"/>
          <w:szCs w:val="24"/>
        </w:rPr>
        <w:t>, 2025).</w:t>
      </w:r>
    </w:p>
    <w:p w14:paraId="5156545B" w14:textId="0B9800B7" w:rsidR="00BC3E38" w:rsidRPr="00294673" w:rsidRDefault="00BC3E38"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Meanwhile, the broader literature advises that such benefits do not come without their risks or without conditions. </w:t>
      </w:r>
      <w:proofErr w:type="spellStart"/>
      <w:r w:rsidRPr="00294673">
        <w:rPr>
          <w:rFonts w:ascii="Times New Roman" w:hAnsi="Times New Roman" w:cs="Times New Roman"/>
          <w:sz w:val="24"/>
          <w:szCs w:val="24"/>
        </w:rPr>
        <w:t>Organisational</w:t>
      </w:r>
      <w:proofErr w:type="spellEnd"/>
      <w:r w:rsidRPr="00294673">
        <w:rPr>
          <w:rFonts w:ascii="Times New Roman" w:hAnsi="Times New Roman" w:cs="Times New Roman"/>
          <w:sz w:val="24"/>
          <w:szCs w:val="24"/>
        </w:rPr>
        <w:t xml:space="preserve"> and technological challenges, such as data quality, algorithmic bias, and </w:t>
      </w:r>
      <w:proofErr w:type="spellStart"/>
      <w:r w:rsidRPr="00294673">
        <w:rPr>
          <w:rFonts w:ascii="Times New Roman" w:hAnsi="Times New Roman" w:cs="Times New Roman"/>
          <w:sz w:val="24"/>
          <w:szCs w:val="24"/>
        </w:rPr>
        <w:t>organisational</w:t>
      </w:r>
      <w:proofErr w:type="spellEnd"/>
      <w:r w:rsidRPr="00294673">
        <w:rPr>
          <w:rFonts w:ascii="Times New Roman" w:hAnsi="Times New Roman" w:cs="Times New Roman"/>
          <w:sz w:val="24"/>
          <w:szCs w:val="24"/>
        </w:rPr>
        <w:t xml:space="preserve"> constraints, can constrain or offset the positive impact of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in FMCG marketing (Kolesnik, 2025). Cillo and Rubera (2024) make a related point regarding generative AI: its utility relies not on being a stand-alone innovation tool, but rather on being embedded in the innovation process. Unilever needs to ensure this resource advantage is not </w:t>
      </w:r>
      <w:proofErr w:type="gramStart"/>
      <w:r w:rsidRPr="00294673">
        <w:rPr>
          <w:rFonts w:ascii="Times New Roman" w:hAnsi="Times New Roman" w:cs="Times New Roman"/>
          <w:sz w:val="24"/>
          <w:szCs w:val="24"/>
        </w:rPr>
        <w:t>given</w:t>
      </w:r>
      <w:proofErr w:type="gramEnd"/>
      <w:r w:rsidRPr="00294673">
        <w:rPr>
          <w:rFonts w:ascii="Times New Roman" w:hAnsi="Times New Roman" w:cs="Times New Roman"/>
          <w:sz w:val="24"/>
          <w:szCs w:val="24"/>
        </w:rPr>
        <w:t xml:space="preserve"> for </w:t>
      </w:r>
      <w:proofErr w:type="gramStart"/>
      <w:r w:rsidRPr="00294673">
        <w:rPr>
          <w:rFonts w:ascii="Times New Roman" w:hAnsi="Times New Roman" w:cs="Times New Roman"/>
          <w:sz w:val="24"/>
          <w:szCs w:val="24"/>
        </w:rPr>
        <w:t>granted, but</w:t>
      </w:r>
      <w:proofErr w:type="gramEnd"/>
      <w:r w:rsidRPr="00294673">
        <w:rPr>
          <w:rFonts w:ascii="Times New Roman" w:hAnsi="Times New Roman" w:cs="Times New Roman"/>
          <w:sz w:val="24"/>
          <w:szCs w:val="24"/>
        </w:rPr>
        <w:t xml:space="preserve"> rather is made possible through ongoing investment in governance mechanisms that ensure the underlying data is trustworthy and the outputs are fair. Unilever's dual presence in the UK and EU markets is another resource advantage, as experience gained in one market can be transferred to the other, although it is not clear whether this is happening in practice, nor whether the reverse transfer is also occurring.</w:t>
      </w:r>
    </w:p>
    <w:p w14:paraId="3A70927D" w14:textId="77777777" w:rsidR="00353015" w:rsidRPr="00294673" w:rsidRDefault="00000000" w:rsidP="003D1CFD">
      <w:pPr>
        <w:pStyle w:val="Heading2"/>
        <w:spacing w:line="360" w:lineRule="auto"/>
      </w:pPr>
      <w:bookmarkStart w:id="10" w:name="_Toc235421458"/>
      <w:bookmarkStart w:id="11" w:name="_Toc235422130"/>
      <w:bookmarkStart w:id="12" w:name="_Toc235700032"/>
      <w:r w:rsidRPr="00294673">
        <w:lastRenderedPageBreak/>
        <w:t>2.2 Porter's Five Forces: Competitive Intensity in AI-Enabled Marketing</w:t>
      </w:r>
      <w:bookmarkEnd w:id="10"/>
      <w:bookmarkEnd w:id="11"/>
      <w:bookmarkEnd w:id="12"/>
    </w:p>
    <w:p w14:paraId="2EDDA382" w14:textId="3A2D9FBC" w:rsidR="00BC3E38" w:rsidRPr="00294673" w:rsidRDefault="00BC3E38"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Porter's Five Forces complements PESTLE by studying competitive intensity of the industry rather than the macro environment, which is Unilever's industry ('A Theoretical, Diagnostic Review of SWOT, PESTLE, Porter's Five Forces Models', 2025). Table 1 provides a summary of each force as applied to every element of Unilever's beauty and personal care portfolio and for each, the impact on AI support for marketing.</w:t>
      </w:r>
    </w:p>
    <w:p w14:paraId="0F536906" w14:textId="77777777" w:rsidR="00353015" w:rsidRPr="00294673" w:rsidRDefault="00000000" w:rsidP="003D1CFD">
      <w:pPr>
        <w:spacing w:before="100" w:after="300" w:line="360" w:lineRule="auto"/>
        <w:jc w:val="center"/>
        <w:rPr>
          <w:rFonts w:ascii="Times New Roman" w:hAnsi="Times New Roman" w:cs="Times New Roman"/>
          <w:sz w:val="24"/>
          <w:szCs w:val="24"/>
        </w:rPr>
      </w:pPr>
      <w:r w:rsidRPr="00294673">
        <w:rPr>
          <w:rFonts w:ascii="Times New Roman" w:hAnsi="Times New Roman" w:cs="Times New Roman"/>
          <w:i/>
          <w:iCs/>
          <w:sz w:val="24"/>
          <w:szCs w:val="24"/>
        </w:rPr>
        <w:t>Table 1: Porter's Five Forces Applied to Unilever's AI-Enabled Marketing (Author's own construction)</w:t>
      </w:r>
    </w:p>
    <w:tbl>
      <w:tblPr>
        <w:tblStyle w:val="GridTable3-Accent1"/>
        <w:tblW w:w="5000" w:type="pct"/>
        <w:tblLook w:val="0000" w:firstRow="0" w:lastRow="0" w:firstColumn="0" w:lastColumn="0" w:noHBand="0" w:noVBand="0"/>
      </w:tblPr>
      <w:tblGrid>
        <w:gridCol w:w="2471"/>
        <w:gridCol w:w="1545"/>
        <w:gridCol w:w="5612"/>
      </w:tblGrid>
      <w:tr w:rsidR="00C07BEC" w:rsidRPr="00294673" w14:paraId="4071954E" w14:textId="77777777" w:rsidTr="00294673">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471" w:type="dxa"/>
          </w:tcPr>
          <w:p w14:paraId="0DF0C4BA"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Force</w:t>
            </w:r>
          </w:p>
        </w:tc>
        <w:tc>
          <w:tcPr>
            <w:tcW w:w="1545" w:type="dxa"/>
          </w:tcPr>
          <w:p w14:paraId="68B7DA3A" w14:textId="77777777" w:rsidR="00353015" w:rsidRPr="00294673" w:rsidRDefault="00000000" w:rsidP="003D1CF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94673">
              <w:rPr>
                <w:rFonts w:ascii="Times New Roman" w:hAnsi="Times New Roman" w:cs="Times New Roman"/>
                <w:b/>
                <w:bCs/>
                <w:sz w:val="24"/>
                <w:szCs w:val="24"/>
              </w:rPr>
              <w:t>Intensity</w:t>
            </w:r>
          </w:p>
        </w:tc>
        <w:tc>
          <w:tcPr>
            <w:cnfStyle w:val="000010000000" w:firstRow="0" w:lastRow="0" w:firstColumn="0" w:lastColumn="0" w:oddVBand="1" w:evenVBand="0" w:oddHBand="0" w:evenHBand="0" w:firstRowFirstColumn="0" w:firstRowLastColumn="0" w:lastRowFirstColumn="0" w:lastRowLastColumn="0"/>
            <w:tcW w:w="5612" w:type="dxa"/>
          </w:tcPr>
          <w:p w14:paraId="703BC7EC"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Application to Unilever</w:t>
            </w:r>
          </w:p>
        </w:tc>
      </w:tr>
      <w:tr w:rsidR="00C07BEC" w:rsidRPr="00294673" w14:paraId="48C7B029" w14:textId="77777777" w:rsidTr="00294673">
        <w:tc>
          <w:tcPr>
            <w:cnfStyle w:val="000010000000" w:firstRow="0" w:lastRow="0" w:firstColumn="0" w:lastColumn="0" w:oddVBand="1" w:evenVBand="0" w:oddHBand="0" w:evenHBand="0" w:firstRowFirstColumn="0" w:firstRowLastColumn="0" w:lastRowFirstColumn="0" w:lastRowLastColumn="0"/>
            <w:tcW w:w="2471" w:type="dxa"/>
          </w:tcPr>
          <w:p w14:paraId="6079B2D1"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t>Rivalry among existing competitors</w:t>
            </w:r>
          </w:p>
        </w:tc>
        <w:tc>
          <w:tcPr>
            <w:tcW w:w="1545" w:type="dxa"/>
          </w:tcPr>
          <w:p w14:paraId="37CDE1D4" w14:textId="77777777" w:rsidR="00353015" w:rsidRPr="00294673" w:rsidRDefault="00000000" w:rsidP="003D1CFD">
            <w:pPr>
              <w:spacing w:after="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294673">
              <w:rPr>
                <w:rFonts w:ascii="Times New Roman" w:hAnsi="Times New Roman" w:cs="Times New Roman"/>
                <w:b/>
                <w:bCs/>
                <w:sz w:val="24"/>
                <w:szCs w:val="24"/>
              </w:rPr>
              <w:t>High</w:t>
            </w:r>
          </w:p>
        </w:tc>
        <w:tc>
          <w:tcPr>
            <w:cnfStyle w:val="000010000000" w:firstRow="0" w:lastRow="0" w:firstColumn="0" w:lastColumn="0" w:oddVBand="1" w:evenVBand="0" w:oddHBand="0" w:evenHBand="0" w:firstRowFirstColumn="0" w:firstRowLastColumn="0" w:lastRowFirstColumn="0" w:lastRowLastColumn="0"/>
            <w:tcW w:w="5612" w:type="dxa"/>
          </w:tcPr>
          <w:p w14:paraId="705D5D0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AI-enabled personalisation is now standard practice across Procter &amp; Gamble, Nestlé and L'Oréal, forcing continuous investment merely to keep pace (Kolesnik, 2025).</w:t>
            </w:r>
          </w:p>
        </w:tc>
      </w:tr>
      <w:tr w:rsidR="00C07BEC" w:rsidRPr="00294673" w14:paraId="0A15A1AA" w14:textId="77777777" w:rsidTr="00294673">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471" w:type="dxa"/>
          </w:tcPr>
          <w:p w14:paraId="2FBDF93A"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t>Threat of new entrants</w:t>
            </w:r>
          </w:p>
        </w:tc>
        <w:tc>
          <w:tcPr>
            <w:tcW w:w="1545" w:type="dxa"/>
          </w:tcPr>
          <w:p w14:paraId="260EE1DD" w14:textId="77777777" w:rsidR="00353015" w:rsidRPr="00294673" w:rsidRDefault="00000000" w:rsidP="003D1CFD">
            <w:pPr>
              <w:spacing w:after="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94673">
              <w:rPr>
                <w:rFonts w:ascii="Times New Roman" w:hAnsi="Times New Roman" w:cs="Times New Roman"/>
                <w:b/>
                <w:bCs/>
                <w:sz w:val="24"/>
                <w:szCs w:val="24"/>
              </w:rPr>
              <w:t>Moderate</w:t>
            </w:r>
          </w:p>
        </w:tc>
        <w:tc>
          <w:tcPr>
            <w:cnfStyle w:val="000010000000" w:firstRow="0" w:lastRow="0" w:firstColumn="0" w:lastColumn="0" w:oddVBand="1" w:evenVBand="0" w:oddHBand="0" w:evenHBand="0" w:firstRowFirstColumn="0" w:firstRowLastColumn="0" w:lastRowFirstColumn="0" w:lastRowLastColumn="0"/>
            <w:tcW w:w="5612" w:type="dxa"/>
          </w:tcPr>
          <w:p w14:paraId="23FBB32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AI personalisation tools are increasingly accessible, but Unilever's proprietary consumer data and established distribution remain difficult for a new entrant to replicate quickly.</w:t>
            </w:r>
          </w:p>
        </w:tc>
      </w:tr>
      <w:tr w:rsidR="00C07BEC" w:rsidRPr="00294673" w14:paraId="67C917CD" w14:textId="77777777" w:rsidTr="00294673">
        <w:tc>
          <w:tcPr>
            <w:cnfStyle w:val="000010000000" w:firstRow="0" w:lastRow="0" w:firstColumn="0" w:lastColumn="0" w:oddVBand="1" w:evenVBand="0" w:oddHBand="0" w:evenHBand="0" w:firstRowFirstColumn="0" w:firstRowLastColumn="0" w:lastRowFirstColumn="0" w:lastRowLastColumn="0"/>
            <w:tcW w:w="2471" w:type="dxa"/>
          </w:tcPr>
          <w:p w14:paraId="7AE7A1D7"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t>Bargaining power of buyers</w:t>
            </w:r>
          </w:p>
        </w:tc>
        <w:tc>
          <w:tcPr>
            <w:tcW w:w="1545" w:type="dxa"/>
          </w:tcPr>
          <w:p w14:paraId="23389FF5" w14:textId="77777777" w:rsidR="00353015" w:rsidRPr="00294673" w:rsidRDefault="00000000" w:rsidP="003D1CFD">
            <w:pPr>
              <w:spacing w:after="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294673">
              <w:rPr>
                <w:rFonts w:ascii="Times New Roman" w:hAnsi="Times New Roman" w:cs="Times New Roman"/>
                <w:b/>
                <w:bCs/>
                <w:sz w:val="24"/>
                <w:szCs w:val="24"/>
              </w:rPr>
              <w:t>Moderate</w:t>
            </w:r>
          </w:p>
        </w:tc>
        <w:tc>
          <w:tcPr>
            <w:cnfStyle w:val="000010000000" w:firstRow="0" w:lastRow="0" w:firstColumn="0" w:lastColumn="0" w:oddVBand="1" w:evenVBand="0" w:oddHBand="0" w:evenHBand="0" w:firstRowFirstColumn="0" w:firstRowLastColumn="0" w:lastRowFirstColumn="0" w:lastRowLastColumn="0"/>
            <w:tcW w:w="5612" w:type="dxa"/>
          </w:tcPr>
          <w:p w14:paraId="4E5D2E61"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Consumers switch brands easily but show conditional loyalty where AI-personalised experiences build genuine trust (Markou et al., 2025); privacy-conscious rejection of AI personalisation is itself a form of substitution risk.</w:t>
            </w:r>
          </w:p>
        </w:tc>
      </w:tr>
      <w:tr w:rsidR="00C07BEC" w:rsidRPr="00294673" w14:paraId="606A86C0" w14:textId="77777777" w:rsidTr="00294673">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471" w:type="dxa"/>
          </w:tcPr>
          <w:p w14:paraId="28A30823"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t>Bargaining power of suppliers</w:t>
            </w:r>
          </w:p>
        </w:tc>
        <w:tc>
          <w:tcPr>
            <w:tcW w:w="1545" w:type="dxa"/>
          </w:tcPr>
          <w:p w14:paraId="117BF970" w14:textId="77777777" w:rsidR="00353015" w:rsidRPr="00294673" w:rsidRDefault="00000000" w:rsidP="003D1CFD">
            <w:pPr>
              <w:spacing w:after="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94673">
              <w:rPr>
                <w:rFonts w:ascii="Times New Roman" w:hAnsi="Times New Roman" w:cs="Times New Roman"/>
                <w:b/>
                <w:bCs/>
                <w:sz w:val="24"/>
                <w:szCs w:val="24"/>
              </w:rPr>
              <w:t>Moderate and rising</w:t>
            </w:r>
          </w:p>
        </w:tc>
        <w:tc>
          <w:tcPr>
            <w:cnfStyle w:val="000010000000" w:firstRow="0" w:lastRow="0" w:firstColumn="0" w:lastColumn="0" w:oddVBand="1" w:evenVBand="0" w:oddHBand="0" w:evenHBand="0" w:firstRowFirstColumn="0" w:firstRowLastColumn="0" w:lastRowFirstColumn="0" w:lastRowLastColumn="0"/>
            <w:tcW w:w="5612" w:type="dxa"/>
          </w:tcPr>
          <w:p w14:paraId="5C1D058B"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External AI technology vendors and data providers hold growing leverage, reflected in the third-party governance risk identified in Table 3.</w:t>
            </w:r>
          </w:p>
        </w:tc>
      </w:tr>
      <w:tr w:rsidR="00C07BEC" w:rsidRPr="00294673" w14:paraId="66752783" w14:textId="77777777" w:rsidTr="00294673">
        <w:tc>
          <w:tcPr>
            <w:cnfStyle w:val="000010000000" w:firstRow="0" w:lastRow="0" w:firstColumn="0" w:lastColumn="0" w:oddVBand="1" w:evenVBand="0" w:oddHBand="0" w:evenHBand="0" w:firstRowFirstColumn="0" w:firstRowLastColumn="0" w:lastRowFirstColumn="0" w:lastRowLastColumn="0"/>
            <w:tcW w:w="2471" w:type="dxa"/>
          </w:tcPr>
          <w:p w14:paraId="71C06B1C"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t>Threat of substitutes</w:t>
            </w:r>
          </w:p>
        </w:tc>
        <w:tc>
          <w:tcPr>
            <w:tcW w:w="1545" w:type="dxa"/>
          </w:tcPr>
          <w:p w14:paraId="7DD9F892" w14:textId="77777777" w:rsidR="00353015" w:rsidRPr="00294673" w:rsidRDefault="00000000" w:rsidP="003D1CFD">
            <w:pPr>
              <w:spacing w:after="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294673">
              <w:rPr>
                <w:rFonts w:ascii="Times New Roman" w:hAnsi="Times New Roman" w:cs="Times New Roman"/>
                <w:b/>
                <w:bCs/>
                <w:sz w:val="24"/>
                <w:szCs w:val="24"/>
              </w:rPr>
              <w:t>Low to moderate</w:t>
            </w:r>
          </w:p>
        </w:tc>
        <w:tc>
          <w:tcPr>
            <w:cnfStyle w:val="000010000000" w:firstRow="0" w:lastRow="0" w:firstColumn="0" w:lastColumn="0" w:oddVBand="1" w:evenVBand="0" w:oddHBand="0" w:evenHBand="0" w:firstRowFirstColumn="0" w:firstRowLastColumn="0" w:lastRowFirstColumn="0" w:lastRowLastColumn="0"/>
            <w:tcW w:w="5612" w:type="dxa"/>
          </w:tcPr>
          <w:p w14:paraId="2E21EC5B"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Non-AI, human-led personalisation remains a substitute, but so does outright consumer rejection of AI-driven recommendations on privacy grounds, a distinct and growing substitution route.</w:t>
            </w:r>
          </w:p>
        </w:tc>
      </w:tr>
    </w:tbl>
    <w:p w14:paraId="093DE17E" w14:textId="2C1F0DB2" w:rsidR="00BC3E38" w:rsidRPr="00294673" w:rsidRDefault="00BC3E38"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Complementors, like social media providers and third-party data vendors, are not part of Porter's five categories, but they have a significant influence on several factors, including the threat of new entrants </w:t>
      </w:r>
      <w:r w:rsidRPr="00294673">
        <w:rPr>
          <w:rFonts w:ascii="Times New Roman" w:hAnsi="Times New Roman" w:cs="Times New Roman"/>
          <w:sz w:val="24"/>
          <w:szCs w:val="24"/>
        </w:rPr>
        <w:lastRenderedPageBreak/>
        <w:t>and supplier power, as access to distribution and data infrastructure is as much a competitive variable as product quality.</w:t>
      </w:r>
    </w:p>
    <w:p w14:paraId="54AA10D3" w14:textId="77777777" w:rsidR="00353015" w:rsidRPr="00294673" w:rsidRDefault="00000000" w:rsidP="003D1CFD">
      <w:pPr>
        <w:pStyle w:val="Heading2"/>
        <w:spacing w:line="360" w:lineRule="auto"/>
      </w:pPr>
      <w:bookmarkStart w:id="13" w:name="_Toc235421459"/>
      <w:bookmarkStart w:id="14" w:name="_Toc235422131"/>
      <w:bookmarkStart w:id="15" w:name="_Toc235700033"/>
      <w:r w:rsidRPr="00294673">
        <w:t>2.3 PESTLE Analysis: United Kingdom and European Union Comparative Assessment</w:t>
      </w:r>
      <w:bookmarkEnd w:id="13"/>
      <w:bookmarkEnd w:id="14"/>
      <w:bookmarkEnd w:id="15"/>
    </w:p>
    <w:p w14:paraId="4423DAA9" w14:textId="77777777" w:rsidR="00294673" w:rsidRDefault="004C0F4E" w:rsidP="003D1CFD">
      <w:pPr>
        <w:spacing w:before="100" w:after="300" w:line="360" w:lineRule="auto"/>
        <w:jc w:val="center"/>
        <w:rPr>
          <w:rFonts w:ascii="Times New Roman" w:hAnsi="Times New Roman" w:cs="Times New Roman"/>
          <w:noProof/>
          <w:sz w:val="24"/>
          <w:szCs w:val="24"/>
        </w:rPr>
      </w:pPr>
      <w:r w:rsidRPr="00294673">
        <w:rPr>
          <w:rFonts w:ascii="Times New Roman" w:hAnsi="Times New Roman" w:cs="Times New Roman"/>
          <w:i/>
          <w:iCs/>
          <w:sz w:val="24"/>
          <w:szCs w:val="24"/>
        </w:rPr>
        <w:br/>
      </w:r>
    </w:p>
    <w:p w14:paraId="1B54590E" w14:textId="6116D630" w:rsidR="004C0F4E" w:rsidRPr="00294673" w:rsidRDefault="004C0F4E" w:rsidP="003D1CFD">
      <w:pPr>
        <w:spacing w:before="100" w:after="300" w:line="360" w:lineRule="auto"/>
        <w:jc w:val="center"/>
        <w:rPr>
          <w:rFonts w:ascii="Times New Roman" w:hAnsi="Times New Roman" w:cs="Times New Roman"/>
          <w:i/>
          <w:iCs/>
          <w:sz w:val="24"/>
          <w:szCs w:val="24"/>
        </w:rPr>
      </w:pPr>
      <w:r w:rsidRPr="00294673">
        <w:rPr>
          <w:rFonts w:ascii="Times New Roman" w:hAnsi="Times New Roman" w:cs="Times New Roman"/>
          <w:noProof/>
          <w:sz w:val="24"/>
          <w:szCs w:val="24"/>
        </w:rPr>
        <w:drawing>
          <wp:inline distT="0" distB="0" distL="0" distR="0" wp14:anchorId="178D4683" wp14:editId="7F545391">
            <wp:extent cx="5560793" cy="3107436"/>
            <wp:effectExtent l="19050" t="19050" r="20955" b="17145"/>
            <wp:docPr id="746006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006809" name=""/>
                    <pic:cNvPicPr/>
                  </pic:nvPicPr>
                  <pic:blipFill rotWithShape="1">
                    <a:blip r:embed="rId8"/>
                    <a:srcRect l="4815" t="6805" r="4306"/>
                    <a:stretch>
                      <a:fillRect/>
                    </a:stretch>
                  </pic:blipFill>
                  <pic:spPr bwMode="auto">
                    <a:xfrm>
                      <a:off x="0" y="0"/>
                      <a:ext cx="5561961" cy="310808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DE91EDE" w14:textId="77777777" w:rsidR="00353015" w:rsidRPr="00294673" w:rsidRDefault="00000000" w:rsidP="003D1CFD">
      <w:pPr>
        <w:spacing w:before="100" w:after="300" w:line="360" w:lineRule="auto"/>
        <w:jc w:val="center"/>
        <w:rPr>
          <w:rFonts w:ascii="Times New Roman" w:hAnsi="Times New Roman" w:cs="Times New Roman"/>
          <w:sz w:val="24"/>
          <w:szCs w:val="24"/>
        </w:rPr>
      </w:pPr>
      <w:r w:rsidRPr="00294673">
        <w:rPr>
          <w:rFonts w:ascii="Times New Roman" w:hAnsi="Times New Roman" w:cs="Times New Roman"/>
          <w:i/>
          <w:iCs/>
          <w:sz w:val="24"/>
          <w:szCs w:val="24"/>
        </w:rPr>
        <w:t>Figure 1: PESTLE Framework Applied to Unilever's AI Environment (Author's own construction)</w:t>
      </w:r>
    </w:p>
    <w:p w14:paraId="22B4D29A" w14:textId="660368B8" w:rsidR="008C0E10" w:rsidRPr="00294673" w:rsidRDefault="008C0E1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Here, the external environment of Unilever's AI-powered marketing in the United Kingdom and the European Union is compared using the PESTLE framework. Table 2 </w:t>
      </w:r>
      <w:proofErr w:type="spellStart"/>
      <w:r w:rsidRPr="00294673">
        <w:rPr>
          <w:rFonts w:ascii="Times New Roman" w:hAnsi="Times New Roman" w:cs="Times New Roman"/>
          <w:sz w:val="24"/>
          <w:szCs w:val="24"/>
        </w:rPr>
        <w:t>summarises</w:t>
      </w:r>
      <w:proofErr w:type="spellEnd"/>
      <w:r w:rsidRPr="00294673">
        <w:rPr>
          <w:rFonts w:ascii="Times New Roman" w:hAnsi="Times New Roman" w:cs="Times New Roman"/>
          <w:sz w:val="24"/>
          <w:szCs w:val="24"/>
        </w:rPr>
        <w:t xml:space="preserve"> the comparison before each factor is discussed below.</w:t>
      </w:r>
    </w:p>
    <w:p w14:paraId="383052E0" w14:textId="77777777" w:rsidR="00353015" w:rsidRPr="00294673" w:rsidRDefault="00000000" w:rsidP="003D1CFD">
      <w:pPr>
        <w:spacing w:before="100" w:after="300" w:line="360" w:lineRule="auto"/>
        <w:jc w:val="center"/>
        <w:rPr>
          <w:rFonts w:ascii="Times New Roman" w:hAnsi="Times New Roman" w:cs="Times New Roman"/>
          <w:sz w:val="24"/>
          <w:szCs w:val="24"/>
        </w:rPr>
      </w:pPr>
      <w:r w:rsidRPr="00294673">
        <w:rPr>
          <w:rFonts w:ascii="Times New Roman" w:hAnsi="Times New Roman" w:cs="Times New Roman"/>
          <w:i/>
          <w:iCs/>
          <w:sz w:val="24"/>
          <w:szCs w:val="24"/>
        </w:rPr>
        <w:t>Table 2: PESTLE Comparative Analysis, Unilever United Kingdom vs European Union (Author's own construction)</w:t>
      </w:r>
    </w:p>
    <w:tbl>
      <w:tblPr>
        <w:tblStyle w:val="TableGrid"/>
        <w:tblW w:w="5000" w:type="pct"/>
        <w:tblLook w:val="0000" w:firstRow="0" w:lastRow="0" w:firstColumn="0" w:lastColumn="0" w:noHBand="0" w:noVBand="0"/>
      </w:tblPr>
      <w:tblGrid>
        <w:gridCol w:w="1763"/>
        <w:gridCol w:w="2537"/>
        <w:gridCol w:w="2538"/>
        <w:gridCol w:w="2790"/>
      </w:tblGrid>
      <w:tr w:rsidR="00353015" w:rsidRPr="00294673" w14:paraId="39370CFD" w14:textId="77777777" w:rsidTr="00294673">
        <w:trPr>
          <w:tblHeader/>
        </w:trPr>
        <w:tc>
          <w:tcPr>
            <w:tcW w:w="1503" w:type="dxa"/>
          </w:tcPr>
          <w:p w14:paraId="30E81C1D"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Factor</w:t>
            </w:r>
          </w:p>
        </w:tc>
        <w:tc>
          <w:tcPr>
            <w:tcW w:w="2624" w:type="dxa"/>
          </w:tcPr>
          <w:p w14:paraId="538B5BFA"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United Kingdom</w:t>
            </w:r>
          </w:p>
        </w:tc>
        <w:tc>
          <w:tcPr>
            <w:tcW w:w="2624" w:type="dxa"/>
          </w:tcPr>
          <w:p w14:paraId="24545EB0"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European Union</w:t>
            </w:r>
          </w:p>
        </w:tc>
        <w:tc>
          <w:tcPr>
            <w:tcW w:w="2877" w:type="dxa"/>
          </w:tcPr>
          <w:p w14:paraId="53C149BF"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Strategic Implication for Unilever</w:t>
            </w:r>
          </w:p>
        </w:tc>
      </w:tr>
      <w:tr w:rsidR="00353015" w:rsidRPr="00294673" w14:paraId="74156544" w14:textId="77777777" w:rsidTr="00294673">
        <w:tc>
          <w:tcPr>
            <w:tcW w:w="1503" w:type="dxa"/>
          </w:tcPr>
          <w:p w14:paraId="0FFA0F45"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t>Political</w:t>
            </w:r>
          </w:p>
        </w:tc>
        <w:tc>
          <w:tcPr>
            <w:tcW w:w="2624" w:type="dxa"/>
          </w:tcPr>
          <w:p w14:paraId="072876E1"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Principles based, sector led approach; no single AI statute (Department </w:t>
            </w:r>
            <w:r w:rsidRPr="00294673">
              <w:rPr>
                <w:rFonts w:ascii="Times New Roman" w:hAnsi="Times New Roman" w:cs="Times New Roman"/>
                <w:sz w:val="24"/>
                <w:szCs w:val="24"/>
              </w:rPr>
              <w:lastRenderedPageBreak/>
              <w:t>for Science, Innovation and Technology, 2023)</w:t>
            </w:r>
          </w:p>
        </w:tc>
        <w:tc>
          <w:tcPr>
            <w:tcW w:w="2624" w:type="dxa"/>
          </w:tcPr>
          <w:p w14:paraId="36653AA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lastRenderedPageBreak/>
              <w:t xml:space="preserve">Codified AI Act; direct transparency obligations on </w:t>
            </w:r>
            <w:r w:rsidRPr="00294673">
              <w:rPr>
                <w:rFonts w:ascii="Times New Roman" w:hAnsi="Times New Roman" w:cs="Times New Roman"/>
                <w:sz w:val="24"/>
                <w:szCs w:val="24"/>
              </w:rPr>
              <w:lastRenderedPageBreak/>
              <w:t>providers and deployers (Article 50, 2025b)</w:t>
            </w:r>
          </w:p>
        </w:tc>
        <w:tc>
          <w:tcPr>
            <w:tcW w:w="2877" w:type="dxa"/>
          </w:tcPr>
          <w:p w14:paraId="6488EDB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lastRenderedPageBreak/>
              <w:t>Two distinct compliance postures required for a single AI tool deployed in both regions</w:t>
            </w:r>
          </w:p>
        </w:tc>
      </w:tr>
      <w:tr w:rsidR="00353015" w:rsidRPr="00294673" w14:paraId="0F552749" w14:textId="77777777" w:rsidTr="00294673">
        <w:tc>
          <w:tcPr>
            <w:tcW w:w="1503" w:type="dxa"/>
          </w:tcPr>
          <w:p w14:paraId="73DADA56"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t>Economic</w:t>
            </w:r>
          </w:p>
        </w:tc>
        <w:tc>
          <w:tcPr>
            <w:tcW w:w="2624" w:type="dxa"/>
          </w:tcPr>
          <w:p w14:paraId="2DF7002B"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AI market growth supported by financial services and retail demand; Unilever margin expanding, giving investment headroom (</w:t>
            </w:r>
            <w:proofErr w:type="spellStart"/>
            <w:r w:rsidRPr="00294673">
              <w:rPr>
                <w:rFonts w:ascii="Times New Roman" w:hAnsi="Times New Roman" w:cs="Times New Roman"/>
                <w:sz w:val="24"/>
                <w:szCs w:val="24"/>
              </w:rPr>
              <w:t>Investegate</w:t>
            </w:r>
            <w:proofErr w:type="spellEnd"/>
            <w:r w:rsidRPr="00294673">
              <w:rPr>
                <w:rFonts w:ascii="Times New Roman" w:hAnsi="Times New Roman" w:cs="Times New Roman"/>
                <w:sz w:val="24"/>
                <w:szCs w:val="24"/>
              </w:rPr>
              <w:t>, 2025)</w:t>
            </w:r>
          </w:p>
        </w:tc>
        <w:tc>
          <w:tcPr>
            <w:tcW w:w="2624" w:type="dxa"/>
          </w:tcPr>
          <w:p w14:paraId="77CE2CE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EU AI market estimated at approximately €79 billion in 2025, growing above 30% CAGR (Market Data Forecast, 2024; IMARC Group, 2026)</w:t>
            </w:r>
          </w:p>
        </w:tc>
        <w:tc>
          <w:tcPr>
            <w:tcW w:w="2877" w:type="dxa"/>
          </w:tcPr>
          <w:p w14:paraId="3B9CF44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Strong commercial case for continued AI investment in both markets, but EU compliance cost is likely to rise as a share of that investment</w:t>
            </w:r>
          </w:p>
        </w:tc>
      </w:tr>
      <w:tr w:rsidR="00353015" w:rsidRPr="00294673" w14:paraId="67F6B545" w14:textId="77777777" w:rsidTr="00294673">
        <w:tc>
          <w:tcPr>
            <w:tcW w:w="1503" w:type="dxa"/>
          </w:tcPr>
          <w:p w14:paraId="50D0D1EB"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t>Social</w:t>
            </w:r>
          </w:p>
        </w:tc>
        <w:tc>
          <w:tcPr>
            <w:tcW w:w="2624" w:type="dxa"/>
          </w:tcPr>
          <w:p w14:paraId="7611F94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Consumer familiarity with AI growing but trust remains conditional (López Jiménez, Dittmar and Vargas Portillo, 2022)</w:t>
            </w:r>
          </w:p>
        </w:tc>
        <w:tc>
          <w:tcPr>
            <w:tcW w:w="2624" w:type="dxa"/>
          </w:tcPr>
          <w:p w14:paraId="2A9477D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Consumer trust closely tied to perceived transparency (Markou et al., 2025)</w:t>
            </w:r>
          </w:p>
        </w:tc>
        <w:tc>
          <w:tcPr>
            <w:tcW w:w="2877" w:type="dxa"/>
          </w:tcPr>
          <w:p w14:paraId="1CC5B67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Brand-level trust does not automatically transfer to new AI tools; each application must earn trust independently</w:t>
            </w:r>
          </w:p>
        </w:tc>
      </w:tr>
      <w:tr w:rsidR="00353015" w:rsidRPr="00294673" w14:paraId="00ABF5BC" w14:textId="77777777" w:rsidTr="00294673">
        <w:tc>
          <w:tcPr>
            <w:tcW w:w="1503" w:type="dxa"/>
          </w:tcPr>
          <w:p w14:paraId="7E950C6D"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t>Technological</w:t>
            </w:r>
          </w:p>
        </w:tc>
        <w:tc>
          <w:tcPr>
            <w:tcW w:w="2624" w:type="dxa"/>
          </w:tcPr>
          <w:p w14:paraId="370AB52C"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Rapid uptake of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and generative AI tools (Alipour, Gallegos and Sridhar, 2024)</w:t>
            </w:r>
          </w:p>
        </w:tc>
        <w:tc>
          <w:tcPr>
            <w:tcW w:w="2624" w:type="dxa"/>
          </w:tcPr>
          <w:p w14:paraId="30D5315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EU AI Act imposes disclosure duties on generative and interactive AI systems (Article 50, 2025b)</w:t>
            </w:r>
          </w:p>
        </w:tc>
        <w:tc>
          <w:tcPr>
            <w:tcW w:w="2877" w:type="dxa"/>
          </w:tcPr>
          <w:p w14:paraId="7DD21CE8"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Generative AI content (e.g. Beauty AI Studio) carries added misrepresentation risk beyond standard recommendation engines (Kumar et al., 2024)</w:t>
            </w:r>
          </w:p>
        </w:tc>
      </w:tr>
      <w:tr w:rsidR="00353015" w:rsidRPr="00294673" w14:paraId="6C1913E4" w14:textId="77777777" w:rsidTr="00294673">
        <w:tc>
          <w:tcPr>
            <w:tcW w:w="1503" w:type="dxa"/>
          </w:tcPr>
          <w:p w14:paraId="5FFECDBD"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t>Legal</w:t>
            </w:r>
          </w:p>
        </w:tc>
        <w:tc>
          <w:tcPr>
            <w:tcW w:w="2624" w:type="dxa"/>
          </w:tcPr>
          <w:p w14:paraId="4D27BE7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UK GDPR and existing data protection principles apply without AI-specific statute (ICO, 2023)</w:t>
            </w:r>
          </w:p>
        </w:tc>
        <w:tc>
          <w:tcPr>
            <w:tcW w:w="2624" w:type="dxa"/>
          </w:tcPr>
          <w:p w14:paraId="08C2319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GDPR plus AI Act; risk of conflating legal compliance with genuine trustworthiness (GDPR, 2018; Laux, Wachter and Mittelstadt, 2023)</w:t>
            </w:r>
          </w:p>
        </w:tc>
        <w:tc>
          <w:tcPr>
            <w:tcW w:w="2877" w:type="dxa"/>
          </w:tcPr>
          <w:p w14:paraId="1CF4882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Legal compliance in one region does not guarantee reputational safety in the other</w:t>
            </w:r>
          </w:p>
        </w:tc>
      </w:tr>
      <w:tr w:rsidR="00353015" w:rsidRPr="00294673" w14:paraId="019F6E0B" w14:textId="77777777" w:rsidTr="00294673">
        <w:tc>
          <w:tcPr>
            <w:tcW w:w="1503" w:type="dxa"/>
          </w:tcPr>
          <w:p w14:paraId="191D0119" w14:textId="77777777" w:rsidR="00353015" w:rsidRPr="00294673" w:rsidRDefault="00000000" w:rsidP="003D1CFD">
            <w:pPr>
              <w:spacing w:after="60" w:line="360" w:lineRule="auto"/>
              <w:rPr>
                <w:rFonts w:ascii="Times New Roman" w:hAnsi="Times New Roman" w:cs="Times New Roman"/>
                <w:b/>
                <w:bCs/>
                <w:sz w:val="24"/>
                <w:szCs w:val="24"/>
              </w:rPr>
            </w:pPr>
            <w:r w:rsidRPr="00294673">
              <w:rPr>
                <w:rFonts w:ascii="Times New Roman" w:hAnsi="Times New Roman" w:cs="Times New Roman"/>
                <w:b/>
                <w:bCs/>
                <w:sz w:val="24"/>
                <w:szCs w:val="24"/>
              </w:rPr>
              <w:lastRenderedPageBreak/>
              <w:t>Environmental</w:t>
            </w:r>
          </w:p>
        </w:tc>
        <w:tc>
          <w:tcPr>
            <w:tcW w:w="2624" w:type="dxa"/>
          </w:tcPr>
          <w:p w14:paraId="08BFEBE2"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Efficiency gains from AI-assisted R&amp;D reduce physical trial volumes (Unilever, 2024a)</w:t>
            </w:r>
          </w:p>
        </w:tc>
        <w:tc>
          <w:tcPr>
            <w:tcW w:w="2624" w:type="dxa"/>
          </w:tcPr>
          <w:p w14:paraId="45C901BC"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Comparable sustainability expectations under wider EU policy</w:t>
            </w:r>
          </w:p>
        </w:tc>
        <w:tc>
          <w:tcPr>
            <w:tcW w:w="2877" w:type="dxa"/>
          </w:tcPr>
          <w:p w14:paraId="4B5471D2"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Secondary factor; modest positive contribution rather than a primary risk driver</w:t>
            </w:r>
          </w:p>
        </w:tc>
      </w:tr>
    </w:tbl>
    <w:p w14:paraId="6D245F99" w14:textId="77777777" w:rsidR="008C0E10" w:rsidRPr="00294673" w:rsidRDefault="008C0E1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Politically, the United Kingdom has adopted a ‘principles-based' stance, refraining from proposing any new statute specifically designed for AI, instead encouraging regulators (such as the Information Commissioner's Office) to use their powers in their respective sectors (Department for Science, Innovation and Technology, 2023). The ICO also has other powers relevant to the sector, to support the Competition and Markets Authority and Ofcom, and the government's AI Safety Institute operates independently of consumer marketing. The EU has adopted a more formal approach to the AI Act, which categorizes systems by risk, ranging from unacceptable to high risk, limited and minimal risk (Article 50, 2025b). This is a proactive regulatory model, as it can't wait for harm to happen before it calls for disclosure, according to Adnan (2025). You might require two different compliance postures for the same tool (Beauty AI Studio), for instance.</w:t>
      </w:r>
    </w:p>
    <w:p w14:paraId="277454C3" w14:textId="77777777" w:rsidR="008C0E10" w:rsidRPr="00294673" w:rsidRDefault="008C0E1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The economic dimension has real consequences for AI investment capacity. According to Market Data Forecast (2024) and IMARC Group (2026), the European artificial intelligence market reached approximately €79 billion in 2025 and is projected to expand by more than thirty per cent per year until the early 2030s. European e-commerce sales value have reached around €353.5 billion over the five years to 2025 and increased by about four per cent per year, which is significant given the proportion of Unilever's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strategy that is delivered via e-commerce (IBISWorld, 2025). Investment in brand and marketing accounted for more than sixteen per cent of group turnover in 2025 and the operating margin increased to twenty per cent, indicating room to invest more in AI in the future (</w:t>
      </w:r>
      <w:proofErr w:type="spellStart"/>
      <w:r w:rsidRPr="00294673">
        <w:rPr>
          <w:rFonts w:ascii="Times New Roman" w:hAnsi="Times New Roman" w:cs="Times New Roman"/>
          <w:sz w:val="24"/>
          <w:szCs w:val="24"/>
        </w:rPr>
        <w:t>Investegate</w:t>
      </w:r>
      <w:proofErr w:type="spellEnd"/>
      <w:r w:rsidRPr="00294673">
        <w:rPr>
          <w:rFonts w:ascii="Times New Roman" w:hAnsi="Times New Roman" w:cs="Times New Roman"/>
          <w:sz w:val="24"/>
          <w:szCs w:val="24"/>
        </w:rPr>
        <w:t>, 2025). There are opportunities on both sides, but it's likely that the cost of the compliance will increase as a percentage of that investment in the EU.</w:t>
      </w:r>
    </w:p>
    <w:p w14:paraId="34E49123" w14:textId="77777777" w:rsidR="008C0E10" w:rsidRPr="00294673" w:rsidRDefault="008C0E1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Socially, consumer attitudes toward AI in marketing are changing but still skeptical. Despite its benefits, Markou et al. (2025) </w:t>
      </w:r>
      <w:proofErr w:type="gramStart"/>
      <w:r w:rsidRPr="00294673">
        <w:rPr>
          <w:rFonts w:ascii="Times New Roman" w:hAnsi="Times New Roman" w:cs="Times New Roman"/>
          <w:sz w:val="24"/>
          <w:szCs w:val="24"/>
        </w:rPr>
        <w:t>discover</w:t>
      </w:r>
      <w:proofErr w:type="gramEnd"/>
      <w:r w:rsidRPr="00294673">
        <w:rPr>
          <w:rFonts w:ascii="Times New Roman" w:hAnsi="Times New Roman" w:cs="Times New Roman"/>
          <w:sz w:val="24"/>
          <w:szCs w:val="24"/>
        </w:rPr>
        <w:t xml:space="preserve"> that consumers' trust and ethical confidence in AI technologies are enhanced when their understanding of what they do with their data is in alignment. López Jiménez, Dittmar and Vargas Portillo (2022) also state that trust is being earned incrementally over time based on trustworthy and transparent behavior. In the long run, for Unilever at least, the social aspect is </w:t>
      </w:r>
      <w:r w:rsidRPr="00294673">
        <w:rPr>
          <w:rFonts w:ascii="Times New Roman" w:hAnsi="Times New Roman" w:cs="Times New Roman"/>
          <w:sz w:val="24"/>
          <w:szCs w:val="24"/>
        </w:rPr>
        <w:lastRenderedPageBreak/>
        <w:t>more important than the legal aspect, as the damage to reputation spreads quicker than the enforcement of regulations.</w:t>
      </w:r>
    </w:p>
    <w:p w14:paraId="3FA0AC74" w14:textId="77777777" w:rsidR="008C0E10" w:rsidRPr="00294673" w:rsidRDefault="008C0E1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Both sides of the Channel are technologically changing quickly. Convolutional neural network (CNN) based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(CP) tools can create a meaningful impact on marketing outcomes if trained properly, as demonstrated by Alipour, Gallegos and Sridhar 2024, directly applicable to </w:t>
      </w:r>
      <w:proofErr w:type="spellStart"/>
      <w:r w:rsidRPr="00294673">
        <w:rPr>
          <w:rFonts w:ascii="Times New Roman" w:hAnsi="Times New Roman" w:cs="Times New Roman"/>
          <w:sz w:val="24"/>
          <w:szCs w:val="24"/>
        </w:rPr>
        <w:t>BeautyHub</w:t>
      </w:r>
      <w:proofErr w:type="spellEnd"/>
      <w:r w:rsidRPr="00294673">
        <w:rPr>
          <w:rFonts w:ascii="Times New Roman" w:hAnsi="Times New Roman" w:cs="Times New Roman"/>
          <w:sz w:val="24"/>
          <w:szCs w:val="24"/>
        </w:rPr>
        <w:t xml:space="preserve"> PRO. Both </w:t>
      </w:r>
      <w:proofErr w:type="spellStart"/>
      <w:r w:rsidRPr="00294673">
        <w:rPr>
          <w:rFonts w:ascii="Times New Roman" w:hAnsi="Times New Roman" w:cs="Times New Roman"/>
          <w:sz w:val="24"/>
          <w:szCs w:val="24"/>
        </w:rPr>
        <w:t>Teepapal</w:t>
      </w:r>
      <w:proofErr w:type="spellEnd"/>
      <w:r w:rsidRPr="00294673">
        <w:rPr>
          <w:rFonts w:ascii="Times New Roman" w:hAnsi="Times New Roman" w:cs="Times New Roman"/>
          <w:sz w:val="24"/>
          <w:szCs w:val="24"/>
        </w:rPr>
        <w:t xml:space="preserve"> (2025) and Turki (2025) agree that the use of AI tools for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boosts engagement, while Turki (2025) notes that the quality of the governance framework of the underlying data pipeline can make the difference between a novelty effect and lasting levels of trust. Generative AI, as employed in the Beauty AI Studio, adds another layer of risk as content that is generated can be misleading and may misrepresent a product or endorsement in ways that are not predictable, Kumar et al. (2024) write.</w:t>
      </w:r>
    </w:p>
    <w:p w14:paraId="1204B596" w14:textId="6E113C5D" w:rsidR="008C0E10" w:rsidRPr="00294673" w:rsidRDefault="008C0E1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Within the legal framework, the European Union's GDPR still applies directly to the processing of personal data for purposes of training or operating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tools, and Article 22 provides for the right of the consumers not to be the subject of decisions based exclusively on automated processing which have a significant effect (GDPR, 2018). However, Laux, Wachter and Mittelstadt (2023) caution that the Act on Artificial Intelligence (AI Act) may fall into the trap of treating compliance with the law as being synonymous with trustworthiness. Also on the table is a new EU initiative to reduce the burden of proof on consumers who suffer harm from AI systems, which will pose a compliance challenge for Unilever. This has been seen in other parts of the EU: the comparative experience of platform regulation, as Aloisi (2022) discusses, shows how rapidly a sector's regulatory environment can shift when it is felt to require more attention.</w:t>
      </w:r>
    </w:p>
    <w:p w14:paraId="2DB4AADA" w14:textId="08C7F6D4" w:rsidR="008C0E10" w:rsidRPr="00294673" w:rsidRDefault="008C0E1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Regarding the environment, Unilever's own reporting is centered on sustainability as a key commitment as part of its AI transformation: the use of AI to enhance efficiency in R&amp;D will lead to a decrease in physical product trials (Unilever, 2024a). This factor is the least developed of the six; the energy </w:t>
      </w:r>
      <w:proofErr w:type="gramStart"/>
      <w:r w:rsidRPr="00294673">
        <w:rPr>
          <w:rFonts w:ascii="Times New Roman" w:hAnsi="Times New Roman" w:cs="Times New Roman"/>
          <w:sz w:val="24"/>
          <w:szCs w:val="24"/>
        </w:rPr>
        <w:t>use</w:t>
      </w:r>
      <w:proofErr w:type="gramEnd"/>
      <w:r w:rsidRPr="00294673">
        <w:rPr>
          <w:rFonts w:ascii="Times New Roman" w:hAnsi="Times New Roman" w:cs="Times New Roman"/>
          <w:sz w:val="24"/>
          <w:szCs w:val="24"/>
        </w:rPr>
        <w:t xml:space="preserve"> for AI training and inference also goes beyond Unilever's disclosures. For AI governance, the most obvious point that cannot be inferred from the other six is that the UK and EU should not be considered a single market, even if that is the case for other decisions. Political, legal and economic considerations suggest that the EU needs a more formal stance and the UK a more flexible one. There is no single-in-all-areas </w:t>
      </w:r>
      <w:proofErr w:type="gramStart"/>
      <w:r w:rsidRPr="00294673">
        <w:rPr>
          <w:rFonts w:ascii="Times New Roman" w:hAnsi="Times New Roman" w:cs="Times New Roman"/>
          <w:sz w:val="24"/>
          <w:szCs w:val="24"/>
        </w:rPr>
        <w:t>policy</w:t>
      </w:r>
      <w:proofErr w:type="gramEnd"/>
      <w:r w:rsidRPr="00294673">
        <w:rPr>
          <w:rFonts w:ascii="Times New Roman" w:hAnsi="Times New Roman" w:cs="Times New Roman"/>
          <w:sz w:val="24"/>
          <w:szCs w:val="24"/>
        </w:rPr>
        <w:t xml:space="preserve"> and this would either over-comply in the UK or under-comply in the EU.</w:t>
      </w:r>
    </w:p>
    <w:p w14:paraId="532E4D44" w14:textId="77777777" w:rsidR="00353015" w:rsidRPr="00294673" w:rsidRDefault="00000000" w:rsidP="003D1CFD">
      <w:pPr>
        <w:pStyle w:val="Heading2"/>
        <w:spacing w:line="360" w:lineRule="auto"/>
      </w:pPr>
      <w:bookmarkStart w:id="16" w:name="_Toc235421460"/>
      <w:bookmarkStart w:id="17" w:name="_Toc235422132"/>
      <w:bookmarkStart w:id="18" w:name="_Toc235700034"/>
      <w:r w:rsidRPr="00294673">
        <w:t>2.4 AI Risk Management: Data Governance and Regulatory Compliance</w:t>
      </w:r>
      <w:bookmarkEnd w:id="16"/>
      <w:bookmarkEnd w:id="17"/>
      <w:bookmarkEnd w:id="18"/>
    </w:p>
    <w:p w14:paraId="6860BC30" w14:textId="161CBC09" w:rsidR="008C0E10" w:rsidRPr="00294673" w:rsidRDefault="008C0E1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The external environment has been set, and this section </w:t>
      </w:r>
      <w:r w:rsidR="00C24C32" w:rsidRPr="00294673">
        <w:rPr>
          <w:rFonts w:ascii="Times New Roman" w:hAnsi="Times New Roman" w:cs="Times New Roman"/>
          <w:sz w:val="24"/>
          <w:szCs w:val="24"/>
        </w:rPr>
        <w:t>focuses on the specific risks arising from Unilever's use of AI in its data governance, regulatory compliance,</w:t>
      </w:r>
      <w:r w:rsidRPr="00294673">
        <w:rPr>
          <w:rFonts w:ascii="Times New Roman" w:hAnsi="Times New Roman" w:cs="Times New Roman"/>
          <w:sz w:val="24"/>
          <w:szCs w:val="24"/>
        </w:rPr>
        <w:t xml:space="preserve"> and algorithmic decision-making. </w:t>
      </w:r>
      <w:r w:rsidRPr="00294673">
        <w:rPr>
          <w:rFonts w:ascii="Times New Roman" w:hAnsi="Times New Roman" w:cs="Times New Roman"/>
          <w:sz w:val="24"/>
          <w:szCs w:val="24"/>
        </w:rPr>
        <w:lastRenderedPageBreak/>
        <w:t xml:space="preserve">A risk register is provided in Table 3, </w:t>
      </w:r>
      <w:proofErr w:type="spellStart"/>
      <w:r w:rsidRPr="00294673">
        <w:rPr>
          <w:rFonts w:ascii="Times New Roman" w:hAnsi="Times New Roman" w:cs="Times New Roman"/>
          <w:sz w:val="24"/>
          <w:szCs w:val="24"/>
        </w:rPr>
        <w:t>summarising</w:t>
      </w:r>
      <w:proofErr w:type="spellEnd"/>
      <w:r w:rsidRPr="00294673">
        <w:rPr>
          <w:rFonts w:ascii="Times New Roman" w:hAnsi="Times New Roman" w:cs="Times New Roman"/>
          <w:sz w:val="24"/>
          <w:szCs w:val="24"/>
        </w:rPr>
        <w:t xml:space="preserve"> the main exposures identified, some of which are not evident through the PESTLE analysis alone.</w:t>
      </w:r>
    </w:p>
    <w:p w14:paraId="50D92A07" w14:textId="77777777" w:rsidR="00353015" w:rsidRPr="00294673" w:rsidRDefault="00000000" w:rsidP="003D1CFD">
      <w:pPr>
        <w:spacing w:before="100" w:after="300" w:line="360" w:lineRule="auto"/>
        <w:jc w:val="center"/>
        <w:rPr>
          <w:rFonts w:ascii="Times New Roman" w:hAnsi="Times New Roman" w:cs="Times New Roman"/>
          <w:sz w:val="24"/>
          <w:szCs w:val="24"/>
        </w:rPr>
      </w:pPr>
      <w:r w:rsidRPr="00294673">
        <w:rPr>
          <w:rFonts w:ascii="Times New Roman" w:hAnsi="Times New Roman" w:cs="Times New Roman"/>
          <w:i/>
          <w:iCs/>
          <w:sz w:val="24"/>
          <w:szCs w:val="24"/>
        </w:rPr>
        <w:t>Table 3: AI Risk Register, Data Governance and Regulatory Exposure (Author's own construction)</w:t>
      </w:r>
    </w:p>
    <w:tbl>
      <w:tblPr>
        <w:tblStyle w:val="TableGrid"/>
        <w:tblW w:w="5000" w:type="pct"/>
        <w:tblLook w:val="0000" w:firstRow="0" w:lastRow="0" w:firstColumn="0" w:lastColumn="0" w:noHBand="0" w:noVBand="0"/>
      </w:tblPr>
      <w:tblGrid>
        <w:gridCol w:w="1923"/>
        <w:gridCol w:w="3045"/>
        <w:gridCol w:w="1324"/>
        <w:gridCol w:w="1202"/>
        <w:gridCol w:w="2134"/>
      </w:tblGrid>
      <w:tr w:rsidR="00353015" w:rsidRPr="00294673" w14:paraId="42BB5581" w14:textId="77777777" w:rsidTr="00294673">
        <w:trPr>
          <w:tblHeader/>
        </w:trPr>
        <w:tc>
          <w:tcPr>
            <w:tcW w:w="1647" w:type="dxa"/>
          </w:tcPr>
          <w:p w14:paraId="362E2BD4"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Risk</w:t>
            </w:r>
          </w:p>
        </w:tc>
        <w:tc>
          <w:tcPr>
            <w:tcW w:w="3295" w:type="dxa"/>
          </w:tcPr>
          <w:p w14:paraId="24544354"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Description</w:t>
            </w:r>
          </w:p>
        </w:tc>
        <w:tc>
          <w:tcPr>
            <w:tcW w:w="1236" w:type="dxa"/>
          </w:tcPr>
          <w:p w14:paraId="4FA7A2CA"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Likelihood</w:t>
            </w:r>
          </w:p>
        </w:tc>
        <w:tc>
          <w:tcPr>
            <w:tcW w:w="1236" w:type="dxa"/>
          </w:tcPr>
          <w:p w14:paraId="6D1CFED7"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Impact</w:t>
            </w:r>
          </w:p>
        </w:tc>
        <w:tc>
          <w:tcPr>
            <w:tcW w:w="2214" w:type="dxa"/>
          </w:tcPr>
          <w:p w14:paraId="0C6967AF"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Recommended Control</w:t>
            </w:r>
          </w:p>
        </w:tc>
      </w:tr>
      <w:tr w:rsidR="00353015" w:rsidRPr="00294673" w14:paraId="29A8AC44" w14:textId="77777777" w:rsidTr="00294673">
        <w:tc>
          <w:tcPr>
            <w:tcW w:w="1647" w:type="dxa"/>
          </w:tcPr>
          <w:p w14:paraId="27CC00CB"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Data quality and bias</w:t>
            </w:r>
          </w:p>
        </w:tc>
        <w:tc>
          <w:tcPr>
            <w:tcW w:w="3295" w:type="dxa"/>
          </w:tcPr>
          <w:p w14:paraId="584737CC"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Poor quality or unrepresentative training data undermines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accuracy and fairness (Janssen et al., 2020)</w:t>
            </w:r>
          </w:p>
        </w:tc>
        <w:tc>
          <w:tcPr>
            <w:tcW w:w="1236" w:type="dxa"/>
          </w:tcPr>
          <w:p w14:paraId="3F3474F6"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Medium</w:t>
            </w:r>
          </w:p>
        </w:tc>
        <w:tc>
          <w:tcPr>
            <w:tcW w:w="1236" w:type="dxa"/>
          </w:tcPr>
          <w:p w14:paraId="5A77D1C4"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High</w:t>
            </w:r>
          </w:p>
        </w:tc>
        <w:tc>
          <w:tcPr>
            <w:tcW w:w="2214" w:type="dxa"/>
          </w:tcPr>
          <w:p w14:paraId="41B72239"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Formal data governance framework with defined stewardship roles</w:t>
            </w:r>
          </w:p>
        </w:tc>
      </w:tr>
      <w:tr w:rsidR="00353015" w:rsidRPr="00294673" w14:paraId="17171E2E" w14:textId="77777777" w:rsidTr="00294673">
        <w:tc>
          <w:tcPr>
            <w:tcW w:w="1647" w:type="dxa"/>
          </w:tcPr>
          <w:p w14:paraId="46E57216"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Algorithmic transparency gap</w:t>
            </w:r>
          </w:p>
        </w:tc>
        <w:tc>
          <w:tcPr>
            <w:tcW w:w="3295" w:type="dxa"/>
          </w:tcPr>
          <w:p w14:paraId="6B569779"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Consumer-facing AI tools do not clearly disclose AI involvement, contrary to Article 50 (Article 50, 2025b; Goncalves and Correia, 2026)</w:t>
            </w:r>
          </w:p>
        </w:tc>
        <w:tc>
          <w:tcPr>
            <w:tcW w:w="1236" w:type="dxa"/>
          </w:tcPr>
          <w:p w14:paraId="73FDE2DB"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Medium</w:t>
            </w:r>
          </w:p>
        </w:tc>
        <w:tc>
          <w:tcPr>
            <w:tcW w:w="1236" w:type="dxa"/>
          </w:tcPr>
          <w:p w14:paraId="6DF4ECF5"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High</w:t>
            </w:r>
          </w:p>
        </w:tc>
        <w:tc>
          <w:tcPr>
            <w:tcW w:w="2214" w:type="dxa"/>
          </w:tcPr>
          <w:p w14:paraId="68336784"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Compliance by design transparency layer at point of interaction</w:t>
            </w:r>
          </w:p>
        </w:tc>
      </w:tr>
      <w:tr w:rsidR="00353015" w:rsidRPr="00294673" w14:paraId="0D501600" w14:textId="77777777" w:rsidTr="00294673">
        <w:tc>
          <w:tcPr>
            <w:tcW w:w="1647" w:type="dxa"/>
          </w:tcPr>
          <w:p w14:paraId="6CED7B69"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Cross-border regulatory divergence</w:t>
            </w:r>
          </w:p>
        </w:tc>
        <w:tc>
          <w:tcPr>
            <w:tcW w:w="3295" w:type="dxa"/>
          </w:tcPr>
          <w:p w14:paraId="6DA46DE4"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 single tool may be compliant in one region and not the other (Braidwood, 2026)</w:t>
            </w:r>
          </w:p>
        </w:tc>
        <w:tc>
          <w:tcPr>
            <w:tcW w:w="1236" w:type="dxa"/>
          </w:tcPr>
          <w:p w14:paraId="5818C2A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High</w:t>
            </w:r>
          </w:p>
        </w:tc>
        <w:tc>
          <w:tcPr>
            <w:tcW w:w="1236" w:type="dxa"/>
          </w:tcPr>
          <w:p w14:paraId="48F17AFB"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Medium</w:t>
            </w:r>
          </w:p>
        </w:tc>
        <w:tc>
          <w:tcPr>
            <w:tcW w:w="2214" w:type="dxa"/>
          </w:tcPr>
          <w:p w14:paraId="7307CCF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Joint UK/EU governance review before wider rollout</w:t>
            </w:r>
          </w:p>
        </w:tc>
      </w:tr>
      <w:tr w:rsidR="00353015" w:rsidRPr="00294673" w14:paraId="7C4194BA" w14:textId="77777777" w:rsidTr="00294673">
        <w:tc>
          <w:tcPr>
            <w:tcW w:w="1647" w:type="dxa"/>
          </w:tcPr>
          <w:p w14:paraId="5468BCD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Generative AI misrepresentation</w:t>
            </w:r>
          </w:p>
        </w:tc>
        <w:tc>
          <w:tcPr>
            <w:tcW w:w="3295" w:type="dxa"/>
          </w:tcPr>
          <w:p w14:paraId="51225355"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Generated marketing content misrepresents a product, endorsement or claim (Kumar et al., 2024)</w:t>
            </w:r>
          </w:p>
        </w:tc>
        <w:tc>
          <w:tcPr>
            <w:tcW w:w="1236" w:type="dxa"/>
          </w:tcPr>
          <w:p w14:paraId="2CE3D70C"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Low</w:t>
            </w:r>
          </w:p>
        </w:tc>
        <w:tc>
          <w:tcPr>
            <w:tcW w:w="1236" w:type="dxa"/>
          </w:tcPr>
          <w:p w14:paraId="3BBDA1C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High</w:t>
            </w:r>
          </w:p>
        </w:tc>
        <w:tc>
          <w:tcPr>
            <w:tcW w:w="2214" w:type="dxa"/>
          </w:tcPr>
          <w:p w14:paraId="74F52962"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Human review checkpoint before publication of generative content</w:t>
            </w:r>
          </w:p>
        </w:tc>
      </w:tr>
      <w:tr w:rsidR="00353015" w:rsidRPr="00294673" w14:paraId="1C13477C" w14:textId="77777777" w:rsidTr="00294673">
        <w:tc>
          <w:tcPr>
            <w:tcW w:w="1647" w:type="dxa"/>
          </w:tcPr>
          <w:p w14:paraId="7AF394C9"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Biometric data and cybersecurity exposure</w:t>
            </w:r>
          </w:p>
        </w:tc>
        <w:tc>
          <w:tcPr>
            <w:tcW w:w="3295" w:type="dxa"/>
          </w:tcPr>
          <w:p w14:paraId="6D9FCE8A"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Tools such as </w:t>
            </w:r>
            <w:proofErr w:type="spellStart"/>
            <w:r w:rsidRPr="00294673">
              <w:rPr>
                <w:rFonts w:ascii="Times New Roman" w:hAnsi="Times New Roman" w:cs="Times New Roman"/>
                <w:sz w:val="24"/>
                <w:szCs w:val="24"/>
              </w:rPr>
              <w:t>BeautyHub</w:t>
            </w:r>
            <w:proofErr w:type="spellEnd"/>
            <w:r w:rsidRPr="00294673">
              <w:rPr>
                <w:rFonts w:ascii="Times New Roman" w:hAnsi="Times New Roman" w:cs="Times New Roman"/>
                <w:sz w:val="24"/>
                <w:szCs w:val="24"/>
              </w:rPr>
              <w:t xml:space="preserve"> PRO process facial image data, a special category of personal data under GDPR carrying a higher breach and compliance burden (GDPR, 2018; Janssen et al., 2020)</w:t>
            </w:r>
          </w:p>
        </w:tc>
        <w:tc>
          <w:tcPr>
            <w:tcW w:w="1236" w:type="dxa"/>
          </w:tcPr>
          <w:p w14:paraId="26C37726"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Low</w:t>
            </w:r>
          </w:p>
        </w:tc>
        <w:tc>
          <w:tcPr>
            <w:tcW w:w="1236" w:type="dxa"/>
          </w:tcPr>
          <w:p w14:paraId="33BEBFC0"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High</w:t>
            </w:r>
          </w:p>
        </w:tc>
        <w:tc>
          <w:tcPr>
            <w:tcW w:w="2214" w:type="dxa"/>
          </w:tcPr>
          <w:p w14:paraId="37CF058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Enhanced security controls and breach response plan specific to biometric data</w:t>
            </w:r>
          </w:p>
        </w:tc>
      </w:tr>
      <w:tr w:rsidR="00353015" w:rsidRPr="00294673" w14:paraId="399B54CB" w14:textId="77777777" w:rsidTr="00294673">
        <w:tc>
          <w:tcPr>
            <w:tcW w:w="1647" w:type="dxa"/>
          </w:tcPr>
          <w:p w14:paraId="2AAA322B"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lastRenderedPageBreak/>
              <w:t>Third-party and vendor AI risk</w:t>
            </w:r>
          </w:p>
        </w:tc>
        <w:tc>
          <w:tcPr>
            <w:tcW w:w="3295" w:type="dxa"/>
          </w:tcPr>
          <w:p w14:paraId="5E537875"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External AI providers used within Unilever tools may not meet the same governance standard as internal systems (Janssen et al., 2020)</w:t>
            </w:r>
          </w:p>
        </w:tc>
        <w:tc>
          <w:tcPr>
            <w:tcW w:w="1236" w:type="dxa"/>
          </w:tcPr>
          <w:p w14:paraId="4340FC5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Medium</w:t>
            </w:r>
          </w:p>
        </w:tc>
        <w:tc>
          <w:tcPr>
            <w:tcW w:w="1236" w:type="dxa"/>
          </w:tcPr>
          <w:p w14:paraId="2F1E7026"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Medium</w:t>
            </w:r>
          </w:p>
        </w:tc>
        <w:tc>
          <w:tcPr>
            <w:tcW w:w="2214" w:type="dxa"/>
          </w:tcPr>
          <w:p w14:paraId="3DC13F04"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Vendor governance clause and audit rights in AI procurement contracts</w:t>
            </w:r>
          </w:p>
        </w:tc>
      </w:tr>
      <w:tr w:rsidR="00353015" w:rsidRPr="00294673" w14:paraId="7D73627A" w14:textId="77777777" w:rsidTr="00294673">
        <w:tc>
          <w:tcPr>
            <w:tcW w:w="1647" w:type="dxa"/>
          </w:tcPr>
          <w:p w14:paraId="1710CF82"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Reporting depth gap</w:t>
            </w:r>
          </w:p>
        </w:tc>
        <w:tc>
          <w:tcPr>
            <w:tcW w:w="3295" w:type="dxa"/>
          </w:tcPr>
          <w:p w14:paraId="7AF566F2"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AI risk is not disclosed as a distinct category in existing corporate reporting (</w:t>
            </w:r>
            <w:proofErr w:type="spellStart"/>
            <w:r w:rsidRPr="00294673">
              <w:rPr>
                <w:rFonts w:ascii="Times New Roman" w:hAnsi="Times New Roman" w:cs="Times New Roman"/>
                <w:sz w:val="24"/>
                <w:szCs w:val="24"/>
              </w:rPr>
              <w:t>Primec</w:t>
            </w:r>
            <w:proofErr w:type="spellEnd"/>
            <w:r w:rsidRPr="00294673">
              <w:rPr>
                <w:rFonts w:ascii="Times New Roman" w:hAnsi="Times New Roman" w:cs="Times New Roman"/>
                <w:sz w:val="24"/>
                <w:szCs w:val="24"/>
              </w:rPr>
              <w:t xml:space="preserve">, Belak and </w:t>
            </w:r>
            <w:proofErr w:type="spellStart"/>
            <w:r w:rsidRPr="00294673">
              <w:rPr>
                <w:rFonts w:ascii="Times New Roman" w:hAnsi="Times New Roman" w:cs="Times New Roman"/>
                <w:sz w:val="24"/>
                <w:szCs w:val="24"/>
              </w:rPr>
              <w:t>Čufar</w:t>
            </w:r>
            <w:proofErr w:type="spellEnd"/>
            <w:r w:rsidRPr="00294673">
              <w:rPr>
                <w:rFonts w:ascii="Times New Roman" w:hAnsi="Times New Roman" w:cs="Times New Roman"/>
                <w:sz w:val="24"/>
                <w:szCs w:val="24"/>
              </w:rPr>
              <w:t>, 2026)</w:t>
            </w:r>
          </w:p>
        </w:tc>
        <w:tc>
          <w:tcPr>
            <w:tcW w:w="1236" w:type="dxa"/>
          </w:tcPr>
          <w:p w14:paraId="337B3F0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Medium</w:t>
            </w:r>
          </w:p>
        </w:tc>
        <w:tc>
          <w:tcPr>
            <w:tcW w:w="1236" w:type="dxa"/>
          </w:tcPr>
          <w:p w14:paraId="1A2D1B8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Medium</w:t>
            </w:r>
          </w:p>
        </w:tc>
        <w:tc>
          <w:tcPr>
            <w:tcW w:w="2214" w:type="dxa"/>
          </w:tcPr>
          <w:p w14:paraId="4F86B24F"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Separate AI risk category within annual risk disclosure</w:t>
            </w:r>
          </w:p>
        </w:tc>
      </w:tr>
    </w:tbl>
    <w:p w14:paraId="76EB4215" w14:textId="77777777" w:rsidR="00E01FAB" w:rsidRPr="00294673" w:rsidRDefault="00E01FAB"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All other risks in this section are dependent on data governance. Janssen et al. (2020) </w:t>
      </w:r>
      <w:proofErr w:type="gramStart"/>
      <w:r w:rsidRPr="00294673">
        <w:rPr>
          <w:rFonts w:ascii="Times New Roman" w:hAnsi="Times New Roman" w:cs="Times New Roman"/>
          <w:sz w:val="24"/>
          <w:szCs w:val="24"/>
        </w:rPr>
        <w:t>define</w:t>
      </w:r>
      <w:proofErr w:type="gramEnd"/>
      <w:r w:rsidRPr="00294673">
        <w:rPr>
          <w:rFonts w:ascii="Times New Roman" w:hAnsi="Times New Roman" w:cs="Times New Roman"/>
          <w:sz w:val="24"/>
          <w:szCs w:val="24"/>
        </w:rPr>
        <w:t xml:space="preserve"> data governance as the </w:t>
      </w:r>
      <w:proofErr w:type="spellStart"/>
      <w:r w:rsidRPr="00294673">
        <w:rPr>
          <w:rFonts w:ascii="Times New Roman" w:hAnsi="Times New Roman" w:cs="Times New Roman"/>
          <w:sz w:val="24"/>
          <w:szCs w:val="24"/>
        </w:rPr>
        <w:t>organisational</w:t>
      </w:r>
      <w:proofErr w:type="spellEnd"/>
      <w:r w:rsidRPr="00294673">
        <w:rPr>
          <w:rFonts w:ascii="Times New Roman" w:hAnsi="Times New Roman" w:cs="Times New Roman"/>
          <w:sz w:val="24"/>
          <w:szCs w:val="24"/>
        </w:rPr>
        <w:t xml:space="preserve"> structures and processes that ensure data used in algorithmic systems is accurate, traceable and fit for purpose, and say that without data governance, even well-intentioned AI systems can lead to unreliable or unfair results. The ability to access continuous streams of consumer image data is fundamental to the products that rely on it, such as Unilever's </w:t>
      </w:r>
      <w:proofErr w:type="spellStart"/>
      <w:r w:rsidRPr="00294673">
        <w:rPr>
          <w:rFonts w:ascii="Times New Roman" w:hAnsi="Times New Roman" w:cs="Times New Roman"/>
          <w:sz w:val="24"/>
          <w:szCs w:val="24"/>
        </w:rPr>
        <w:t>BeautyHub</w:t>
      </w:r>
      <w:proofErr w:type="spellEnd"/>
      <w:r w:rsidRPr="00294673">
        <w:rPr>
          <w:rFonts w:ascii="Times New Roman" w:hAnsi="Times New Roman" w:cs="Times New Roman"/>
          <w:sz w:val="24"/>
          <w:szCs w:val="24"/>
        </w:rPr>
        <w:t xml:space="preserve"> PRO, and is biometric in nature, which makes it more demanding to comply with GDPR. </w:t>
      </w:r>
      <w:proofErr w:type="spellStart"/>
      <w:r w:rsidRPr="00294673">
        <w:rPr>
          <w:rFonts w:ascii="Times New Roman" w:hAnsi="Times New Roman" w:cs="Times New Roman"/>
          <w:sz w:val="24"/>
          <w:szCs w:val="24"/>
        </w:rPr>
        <w:t>Pahune</w:t>
      </w:r>
      <w:proofErr w:type="spellEnd"/>
      <w:r w:rsidRPr="00294673">
        <w:rPr>
          <w:rFonts w:ascii="Times New Roman" w:hAnsi="Times New Roman" w:cs="Times New Roman"/>
          <w:sz w:val="24"/>
          <w:szCs w:val="24"/>
        </w:rPr>
        <w:t xml:space="preserve"> et al. (2025) follow up on this work, demonstrating that the governance issues at the data level do not merely trickle up and down the LLM chain, but rather amplify.</w:t>
      </w:r>
    </w:p>
    <w:p w14:paraId="3A53230E" w14:textId="77777777" w:rsidR="00E01FAB" w:rsidRPr="00294673" w:rsidRDefault="00E01FAB"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This governance question is followed by regulatory compliance. The EU AI Act (2025b) also mandates transparency for AI systems in direct contact with consumers, such as by providing information at the time of interaction (Article 50). Goncalves and Correia (2026) suggest a compliance by design strategy that embeds explainability and audit trails from the ground-up of AI systems, instead of adding them on after a regulator has issues concerns. The requirements are more stringent than those in the UK, where the Information Commissioner's Office has stated that the principles of data protection currently in force also apply to AI, and that there is no requirement for disclosure (ICO, 2023). Braidwood (2026) notes that the UK approach is still based on sectoral guidance, rather than having a single AI law, which means that Unilever has more flexibility but also less legal certainty, as guidance can change without the need for primary legislation to be passed.</w:t>
      </w:r>
    </w:p>
    <w:p w14:paraId="22749AA4" w14:textId="77777777" w:rsidR="00E01FAB" w:rsidRPr="00294673" w:rsidRDefault="00E01FAB"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The broader concept of algorithmic risk is reflected in the emerging body of literature on responsible AI governance. </w:t>
      </w:r>
      <w:proofErr w:type="spellStart"/>
      <w:r w:rsidRPr="00294673">
        <w:rPr>
          <w:rFonts w:ascii="Times New Roman" w:hAnsi="Times New Roman" w:cs="Times New Roman"/>
          <w:sz w:val="24"/>
          <w:szCs w:val="24"/>
        </w:rPr>
        <w:t>Papagiannidis</w:t>
      </w:r>
      <w:proofErr w:type="spellEnd"/>
      <w:r w:rsidRPr="00294673">
        <w:rPr>
          <w:rFonts w:ascii="Times New Roman" w:hAnsi="Times New Roman" w:cs="Times New Roman"/>
          <w:sz w:val="24"/>
          <w:szCs w:val="24"/>
        </w:rPr>
        <w:t xml:space="preserve"> et al (2025) view responsible AI governance not as a single event, but as an ongoing capability that encompasses continual monitoring, incident response planning and </w:t>
      </w:r>
      <w:r w:rsidRPr="00294673">
        <w:rPr>
          <w:rFonts w:ascii="Times New Roman" w:hAnsi="Times New Roman" w:cs="Times New Roman"/>
          <w:sz w:val="24"/>
          <w:szCs w:val="24"/>
        </w:rPr>
        <w:lastRenderedPageBreak/>
        <w:t xml:space="preserve">accountability which include risks other than those in Table 3, such as model drift and adversarial vulnerabilities that need to be addressed technically. In a similar vein, </w:t>
      </w:r>
      <w:proofErr w:type="spellStart"/>
      <w:r w:rsidRPr="00294673">
        <w:rPr>
          <w:rFonts w:ascii="Times New Roman" w:hAnsi="Times New Roman" w:cs="Times New Roman"/>
          <w:sz w:val="24"/>
          <w:szCs w:val="24"/>
        </w:rPr>
        <w:t>Salamzadeh</w:t>
      </w:r>
      <w:proofErr w:type="spellEnd"/>
      <w:r w:rsidRPr="00294673">
        <w:rPr>
          <w:rFonts w:ascii="Times New Roman" w:hAnsi="Times New Roman" w:cs="Times New Roman"/>
          <w:sz w:val="24"/>
          <w:szCs w:val="24"/>
        </w:rPr>
        <w:t xml:space="preserve"> (2025) suggests that when issues arise, </w:t>
      </w:r>
      <w:proofErr w:type="spellStart"/>
      <w:r w:rsidRPr="00294673">
        <w:rPr>
          <w:rFonts w:ascii="Times New Roman" w:hAnsi="Times New Roman" w:cs="Times New Roman"/>
          <w:sz w:val="24"/>
          <w:szCs w:val="24"/>
        </w:rPr>
        <w:t>organisations</w:t>
      </w:r>
      <w:proofErr w:type="spellEnd"/>
      <w:r w:rsidRPr="00294673">
        <w:rPr>
          <w:rFonts w:ascii="Times New Roman" w:hAnsi="Times New Roman" w:cs="Times New Roman"/>
          <w:sz w:val="24"/>
          <w:szCs w:val="24"/>
        </w:rPr>
        <w:t xml:space="preserve"> that make AI governance a strategic function react faster. A risk framework developed based on ISO 31000 can be used to identify and systematically mitigate operational risks, which will form the basis for the implementation plan explained in section three, even though the ISO 31000 provides general principles and not specific to AI (International Organization for Standardization, 2021). The framework has been shown to be most effective when used in conjunction with continuous improvement in a related application published in the International Journal of Accounting and Information Management (2026).</w:t>
      </w:r>
    </w:p>
    <w:p w14:paraId="6597140F" w14:textId="6E5D5526" w:rsidR="00E01FAB" w:rsidRPr="00294673" w:rsidRDefault="00E01FAB"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However, there is a lack of uniformity in how AI risk is reported by different companies in the industry. </w:t>
      </w:r>
      <w:proofErr w:type="spellStart"/>
      <w:r w:rsidRPr="00294673">
        <w:rPr>
          <w:rFonts w:ascii="Times New Roman" w:hAnsi="Times New Roman" w:cs="Times New Roman"/>
          <w:sz w:val="24"/>
          <w:szCs w:val="24"/>
        </w:rPr>
        <w:t>Primec</w:t>
      </w:r>
      <w:proofErr w:type="spellEnd"/>
      <w:r w:rsidRPr="00294673">
        <w:rPr>
          <w:rFonts w:ascii="Times New Roman" w:hAnsi="Times New Roman" w:cs="Times New Roman"/>
          <w:sz w:val="24"/>
          <w:szCs w:val="24"/>
        </w:rPr>
        <w:t xml:space="preserve">, Belak and </w:t>
      </w:r>
      <w:proofErr w:type="spellStart"/>
      <w:r w:rsidRPr="00294673">
        <w:rPr>
          <w:rFonts w:ascii="Times New Roman" w:hAnsi="Times New Roman" w:cs="Times New Roman"/>
          <w:sz w:val="24"/>
          <w:szCs w:val="24"/>
        </w:rPr>
        <w:t>Čufar</w:t>
      </w:r>
      <w:proofErr w:type="spellEnd"/>
      <w:r w:rsidRPr="00294673">
        <w:rPr>
          <w:rFonts w:ascii="Times New Roman" w:hAnsi="Times New Roman" w:cs="Times New Roman"/>
          <w:sz w:val="24"/>
          <w:szCs w:val="24"/>
        </w:rPr>
        <w:t xml:space="preserve"> (2026) discover that there has been a rise in the number of references to AI in sustainability reporting, but that they are not always substantive or well-integrated with the accountability mechanisms, including the new initiatives of the EU's Corporate Sustainability Reporting Directive. While it is clear from Unilever's own annual reporting that there is risk in their supply chain and commodity risk can be broken down into detail, there is no distinct category specifically for AI risk (Unilever, 2024a). One of the biggest strategic challenges at Unilever is balancing speed to market with regulatory assurance – something Kolesnik (2025) has written about as a frequent pitfall in fast-moving consumer goods organizations when it comes to AI governance.</w:t>
      </w:r>
    </w:p>
    <w:p w14:paraId="45C7D2D8" w14:textId="77777777" w:rsidR="00353015" w:rsidRPr="00294673" w:rsidRDefault="00000000" w:rsidP="003D1CFD">
      <w:pPr>
        <w:pStyle w:val="Heading2"/>
        <w:spacing w:line="360" w:lineRule="auto"/>
      </w:pPr>
      <w:bookmarkStart w:id="19" w:name="_Toc235421461"/>
      <w:bookmarkStart w:id="20" w:name="_Toc235422133"/>
      <w:bookmarkStart w:id="21" w:name="_Toc235700035"/>
      <w:r w:rsidRPr="00294673">
        <w:t xml:space="preserve">2.5 Ethical AI, </w:t>
      </w:r>
      <w:proofErr w:type="spellStart"/>
      <w:r w:rsidRPr="00294673">
        <w:t>Personalisation</w:t>
      </w:r>
      <w:proofErr w:type="spellEnd"/>
      <w:r w:rsidRPr="00294673">
        <w:t xml:space="preserve"> and Consumer Trust</w:t>
      </w:r>
      <w:bookmarkEnd w:id="19"/>
      <w:bookmarkEnd w:id="20"/>
      <w:bookmarkEnd w:id="21"/>
    </w:p>
    <w:p w14:paraId="30BCCBF1" w14:textId="575D4D45" w:rsidR="00E01FAB" w:rsidRPr="00294673" w:rsidRDefault="00E01FAB"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In this context, stakeholder theory is a helpful way to consider consumer trust</w:t>
      </w:r>
      <w:r w:rsidR="00294673">
        <w:rPr>
          <w:rFonts w:ascii="Times New Roman" w:hAnsi="Times New Roman" w:cs="Times New Roman"/>
          <w:sz w:val="24"/>
          <w:szCs w:val="24"/>
        </w:rPr>
        <w:t xml:space="preserve"> because it suggests that a company's value isn't just in the eyes of shareholders but in the hearts of a broad audience of stakeholders, from consumers to regulators to</w:t>
      </w:r>
      <w:r w:rsidRPr="00294673">
        <w:rPr>
          <w:rFonts w:ascii="Times New Roman" w:hAnsi="Times New Roman" w:cs="Times New Roman"/>
          <w:sz w:val="24"/>
          <w:szCs w:val="24"/>
        </w:rPr>
        <w:t xml:space="preserve"> employees. In the case of Unilever's AI-powered marketing initiative, the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tool, while technically </w:t>
      </w:r>
      <w:r w:rsidR="00294673">
        <w:rPr>
          <w:rFonts w:ascii="Times New Roman" w:hAnsi="Times New Roman" w:cs="Times New Roman"/>
          <w:sz w:val="24"/>
          <w:szCs w:val="24"/>
        </w:rPr>
        <w:t xml:space="preserve">compliant with data protection law, is nonetheless perceived as intrusive and poses a genuine strategic risk, even if no regulator </w:t>
      </w:r>
      <w:r w:rsidRPr="00294673">
        <w:rPr>
          <w:rFonts w:ascii="Times New Roman" w:hAnsi="Times New Roman" w:cs="Times New Roman"/>
          <w:sz w:val="24"/>
          <w:szCs w:val="24"/>
        </w:rPr>
        <w:t>intervenes. Table 3 outlines the key drivers of consumer trust risk reported in the literature and mitigation strategies available to Unilever.</w:t>
      </w:r>
    </w:p>
    <w:p w14:paraId="30D4CA94" w14:textId="77777777" w:rsidR="00353015" w:rsidRPr="00294673" w:rsidRDefault="00000000" w:rsidP="003D1CFD">
      <w:pPr>
        <w:spacing w:before="100" w:after="300" w:line="360" w:lineRule="auto"/>
        <w:jc w:val="center"/>
        <w:rPr>
          <w:rFonts w:ascii="Times New Roman" w:hAnsi="Times New Roman" w:cs="Times New Roman"/>
          <w:sz w:val="24"/>
          <w:szCs w:val="24"/>
        </w:rPr>
      </w:pPr>
      <w:r w:rsidRPr="00294673">
        <w:rPr>
          <w:rFonts w:ascii="Times New Roman" w:hAnsi="Times New Roman" w:cs="Times New Roman"/>
          <w:i/>
          <w:iCs/>
          <w:sz w:val="24"/>
          <w:szCs w:val="24"/>
        </w:rPr>
        <w:t>Table 4: Consumer Trust Risk Drivers and Mitigation Actions (Author's own construction)</w:t>
      </w:r>
    </w:p>
    <w:tbl>
      <w:tblPr>
        <w:tblStyle w:val="TableGrid"/>
        <w:tblW w:w="5000" w:type="pct"/>
        <w:tblLook w:val="0000" w:firstRow="0" w:lastRow="0" w:firstColumn="0" w:lastColumn="0" w:noHBand="0" w:noVBand="0"/>
      </w:tblPr>
      <w:tblGrid>
        <w:gridCol w:w="2420"/>
        <w:gridCol w:w="3604"/>
        <w:gridCol w:w="3604"/>
      </w:tblGrid>
      <w:tr w:rsidR="00353015" w:rsidRPr="00294673" w14:paraId="5EE8B2ED" w14:textId="77777777" w:rsidTr="00294673">
        <w:tc>
          <w:tcPr>
            <w:tcW w:w="2420" w:type="dxa"/>
          </w:tcPr>
          <w:p w14:paraId="6E6C4BC8"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Trust Driver</w:t>
            </w:r>
          </w:p>
        </w:tc>
        <w:tc>
          <w:tcPr>
            <w:tcW w:w="3604" w:type="dxa"/>
          </w:tcPr>
          <w:p w14:paraId="4BA42474"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Risk if Unaddressed</w:t>
            </w:r>
          </w:p>
        </w:tc>
        <w:tc>
          <w:tcPr>
            <w:tcW w:w="3604" w:type="dxa"/>
          </w:tcPr>
          <w:p w14:paraId="73174616"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Mitigation Action</w:t>
            </w:r>
          </w:p>
        </w:tc>
      </w:tr>
      <w:tr w:rsidR="00353015" w:rsidRPr="00294673" w14:paraId="52257521" w14:textId="77777777" w:rsidTr="00294673">
        <w:tc>
          <w:tcPr>
            <w:tcW w:w="2420" w:type="dxa"/>
          </w:tcPr>
          <w:p w14:paraId="20250E88"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Perceived algorithmic fairness</w:t>
            </w:r>
          </w:p>
        </w:tc>
        <w:tc>
          <w:tcPr>
            <w:tcW w:w="3604" w:type="dxa"/>
          </w:tcPr>
          <w:p w14:paraId="48AB487A"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Consumers distrust the specific AI tool even where the wider brand is trusted (Yuan et al., 2024)</w:t>
            </w:r>
          </w:p>
        </w:tc>
        <w:tc>
          <w:tcPr>
            <w:tcW w:w="3604" w:type="dxa"/>
          </w:tcPr>
          <w:p w14:paraId="6E085EB0"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Independent fairness testing prior to launch</w:t>
            </w:r>
          </w:p>
        </w:tc>
      </w:tr>
      <w:tr w:rsidR="00353015" w:rsidRPr="00294673" w14:paraId="1FD06C53" w14:textId="77777777" w:rsidTr="00294673">
        <w:tc>
          <w:tcPr>
            <w:tcW w:w="2420" w:type="dxa"/>
          </w:tcPr>
          <w:p w14:paraId="020B621C"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lastRenderedPageBreak/>
              <w:t>Transparency of AI involvement</w:t>
            </w:r>
          </w:p>
        </w:tc>
        <w:tc>
          <w:tcPr>
            <w:tcW w:w="3604" w:type="dxa"/>
          </w:tcPr>
          <w:p w14:paraId="09BF8DF6"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Consumers feel misled when AI-generated content is not disclosed (IAB, 2025)</w:t>
            </w:r>
          </w:p>
        </w:tc>
        <w:tc>
          <w:tcPr>
            <w:tcW w:w="3604" w:type="dxa"/>
          </w:tcPr>
          <w:p w14:paraId="14B5DC48"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Clear point-of-interaction disclosure</w:t>
            </w:r>
          </w:p>
        </w:tc>
      </w:tr>
      <w:tr w:rsidR="00353015" w:rsidRPr="00294673" w14:paraId="076E7259" w14:textId="77777777" w:rsidTr="00294673">
        <w:tc>
          <w:tcPr>
            <w:tcW w:w="2420" w:type="dxa"/>
          </w:tcPr>
          <w:p w14:paraId="19D85CE5"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Country level variation in sensitivity</w:t>
            </w:r>
          </w:p>
        </w:tc>
        <w:tc>
          <w:tcPr>
            <w:tcW w:w="3604" w:type="dxa"/>
          </w:tcPr>
          <w:p w14:paraId="1C7089E2"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A single global message under- or over-reassures consumers </w:t>
            </w:r>
            <w:proofErr w:type="gramStart"/>
            <w:r w:rsidRPr="00294673">
              <w:rPr>
                <w:rFonts w:ascii="Times New Roman" w:hAnsi="Times New Roman" w:cs="Times New Roman"/>
                <w:sz w:val="24"/>
                <w:szCs w:val="24"/>
              </w:rPr>
              <w:t>in a given</w:t>
            </w:r>
            <w:proofErr w:type="gramEnd"/>
            <w:r w:rsidRPr="00294673">
              <w:rPr>
                <w:rFonts w:ascii="Times New Roman" w:hAnsi="Times New Roman" w:cs="Times New Roman"/>
                <w:sz w:val="24"/>
                <w:szCs w:val="24"/>
              </w:rPr>
              <w:t xml:space="preserve"> market (Rajavi, Kushwaha and Steenkamp, 2019)</w:t>
            </w:r>
          </w:p>
        </w:tc>
        <w:tc>
          <w:tcPr>
            <w:tcW w:w="3604" w:type="dxa"/>
          </w:tcPr>
          <w:p w14:paraId="24666647"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Differentiated UK and EU communication of AI use</w:t>
            </w:r>
          </w:p>
        </w:tc>
      </w:tr>
      <w:tr w:rsidR="00353015" w:rsidRPr="00294673" w14:paraId="63F68CF5" w14:textId="77777777" w:rsidTr="00294673">
        <w:tc>
          <w:tcPr>
            <w:tcW w:w="2420" w:type="dxa"/>
          </w:tcPr>
          <w:p w14:paraId="3325732C"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Pricing fairness (forward looking)</w:t>
            </w:r>
          </w:p>
        </w:tc>
        <w:tc>
          <w:tcPr>
            <w:tcW w:w="3604" w:type="dxa"/>
          </w:tcPr>
          <w:p w14:paraId="3EC02EF9"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Algorithmic bias in future AI-enabled pricing erodes trust and invites regulatory scrutiny (de Lucas López et al., 2026)</w:t>
            </w:r>
          </w:p>
        </w:tc>
        <w:tc>
          <w:tcPr>
            <w:tcW w:w="3604" w:type="dxa"/>
          </w:tcPr>
          <w:p w14:paraId="6DD6C954"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Pre-emptive fairness review before any move into AI-enabled pricing</w:t>
            </w:r>
          </w:p>
        </w:tc>
      </w:tr>
    </w:tbl>
    <w:p w14:paraId="3282C88F" w14:textId="77777777" w:rsidR="00E01FAB" w:rsidRPr="00294673" w:rsidRDefault="00E01FAB"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In a large cross-country study of </w:t>
      </w:r>
      <w:proofErr w:type="gramStart"/>
      <w:r w:rsidRPr="00294673">
        <w:rPr>
          <w:rFonts w:ascii="Times New Roman" w:hAnsi="Times New Roman" w:cs="Times New Roman"/>
          <w:sz w:val="24"/>
          <w:szCs w:val="24"/>
        </w:rPr>
        <w:t>consumer packaged</w:t>
      </w:r>
      <w:proofErr w:type="gramEnd"/>
      <w:r w:rsidRPr="00294673">
        <w:rPr>
          <w:rFonts w:ascii="Times New Roman" w:hAnsi="Times New Roman" w:cs="Times New Roman"/>
          <w:sz w:val="24"/>
          <w:szCs w:val="24"/>
        </w:rPr>
        <w:t xml:space="preserve"> goods brands, including several categories in which Unilever has direct competition, Rajavi, Kushwaha and Steenkamp (2019) conclude that consumer trust in a brand is indeed sensitive to the marketing mix and that the differentiation in consumer trust across countries is meaningful and a case for a different approach in UK and EU. Yuan et al. (2024) specifically </w:t>
      </w:r>
      <w:proofErr w:type="gramStart"/>
      <w:r w:rsidRPr="00294673">
        <w:rPr>
          <w:rFonts w:ascii="Times New Roman" w:hAnsi="Times New Roman" w:cs="Times New Roman"/>
          <w:sz w:val="24"/>
          <w:szCs w:val="24"/>
        </w:rPr>
        <w:t>highlight</w:t>
      </w:r>
      <w:proofErr w:type="gramEnd"/>
      <w:r w:rsidRPr="00294673">
        <w:rPr>
          <w:rFonts w:ascii="Times New Roman" w:hAnsi="Times New Roman" w:cs="Times New Roman"/>
          <w:sz w:val="24"/>
          <w:szCs w:val="24"/>
        </w:rPr>
        <w:t xml:space="preserve"> algorithmic trust, revealing that the attitudes consumers have towards algorithms' fairness and the absence of bias directly influence their overall trust in the firm offering the AI-powered application, separate from their trust in the firm in general. This is important for Unilever, as trust built up over years of brand development does not magically spread to a new AI tool, like </w:t>
      </w:r>
      <w:proofErr w:type="spellStart"/>
      <w:r w:rsidRPr="00294673">
        <w:rPr>
          <w:rFonts w:ascii="Times New Roman" w:hAnsi="Times New Roman" w:cs="Times New Roman"/>
          <w:sz w:val="24"/>
          <w:szCs w:val="24"/>
        </w:rPr>
        <w:t>BeautyHub</w:t>
      </w:r>
      <w:proofErr w:type="spellEnd"/>
      <w:r w:rsidRPr="00294673">
        <w:rPr>
          <w:rFonts w:ascii="Times New Roman" w:hAnsi="Times New Roman" w:cs="Times New Roman"/>
          <w:sz w:val="24"/>
          <w:szCs w:val="24"/>
        </w:rPr>
        <w:t xml:space="preserve"> PRO.</w:t>
      </w:r>
    </w:p>
    <w:p w14:paraId="5E54D50A" w14:textId="77777777" w:rsidR="00E01FAB" w:rsidRPr="00294673" w:rsidRDefault="00E01FAB"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Iyer and Bright (2026) address the steps that can be taken by marketers to regain consumer trust in AI, noting that companies that are proactive in complying with the law also have the option of voluntary self-regulation, with those that implement it as a minimum standard being able to establish more robust long-term brand equity. The IAB (2025) found that advertising executives are worried about the quality of AI-driven content, as well as consumers' skepticism about the authenticity of content they believe AI created. De Lucas López et al. (2026) do the same with AI-driven pricing, arguing that algorithmic bias in pricing can lead to regulatory exposure and loss of trust if the algorithm discriminates against a group of people in an unfair way, which is something to keep in mind as AI is incorporated into commercial decision-making.</w:t>
      </w:r>
    </w:p>
    <w:p w14:paraId="31F7053C" w14:textId="777DB839" w:rsidR="00E01FAB" w:rsidRPr="00294673" w:rsidRDefault="00E01FAB"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Combined, these stakeholder theory framing and empirical findings are pointing </w:t>
      </w:r>
      <w:proofErr w:type="gramStart"/>
      <w:r w:rsidRPr="00294673">
        <w:rPr>
          <w:rFonts w:ascii="Times New Roman" w:hAnsi="Times New Roman" w:cs="Times New Roman"/>
          <w:sz w:val="24"/>
          <w:szCs w:val="24"/>
        </w:rPr>
        <w:t>to</w:t>
      </w:r>
      <w:proofErr w:type="gramEnd"/>
      <w:r w:rsidRPr="00294673">
        <w:rPr>
          <w:rFonts w:ascii="Times New Roman" w:hAnsi="Times New Roman" w:cs="Times New Roman"/>
          <w:sz w:val="24"/>
          <w:szCs w:val="24"/>
        </w:rPr>
        <w:t xml:space="preserve"> the same direction. Consumer trust in Unilever's AI tools can't be considered as a proxy for consumer trust in Unilever, and it cannot be assumed because a tool is technically compliant with the laws of data protection. It must be earned, that is, it must be demonstrated, and this demonstration requires significant visibility </w:t>
      </w:r>
      <w:r w:rsidRPr="00294673">
        <w:rPr>
          <w:rFonts w:ascii="Times New Roman" w:hAnsi="Times New Roman" w:cs="Times New Roman"/>
          <w:sz w:val="24"/>
          <w:szCs w:val="24"/>
        </w:rPr>
        <w:lastRenderedPageBreak/>
        <w:t>– a disclosure notice is usually not enough – and it must be done for each new application, and it must be a clear link between this section and the recommendations in section three.</w:t>
      </w:r>
    </w:p>
    <w:p w14:paraId="75235CA1" w14:textId="77777777" w:rsidR="00353015" w:rsidRPr="00294673" w:rsidRDefault="00000000" w:rsidP="003D1CFD">
      <w:pPr>
        <w:pStyle w:val="Heading2"/>
        <w:spacing w:line="360" w:lineRule="auto"/>
      </w:pPr>
      <w:bookmarkStart w:id="22" w:name="_Toc235421462"/>
      <w:bookmarkStart w:id="23" w:name="_Toc235422134"/>
      <w:bookmarkStart w:id="24" w:name="_Toc235700036"/>
      <w:r w:rsidRPr="00294673">
        <w:t>2.6 Critical Evaluation of the PESTLE Framework</w:t>
      </w:r>
      <w:bookmarkEnd w:id="22"/>
      <w:bookmarkEnd w:id="23"/>
      <w:bookmarkEnd w:id="24"/>
    </w:p>
    <w:p w14:paraId="6020009B" w14:textId="124F2F6F" w:rsidR="006A031F" w:rsidRPr="00294673" w:rsidRDefault="006A031F"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Recommendations should not be made without </w:t>
      </w:r>
      <w:r w:rsidRPr="00294673">
        <w:rPr>
          <w:rFonts w:ascii="Times New Roman" w:hAnsi="Times New Roman" w:cs="Times New Roman"/>
          <w:sz w:val="24"/>
          <w:szCs w:val="24"/>
        </w:rPr>
        <w:t>a critical assessment of the PESTLE model</w:t>
      </w:r>
      <w:r w:rsidRPr="00294673">
        <w:rPr>
          <w:rFonts w:ascii="Times New Roman" w:hAnsi="Times New Roman" w:cs="Times New Roman"/>
          <w:sz w:val="24"/>
          <w:szCs w:val="24"/>
        </w:rPr>
        <w:t xml:space="preserve">. PESTLE </w:t>
      </w:r>
      <w:proofErr w:type="gramStart"/>
      <w:r w:rsidRPr="00294673">
        <w:rPr>
          <w:rFonts w:ascii="Times New Roman" w:hAnsi="Times New Roman" w:cs="Times New Roman"/>
          <w:sz w:val="24"/>
          <w:szCs w:val="24"/>
        </w:rPr>
        <w:t>definitely has</w:t>
      </w:r>
      <w:proofErr w:type="gramEnd"/>
      <w:r w:rsidRPr="00294673">
        <w:rPr>
          <w:rFonts w:ascii="Times New Roman" w:hAnsi="Times New Roman" w:cs="Times New Roman"/>
          <w:sz w:val="24"/>
          <w:szCs w:val="24"/>
        </w:rPr>
        <w:t xml:space="preserve"> its strengths. It is comprehensive across six dimensions, it requires a systematic comparison, not an impressionistic one, between two jurisdictions, </w:t>
      </w:r>
      <w:r w:rsidRPr="00294673">
        <w:rPr>
          <w:rFonts w:ascii="Times New Roman" w:hAnsi="Times New Roman" w:cs="Times New Roman"/>
          <w:sz w:val="24"/>
          <w:szCs w:val="24"/>
        </w:rPr>
        <w:t>and</w:t>
      </w:r>
      <w:r w:rsidRPr="00294673">
        <w:rPr>
          <w:rFonts w:ascii="Times New Roman" w:hAnsi="Times New Roman" w:cs="Times New Roman"/>
          <w:sz w:val="24"/>
          <w:szCs w:val="24"/>
        </w:rPr>
        <w:t xml:space="preserve"> it is well suited to supporting proactive risk management by surfacing external factors before they become live problems ('A Theoretical, Diagnostic Review of SWOT, PESTLE, Porter's Five Forces Models', 2025).</w:t>
      </w:r>
    </w:p>
    <w:p w14:paraId="50B674AD" w14:textId="66ED9FEF" w:rsidR="006A031F" w:rsidRPr="00294673" w:rsidRDefault="006A031F"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But there are also practical limitations to the framework. PESTLE </w:t>
      </w:r>
      <w:r w:rsidRPr="00294673">
        <w:rPr>
          <w:rFonts w:ascii="Times New Roman" w:hAnsi="Times New Roman" w:cs="Times New Roman"/>
          <w:sz w:val="24"/>
          <w:szCs w:val="24"/>
        </w:rPr>
        <w:t>provides a static view of the external environment, and in the rapidly evolving AI regulatory landscape</w:t>
      </w:r>
      <w:r w:rsidRPr="00294673">
        <w:rPr>
          <w:rFonts w:ascii="Times New Roman" w:hAnsi="Times New Roman" w:cs="Times New Roman"/>
          <w:sz w:val="24"/>
          <w:szCs w:val="24"/>
        </w:rPr>
        <w:t xml:space="preserve">, the UK/EU regulatory landscape may have changed by early 2026 before the report is implemented, warns Buye (2021). The framework also has qualitative and subjective nature with respect to the weighting </w:t>
      </w:r>
      <w:proofErr w:type="gramStart"/>
      <w:r w:rsidRPr="00294673">
        <w:rPr>
          <w:rFonts w:ascii="Times New Roman" w:hAnsi="Times New Roman" w:cs="Times New Roman"/>
          <w:sz w:val="24"/>
          <w:szCs w:val="24"/>
        </w:rPr>
        <w:t>accorded</w:t>
      </w:r>
      <w:proofErr w:type="gramEnd"/>
      <w:r w:rsidRPr="00294673">
        <w:rPr>
          <w:rFonts w:ascii="Times New Roman" w:hAnsi="Times New Roman" w:cs="Times New Roman"/>
          <w:sz w:val="24"/>
          <w:szCs w:val="24"/>
        </w:rPr>
        <w:t xml:space="preserve"> to each factor, which could lead to two analysts drawing different inferences from the same facts as outlined in 'A Theoretical, Diagnostic Review of SWOT, PESTLE, Porter's Five Forces Models' (2025). It focuses exclusively on the outside environment for that reason the resource-based view as well as Porter's Five Forces were included separately in parts 2.1 and 2.2. Any one framework is not enough: these limitations are best overcome by combining PESTLE with scenario planning and for a more comprehensive understanding of national competitiveness, Porter's Diamond.</w:t>
      </w:r>
    </w:p>
    <w:p w14:paraId="2E5509D4" w14:textId="77777777" w:rsidR="00353015" w:rsidRPr="00294673" w:rsidRDefault="00000000" w:rsidP="003D1CFD">
      <w:pPr>
        <w:pStyle w:val="Heading1"/>
        <w:spacing w:line="360" w:lineRule="auto"/>
      </w:pPr>
      <w:bookmarkStart w:id="25" w:name="_Toc235421463"/>
      <w:bookmarkStart w:id="26" w:name="_Toc235422135"/>
      <w:bookmarkStart w:id="27" w:name="_Toc235700037"/>
      <w:r w:rsidRPr="00294673">
        <w:t>3. Implementation Plan</w:t>
      </w:r>
      <w:bookmarkEnd w:id="25"/>
      <w:bookmarkEnd w:id="26"/>
      <w:bookmarkEnd w:id="27"/>
    </w:p>
    <w:p w14:paraId="0F66E0B6" w14:textId="77777777" w:rsidR="004C0F4E" w:rsidRPr="00294673" w:rsidRDefault="004C0F4E" w:rsidP="003D1CFD">
      <w:pPr>
        <w:spacing w:before="100" w:after="300" w:line="360" w:lineRule="auto"/>
        <w:jc w:val="center"/>
        <w:rPr>
          <w:rFonts w:ascii="Times New Roman" w:hAnsi="Times New Roman" w:cs="Times New Roman"/>
          <w:i/>
          <w:iCs/>
          <w:noProof/>
          <w:sz w:val="24"/>
          <w:szCs w:val="24"/>
        </w:rPr>
      </w:pPr>
      <w:r w:rsidRPr="00294673">
        <w:rPr>
          <w:rFonts w:ascii="Times New Roman" w:hAnsi="Times New Roman" w:cs="Times New Roman"/>
          <w:i/>
          <w:iCs/>
          <w:sz w:val="24"/>
          <w:szCs w:val="24"/>
        </w:rPr>
        <w:br/>
      </w:r>
    </w:p>
    <w:p w14:paraId="78C75FA9" w14:textId="77777777" w:rsidR="00353015" w:rsidRPr="00294673" w:rsidRDefault="004C0F4E" w:rsidP="003D1CFD">
      <w:pPr>
        <w:spacing w:before="100" w:after="300" w:line="360" w:lineRule="auto"/>
        <w:jc w:val="center"/>
        <w:rPr>
          <w:rFonts w:ascii="Times New Roman" w:hAnsi="Times New Roman" w:cs="Times New Roman"/>
          <w:i/>
          <w:iCs/>
          <w:sz w:val="24"/>
          <w:szCs w:val="24"/>
        </w:rPr>
      </w:pPr>
      <w:r w:rsidRPr="00294673">
        <w:rPr>
          <w:rFonts w:ascii="Times New Roman" w:hAnsi="Times New Roman" w:cs="Times New Roman"/>
          <w:i/>
          <w:iCs/>
          <w:noProof/>
          <w:sz w:val="24"/>
          <w:szCs w:val="24"/>
        </w:rPr>
        <w:lastRenderedPageBreak/>
        <w:drawing>
          <wp:inline distT="0" distB="0" distL="0" distR="0" wp14:anchorId="08764BB2" wp14:editId="564380B3">
            <wp:extent cx="3238500" cy="3001870"/>
            <wp:effectExtent l="19050" t="19050" r="19050" b="27305"/>
            <wp:docPr id="4517382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3254984" cy="3017149"/>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Pr="00294673">
        <w:rPr>
          <w:rFonts w:ascii="Times New Roman" w:hAnsi="Times New Roman" w:cs="Times New Roman"/>
          <w:i/>
          <w:iCs/>
          <w:sz w:val="24"/>
          <w:szCs w:val="24"/>
        </w:rPr>
        <w:br/>
      </w:r>
      <w:r w:rsidRPr="00294673">
        <w:rPr>
          <w:rFonts w:ascii="Times New Roman" w:hAnsi="Times New Roman" w:cs="Times New Roman"/>
          <w:i/>
          <w:iCs/>
          <w:sz w:val="24"/>
          <w:szCs w:val="24"/>
        </w:rPr>
        <w:br/>
        <w:t>Figure 2: AI Risk Management Lifecycle Applied to Unilever (Author's own construction, adapted from International Organization for Standardization, 2021)</w:t>
      </w:r>
    </w:p>
    <w:p w14:paraId="161C5E39" w14:textId="52FB1FC0" w:rsidR="006A031F" w:rsidRPr="00294673" w:rsidRDefault="006A031F"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The following recommendations are based on the findings above and provide a phased, costed plan for implementation. There is a suggested cost range in pounds sterling for actions </w:t>
      </w:r>
      <w:r w:rsidR="003D1CFD">
        <w:rPr>
          <w:rFonts w:ascii="Times New Roman" w:hAnsi="Times New Roman" w:cs="Times New Roman"/>
          <w:sz w:val="24"/>
          <w:szCs w:val="24"/>
        </w:rPr>
        <w:t>targeted at the UK and in euros for those</w:t>
      </w:r>
      <w:r w:rsidRPr="00294673">
        <w:rPr>
          <w:rFonts w:ascii="Times New Roman" w:hAnsi="Times New Roman" w:cs="Times New Roman"/>
          <w:sz w:val="24"/>
          <w:szCs w:val="24"/>
        </w:rPr>
        <w:t xml:space="preserve"> targeted at the EU, </w:t>
      </w:r>
      <w:proofErr w:type="gramStart"/>
      <w:r w:rsidRPr="00294673">
        <w:rPr>
          <w:rFonts w:ascii="Times New Roman" w:hAnsi="Times New Roman" w:cs="Times New Roman"/>
          <w:sz w:val="24"/>
          <w:szCs w:val="24"/>
        </w:rPr>
        <w:t>an</w:t>
      </w:r>
      <w:proofErr w:type="gramEnd"/>
      <w:r w:rsidRPr="00294673">
        <w:rPr>
          <w:rFonts w:ascii="Times New Roman" w:hAnsi="Times New Roman" w:cs="Times New Roman"/>
          <w:sz w:val="24"/>
          <w:szCs w:val="24"/>
        </w:rPr>
        <w:t xml:space="preserve"> Unilever owner within the existing Unilever structure, and a note on mitigation of associated risk. For </w:t>
      </w:r>
      <w:proofErr w:type="gramStart"/>
      <w:r w:rsidR="003D1CFD">
        <w:rPr>
          <w:rFonts w:ascii="Times New Roman" w:hAnsi="Times New Roman" w:cs="Times New Roman"/>
          <w:sz w:val="24"/>
          <w:szCs w:val="24"/>
        </w:rPr>
        <w:t>each time</w:t>
      </w:r>
      <w:proofErr w:type="gramEnd"/>
      <w:r w:rsidR="003D1CFD">
        <w:rPr>
          <w:rFonts w:ascii="Times New Roman" w:hAnsi="Times New Roman" w:cs="Times New Roman"/>
          <w:sz w:val="24"/>
          <w:szCs w:val="24"/>
        </w:rPr>
        <w:t xml:space="preserve"> horizon, the first action is </w:t>
      </w:r>
      <w:proofErr w:type="spellStart"/>
      <w:r w:rsidR="003D1CFD">
        <w:rPr>
          <w:rFonts w:ascii="Times New Roman" w:hAnsi="Times New Roman" w:cs="Times New Roman"/>
          <w:sz w:val="24"/>
          <w:szCs w:val="24"/>
        </w:rPr>
        <w:t>prioritised</w:t>
      </w:r>
      <w:proofErr w:type="spellEnd"/>
      <w:r w:rsidRPr="00294673">
        <w:rPr>
          <w:rFonts w:ascii="Times New Roman" w:hAnsi="Times New Roman" w:cs="Times New Roman"/>
          <w:sz w:val="24"/>
          <w:szCs w:val="24"/>
        </w:rPr>
        <w:t xml:space="preserve">, as </w:t>
      </w:r>
      <w:r w:rsidRPr="00294673">
        <w:rPr>
          <w:rFonts w:ascii="Times New Roman" w:hAnsi="Times New Roman" w:cs="Times New Roman"/>
          <w:sz w:val="24"/>
          <w:szCs w:val="24"/>
        </w:rPr>
        <w:t xml:space="preserve">short-term accountability/audit activities are needed before medium-term </w:t>
      </w:r>
      <w:r w:rsidRPr="00294673">
        <w:rPr>
          <w:rFonts w:ascii="Times New Roman" w:hAnsi="Times New Roman" w:cs="Times New Roman"/>
          <w:sz w:val="24"/>
          <w:szCs w:val="24"/>
        </w:rPr>
        <w:t>transparency and data work.</w:t>
      </w:r>
    </w:p>
    <w:p w14:paraId="0C2E9E71" w14:textId="77777777" w:rsidR="00353015" w:rsidRPr="00294673" w:rsidRDefault="00000000" w:rsidP="003D1CFD">
      <w:pPr>
        <w:spacing w:before="100" w:after="300" w:line="360" w:lineRule="auto"/>
        <w:jc w:val="center"/>
        <w:rPr>
          <w:rFonts w:ascii="Times New Roman" w:hAnsi="Times New Roman" w:cs="Times New Roman"/>
          <w:sz w:val="24"/>
          <w:szCs w:val="24"/>
        </w:rPr>
      </w:pPr>
      <w:r w:rsidRPr="00294673">
        <w:rPr>
          <w:rFonts w:ascii="Times New Roman" w:hAnsi="Times New Roman" w:cs="Times New Roman"/>
          <w:i/>
          <w:iCs/>
          <w:sz w:val="24"/>
          <w:szCs w:val="24"/>
        </w:rPr>
        <w:t>Table 5: Costed Implementation Plan, Short, Medium and Long Term (Author's own construction)</w:t>
      </w:r>
    </w:p>
    <w:tbl>
      <w:tblPr>
        <w:tblStyle w:val="TableGrid"/>
        <w:tblW w:w="5000" w:type="pct"/>
        <w:tblLook w:val="0000" w:firstRow="0" w:lastRow="0" w:firstColumn="0" w:lastColumn="0" w:noHBand="0" w:noVBand="0"/>
      </w:tblPr>
      <w:tblGrid>
        <w:gridCol w:w="1339"/>
        <w:gridCol w:w="1013"/>
        <w:gridCol w:w="1641"/>
        <w:gridCol w:w="1510"/>
        <w:gridCol w:w="1223"/>
        <w:gridCol w:w="1549"/>
        <w:gridCol w:w="1353"/>
      </w:tblGrid>
      <w:tr w:rsidR="00353015" w:rsidRPr="00294673" w14:paraId="42B4A462" w14:textId="77777777" w:rsidTr="003D1CFD">
        <w:trPr>
          <w:tblHeader/>
        </w:trPr>
        <w:tc>
          <w:tcPr>
            <w:tcW w:w="1435" w:type="dxa"/>
          </w:tcPr>
          <w:p w14:paraId="7380FBDC"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Timeframe</w:t>
            </w:r>
          </w:p>
        </w:tc>
        <w:tc>
          <w:tcPr>
            <w:tcW w:w="917" w:type="dxa"/>
          </w:tcPr>
          <w:p w14:paraId="364B2A92"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Priority</w:t>
            </w:r>
          </w:p>
        </w:tc>
        <w:tc>
          <w:tcPr>
            <w:tcW w:w="1641" w:type="dxa"/>
          </w:tcPr>
          <w:p w14:paraId="7CAD026B"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Action</w:t>
            </w:r>
          </w:p>
        </w:tc>
        <w:tc>
          <w:tcPr>
            <w:tcW w:w="1510" w:type="dxa"/>
          </w:tcPr>
          <w:p w14:paraId="1442CBD8"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Owner</w:t>
            </w:r>
          </w:p>
        </w:tc>
        <w:tc>
          <w:tcPr>
            <w:tcW w:w="1223" w:type="dxa"/>
          </w:tcPr>
          <w:p w14:paraId="6192D271"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Indicative Cost</w:t>
            </w:r>
          </w:p>
        </w:tc>
        <w:tc>
          <w:tcPr>
            <w:tcW w:w="1549" w:type="dxa"/>
          </w:tcPr>
          <w:p w14:paraId="58A02300"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Risk Mitigation</w:t>
            </w:r>
          </w:p>
        </w:tc>
        <w:tc>
          <w:tcPr>
            <w:tcW w:w="1353" w:type="dxa"/>
          </w:tcPr>
          <w:p w14:paraId="126B8AB3" w14:textId="77777777" w:rsidR="00353015" w:rsidRPr="00294673" w:rsidRDefault="00000000" w:rsidP="003D1CFD">
            <w:pPr>
              <w:spacing w:line="360" w:lineRule="auto"/>
              <w:rPr>
                <w:rFonts w:ascii="Times New Roman" w:hAnsi="Times New Roman" w:cs="Times New Roman"/>
                <w:sz w:val="24"/>
                <w:szCs w:val="24"/>
              </w:rPr>
            </w:pPr>
            <w:r w:rsidRPr="00294673">
              <w:rPr>
                <w:rFonts w:ascii="Times New Roman" w:hAnsi="Times New Roman" w:cs="Times New Roman"/>
                <w:b/>
                <w:bCs/>
                <w:sz w:val="24"/>
                <w:szCs w:val="24"/>
              </w:rPr>
              <w:t>KPI / Outcome</w:t>
            </w:r>
          </w:p>
        </w:tc>
      </w:tr>
      <w:tr w:rsidR="00353015" w:rsidRPr="00294673" w14:paraId="20AF6C73" w14:textId="77777777" w:rsidTr="003D1CFD">
        <w:tc>
          <w:tcPr>
            <w:tcW w:w="1435" w:type="dxa"/>
          </w:tcPr>
          <w:p w14:paraId="271315A6"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Short term</w:t>
            </w:r>
          </w:p>
          <w:p w14:paraId="2232572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(0–6 months)</w:t>
            </w:r>
          </w:p>
        </w:tc>
        <w:tc>
          <w:tcPr>
            <w:tcW w:w="917" w:type="dxa"/>
          </w:tcPr>
          <w:p w14:paraId="004712F9"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1</w:t>
            </w:r>
          </w:p>
        </w:tc>
        <w:tc>
          <w:tcPr>
            <w:tcW w:w="1641" w:type="dxa"/>
          </w:tcPr>
          <w:p w14:paraId="41AF81B8"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Establish joint UK/EU AI governance committee reporting to the Chief Data Officer</w:t>
            </w:r>
          </w:p>
        </w:tc>
        <w:tc>
          <w:tcPr>
            <w:tcW w:w="1510" w:type="dxa"/>
          </w:tcPr>
          <w:p w14:paraId="05105095"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Chief Data Officer</w:t>
            </w:r>
          </w:p>
        </w:tc>
        <w:tc>
          <w:tcPr>
            <w:tcW w:w="1223" w:type="dxa"/>
          </w:tcPr>
          <w:p w14:paraId="5DF012BC"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£60,000–£90,000</w:t>
            </w:r>
          </w:p>
        </w:tc>
        <w:tc>
          <w:tcPr>
            <w:tcW w:w="1549" w:type="dxa"/>
          </w:tcPr>
          <w:p w14:paraId="5E0B8F6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Establishes explicit accountability structures for AI governance, addressing </w:t>
            </w:r>
            <w:proofErr w:type="spellStart"/>
            <w:r w:rsidRPr="00294673">
              <w:rPr>
                <w:rFonts w:ascii="Times New Roman" w:hAnsi="Times New Roman" w:cs="Times New Roman"/>
                <w:sz w:val="24"/>
                <w:szCs w:val="24"/>
              </w:rPr>
              <w:t>Salamzadeh's</w:t>
            </w:r>
            <w:proofErr w:type="spellEnd"/>
            <w:r w:rsidRPr="00294673">
              <w:rPr>
                <w:rFonts w:ascii="Times New Roman" w:hAnsi="Times New Roman" w:cs="Times New Roman"/>
                <w:sz w:val="24"/>
                <w:szCs w:val="24"/>
              </w:rPr>
              <w:t xml:space="preserve"> </w:t>
            </w:r>
            <w:r w:rsidRPr="00294673">
              <w:rPr>
                <w:rFonts w:ascii="Times New Roman" w:hAnsi="Times New Roman" w:cs="Times New Roman"/>
                <w:sz w:val="24"/>
                <w:szCs w:val="24"/>
              </w:rPr>
              <w:lastRenderedPageBreak/>
              <w:t>(2025) finding that informal governance undermines responsible AI deployment</w:t>
            </w:r>
          </w:p>
        </w:tc>
        <w:tc>
          <w:tcPr>
            <w:tcW w:w="1353" w:type="dxa"/>
          </w:tcPr>
          <w:p w14:paraId="7C88A1A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lastRenderedPageBreak/>
              <w:t>Committee operational within Q1; AI risk register published</w:t>
            </w:r>
          </w:p>
        </w:tc>
      </w:tr>
      <w:tr w:rsidR="00353015" w:rsidRPr="00294673" w14:paraId="5BE26109" w14:textId="77777777" w:rsidTr="003D1CFD">
        <w:tc>
          <w:tcPr>
            <w:tcW w:w="1435" w:type="dxa"/>
          </w:tcPr>
          <w:p w14:paraId="04E04256"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Short term</w:t>
            </w:r>
          </w:p>
          <w:p w14:paraId="2A5D8674"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(0–6 months)</w:t>
            </w:r>
          </w:p>
        </w:tc>
        <w:tc>
          <w:tcPr>
            <w:tcW w:w="917" w:type="dxa"/>
          </w:tcPr>
          <w:p w14:paraId="60FBE63B"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2</w:t>
            </w:r>
          </w:p>
        </w:tc>
        <w:tc>
          <w:tcPr>
            <w:tcW w:w="1641" w:type="dxa"/>
          </w:tcPr>
          <w:p w14:paraId="3ABC5A5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Audit existing </w:t>
            </w:r>
            <w:proofErr w:type="gramStart"/>
            <w:r w:rsidRPr="00294673">
              <w:rPr>
                <w:rFonts w:ascii="Times New Roman" w:hAnsi="Times New Roman" w:cs="Times New Roman"/>
                <w:sz w:val="24"/>
                <w:szCs w:val="24"/>
              </w:rPr>
              <w:t>consumer facing</w:t>
            </w:r>
            <w:proofErr w:type="gramEnd"/>
            <w:r w:rsidRPr="00294673">
              <w:rPr>
                <w:rFonts w:ascii="Times New Roman" w:hAnsi="Times New Roman" w:cs="Times New Roman"/>
                <w:sz w:val="24"/>
                <w:szCs w:val="24"/>
              </w:rPr>
              <w:t xml:space="preserve"> tools (</w:t>
            </w:r>
            <w:proofErr w:type="spellStart"/>
            <w:r w:rsidRPr="00294673">
              <w:rPr>
                <w:rFonts w:ascii="Times New Roman" w:hAnsi="Times New Roman" w:cs="Times New Roman"/>
                <w:sz w:val="24"/>
                <w:szCs w:val="24"/>
              </w:rPr>
              <w:t>BeautyHub</w:t>
            </w:r>
            <w:proofErr w:type="spellEnd"/>
            <w:r w:rsidRPr="00294673">
              <w:rPr>
                <w:rFonts w:ascii="Times New Roman" w:hAnsi="Times New Roman" w:cs="Times New Roman"/>
                <w:sz w:val="24"/>
                <w:szCs w:val="24"/>
              </w:rPr>
              <w:t xml:space="preserve"> PRO, Beauty AI Studio) against UK and EU requirements</w:t>
            </w:r>
          </w:p>
        </w:tc>
        <w:tc>
          <w:tcPr>
            <w:tcW w:w="1510" w:type="dxa"/>
          </w:tcPr>
          <w:p w14:paraId="66E1E36A"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Data Governance Lead, Beauty &amp; Wellbeing</w:t>
            </w:r>
          </w:p>
        </w:tc>
        <w:tc>
          <w:tcPr>
            <w:tcW w:w="1223" w:type="dxa"/>
          </w:tcPr>
          <w:p w14:paraId="02DE3B5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£45,000–£70,000</w:t>
            </w:r>
          </w:p>
        </w:tc>
        <w:tc>
          <w:tcPr>
            <w:tcW w:w="1549" w:type="dxa"/>
          </w:tcPr>
          <w:p w14:paraId="2298412B"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Applies compliance by design principles ahead of enforcement (Goncalves and Correia, 2026)</w:t>
            </w:r>
          </w:p>
        </w:tc>
        <w:tc>
          <w:tcPr>
            <w:tcW w:w="1353" w:type="dxa"/>
          </w:tcPr>
          <w:p w14:paraId="4608D50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Audit report with remediation actions within 6 months</w:t>
            </w:r>
          </w:p>
        </w:tc>
      </w:tr>
      <w:tr w:rsidR="00353015" w:rsidRPr="00294673" w14:paraId="4FE77D55" w14:textId="77777777" w:rsidTr="003D1CFD">
        <w:tc>
          <w:tcPr>
            <w:tcW w:w="1435" w:type="dxa"/>
          </w:tcPr>
          <w:p w14:paraId="16B18624"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Medium term</w:t>
            </w:r>
          </w:p>
          <w:p w14:paraId="3373CDD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(6–18 months)</w:t>
            </w:r>
          </w:p>
        </w:tc>
        <w:tc>
          <w:tcPr>
            <w:tcW w:w="917" w:type="dxa"/>
          </w:tcPr>
          <w:p w14:paraId="7CABDAB6"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3</w:t>
            </w:r>
          </w:p>
        </w:tc>
        <w:tc>
          <w:tcPr>
            <w:tcW w:w="1641" w:type="dxa"/>
          </w:tcPr>
          <w:p w14:paraId="67F267C2"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Build consumer facing AI transparency layer into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tools</w:t>
            </w:r>
          </w:p>
        </w:tc>
        <w:tc>
          <w:tcPr>
            <w:tcW w:w="1510" w:type="dxa"/>
          </w:tcPr>
          <w:p w14:paraId="59837031"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Head of Digital Marketing, EU region</w:t>
            </w:r>
          </w:p>
        </w:tc>
        <w:tc>
          <w:tcPr>
            <w:tcW w:w="1223" w:type="dxa"/>
          </w:tcPr>
          <w:p w14:paraId="2273E52A"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€150,000–€220,000</w:t>
            </w:r>
          </w:p>
        </w:tc>
        <w:tc>
          <w:tcPr>
            <w:tcW w:w="1549" w:type="dxa"/>
          </w:tcPr>
          <w:p w14:paraId="532B3C2C"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Directly satisfies the Article 50 disclosure duty ahead of the compliance deadline (Article 50, 2025b)</w:t>
            </w:r>
          </w:p>
        </w:tc>
        <w:tc>
          <w:tcPr>
            <w:tcW w:w="1353" w:type="dxa"/>
          </w:tcPr>
          <w:p w14:paraId="3CB03B80"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90% of AI interactions carry clear disclosure; EU compliance review passed</w:t>
            </w:r>
          </w:p>
        </w:tc>
      </w:tr>
      <w:tr w:rsidR="00353015" w:rsidRPr="00294673" w14:paraId="51C0E858" w14:textId="77777777" w:rsidTr="003D1CFD">
        <w:tc>
          <w:tcPr>
            <w:tcW w:w="1435" w:type="dxa"/>
          </w:tcPr>
          <w:p w14:paraId="7EC00BE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Medium term</w:t>
            </w:r>
          </w:p>
          <w:p w14:paraId="28969270"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(6–18 months)</w:t>
            </w:r>
          </w:p>
        </w:tc>
        <w:tc>
          <w:tcPr>
            <w:tcW w:w="917" w:type="dxa"/>
          </w:tcPr>
          <w:p w14:paraId="337C9899"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4</w:t>
            </w:r>
          </w:p>
        </w:tc>
        <w:tc>
          <w:tcPr>
            <w:tcW w:w="1641" w:type="dxa"/>
          </w:tcPr>
          <w:p w14:paraId="4DF6EB1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Implement formal data governance framework </w:t>
            </w:r>
            <w:r w:rsidRPr="00294673">
              <w:rPr>
                <w:rFonts w:ascii="Times New Roman" w:hAnsi="Times New Roman" w:cs="Times New Roman"/>
                <w:sz w:val="24"/>
                <w:szCs w:val="24"/>
              </w:rPr>
              <w:lastRenderedPageBreak/>
              <w:t>covering quality, stewardship and escalation</w:t>
            </w:r>
          </w:p>
        </w:tc>
        <w:tc>
          <w:tcPr>
            <w:tcW w:w="1510" w:type="dxa"/>
          </w:tcPr>
          <w:p w14:paraId="14A6A6F5"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lastRenderedPageBreak/>
              <w:t>Chief Data Officer</w:t>
            </w:r>
          </w:p>
        </w:tc>
        <w:tc>
          <w:tcPr>
            <w:tcW w:w="1223" w:type="dxa"/>
          </w:tcPr>
          <w:p w14:paraId="585FBC4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£120,000–£180,000</w:t>
            </w:r>
          </w:p>
        </w:tc>
        <w:tc>
          <w:tcPr>
            <w:tcW w:w="1549" w:type="dxa"/>
          </w:tcPr>
          <w:p w14:paraId="6BC7B1C2"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Reduces the data quality and biometric risks set out </w:t>
            </w:r>
            <w:r w:rsidRPr="00294673">
              <w:rPr>
                <w:rFonts w:ascii="Times New Roman" w:hAnsi="Times New Roman" w:cs="Times New Roman"/>
                <w:sz w:val="24"/>
                <w:szCs w:val="24"/>
              </w:rPr>
              <w:lastRenderedPageBreak/>
              <w:t>in Table 3, following Janssen et al. (2020) governance principles</w:t>
            </w:r>
          </w:p>
        </w:tc>
        <w:tc>
          <w:tcPr>
            <w:tcW w:w="1353" w:type="dxa"/>
          </w:tcPr>
          <w:p w14:paraId="66FB4CDF"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lastRenderedPageBreak/>
              <w:t xml:space="preserve">Governance framework </w:t>
            </w:r>
            <w:proofErr w:type="gramStart"/>
            <w:r w:rsidRPr="00294673">
              <w:rPr>
                <w:rFonts w:ascii="Times New Roman" w:hAnsi="Times New Roman" w:cs="Times New Roman"/>
                <w:sz w:val="24"/>
                <w:szCs w:val="24"/>
              </w:rPr>
              <w:t>live</w:t>
            </w:r>
            <w:proofErr w:type="gramEnd"/>
            <w:r w:rsidRPr="00294673">
              <w:rPr>
                <w:rFonts w:ascii="Times New Roman" w:hAnsi="Times New Roman" w:cs="Times New Roman"/>
                <w:sz w:val="24"/>
                <w:szCs w:val="24"/>
              </w:rPr>
              <w:t xml:space="preserve"> across </w:t>
            </w:r>
            <w:r w:rsidRPr="00294673">
              <w:rPr>
                <w:rFonts w:ascii="Times New Roman" w:hAnsi="Times New Roman" w:cs="Times New Roman"/>
                <w:sz w:val="24"/>
                <w:szCs w:val="24"/>
              </w:rPr>
              <w:lastRenderedPageBreak/>
              <w:t>four Business Groups</w:t>
            </w:r>
          </w:p>
        </w:tc>
      </w:tr>
      <w:tr w:rsidR="00353015" w:rsidRPr="00294673" w14:paraId="729F0EAF" w14:textId="77777777" w:rsidTr="003D1CFD">
        <w:tc>
          <w:tcPr>
            <w:tcW w:w="1435" w:type="dxa"/>
          </w:tcPr>
          <w:p w14:paraId="709E4FEF"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lastRenderedPageBreak/>
              <w:t>Long term</w:t>
            </w:r>
          </w:p>
          <w:p w14:paraId="046D671C"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(18–36 months)</w:t>
            </w:r>
          </w:p>
        </w:tc>
        <w:tc>
          <w:tcPr>
            <w:tcW w:w="917" w:type="dxa"/>
          </w:tcPr>
          <w:p w14:paraId="74194435"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5</w:t>
            </w:r>
          </w:p>
        </w:tc>
        <w:tc>
          <w:tcPr>
            <w:tcW w:w="1641" w:type="dxa"/>
          </w:tcPr>
          <w:p w14:paraId="085A977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Commission independent annual AI governance audit, published alongside sustainability reporting</w:t>
            </w:r>
          </w:p>
        </w:tc>
        <w:tc>
          <w:tcPr>
            <w:tcW w:w="1510" w:type="dxa"/>
          </w:tcPr>
          <w:p w14:paraId="1670C35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Group Risk and Sustainability Committee</w:t>
            </w:r>
          </w:p>
        </w:tc>
        <w:tc>
          <w:tcPr>
            <w:tcW w:w="1223" w:type="dxa"/>
          </w:tcPr>
          <w:p w14:paraId="7F037D2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€200,000–€300,000 annually</w:t>
            </w:r>
          </w:p>
        </w:tc>
        <w:tc>
          <w:tcPr>
            <w:tcW w:w="1549" w:type="dxa"/>
          </w:tcPr>
          <w:p w14:paraId="43E648F8"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Closes the AI risk reporting depth gap identified by </w:t>
            </w:r>
            <w:proofErr w:type="spellStart"/>
            <w:r w:rsidRPr="00294673">
              <w:rPr>
                <w:rFonts w:ascii="Times New Roman" w:hAnsi="Times New Roman" w:cs="Times New Roman"/>
                <w:sz w:val="24"/>
                <w:szCs w:val="24"/>
              </w:rPr>
              <w:t>Primec</w:t>
            </w:r>
            <w:proofErr w:type="spellEnd"/>
            <w:r w:rsidRPr="00294673">
              <w:rPr>
                <w:rFonts w:ascii="Times New Roman" w:hAnsi="Times New Roman" w:cs="Times New Roman"/>
                <w:sz w:val="24"/>
                <w:szCs w:val="24"/>
              </w:rPr>
              <w:t xml:space="preserve">, Belak and </w:t>
            </w:r>
            <w:proofErr w:type="spellStart"/>
            <w:r w:rsidRPr="00294673">
              <w:rPr>
                <w:rFonts w:ascii="Times New Roman" w:hAnsi="Times New Roman" w:cs="Times New Roman"/>
                <w:sz w:val="24"/>
                <w:szCs w:val="24"/>
              </w:rPr>
              <w:t>Čufar</w:t>
            </w:r>
            <w:proofErr w:type="spellEnd"/>
            <w:r w:rsidRPr="00294673">
              <w:rPr>
                <w:rFonts w:ascii="Times New Roman" w:hAnsi="Times New Roman" w:cs="Times New Roman"/>
                <w:sz w:val="24"/>
                <w:szCs w:val="24"/>
              </w:rPr>
              <w:t xml:space="preserve"> (2026)</w:t>
            </w:r>
          </w:p>
        </w:tc>
        <w:tc>
          <w:tcPr>
            <w:tcW w:w="1353" w:type="dxa"/>
          </w:tcPr>
          <w:p w14:paraId="748A244A"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Audit published annually; AI risk treated as distinct disclosure category</w:t>
            </w:r>
          </w:p>
        </w:tc>
      </w:tr>
      <w:tr w:rsidR="00353015" w:rsidRPr="00294673" w14:paraId="6C856328" w14:textId="77777777" w:rsidTr="003D1CFD">
        <w:tc>
          <w:tcPr>
            <w:tcW w:w="1435" w:type="dxa"/>
          </w:tcPr>
          <w:p w14:paraId="5B034DAD"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Long term</w:t>
            </w:r>
          </w:p>
          <w:p w14:paraId="28C7DAAA"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(18–36 months)</w:t>
            </w:r>
          </w:p>
        </w:tc>
        <w:tc>
          <w:tcPr>
            <w:tcW w:w="917" w:type="dxa"/>
          </w:tcPr>
          <w:p w14:paraId="161C660E"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6</w:t>
            </w:r>
          </w:p>
        </w:tc>
        <w:tc>
          <w:tcPr>
            <w:tcW w:w="1641" w:type="dxa"/>
          </w:tcPr>
          <w:p w14:paraId="5A83E6B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 xml:space="preserve">Sustained investment in data infrastructure underpinning AI </w:t>
            </w:r>
            <w:proofErr w:type="spellStart"/>
            <w:r w:rsidRPr="00294673">
              <w:rPr>
                <w:rFonts w:ascii="Times New Roman" w:hAnsi="Times New Roman" w:cs="Times New Roman"/>
                <w:sz w:val="24"/>
                <w:szCs w:val="24"/>
              </w:rPr>
              <w:t>personalisation</w:t>
            </w:r>
            <w:proofErr w:type="spellEnd"/>
          </w:p>
        </w:tc>
        <w:tc>
          <w:tcPr>
            <w:tcW w:w="1510" w:type="dxa"/>
          </w:tcPr>
          <w:p w14:paraId="11364309"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Chief Data Officer / Chief Marketing Officer</w:t>
            </w:r>
          </w:p>
        </w:tc>
        <w:tc>
          <w:tcPr>
            <w:tcW w:w="1223" w:type="dxa"/>
          </w:tcPr>
          <w:p w14:paraId="69B67A39"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£250,000–£400,000 annually</w:t>
            </w:r>
          </w:p>
        </w:tc>
        <w:tc>
          <w:tcPr>
            <w:tcW w:w="1549" w:type="dxa"/>
          </w:tcPr>
          <w:p w14:paraId="187BC143"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Addresses Kolesnik's (2025) finding that poor data quality is a primary barrier to sustained AI-driven marketing gains</w:t>
            </w:r>
          </w:p>
        </w:tc>
        <w:tc>
          <w:tcPr>
            <w:tcW w:w="1353" w:type="dxa"/>
          </w:tcPr>
          <w:p w14:paraId="5EB1F809" w14:textId="77777777" w:rsidR="00353015" w:rsidRPr="00294673" w:rsidRDefault="00000000" w:rsidP="003D1CFD">
            <w:pPr>
              <w:spacing w:after="60" w:line="360" w:lineRule="auto"/>
              <w:rPr>
                <w:rFonts w:ascii="Times New Roman" w:hAnsi="Times New Roman" w:cs="Times New Roman"/>
                <w:sz w:val="24"/>
                <w:szCs w:val="24"/>
              </w:rPr>
            </w:pPr>
            <w:r w:rsidRPr="00294673">
              <w:rPr>
                <w:rFonts w:ascii="Times New Roman" w:hAnsi="Times New Roman" w:cs="Times New Roman"/>
                <w:sz w:val="24"/>
                <w:szCs w:val="24"/>
              </w:rPr>
              <w:t>Measurable reduction in data quality incidents year on year</w:t>
            </w:r>
          </w:p>
        </w:tc>
      </w:tr>
    </w:tbl>
    <w:p w14:paraId="15092B11" w14:textId="3F35B0E7" w:rsidR="00C359CE" w:rsidRPr="00294673" w:rsidRDefault="00C359CE"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Unilever should immediately </w:t>
      </w:r>
      <w:r w:rsidR="00294673">
        <w:rPr>
          <w:rFonts w:ascii="Times New Roman" w:hAnsi="Times New Roman" w:cs="Times New Roman"/>
          <w:sz w:val="24"/>
          <w:szCs w:val="24"/>
        </w:rPr>
        <w:t>establish a joint UK and EU AI governance committee, reporting to the Chief Data Officer,</w:t>
      </w:r>
      <w:r w:rsidRPr="00294673">
        <w:rPr>
          <w:rFonts w:ascii="Times New Roman" w:hAnsi="Times New Roman" w:cs="Times New Roman"/>
          <w:sz w:val="24"/>
          <w:szCs w:val="24"/>
        </w:rPr>
        <w:t xml:space="preserve"> to evaluate new AI tools for marketing before they are rolled out. This sets a clear accountability framework that </w:t>
      </w:r>
      <w:proofErr w:type="spellStart"/>
      <w:r w:rsidRPr="00294673">
        <w:rPr>
          <w:rFonts w:ascii="Times New Roman" w:hAnsi="Times New Roman" w:cs="Times New Roman"/>
          <w:sz w:val="24"/>
          <w:szCs w:val="24"/>
        </w:rPr>
        <w:t>Salamzadeh</w:t>
      </w:r>
      <w:proofErr w:type="spellEnd"/>
      <w:r w:rsidRPr="00294673">
        <w:rPr>
          <w:rFonts w:ascii="Times New Roman" w:hAnsi="Times New Roman" w:cs="Times New Roman"/>
          <w:sz w:val="24"/>
          <w:szCs w:val="24"/>
        </w:rPr>
        <w:t xml:space="preserve"> (2025) notes </w:t>
      </w:r>
      <w:proofErr w:type="gramStart"/>
      <w:r w:rsidRPr="00294673">
        <w:rPr>
          <w:rFonts w:ascii="Times New Roman" w:hAnsi="Times New Roman" w:cs="Times New Roman"/>
          <w:sz w:val="24"/>
          <w:szCs w:val="24"/>
        </w:rPr>
        <w:t>is</w:t>
      </w:r>
      <w:proofErr w:type="gramEnd"/>
      <w:r w:rsidRPr="00294673">
        <w:rPr>
          <w:rFonts w:ascii="Times New Roman" w:hAnsi="Times New Roman" w:cs="Times New Roman"/>
          <w:sz w:val="24"/>
          <w:szCs w:val="24"/>
        </w:rPr>
        <w:t xml:space="preserve"> frequently lacking in informal AI governance. In parallel with this, there should be an audit of existing consumer tools</w:t>
      </w:r>
      <w:r w:rsidR="00294673">
        <w:rPr>
          <w:rFonts w:ascii="Times New Roman" w:hAnsi="Times New Roman" w:cs="Times New Roman"/>
          <w:sz w:val="24"/>
          <w:szCs w:val="24"/>
        </w:rPr>
        <w:t xml:space="preserve">, such as </w:t>
      </w:r>
      <w:proofErr w:type="spellStart"/>
      <w:r w:rsidR="00294673">
        <w:rPr>
          <w:rFonts w:ascii="Times New Roman" w:hAnsi="Times New Roman" w:cs="Times New Roman"/>
          <w:sz w:val="24"/>
          <w:szCs w:val="24"/>
        </w:rPr>
        <w:lastRenderedPageBreak/>
        <w:t>BeautyHub</w:t>
      </w:r>
      <w:proofErr w:type="spellEnd"/>
      <w:r w:rsidR="00294673">
        <w:rPr>
          <w:rFonts w:ascii="Times New Roman" w:hAnsi="Times New Roman" w:cs="Times New Roman"/>
          <w:sz w:val="24"/>
          <w:szCs w:val="24"/>
        </w:rPr>
        <w:t xml:space="preserve"> PRO and the Beauty AI Studio, against UK and EU requirements, in accordance with the compliance-by-design</w:t>
      </w:r>
      <w:r w:rsidRPr="00294673">
        <w:rPr>
          <w:rFonts w:ascii="Times New Roman" w:hAnsi="Times New Roman" w:cs="Times New Roman"/>
          <w:sz w:val="24"/>
          <w:szCs w:val="24"/>
        </w:rPr>
        <w:t xml:space="preserve"> principles outlined by Goncalves and Correia (2026).</w:t>
      </w:r>
    </w:p>
    <w:p w14:paraId="1BC5DFB4" w14:textId="0782A677" w:rsidR="00C359CE" w:rsidRPr="00294673" w:rsidRDefault="00C359CE"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Medium-term, Unilever should integrate a consumer-facing transparency layer into their </w:t>
      </w:r>
      <w:proofErr w:type="spellStart"/>
      <w:r w:rsidRPr="00294673">
        <w:rPr>
          <w:rFonts w:ascii="Times New Roman" w:hAnsi="Times New Roman" w:cs="Times New Roman"/>
          <w:sz w:val="24"/>
          <w:szCs w:val="24"/>
        </w:rPr>
        <w:t>personalisation</w:t>
      </w:r>
      <w:proofErr w:type="spellEnd"/>
      <w:r w:rsidRPr="00294673">
        <w:rPr>
          <w:rFonts w:ascii="Times New Roman" w:hAnsi="Times New Roman" w:cs="Times New Roman"/>
          <w:sz w:val="24"/>
          <w:szCs w:val="24"/>
        </w:rPr>
        <w:t xml:space="preserve"> tools, which would indicate when a recommendation or content has been produced or influenced by a tool designed to use AI to find their best interests, in line with the trust research outlined in section 2.5 (Article 50, 2025b; Yuan et al., 2024). This should be complemented by a formal data governance framework, </w:t>
      </w:r>
      <w:r w:rsidRPr="00294673">
        <w:rPr>
          <w:rFonts w:ascii="Times New Roman" w:hAnsi="Times New Roman" w:cs="Times New Roman"/>
          <w:sz w:val="24"/>
          <w:szCs w:val="24"/>
        </w:rPr>
        <w:t>modelled</w:t>
      </w:r>
      <w:r w:rsidRPr="00294673">
        <w:rPr>
          <w:rFonts w:ascii="Times New Roman" w:hAnsi="Times New Roman" w:cs="Times New Roman"/>
          <w:sz w:val="24"/>
          <w:szCs w:val="24"/>
        </w:rPr>
        <w:t xml:space="preserve"> in the spirit of Janssen et al. (2020) and designed to data quality standards, data stewards' responsibilities and an escalation path for data issues.</w:t>
      </w:r>
    </w:p>
    <w:p w14:paraId="1123BC88" w14:textId="16A00D35" w:rsidR="00C359CE" w:rsidRPr="00294673" w:rsidRDefault="00C359CE"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Finally, Unilever should consider an independent annual audit that is published together with sustainability reporting, in line with </w:t>
      </w:r>
      <w:proofErr w:type="spellStart"/>
      <w:r w:rsidRPr="00294673">
        <w:rPr>
          <w:rFonts w:ascii="Times New Roman" w:hAnsi="Times New Roman" w:cs="Times New Roman"/>
          <w:sz w:val="24"/>
          <w:szCs w:val="24"/>
        </w:rPr>
        <w:t>Primec</w:t>
      </w:r>
      <w:proofErr w:type="spellEnd"/>
      <w:r w:rsidRPr="00294673">
        <w:rPr>
          <w:rFonts w:ascii="Times New Roman" w:hAnsi="Times New Roman" w:cs="Times New Roman"/>
          <w:sz w:val="24"/>
          <w:szCs w:val="24"/>
        </w:rPr>
        <w:t xml:space="preserve">, Belak and </w:t>
      </w:r>
      <w:proofErr w:type="spellStart"/>
      <w:r w:rsidRPr="00294673">
        <w:rPr>
          <w:rFonts w:ascii="Times New Roman" w:hAnsi="Times New Roman" w:cs="Times New Roman"/>
          <w:sz w:val="24"/>
          <w:szCs w:val="24"/>
        </w:rPr>
        <w:t>Čufar</w:t>
      </w:r>
      <w:proofErr w:type="spellEnd"/>
      <w:r w:rsidRPr="00294673">
        <w:rPr>
          <w:rFonts w:ascii="Times New Roman" w:hAnsi="Times New Roman" w:cs="Times New Roman"/>
          <w:sz w:val="24"/>
          <w:szCs w:val="24"/>
        </w:rPr>
        <w:t xml:space="preserve"> (2026) who highlighted the reporting depth gap, examining Unilever's AI governance practices annually. This should be followed by ongoing investments in the data infrastructure </w:t>
      </w:r>
      <w:r w:rsidRPr="00294673">
        <w:rPr>
          <w:rFonts w:ascii="Times New Roman" w:hAnsi="Times New Roman" w:cs="Times New Roman"/>
          <w:sz w:val="24"/>
          <w:szCs w:val="24"/>
        </w:rPr>
        <w:t>underpinning the resource-based advantage presented in 2.1, as Kolesnik (2025) makes it clear that data quality is a leading constraint on</w:t>
      </w:r>
      <w:r w:rsidRPr="00294673">
        <w:rPr>
          <w:rFonts w:ascii="Times New Roman" w:hAnsi="Times New Roman" w:cs="Times New Roman"/>
          <w:sz w:val="24"/>
          <w:szCs w:val="24"/>
        </w:rPr>
        <w:t xml:space="preserve"> continued AI-powered marketing benefits.</w:t>
      </w:r>
    </w:p>
    <w:p w14:paraId="634D2FAC" w14:textId="482BC62B" w:rsidR="00C359CE" w:rsidRPr="00294673" w:rsidRDefault="00C359CE"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The </w:t>
      </w:r>
      <w:proofErr w:type="gramStart"/>
      <w:r w:rsidRPr="00294673">
        <w:rPr>
          <w:rFonts w:ascii="Times New Roman" w:hAnsi="Times New Roman" w:cs="Times New Roman"/>
          <w:sz w:val="24"/>
          <w:szCs w:val="24"/>
        </w:rPr>
        <w:t>costing</w:t>
      </w:r>
      <w:proofErr w:type="gramEnd"/>
      <w:r w:rsidRPr="00294673">
        <w:rPr>
          <w:rFonts w:ascii="Times New Roman" w:hAnsi="Times New Roman" w:cs="Times New Roman"/>
          <w:sz w:val="24"/>
          <w:szCs w:val="24"/>
        </w:rPr>
        <w:t xml:space="preserve"> of each recommendation has been indicative and based on the scale of the investment in marketing and technology already undertaken by Unilever, whose group brand and marketing spend is already over sixteen per cent of its turnover of €50.5 billion (</w:t>
      </w:r>
      <w:proofErr w:type="spellStart"/>
      <w:r w:rsidRPr="00294673">
        <w:rPr>
          <w:rFonts w:ascii="Times New Roman" w:hAnsi="Times New Roman" w:cs="Times New Roman"/>
          <w:sz w:val="24"/>
          <w:szCs w:val="24"/>
        </w:rPr>
        <w:t>Investegate</w:t>
      </w:r>
      <w:proofErr w:type="spellEnd"/>
      <w:r w:rsidRPr="00294673">
        <w:rPr>
          <w:rFonts w:ascii="Times New Roman" w:hAnsi="Times New Roman" w:cs="Times New Roman"/>
          <w:sz w:val="24"/>
          <w:szCs w:val="24"/>
        </w:rPr>
        <w:t>, 2025). These actions should be integrated into the current annual budget cycle of Unilever and not be viewed as additional spending</w:t>
      </w:r>
      <w:r w:rsidRPr="00294673">
        <w:rPr>
          <w:rFonts w:ascii="Times New Roman" w:hAnsi="Times New Roman" w:cs="Times New Roman"/>
          <w:sz w:val="24"/>
          <w:szCs w:val="24"/>
        </w:rPr>
        <w:t>, and they will probably be resisted by some within Unilever, so change management, in addition to the technical work,</w:t>
      </w:r>
      <w:r w:rsidRPr="00294673">
        <w:rPr>
          <w:rFonts w:ascii="Times New Roman" w:hAnsi="Times New Roman" w:cs="Times New Roman"/>
          <w:sz w:val="24"/>
          <w:szCs w:val="24"/>
        </w:rPr>
        <w:t xml:space="preserve"> will be required. Existing roles have been identified as the Chief Data Officer and as appropriate, the Business Group marketing team, with ownership having been assigned to these roles because as </w:t>
      </w:r>
      <w:proofErr w:type="spellStart"/>
      <w:r w:rsidRPr="00294673">
        <w:rPr>
          <w:rFonts w:ascii="Times New Roman" w:hAnsi="Times New Roman" w:cs="Times New Roman"/>
          <w:sz w:val="24"/>
          <w:szCs w:val="24"/>
        </w:rPr>
        <w:t>Salamzadeh</w:t>
      </w:r>
      <w:proofErr w:type="spellEnd"/>
      <w:r w:rsidRPr="00294673">
        <w:rPr>
          <w:rFonts w:ascii="Times New Roman" w:hAnsi="Times New Roman" w:cs="Times New Roman"/>
          <w:sz w:val="24"/>
          <w:szCs w:val="24"/>
        </w:rPr>
        <w:t xml:space="preserve"> (2025) states, responsible AI governance is more likely to be effective when integrated into existing accountability, not a stand-alone entity.</w:t>
      </w:r>
    </w:p>
    <w:p w14:paraId="2C79432C" w14:textId="77777777" w:rsidR="00353015" w:rsidRPr="003D1CFD" w:rsidRDefault="00000000" w:rsidP="003D1CFD">
      <w:pPr>
        <w:pStyle w:val="Heading1"/>
        <w:spacing w:line="360" w:lineRule="auto"/>
      </w:pPr>
      <w:bookmarkStart w:id="28" w:name="_Toc235421464"/>
      <w:bookmarkStart w:id="29" w:name="_Toc235422136"/>
      <w:bookmarkStart w:id="30" w:name="_Toc235700038"/>
      <w:r w:rsidRPr="00294673">
        <w:t>4. Conclusion</w:t>
      </w:r>
      <w:bookmarkEnd w:id="28"/>
      <w:bookmarkEnd w:id="29"/>
      <w:bookmarkEnd w:id="30"/>
    </w:p>
    <w:p w14:paraId="33E8A2EF" w14:textId="1C6FF400" w:rsidR="00C359CE" w:rsidRPr="00294673" w:rsidRDefault="00C359CE"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This report </w:t>
      </w:r>
      <w:proofErr w:type="gramStart"/>
      <w:r w:rsidRPr="00294673">
        <w:rPr>
          <w:rFonts w:ascii="Times New Roman" w:hAnsi="Times New Roman" w:cs="Times New Roman"/>
          <w:sz w:val="24"/>
          <w:szCs w:val="24"/>
        </w:rPr>
        <w:t>aimed</w:t>
      </w:r>
      <w:proofErr w:type="gramEnd"/>
      <w:r w:rsidRPr="00294673">
        <w:rPr>
          <w:rFonts w:ascii="Times New Roman" w:hAnsi="Times New Roman" w:cs="Times New Roman"/>
          <w:sz w:val="24"/>
          <w:szCs w:val="24"/>
        </w:rPr>
        <w:t xml:space="preserve"> to recommend to Unilever the potential threats and opportunities of using AI in consumer marketing, highlighting a comparison between the UK and </w:t>
      </w:r>
      <w:r w:rsidR="00294673" w:rsidRPr="00294673">
        <w:rPr>
          <w:rFonts w:ascii="Times New Roman" w:hAnsi="Times New Roman" w:cs="Times New Roman"/>
          <w:sz w:val="24"/>
          <w:szCs w:val="24"/>
        </w:rPr>
        <w:t xml:space="preserve">the </w:t>
      </w:r>
      <w:r w:rsidRPr="00294673">
        <w:rPr>
          <w:rFonts w:ascii="Times New Roman" w:hAnsi="Times New Roman" w:cs="Times New Roman"/>
          <w:sz w:val="24"/>
          <w:szCs w:val="24"/>
        </w:rPr>
        <w:t>European Union. The evidence presented indicates that, although the current strategy of AI is working for Unilever and is having real and measurable commercial results, this is based on a resource advantage namely</w:t>
      </w:r>
      <w:r w:rsidR="00294673" w:rsidRPr="00294673">
        <w:rPr>
          <w:rFonts w:ascii="Times New Roman" w:hAnsi="Times New Roman" w:cs="Times New Roman"/>
          <w:sz w:val="24"/>
          <w:szCs w:val="24"/>
        </w:rPr>
        <w:t>,</w:t>
      </w:r>
      <w:r w:rsidRPr="00294673">
        <w:rPr>
          <w:rFonts w:ascii="Times New Roman" w:hAnsi="Times New Roman" w:cs="Times New Roman"/>
          <w:sz w:val="24"/>
          <w:szCs w:val="24"/>
        </w:rPr>
        <w:t xml:space="preserve"> access to their own consumer data and </w:t>
      </w:r>
      <w:proofErr w:type="spellStart"/>
      <w:r w:rsidR="00294673" w:rsidRPr="00294673">
        <w:rPr>
          <w:rFonts w:ascii="Times New Roman" w:hAnsi="Times New Roman" w:cs="Times New Roman"/>
          <w:sz w:val="24"/>
          <w:szCs w:val="24"/>
        </w:rPr>
        <w:t>organisational</w:t>
      </w:r>
      <w:proofErr w:type="spellEnd"/>
      <w:r w:rsidRPr="00294673">
        <w:rPr>
          <w:rFonts w:ascii="Times New Roman" w:hAnsi="Times New Roman" w:cs="Times New Roman"/>
          <w:sz w:val="24"/>
          <w:szCs w:val="24"/>
        </w:rPr>
        <w:t xml:space="preserve"> capabilities – which is not necessarily protected from eroding (Kolesnik, 2025; Unilever, 2024b; Unilever PLC, 2025a).</w:t>
      </w:r>
    </w:p>
    <w:p w14:paraId="7EBF8735" w14:textId="0DF05B3A" w:rsidR="00C359CE" w:rsidRPr="00294673" w:rsidRDefault="00C359CE"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The PESTLE analysis highlighted the different approaches of the United Kingdom and the European Union to the regulation of AI, the former with existing regulators applying existing principles</w:t>
      </w:r>
      <w:r w:rsidR="00294673" w:rsidRPr="00294673">
        <w:rPr>
          <w:rFonts w:ascii="Times New Roman" w:hAnsi="Times New Roman" w:cs="Times New Roman"/>
          <w:sz w:val="24"/>
          <w:szCs w:val="24"/>
        </w:rPr>
        <w:t>,</w:t>
      </w:r>
      <w:r w:rsidRPr="00294673">
        <w:rPr>
          <w:rFonts w:ascii="Times New Roman" w:hAnsi="Times New Roman" w:cs="Times New Roman"/>
          <w:sz w:val="24"/>
          <w:szCs w:val="24"/>
        </w:rPr>
        <w:t xml:space="preserve"> while </w:t>
      </w:r>
      <w:r w:rsidRPr="00294673">
        <w:rPr>
          <w:rFonts w:ascii="Times New Roman" w:hAnsi="Times New Roman" w:cs="Times New Roman"/>
          <w:sz w:val="24"/>
          <w:szCs w:val="24"/>
        </w:rPr>
        <w:lastRenderedPageBreak/>
        <w:t xml:space="preserve">the EU was taking a more </w:t>
      </w:r>
      <w:proofErr w:type="spellStart"/>
      <w:r w:rsidRPr="00294673">
        <w:rPr>
          <w:rFonts w:ascii="Times New Roman" w:hAnsi="Times New Roman" w:cs="Times New Roman"/>
          <w:sz w:val="24"/>
          <w:szCs w:val="24"/>
        </w:rPr>
        <w:t>formalised</w:t>
      </w:r>
      <w:proofErr w:type="spellEnd"/>
      <w:r w:rsidRPr="00294673">
        <w:rPr>
          <w:rFonts w:ascii="Times New Roman" w:hAnsi="Times New Roman" w:cs="Times New Roman"/>
          <w:sz w:val="24"/>
          <w:szCs w:val="24"/>
        </w:rPr>
        <w:t xml:space="preserve"> approach through the adoption of the AI Act (Article 50, 2025b; Department for Science, Innovation and Technology, 2023). The difference in these costs and opportunities has economic implications, as compliance costs and market </w:t>
      </w:r>
      <w:proofErr w:type="gramStart"/>
      <w:r w:rsidRPr="00294673">
        <w:rPr>
          <w:rFonts w:ascii="Times New Roman" w:hAnsi="Times New Roman" w:cs="Times New Roman"/>
          <w:sz w:val="24"/>
          <w:szCs w:val="24"/>
        </w:rPr>
        <w:t>opportunity</w:t>
      </w:r>
      <w:proofErr w:type="gramEnd"/>
      <w:r w:rsidRPr="00294673">
        <w:rPr>
          <w:rFonts w:ascii="Times New Roman" w:hAnsi="Times New Roman" w:cs="Times New Roman"/>
          <w:sz w:val="24"/>
          <w:szCs w:val="24"/>
        </w:rPr>
        <w:t xml:space="preserve"> vary significantly across the two regions (Market Data Forecast, 2024; IBISWorld, 2025). The data governance and consumer trust analysis in </w:t>
      </w:r>
      <w:r w:rsidR="00294673" w:rsidRPr="00294673">
        <w:rPr>
          <w:rFonts w:ascii="Times New Roman" w:hAnsi="Times New Roman" w:cs="Times New Roman"/>
          <w:sz w:val="24"/>
          <w:szCs w:val="24"/>
        </w:rPr>
        <w:t>sections</w:t>
      </w:r>
      <w:r w:rsidRPr="00294673">
        <w:rPr>
          <w:rFonts w:ascii="Times New Roman" w:hAnsi="Times New Roman" w:cs="Times New Roman"/>
          <w:sz w:val="24"/>
          <w:szCs w:val="24"/>
        </w:rPr>
        <w:t xml:space="preserve"> 2.4 and 2.5 reiterated the same message: Technical compliance and real consumer trust go hand in hand but are not synonymous; Unilever cannot take the latter for granted if it is the former that is achieved.</w:t>
      </w:r>
    </w:p>
    <w:p w14:paraId="14B2FB09" w14:textId="478EC881" w:rsidR="00C359CE" w:rsidRPr="00294673" w:rsidRDefault="00C359CE"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The implementation plan in section three was intended to bridge the gap between analysis and action by assigning named ownership to each recommendation, and indicative costs and explicit risk mitigation to each proposal, not making them generic enough to be applicable to any company. The analysis is constrained by its reliance on public disclosure: Unilever's internal governance mechanisms, along with those of its direct competitors, are not publicly observable from outside the </w:t>
      </w:r>
      <w:proofErr w:type="spellStart"/>
      <w:r w:rsidRPr="00294673">
        <w:rPr>
          <w:rFonts w:ascii="Times New Roman" w:hAnsi="Times New Roman" w:cs="Times New Roman"/>
          <w:sz w:val="24"/>
          <w:szCs w:val="24"/>
        </w:rPr>
        <w:t>organisation</w:t>
      </w:r>
      <w:proofErr w:type="spellEnd"/>
      <w:r w:rsidR="00294673" w:rsidRPr="00294673">
        <w:rPr>
          <w:rFonts w:ascii="Times New Roman" w:hAnsi="Times New Roman" w:cs="Times New Roman"/>
          <w:sz w:val="24"/>
          <w:szCs w:val="24"/>
        </w:rPr>
        <w:t>. A more comprehensive analysis would require</w:t>
      </w:r>
      <w:r w:rsidRPr="00294673">
        <w:rPr>
          <w:rFonts w:ascii="Times New Roman" w:hAnsi="Times New Roman" w:cs="Times New Roman"/>
          <w:sz w:val="24"/>
          <w:szCs w:val="24"/>
        </w:rPr>
        <w:t xml:space="preserve"> primary access to internal AI risk documentation, a logical next step for RFD </w:t>
      </w:r>
      <w:proofErr w:type="spellStart"/>
      <w:r w:rsidRPr="00294673">
        <w:rPr>
          <w:rFonts w:ascii="Times New Roman" w:hAnsi="Times New Roman" w:cs="Times New Roman"/>
          <w:sz w:val="24"/>
          <w:szCs w:val="24"/>
        </w:rPr>
        <w:t>Global's</w:t>
      </w:r>
      <w:proofErr w:type="spellEnd"/>
      <w:r w:rsidRPr="00294673">
        <w:rPr>
          <w:rFonts w:ascii="Times New Roman" w:hAnsi="Times New Roman" w:cs="Times New Roman"/>
          <w:sz w:val="24"/>
          <w:szCs w:val="24"/>
        </w:rPr>
        <w:t xml:space="preserve"> engagement.</w:t>
      </w:r>
    </w:p>
    <w:p w14:paraId="66BA057A" w14:textId="2E9C3E2F" w:rsidR="00C359CE" w:rsidRPr="00294673" w:rsidRDefault="00C359CE"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The overall conclusion of this report is that the ability to make effective marketing decisions using AI algorithms will not be the sole determinant of Unilever's competitiveness, but rather the trust in the governance that surrounds them. A company that is consistently and transparently proving that its AI systems are fair, well governed and accountable in the UK market and in the EU market is going to turn a technological edge into a lasting one. It is simple to say, but not easy to do, and that's the advice that RFD Global has been </w:t>
      </w:r>
      <w:proofErr w:type="gramStart"/>
      <w:r w:rsidRPr="00294673">
        <w:rPr>
          <w:rFonts w:ascii="Times New Roman" w:hAnsi="Times New Roman" w:cs="Times New Roman"/>
          <w:sz w:val="24"/>
          <w:szCs w:val="24"/>
        </w:rPr>
        <w:t>given:</w:t>
      </w:r>
      <w:proofErr w:type="gramEnd"/>
      <w:r w:rsidRPr="00294673">
        <w:rPr>
          <w:rFonts w:ascii="Times New Roman" w:hAnsi="Times New Roman" w:cs="Times New Roman"/>
          <w:sz w:val="24"/>
          <w:szCs w:val="24"/>
        </w:rPr>
        <w:t xml:space="preserve"> governance must be done now, before a regulatory finding or a trust incident – when Unilever has the financial space and public </w:t>
      </w:r>
      <w:r w:rsidR="00294673" w:rsidRPr="00294673">
        <w:rPr>
          <w:rFonts w:ascii="Times New Roman" w:hAnsi="Times New Roman" w:cs="Times New Roman"/>
          <w:sz w:val="24"/>
          <w:szCs w:val="24"/>
        </w:rPr>
        <w:t>goodwill</w:t>
      </w:r>
      <w:r w:rsidRPr="00294673">
        <w:rPr>
          <w:rFonts w:ascii="Times New Roman" w:hAnsi="Times New Roman" w:cs="Times New Roman"/>
          <w:sz w:val="24"/>
          <w:szCs w:val="24"/>
        </w:rPr>
        <w:t xml:space="preserve"> to make it happen on </w:t>
      </w:r>
      <w:r w:rsidR="00294673" w:rsidRPr="00294673">
        <w:rPr>
          <w:rFonts w:ascii="Times New Roman" w:hAnsi="Times New Roman" w:cs="Times New Roman"/>
          <w:sz w:val="24"/>
          <w:szCs w:val="24"/>
        </w:rPr>
        <w:t>its</w:t>
      </w:r>
      <w:r w:rsidRPr="00294673">
        <w:rPr>
          <w:rFonts w:ascii="Times New Roman" w:hAnsi="Times New Roman" w:cs="Times New Roman"/>
          <w:sz w:val="24"/>
          <w:szCs w:val="24"/>
        </w:rPr>
        <w:t xml:space="preserve"> terms. Before the first governance committee</w:t>
      </w:r>
      <w:r w:rsidR="00294673" w:rsidRPr="00294673">
        <w:rPr>
          <w:rFonts w:ascii="Times New Roman" w:hAnsi="Times New Roman" w:cs="Times New Roman"/>
          <w:sz w:val="24"/>
          <w:szCs w:val="24"/>
        </w:rPr>
        <w:t>, as outlined in section three,</w:t>
      </w:r>
      <w:r w:rsidRPr="00294673">
        <w:rPr>
          <w:rFonts w:ascii="Times New Roman" w:hAnsi="Times New Roman" w:cs="Times New Roman"/>
          <w:sz w:val="24"/>
          <w:szCs w:val="24"/>
        </w:rPr>
        <w:t xml:space="preserve"> is held, RFD Global should aim to gain direct access to Unilever's internal AI governance documentation, which is slated for the Beauty and Wellbeing business group.</w:t>
      </w:r>
    </w:p>
    <w:p w14:paraId="30DBC5DF" w14:textId="2D292876" w:rsidR="00353015" w:rsidRPr="00294673" w:rsidRDefault="00000000" w:rsidP="003D1CFD">
      <w:pPr>
        <w:pStyle w:val="Heading1"/>
        <w:spacing w:line="360" w:lineRule="auto"/>
      </w:pPr>
      <w:r w:rsidRPr="00294673">
        <w:br w:type="page"/>
      </w:r>
      <w:bookmarkStart w:id="31" w:name="_Toc235421465"/>
      <w:bookmarkStart w:id="32" w:name="_Toc235422137"/>
      <w:bookmarkStart w:id="33" w:name="_Toc235700039"/>
      <w:r w:rsidRPr="00294673">
        <w:lastRenderedPageBreak/>
        <w:t>Bibliography</w:t>
      </w:r>
      <w:bookmarkEnd w:id="31"/>
      <w:bookmarkEnd w:id="32"/>
      <w:bookmarkEnd w:id="33"/>
    </w:p>
    <w:p w14:paraId="7A42D0AD"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'A theoretical, diagnostic review of SWOT, pestle, porter's 5 five forces models, as a strategic analytical planning tools for the business environment' (2025) </w:t>
      </w:r>
      <w:proofErr w:type="spellStart"/>
      <w:r w:rsidRPr="00294673">
        <w:rPr>
          <w:rFonts w:ascii="Times New Roman" w:hAnsi="Times New Roman" w:cs="Times New Roman"/>
          <w:sz w:val="24"/>
          <w:szCs w:val="24"/>
        </w:rPr>
        <w:t>Texila</w:t>
      </w:r>
      <w:proofErr w:type="spellEnd"/>
      <w:r w:rsidRPr="00294673">
        <w:rPr>
          <w:rFonts w:ascii="Times New Roman" w:hAnsi="Times New Roman" w:cs="Times New Roman"/>
          <w:sz w:val="24"/>
          <w:szCs w:val="24"/>
        </w:rPr>
        <w:t xml:space="preserve"> International Journal of Management, [online] 11(02). doi:10.21522/tijmg.2015.11.</w:t>
      </w:r>
      <w:proofErr w:type="gramStart"/>
      <w:r w:rsidRPr="00294673">
        <w:rPr>
          <w:rFonts w:ascii="Times New Roman" w:hAnsi="Times New Roman" w:cs="Times New Roman"/>
          <w:sz w:val="24"/>
          <w:szCs w:val="24"/>
        </w:rPr>
        <w:t>02.art</w:t>
      </w:r>
      <w:proofErr w:type="gramEnd"/>
      <w:r w:rsidRPr="00294673">
        <w:rPr>
          <w:rFonts w:ascii="Times New Roman" w:hAnsi="Times New Roman" w:cs="Times New Roman"/>
          <w:sz w:val="24"/>
          <w:szCs w:val="24"/>
        </w:rPr>
        <w:t>047.</w:t>
      </w:r>
    </w:p>
    <w:p w14:paraId="704C86CA"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Adnan, M. (2025) 'The EU AI Act: A proactive framework for comprehensive AI regulation', International Journal of Law and Information Technology, [online] 33. Available at: </w:t>
      </w:r>
      <w:hyperlink r:id="rId10" w:history="1">
        <w:r w:rsidR="00F81D3B" w:rsidRPr="00294673">
          <w:rPr>
            <w:rStyle w:val="Hyperlink"/>
            <w:rFonts w:ascii="Times New Roman" w:hAnsi="Times New Roman" w:cs="Times New Roman"/>
            <w:sz w:val="24"/>
            <w:szCs w:val="24"/>
          </w:rPr>
          <w:t>https://academic.oup.com/ijlit/article/doi/10.1093/ijlit/eaaf028/8404086</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1</w:t>
      </w:r>
      <w:r w:rsidR="00F81D3B" w:rsidRPr="00294673">
        <w:rPr>
          <w:rFonts w:ascii="Times New Roman" w:hAnsi="Times New Roman" w:cs="Times New Roman"/>
          <w:sz w:val="24"/>
          <w:szCs w:val="24"/>
        </w:rPr>
        <w:t>8</w:t>
      </w:r>
      <w:r w:rsidRPr="00294673">
        <w:rPr>
          <w:rFonts w:ascii="Times New Roman" w:hAnsi="Times New Roman" w:cs="Times New Roman"/>
          <w:sz w:val="24"/>
          <w:szCs w:val="24"/>
        </w:rPr>
        <w:t xml:space="preserve"> July 2026).</w:t>
      </w:r>
    </w:p>
    <w:p w14:paraId="42DBDCA8"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Alipour, P., Gallegos, E.E. and Sridhar, S. (2024) 'AI-driven marketing personalization: Deploying convolutional neural networks to decode consumer behavior', International Journal of Human–Computer Interaction, pp.1–19. doi:10.1080/10447318.2024.2432455.</w:t>
      </w:r>
    </w:p>
    <w:p w14:paraId="07ACFAD1"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Aloisi, A. (2022) 'Platform work in Europe: Lessons learned, legal developments and challenges ahead', European </w:t>
      </w:r>
      <w:proofErr w:type="spellStart"/>
      <w:r w:rsidRPr="00294673">
        <w:rPr>
          <w:rFonts w:ascii="Times New Roman" w:hAnsi="Times New Roman" w:cs="Times New Roman"/>
          <w:sz w:val="24"/>
          <w:szCs w:val="24"/>
        </w:rPr>
        <w:t>Labour</w:t>
      </w:r>
      <w:proofErr w:type="spellEnd"/>
      <w:r w:rsidRPr="00294673">
        <w:rPr>
          <w:rFonts w:ascii="Times New Roman" w:hAnsi="Times New Roman" w:cs="Times New Roman"/>
          <w:sz w:val="24"/>
          <w:szCs w:val="24"/>
        </w:rPr>
        <w:t xml:space="preserve"> Law Journal, 13(1), pp.4–29. doi:10.1177/20319525211062557.</w:t>
      </w:r>
    </w:p>
    <w:p w14:paraId="121ED8FA"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'Article 50: Transparency obligations for providers and users of certain AI systems and GPAI models' (2025) EU Artificial Intelligence Act. [online] Available at: https://artificialintelligenceact.eu/article/50/ (Accessed </w:t>
      </w:r>
      <w:r w:rsidR="00F81D3B" w:rsidRPr="00294673">
        <w:rPr>
          <w:rFonts w:ascii="Times New Roman" w:hAnsi="Times New Roman" w:cs="Times New Roman"/>
          <w:sz w:val="24"/>
          <w:szCs w:val="24"/>
        </w:rPr>
        <w:t>18</w:t>
      </w:r>
      <w:r w:rsidRPr="00294673">
        <w:rPr>
          <w:rFonts w:ascii="Times New Roman" w:hAnsi="Times New Roman" w:cs="Times New Roman"/>
          <w:sz w:val="24"/>
          <w:szCs w:val="24"/>
        </w:rPr>
        <w:t xml:space="preserve"> July 2026).</w:t>
      </w:r>
    </w:p>
    <w:p w14:paraId="4476B960"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Braidwood, J. (2026) 'UK AI regulation guide, April 2026: The pro-innovation approach', [online] Glacis. Available at: </w:t>
      </w:r>
      <w:hyperlink r:id="rId11" w:history="1">
        <w:r w:rsidR="00F81D3B" w:rsidRPr="00294673">
          <w:rPr>
            <w:rStyle w:val="Hyperlink"/>
            <w:rFonts w:ascii="Times New Roman" w:hAnsi="Times New Roman" w:cs="Times New Roman"/>
            <w:sz w:val="24"/>
            <w:szCs w:val="24"/>
          </w:rPr>
          <w:t>https://www.glacis.io/guide-uk-ai-regulation</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1</w:t>
      </w:r>
      <w:r w:rsidR="00F81D3B" w:rsidRPr="00294673">
        <w:rPr>
          <w:rFonts w:ascii="Times New Roman" w:hAnsi="Times New Roman" w:cs="Times New Roman"/>
          <w:sz w:val="24"/>
          <w:szCs w:val="24"/>
        </w:rPr>
        <w:t>8</w:t>
      </w:r>
      <w:r w:rsidRPr="00294673">
        <w:rPr>
          <w:rFonts w:ascii="Times New Roman" w:hAnsi="Times New Roman" w:cs="Times New Roman"/>
          <w:sz w:val="24"/>
          <w:szCs w:val="24"/>
        </w:rPr>
        <w:t xml:space="preserve"> July 2026).</w:t>
      </w:r>
    </w:p>
    <w:p w14:paraId="19B26774" w14:textId="0083C85D"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Buye, R. (2021) 'Critical examination of the PESTEL analysis model', [online] ResearchGate. Available at: </w:t>
      </w:r>
      <w:proofErr w:type="gramStart"/>
      <w:r w:rsidRPr="00294673">
        <w:rPr>
          <w:rFonts w:ascii="Times New Roman" w:hAnsi="Times New Roman" w:cs="Times New Roman"/>
          <w:sz w:val="24"/>
          <w:szCs w:val="24"/>
        </w:rPr>
        <w:t xml:space="preserve">https://www.researchgate.net/publication/349506325_Critical_examination_of_the_PESTEL_Analysis_Model </w:t>
      </w:r>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w:t>
      </w:r>
      <w:proofErr w:type="gramEnd"/>
      <w:r w:rsidRPr="00294673">
        <w:rPr>
          <w:rFonts w:ascii="Times New Roman" w:hAnsi="Times New Roman" w:cs="Times New Roman"/>
          <w:sz w:val="24"/>
          <w:szCs w:val="24"/>
        </w:rPr>
        <w:t xml:space="preserve">Accessed </w:t>
      </w:r>
      <w:r w:rsidR="003D1CFD">
        <w:rPr>
          <w:rFonts w:ascii="Times New Roman" w:hAnsi="Times New Roman" w:cs="Times New Roman"/>
          <w:sz w:val="24"/>
          <w:szCs w:val="24"/>
        </w:rPr>
        <w:t>1</w:t>
      </w:r>
      <w:r w:rsidR="00F81D3B" w:rsidRPr="00294673">
        <w:rPr>
          <w:rFonts w:ascii="Times New Roman" w:hAnsi="Times New Roman" w:cs="Times New Roman"/>
          <w:sz w:val="24"/>
          <w:szCs w:val="24"/>
        </w:rPr>
        <w:t>8</w:t>
      </w:r>
      <w:r w:rsidRPr="00294673">
        <w:rPr>
          <w:rFonts w:ascii="Times New Roman" w:hAnsi="Times New Roman" w:cs="Times New Roman"/>
          <w:sz w:val="24"/>
          <w:szCs w:val="24"/>
        </w:rPr>
        <w:t xml:space="preserve"> July 2026).</w:t>
      </w:r>
    </w:p>
    <w:p w14:paraId="6C377CDE"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Cillo, P. and Rubera, G. (2024) 'Generative AI in innovation and marketing processes: A roadmap of research opportunities', Journal of the Academy of Marketing Science, 53, pp.684–701. doi:10.1007/s11747-024-01044-7.</w:t>
      </w:r>
    </w:p>
    <w:p w14:paraId="27BE458A"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de Lucas López, A.P., </w:t>
      </w:r>
      <w:proofErr w:type="spellStart"/>
      <w:r w:rsidRPr="00294673">
        <w:rPr>
          <w:rFonts w:ascii="Times New Roman" w:hAnsi="Times New Roman" w:cs="Times New Roman"/>
          <w:sz w:val="24"/>
          <w:szCs w:val="24"/>
        </w:rPr>
        <w:t>Gorneanu</w:t>
      </w:r>
      <w:proofErr w:type="spellEnd"/>
      <w:r w:rsidRPr="00294673">
        <w:rPr>
          <w:rFonts w:ascii="Times New Roman" w:hAnsi="Times New Roman" w:cs="Times New Roman"/>
          <w:sz w:val="24"/>
          <w:szCs w:val="24"/>
        </w:rPr>
        <w:t xml:space="preserve">, A.E., </w:t>
      </w:r>
      <w:proofErr w:type="spellStart"/>
      <w:r w:rsidRPr="00294673">
        <w:rPr>
          <w:rFonts w:ascii="Times New Roman" w:hAnsi="Times New Roman" w:cs="Times New Roman"/>
          <w:sz w:val="24"/>
          <w:szCs w:val="24"/>
        </w:rPr>
        <w:t>Aránega</w:t>
      </w:r>
      <w:proofErr w:type="spellEnd"/>
      <w:r w:rsidRPr="00294673">
        <w:rPr>
          <w:rFonts w:ascii="Times New Roman" w:hAnsi="Times New Roman" w:cs="Times New Roman"/>
          <w:sz w:val="24"/>
          <w:szCs w:val="24"/>
        </w:rPr>
        <w:t xml:space="preserve">, A.Y. and Gallego Martín, L. (2026) 'Ethics, transparency, and consumer trust in AI-enabled pricing: Implications for sustainable technology entrepreneurship and economic policy', Sustainable Technology and Entrepreneurship, [online] 5(2), p.100131. </w:t>
      </w:r>
      <w:proofErr w:type="gramStart"/>
      <w:r w:rsidRPr="00294673">
        <w:rPr>
          <w:rFonts w:ascii="Times New Roman" w:hAnsi="Times New Roman" w:cs="Times New Roman"/>
          <w:sz w:val="24"/>
          <w:szCs w:val="24"/>
        </w:rPr>
        <w:t>doi:10.1016/j.stae</w:t>
      </w:r>
      <w:proofErr w:type="gramEnd"/>
      <w:r w:rsidRPr="00294673">
        <w:rPr>
          <w:rFonts w:ascii="Times New Roman" w:hAnsi="Times New Roman" w:cs="Times New Roman"/>
          <w:sz w:val="24"/>
          <w:szCs w:val="24"/>
        </w:rPr>
        <w:t>.2026.100131.</w:t>
      </w:r>
    </w:p>
    <w:p w14:paraId="497E8065"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Department for Science, Innovation and Technology (2023) A pro-innovation approach to AI regulation. [online] Available at: </w:t>
      </w:r>
      <w:hyperlink r:id="rId12" w:history="1">
        <w:r w:rsidR="00F81D3B" w:rsidRPr="00294673">
          <w:rPr>
            <w:rStyle w:val="Hyperlink"/>
            <w:rFonts w:ascii="Times New Roman" w:hAnsi="Times New Roman" w:cs="Times New Roman"/>
            <w:sz w:val="24"/>
            <w:szCs w:val="24"/>
          </w:rPr>
          <w:t>https://assets.publishing.service.gov.uk/media/64cb71a547915a00142a91c4/a-pro-innovation-approach-to-ai-regulation-amended-web-ready.pdf</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w:t>
      </w:r>
      <w:r w:rsidR="00F81D3B" w:rsidRPr="00294673">
        <w:rPr>
          <w:rFonts w:ascii="Times New Roman" w:hAnsi="Times New Roman" w:cs="Times New Roman"/>
          <w:sz w:val="24"/>
          <w:szCs w:val="24"/>
        </w:rPr>
        <w:t>18</w:t>
      </w:r>
      <w:r w:rsidRPr="00294673">
        <w:rPr>
          <w:rFonts w:ascii="Times New Roman" w:hAnsi="Times New Roman" w:cs="Times New Roman"/>
          <w:sz w:val="24"/>
          <w:szCs w:val="24"/>
        </w:rPr>
        <w:t xml:space="preserve"> July 2026).</w:t>
      </w:r>
    </w:p>
    <w:p w14:paraId="1510848D"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Thangavel, V. (2025) 'Revolution of AI in hyper-personalization marketing of FMCG'. doi:10.2139/ssrn.5038511.</w:t>
      </w:r>
    </w:p>
    <w:p w14:paraId="35B9D13E" w14:textId="77777777" w:rsidR="00353015" w:rsidRPr="00294673" w:rsidRDefault="00000000" w:rsidP="003D1CFD">
      <w:pPr>
        <w:spacing w:after="200" w:line="360" w:lineRule="auto"/>
        <w:jc w:val="both"/>
        <w:rPr>
          <w:rFonts w:ascii="Times New Roman" w:hAnsi="Times New Roman" w:cs="Times New Roman"/>
          <w:sz w:val="24"/>
          <w:szCs w:val="24"/>
        </w:rPr>
      </w:pPr>
      <w:proofErr w:type="spellStart"/>
      <w:r w:rsidRPr="00294673">
        <w:rPr>
          <w:rFonts w:ascii="Times New Roman" w:hAnsi="Times New Roman" w:cs="Times New Roman"/>
          <w:sz w:val="24"/>
          <w:szCs w:val="24"/>
        </w:rPr>
        <w:t>Papagiannidis</w:t>
      </w:r>
      <w:proofErr w:type="spellEnd"/>
      <w:r w:rsidRPr="00294673">
        <w:rPr>
          <w:rFonts w:ascii="Times New Roman" w:hAnsi="Times New Roman" w:cs="Times New Roman"/>
          <w:sz w:val="24"/>
          <w:szCs w:val="24"/>
        </w:rPr>
        <w:t xml:space="preserve">, E., </w:t>
      </w:r>
      <w:proofErr w:type="spellStart"/>
      <w:r w:rsidRPr="00294673">
        <w:rPr>
          <w:rFonts w:ascii="Times New Roman" w:hAnsi="Times New Roman" w:cs="Times New Roman"/>
          <w:sz w:val="24"/>
          <w:szCs w:val="24"/>
        </w:rPr>
        <w:t>Mikalef</w:t>
      </w:r>
      <w:proofErr w:type="spellEnd"/>
      <w:r w:rsidRPr="00294673">
        <w:rPr>
          <w:rFonts w:ascii="Times New Roman" w:hAnsi="Times New Roman" w:cs="Times New Roman"/>
          <w:sz w:val="24"/>
          <w:szCs w:val="24"/>
        </w:rPr>
        <w:t xml:space="preserve">, P. and Conboy, K. (2025) 'Responsible artificial intelligence governance: A review and research framework', The Journal of Strategic Information Systems, [online] 34(2). </w:t>
      </w:r>
      <w:proofErr w:type="gramStart"/>
      <w:r w:rsidRPr="00294673">
        <w:rPr>
          <w:rFonts w:ascii="Times New Roman" w:hAnsi="Times New Roman" w:cs="Times New Roman"/>
          <w:sz w:val="24"/>
          <w:szCs w:val="24"/>
        </w:rPr>
        <w:t>doi:10.1016/j.jsis</w:t>
      </w:r>
      <w:proofErr w:type="gramEnd"/>
      <w:r w:rsidRPr="00294673">
        <w:rPr>
          <w:rFonts w:ascii="Times New Roman" w:hAnsi="Times New Roman" w:cs="Times New Roman"/>
          <w:sz w:val="24"/>
          <w:szCs w:val="24"/>
        </w:rPr>
        <w:t>.2024.101885.</w:t>
      </w:r>
    </w:p>
    <w:p w14:paraId="349CFDF5"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GDPR (2018) General Data Protection Regulation (GDPR). [online] Available at: https://gdpr-info.eu/ (Accessed </w:t>
      </w:r>
      <w:r w:rsidR="00F81D3B" w:rsidRPr="00294673">
        <w:rPr>
          <w:rFonts w:ascii="Times New Roman" w:hAnsi="Times New Roman" w:cs="Times New Roman"/>
          <w:sz w:val="24"/>
          <w:szCs w:val="24"/>
        </w:rPr>
        <w:t>18</w:t>
      </w:r>
      <w:r w:rsidRPr="00294673">
        <w:rPr>
          <w:rFonts w:ascii="Times New Roman" w:hAnsi="Times New Roman" w:cs="Times New Roman"/>
          <w:sz w:val="24"/>
          <w:szCs w:val="24"/>
        </w:rPr>
        <w:t xml:space="preserve"> July 2026).</w:t>
      </w:r>
    </w:p>
    <w:p w14:paraId="05C76FF5"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Goncalves, A. and Correia, A. (2026) 'XAI-Compliance-by-Design: A modular framework for GDPR- and AI Act-aligned decision transparency in high-risk AI systems', Journal of Cybersecurity and Privacy, 6(2), p.43. doi:10.3390/jcp6020043.</w:t>
      </w:r>
    </w:p>
    <w:p w14:paraId="4F1EB636"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IAB (2025) 'AI adoption is surging in advertising, but is the industry prepared for responsible AI?', [online] IAB. Available at: </w:t>
      </w:r>
      <w:hyperlink r:id="rId13" w:history="1">
        <w:r w:rsidR="00F81D3B" w:rsidRPr="00294673">
          <w:rPr>
            <w:rStyle w:val="Hyperlink"/>
            <w:rFonts w:ascii="Times New Roman" w:hAnsi="Times New Roman" w:cs="Times New Roman"/>
            <w:sz w:val="24"/>
            <w:szCs w:val="24"/>
          </w:rPr>
          <w:t>https://www.iab.com/insights/ai-adoption-is-surging-in-advertising-but-is-the-industry-prepared-for-responsible-ai/</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1</w:t>
      </w:r>
      <w:r w:rsidR="00F81D3B" w:rsidRPr="00294673">
        <w:rPr>
          <w:rFonts w:ascii="Times New Roman" w:hAnsi="Times New Roman" w:cs="Times New Roman"/>
          <w:sz w:val="24"/>
          <w:szCs w:val="24"/>
        </w:rPr>
        <w:t>8</w:t>
      </w:r>
      <w:r w:rsidRPr="00294673">
        <w:rPr>
          <w:rFonts w:ascii="Times New Roman" w:hAnsi="Times New Roman" w:cs="Times New Roman"/>
          <w:sz w:val="24"/>
          <w:szCs w:val="24"/>
        </w:rPr>
        <w:t xml:space="preserve"> July 2026).</w:t>
      </w:r>
    </w:p>
    <w:p w14:paraId="684115E6"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IBISWorld (2025) 'E-Commerce in Europe - market research report (2016-2031)', [online] Available at: </w:t>
      </w:r>
      <w:hyperlink r:id="rId14" w:history="1">
        <w:r w:rsidR="00F81D3B" w:rsidRPr="00294673">
          <w:rPr>
            <w:rStyle w:val="Hyperlink"/>
            <w:rFonts w:ascii="Times New Roman" w:hAnsi="Times New Roman" w:cs="Times New Roman"/>
            <w:sz w:val="24"/>
            <w:szCs w:val="24"/>
          </w:rPr>
          <w:t>https://img.ibisworld.com/europe/industry/e-commerce/200600</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1</w:t>
      </w:r>
      <w:r w:rsidR="00F81D3B" w:rsidRPr="00294673">
        <w:rPr>
          <w:rFonts w:ascii="Times New Roman" w:hAnsi="Times New Roman" w:cs="Times New Roman"/>
          <w:sz w:val="24"/>
          <w:szCs w:val="24"/>
        </w:rPr>
        <w:t>8</w:t>
      </w:r>
      <w:r w:rsidRPr="00294673">
        <w:rPr>
          <w:rFonts w:ascii="Times New Roman" w:hAnsi="Times New Roman" w:cs="Times New Roman"/>
          <w:sz w:val="24"/>
          <w:szCs w:val="24"/>
        </w:rPr>
        <w:t xml:space="preserve"> July 2026).</w:t>
      </w:r>
    </w:p>
    <w:p w14:paraId="23F2020E" w14:textId="32DC4126"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ICO (2023) 'Guidance on AI and data protection', [online] ico.org.uk. Available at: </w:t>
      </w:r>
      <w:hyperlink r:id="rId15" w:history="1">
        <w:r w:rsidR="003D1CFD" w:rsidRPr="00A6400F">
          <w:rPr>
            <w:rStyle w:val="Hyperlink"/>
            <w:rFonts w:ascii="Times New Roman" w:hAnsi="Times New Roman" w:cs="Times New Roman"/>
            <w:sz w:val="24"/>
            <w:szCs w:val="24"/>
          </w:rPr>
          <w:t>https://ico.org.uk/for-organisations/uk-gdpr-guidance-and-resources/artificial-intelligence/guidance-on-ai-and-data-protection/</w:t>
        </w:r>
      </w:hyperlink>
      <w:r w:rsidR="003D1CFD">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w:t>
      </w:r>
      <w:r w:rsidR="003D1CFD">
        <w:rPr>
          <w:rFonts w:ascii="Times New Roman" w:hAnsi="Times New Roman" w:cs="Times New Roman"/>
          <w:sz w:val="24"/>
          <w:szCs w:val="24"/>
        </w:rPr>
        <w:t>15</w:t>
      </w:r>
      <w:r w:rsidRPr="00294673">
        <w:rPr>
          <w:rFonts w:ascii="Times New Roman" w:hAnsi="Times New Roman" w:cs="Times New Roman"/>
          <w:sz w:val="24"/>
          <w:szCs w:val="24"/>
        </w:rPr>
        <w:t xml:space="preserve"> July 2026).</w:t>
      </w:r>
    </w:p>
    <w:p w14:paraId="1645A356"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IMARC Group (2026) 'Europe artificial intelligence market size and report 2034', [online] Available at: </w:t>
      </w:r>
      <w:hyperlink r:id="rId16" w:history="1">
        <w:r w:rsidR="00F81D3B" w:rsidRPr="00294673">
          <w:rPr>
            <w:rStyle w:val="Hyperlink"/>
            <w:rFonts w:ascii="Times New Roman" w:hAnsi="Times New Roman" w:cs="Times New Roman"/>
            <w:sz w:val="24"/>
            <w:szCs w:val="24"/>
          </w:rPr>
          <w:t>https://www.imarcgroup.com/europe-artificial-intelligence-market</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1</w:t>
      </w:r>
      <w:r w:rsidR="00F81D3B" w:rsidRPr="00294673">
        <w:rPr>
          <w:rFonts w:ascii="Times New Roman" w:hAnsi="Times New Roman" w:cs="Times New Roman"/>
          <w:sz w:val="24"/>
          <w:szCs w:val="24"/>
        </w:rPr>
        <w:t>8</w:t>
      </w:r>
      <w:r w:rsidRPr="00294673">
        <w:rPr>
          <w:rFonts w:ascii="Times New Roman" w:hAnsi="Times New Roman" w:cs="Times New Roman"/>
          <w:sz w:val="24"/>
          <w:szCs w:val="24"/>
        </w:rPr>
        <w:t xml:space="preserve"> July 2026).</w:t>
      </w:r>
    </w:p>
    <w:p w14:paraId="0897E254"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Information Commissioner's Office (2024) Regulating AI: The ICO's strategic approach. [online] Available at: </w:t>
      </w:r>
      <w:hyperlink r:id="rId17" w:history="1">
        <w:r w:rsidR="00F81D3B" w:rsidRPr="00294673">
          <w:rPr>
            <w:rStyle w:val="Hyperlink"/>
            <w:rFonts w:ascii="Times New Roman" w:hAnsi="Times New Roman" w:cs="Times New Roman"/>
            <w:sz w:val="24"/>
            <w:szCs w:val="24"/>
          </w:rPr>
          <w:t>https://ico.org.uk/media2/migrated/4029424/regulating-ai-the-icos-strategic-approach.pdf</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1</w:t>
      </w:r>
      <w:r w:rsidR="00F81D3B" w:rsidRPr="00294673">
        <w:rPr>
          <w:rFonts w:ascii="Times New Roman" w:hAnsi="Times New Roman" w:cs="Times New Roman"/>
          <w:sz w:val="24"/>
          <w:szCs w:val="24"/>
        </w:rPr>
        <w:t>8</w:t>
      </w:r>
      <w:r w:rsidRPr="00294673">
        <w:rPr>
          <w:rFonts w:ascii="Times New Roman" w:hAnsi="Times New Roman" w:cs="Times New Roman"/>
          <w:sz w:val="24"/>
          <w:szCs w:val="24"/>
        </w:rPr>
        <w:t xml:space="preserve"> July 2026).</w:t>
      </w:r>
      <w:r w:rsidR="00F81D3B" w:rsidRPr="00294673">
        <w:rPr>
          <w:rFonts w:ascii="Times New Roman" w:hAnsi="Times New Roman" w:cs="Times New Roman"/>
          <w:sz w:val="24"/>
          <w:szCs w:val="24"/>
        </w:rPr>
        <w:t xml:space="preserve"> </w:t>
      </w:r>
    </w:p>
    <w:p w14:paraId="45D259F3"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International Journal of Accounting &amp; Information Management (2026) [Pragmatic adaptation of the ISO 31000 enterprise risk management framework], [online] ResearchGate. Available at: </w:t>
      </w:r>
      <w:hyperlink r:id="rId18" w:history="1">
        <w:r w:rsidR="00F81D3B" w:rsidRPr="00294673">
          <w:rPr>
            <w:rStyle w:val="Hyperlink"/>
            <w:rFonts w:ascii="Times New Roman" w:hAnsi="Times New Roman" w:cs="Times New Roman"/>
            <w:sz w:val="24"/>
            <w:szCs w:val="24"/>
          </w:rPr>
          <w:t>https://www.researchgate.net/publication/281769091</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(Accessed 1</w:t>
      </w:r>
      <w:r w:rsidR="00F81D3B" w:rsidRPr="00294673">
        <w:rPr>
          <w:rFonts w:ascii="Times New Roman" w:hAnsi="Times New Roman" w:cs="Times New Roman"/>
          <w:sz w:val="24"/>
          <w:szCs w:val="24"/>
        </w:rPr>
        <w:t>8</w:t>
      </w:r>
      <w:r w:rsidRPr="00294673">
        <w:rPr>
          <w:rFonts w:ascii="Times New Roman" w:hAnsi="Times New Roman" w:cs="Times New Roman"/>
          <w:sz w:val="24"/>
          <w:szCs w:val="24"/>
        </w:rPr>
        <w:t xml:space="preserve"> July 2026).</w:t>
      </w:r>
    </w:p>
    <w:p w14:paraId="31D1AA47"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lastRenderedPageBreak/>
        <w:t xml:space="preserve">International Organization for Standardization (2021) 'ISO 31000 family — risk management', [online] ISO. Available at: </w:t>
      </w:r>
      <w:hyperlink r:id="rId19" w:history="1">
        <w:r w:rsidR="00F81D3B" w:rsidRPr="00294673">
          <w:rPr>
            <w:rStyle w:val="Hyperlink"/>
            <w:rFonts w:ascii="Times New Roman" w:hAnsi="Times New Roman" w:cs="Times New Roman"/>
            <w:sz w:val="24"/>
            <w:szCs w:val="24"/>
          </w:rPr>
          <w:t>https://www.iso.org/standards/popular/iso-31000-family</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1</w:t>
      </w:r>
      <w:r w:rsidR="00F81D3B" w:rsidRPr="00294673">
        <w:rPr>
          <w:rFonts w:ascii="Times New Roman" w:hAnsi="Times New Roman" w:cs="Times New Roman"/>
          <w:sz w:val="24"/>
          <w:szCs w:val="24"/>
        </w:rPr>
        <w:t>8</w:t>
      </w:r>
      <w:r w:rsidRPr="00294673">
        <w:rPr>
          <w:rFonts w:ascii="Times New Roman" w:hAnsi="Times New Roman" w:cs="Times New Roman"/>
          <w:sz w:val="24"/>
          <w:szCs w:val="24"/>
        </w:rPr>
        <w:t xml:space="preserve"> July 2026).</w:t>
      </w:r>
    </w:p>
    <w:p w14:paraId="537E27F4" w14:textId="77777777" w:rsidR="00353015" w:rsidRPr="00294673" w:rsidRDefault="00000000" w:rsidP="003D1CFD">
      <w:pPr>
        <w:spacing w:after="200" w:line="360" w:lineRule="auto"/>
        <w:jc w:val="both"/>
        <w:rPr>
          <w:rFonts w:ascii="Times New Roman" w:hAnsi="Times New Roman" w:cs="Times New Roman"/>
          <w:sz w:val="24"/>
          <w:szCs w:val="24"/>
        </w:rPr>
      </w:pPr>
      <w:proofErr w:type="spellStart"/>
      <w:r w:rsidRPr="00294673">
        <w:rPr>
          <w:rFonts w:ascii="Times New Roman" w:hAnsi="Times New Roman" w:cs="Times New Roman"/>
          <w:sz w:val="24"/>
          <w:szCs w:val="24"/>
        </w:rPr>
        <w:t>Investegate</w:t>
      </w:r>
      <w:proofErr w:type="spellEnd"/>
      <w:r w:rsidRPr="00294673">
        <w:rPr>
          <w:rFonts w:ascii="Times New Roman" w:hAnsi="Times New Roman" w:cs="Times New Roman"/>
          <w:sz w:val="24"/>
          <w:szCs w:val="24"/>
        </w:rPr>
        <w:t xml:space="preserve"> (2025) '2025 Full year results: Company announcement', [online] Available at: </w:t>
      </w:r>
      <w:hyperlink r:id="rId20" w:history="1">
        <w:r w:rsidR="00F81D3B" w:rsidRPr="00294673">
          <w:rPr>
            <w:rStyle w:val="Hyperlink"/>
            <w:rFonts w:ascii="Times New Roman" w:hAnsi="Times New Roman" w:cs="Times New Roman"/>
            <w:sz w:val="24"/>
            <w:szCs w:val="24"/>
          </w:rPr>
          <w:t>https://www.investegate.co.uk/announcement/rns/unilever--</w:t>
        </w:r>
        <w:proofErr w:type="spellStart"/>
        <w:r w:rsidR="00F81D3B" w:rsidRPr="00294673">
          <w:rPr>
            <w:rStyle w:val="Hyperlink"/>
            <w:rFonts w:ascii="Times New Roman" w:hAnsi="Times New Roman" w:cs="Times New Roman"/>
            <w:sz w:val="24"/>
            <w:szCs w:val="24"/>
          </w:rPr>
          <w:t>ulvr</w:t>
        </w:r>
        <w:proofErr w:type="spellEnd"/>
        <w:r w:rsidR="00F81D3B" w:rsidRPr="00294673">
          <w:rPr>
            <w:rStyle w:val="Hyperlink"/>
            <w:rFonts w:ascii="Times New Roman" w:hAnsi="Times New Roman" w:cs="Times New Roman"/>
            <w:sz w:val="24"/>
            <w:szCs w:val="24"/>
          </w:rPr>
          <w:t>/2025-full-year-results/9426818</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w:t>
      </w:r>
      <w:r w:rsidR="00F81D3B" w:rsidRPr="00294673">
        <w:rPr>
          <w:rFonts w:ascii="Times New Roman" w:hAnsi="Times New Roman" w:cs="Times New Roman"/>
          <w:sz w:val="24"/>
          <w:szCs w:val="24"/>
        </w:rPr>
        <w:t>18</w:t>
      </w:r>
      <w:r w:rsidRPr="00294673">
        <w:rPr>
          <w:rFonts w:ascii="Times New Roman" w:hAnsi="Times New Roman" w:cs="Times New Roman"/>
          <w:sz w:val="24"/>
          <w:szCs w:val="24"/>
        </w:rPr>
        <w:t xml:space="preserve"> July 2026).</w:t>
      </w:r>
    </w:p>
    <w:p w14:paraId="29CFA464"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Iyer, P. and Bright, L.F. (2026) 'Protecting consumers, empowering brands: Privacy remedies for artificial intelligence in marketing', Encyclopedia of Artificial Intelligence in Marketing, pp.1–9. doi:10.1007/978-3-031-75316-9_27-1.</w:t>
      </w:r>
    </w:p>
    <w:p w14:paraId="1DE2679F"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Janssen, M., Brous, P., Estevez, E., Barbosa, L.S. and Janowski, T. (2020) 'Data governance: Organizing data for trustworthy artificial intelligence', Government Information Quarterly, [online] 37(3), p.101493. </w:t>
      </w:r>
      <w:proofErr w:type="gramStart"/>
      <w:r w:rsidRPr="00294673">
        <w:rPr>
          <w:rFonts w:ascii="Times New Roman" w:hAnsi="Times New Roman" w:cs="Times New Roman"/>
          <w:sz w:val="24"/>
          <w:szCs w:val="24"/>
        </w:rPr>
        <w:t>doi:10.1016/j.giq</w:t>
      </w:r>
      <w:proofErr w:type="gramEnd"/>
      <w:r w:rsidRPr="00294673">
        <w:rPr>
          <w:rFonts w:ascii="Times New Roman" w:hAnsi="Times New Roman" w:cs="Times New Roman"/>
          <w:sz w:val="24"/>
          <w:szCs w:val="24"/>
        </w:rPr>
        <w:t>.2020.101493.</w:t>
      </w:r>
    </w:p>
    <w:p w14:paraId="11AE09B1"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Kolesnik, Y. (2025) 'Organizational and technological barriers to AI-driven marketing strategies in FMCG: Implications for social media campaign performance enhancement', Journal of Marketing Analytics. doi:10.1057/s41270-025-00444-0.</w:t>
      </w:r>
    </w:p>
    <w:p w14:paraId="5CB6975A"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Kumar, V., Kotler, P., Gupta, S. and Rajan, B. (2024) 'Generative AI in marketing: Promises, perils, and public policy implications', Journal of Public Policy &amp; Marketing. doi:10.1177/07439156241286499.</w:t>
      </w:r>
    </w:p>
    <w:p w14:paraId="63D93F8B"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Laux, J., Wachter, S. and Mittelstadt, B. (2023) 'Trustworthy artificial intelligence and the European Union AI act: On the conflation of trustworthiness and acceptability of risk', Regulation &amp; Governance, 18(1). doi:10.1111/rego.12512.</w:t>
      </w:r>
    </w:p>
    <w:p w14:paraId="2067AE42"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López Jiménez, D., Dittmar, E.C. and Vargas Portillo, J.P. (2022) 'Consumer trust in the digital environment', Law, State and Telecommunications Review, 14(1), pp.113–138. doi:10.26512/</w:t>
      </w:r>
      <w:proofErr w:type="gramStart"/>
      <w:r w:rsidRPr="00294673">
        <w:rPr>
          <w:rFonts w:ascii="Times New Roman" w:hAnsi="Times New Roman" w:cs="Times New Roman"/>
          <w:sz w:val="24"/>
          <w:szCs w:val="24"/>
        </w:rPr>
        <w:t>lstr.v</w:t>
      </w:r>
      <w:proofErr w:type="gramEnd"/>
      <w:r w:rsidRPr="00294673">
        <w:rPr>
          <w:rFonts w:ascii="Times New Roman" w:hAnsi="Times New Roman" w:cs="Times New Roman"/>
          <w:sz w:val="24"/>
          <w:szCs w:val="24"/>
        </w:rPr>
        <w:t>14i1.37820.</w:t>
      </w:r>
    </w:p>
    <w:p w14:paraId="4494EFFF"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Market Data Forecast (2024) 'Europe artificial intelligence (AI) market size &amp; share 2033', [online] Available at: </w:t>
      </w:r>
      <w:hyperlink r:id="rId21" w:history="1">
        <w:r w:rsidR="00F81D3B" w:rsidRPr="00294673">
          <w:rPr>
            <w:rStyle w:val="Hyperlink"/>
            <w:rFonts w:ascii="Times New Roman" w:hAnsi="Times New Roman" w:cs="Times New Roman"/>
            <w:sz w:val="24"/>
            <w:szCs w:val="24"/>
          </w:rPr>
          <w:t>https://www.marketdataforecast.com/market-reports/europe-ai-market</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w:t>
      </w:r>
      <w:r w:rsidR="00F81D3B" w:rsidRPr="00294673">
        <w:rPr>
          <w:rFonts w:ascii="Times New Roman" w:hAnsi="Times New Roman" w:cs="Times New Roman"/>
          <w:sz w:val="24"/>
          <w:szCs w:val="24"/>
        </w:rPr>
        <w:t>18</w:t>
      </w:r>
      <w:r w:rsidRPr="00294673">
        <w:rPr>
          <w:rFonts w:ascii="Times New Roman" w:hAnsi="Times New Roman" w:cs="Times New Roman"/>
          <w:sz w:val="24"/>
          <w:szCs w:val="24"/>
        </w:rPr>
        <w:t xml:space="preserve"> July 2026).</w:t>
      </w:r>
    </w:p>
    <w:p w14:paraId="20C7D132"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Markou, V., Serdaris, P., Antoniadis, I. and </w:t>
      </w:r>
      <w:proofErr w:type="spellStart"/>
      <w:r w:rsidRPr="00294673">
        <w:rPr>
          <w:rFonts w:ascii="Times New Roman" w:hAnsi="Times New Roman" w:cs="Times New Roman"/>
          <w:sz w:val="24"/>
          <w:szCs w:val="24"/>
        </w:rPr>
        <w:t>Spinthiropoulos</w:t>
      </w:r>
      <w:proofErr w:type="spellEnd"/>
      <w:r w:rsidRPr="00294673">
        <w:rPr>
          <w:rFonts w:ascii="Times New Roman" w:hAnsi="Times New Roman" w:cs="Times New Roman"/>
          <w:sz w:val="24"/>
          <w:szCs w:val="24"/>
        </w:rPr>
        <w:t>, K. (2025) 'Ethical consumer attitudes and trust in artificial intelligence in the digital marketplace: An empirical analysis of behavioral and value-driven determinants', Digital, [online] 6(1), pp.1–1. doi:10.3390/digital6010001.</w:t>
      </w:r>
    </w:p>
    <w:p w14:paraId="2CB1308D" w14:textId="77777777" w:rsidR="00353015" w:rsidRPr="00294673" w:rsidRDefault="00000000" w:rsidP="003D1CFD">
      <w:pPr>
        <w:spacing w:after="200" w:line="360" w:lineRule="auto"/>
        <w:jc w:val="both"/>
        <w:rPr>
          <w:rFonts w:ascii="Times New Roman" w:hAnsi="Times New Roman" w:cs="Times New Roman"/>
          <w:sz w:val="24"/>
          <w:szCs w:val="24"/>
        </w:rPr>
      </w:pPr>
      <w:proofErr w:type="spellStart"/>
      <w:r w:rsidRPr="00294673">
        <w:rPr>
          <w:rFonts w:ascii="Times New Roman" w:hAnsi="Times New Roman" w:cs="Times New Roman"/>
          <w:sz w:val="24"/>
          <w:szCs w:val="24"/>
        </w:rPr>
        <w:lastRenderedPageBreak/>
        <w:t>Primec</w:t>
      </w:r>
      <w:proofErr w:type="spellEnd"/>
      <w:r w:rsidRPr="00294673">
        <w:rPr>
          <w:rFonts w:ascii="Times New Roman" w:hAnsi="Times New Roman" w:cs="Times New Roman"/>
          <w:sz w:val="24"/>
          <w:szCs w:val="24"/>
        </w:rPr>
        <w:t xml:space="preserve">, A., Belak, J. and </w:t>
      </w:r>
      <w:proofErr w:type="spellStart"/>
      <w:r w:rsidRPr="00294673">
        <w:rPr>
          <w:rFonts w:ascii="Times New Roman" w:hAnsi="Times New Roman" w:cs="Times New Roman"/>
          <w:sz w:val="24"/>
          <w:szCs w:val="24"/>
        </w:rPr>
        <w:t>Čufar</w:t>
      </w:r>
      <w:proofErr w:type="spellEnd"/>
      <w:r w:rsidRPr="00294673">
        <w:rPr>
          <w:rFonts w:ascii="Times New Roman" w:hAnsi="Times New Roman" w:cs="Times New Roman"/>
          <w:sz w:val="24"/>
          <w:szCs w:val="24"/>
        </w:rPr>
        <w:t>, M. (2026) 'Artificial intelligence as an emerging risk dimension in corporate sustainability reporting: A legal and governance perspective', Sustainability, 18(5), p.2278. doi:10.3390/su18052278.</w:t>
      </w:r>
    </w:p>
    <w:p w14:paraId="24A04C58" w14:textId="77777777" w:rsidR="00353015" w:rsidRPr="00294673" w:rsidRDefault="00000000" w:rsidP="003D1CFD">
      <w:pPr>
        <w:spacing w:after="200" w:line="360" w:lineRule="auto"/>
        <w:jc w:val="both"/>
        <w:rPr>
          <w:rFonts w:ascii="Times New Roman" w:hAnsi="Times New Roman" w:cs="Times New Roman"/>
          <w:sz w:val="24"/>
          <w:szCs w:val="24"/>
        </w:rPr>
      </w:pPr>
      <w:proofErr w:type="spellStart"/>
      <w:r w:rsidRPr="00294673">
        <w:rPr>
          <w:rFonts w:ascii="Times New Roman" w:hAnsi="Times New Roman" w:cs="Times New Roman"/>
          <w:sz w:val="24"/>
          <w:szCs w:val="24"/>
        </w:rPr>
        <w:t>Rachmadhani</w:t>
      </w:r>
      <w:proofErr w:type="spellEnd"/>
      <w:r w:rsidRPr="00294673">
        <w:rPr>
          <w:rFonts w:ascii="Times New Roman" w:hAnsi="Times New Roman" w:cs="Times New Roman"/>
          <w:sz w:val="24"/>
          <w:szCs w:val="24"/>
        </w:rPr>
        <w:t xml:space="preserve">, M.M., </w:t>
      </w:r>
      <w:proofErr w:type="spellStart"/>
      <w:r w:rsidRPr="00294673">
        <w:rPr>
          <w:rFonts w:ascii="Times New Roman" w:hAnsi="Times New Roman" w:cs="Times New Roman"/>
          <w:sz w:val="24"/>
          <w:szCs w:val="24"/>
        </w:rPr>
        <w:t>Immawan</w:t>
      </w:r>
      <w:proofErr w:type="spellEnd"/>
      <w:r w:rsidRPr="00294673">
        <w:rPr>
          <w:rFonts w:ascii="Times New Roman" w:hAnsi="Times New Roman" w:cs="Times New Roman"/>
          <w:sz w:val="24"/>
          <w:szCs w:val="24"/>
        </w:rPr>
        <w:t>, T., Mansur, A. and Choi, W. (2023) 'Risk management framework design based on ISO 31000 and SCOR model', Spektrum Industri, [online] 21(1), pp.41–51. doi:10.12928/</w:t>
      </w:r>
      <w:proofErr w:type="gramStart"/>
      <w:r w:rsidRPr="00294673">
        <w:rPr>
          <w:rFonts w:ascii="Times New Roman" w:hAnsi="Times New Roman" w:cs="Times New Roman"/>
          <w:sz w:val="24"/>
          <w:szCs w:val="24"/>
        </w:rPr>
        <w:t>si.v</w:t>
      </w:r>
      <w:proofErr w:type="gramEnd"/>
      <w:r w:rsidRPr="00294673">
        <w:rPr>
          <w:rFonts w:ascii="Times New Roman" w:hAnsi="Times New Roman" w:cs="Times New Roman"/>
          <w:sz w:val="24"/>
          <w:szCs w:val="24"/>
        </w:rPr>
        <w:t>21i1.93.</w:t>
      </w:r>
    </w:p>
    <w:p w14:paraId="349D8B82"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Rajavi, K., Kushwaha, T. and Steenkamp, J.-B.E.M. (2019) 'In brands we trust? A multicategory, </w:t>
      </w:r>
      <w:proofErr w:type="spellStart"/>
      <w:r w:rsidRPr="00294673">
        <w:rPr>
          <w:rFonts w:ascii="Times New Roman" w:hAnsi="Times New Roman" w:cs="Times New Roman"/>
          <w:sz w:val="24"/>
          <w:szCs w:val="24"/>
        </w:rPr>
        <w:t>multicountry</w:t>
      </w:r>
      <w:proofErr w:type="spellEnd"/>
      <w:r w:rsidRPr="00294673">
        <w:rPr>
          <w:rFonts w:ascii="Times New Roman" w:hAnsi="Times New Roman" w:cs="Times New Roman"/>
          <w:sz w:val="24"/>
          <w:szCs w:val="24"/>
        </w:rPr>
        <w:t xml:space="preserve"> investigation of sensitivity of consumers' trust in brands to marketing-mix activities', Journal of Consumer Research, [online] 46(4), pp.651–670. doi:10.1093/</w:t>
      </w:r>
      <w:proofErr w:type="spellStart"/>
      <w:r w:rsidRPr="00294673">
        <w:rPr>
          <w:rFonts w:ascii="Times New Roman" w:hAnsi="Times New Roman" w:cs="Times New Roman"/>
          <w:sz w:val="24"/>
          <w:szCs w:val="24"/>
        </w:rPr>
        <w:t>jcr</w:t>
      </w:r>
      <w:proofErr w:type="spellEnd"/>
      <w:r w:rsidRPr="00294673">
        <w:rPr>
          <w:rFonts w:ascii="Times New Roman" w:hAnsi="Times New Roman" w:cs="Times New Roman"/>
          <w:sz w:val="24"/>
          <w:szCs w:val="24"/>
        </w:rPr>
        <w:t>/ucz026.</w:t>
      </w:r>
    </w:p>
    <w:p w14:paraId="1AFDD544" w14:textId="77777777" w:rsidR="00353015" w:rsidRPr="00294673" w:rsidRDefault="00000000" w:rsidP="003D1CFD">
      <w:pPr>
        <w:spacing w:after="200" w:line="360" w:lineRule="auto"/>
        <w:jc w:val="both"/>
        <w:rPr>
          <w:rFonts w:ascii="Times New Roman" w:hAnsi="Times New Roman" w:cs="Times New Roman"/>
          <w:sz w:val="24"/>
          <w:szCs w:val="24"/>
        </w:rPr>
      </w:pPr>
      <w:proofErr w:type="spellStart"/>
      <w:r w:rsidRPr="00294673">
        <w:rPr>
          <w:rFonts w:ascii="Times New Roman" w:hAnsi="Times New Roman" w:cs="Times New Roman"/>
          <w:sz w:val="24"/>
          <w:szCs w:val="24"/>
        </w:rPr>
        <w:t>Salamzadeh</w:t>
      </w:r>
      <w:proofErr w:type="spellEnd"/>
      <w:r w:rsidRPr="00294673">
        <w:rPr>
          <w:rFonts w:ascii="Times New Roman" w:hAnsi="Times New Roman" w:cs="Times New Roman"/>
          <w:sz w:val="24"/>
          <w:szCs w:val="24"/>
        </w:rPr>
        <w:t>, Y. (2025) 'Responsible AI in organizational decision-making: A conceptual framework', Contributions to Management Science, pp.65–78. doi:10.1007/978-3-032-02526-5_4.</w:t>
      </w:r>
    </w:p>
    <w:p w14:paraId="16EB5FC8"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Saurabh Pahune, Akhtar, Z., Venkatesh </w:t>
      </w:r>
      <w:proofErr w:type="spellStart"/>
      <w:r w:rsidRPr="00294673">
        <w:rPr>
          <w:rFonts w:ascii="Times New Roman" w:hAnsi="Times New Roman" w:cs="Times New Roman"/>
          <w:sz w:val="24"/>
          <w:szCs w:val="24"/>
        </w:rPr>
        <w:t>Mandapati</w:t>
      </w:r>
      <w:proofErr w:type="spellEnd"/>
      <w:r w:rsidRPr="00294673">
        <w:rPr>
          <w:rFonts w:ascii="Times New Roman" w:hAnsi="Times New Roman" w:cs="Times New Roman"/>
          <w:sz w:val="24"/>
          <w:szCs w:val="24"/>
        </w:rPr>
        <w:t xml:space="preserve"> and Siddique, K. (2025) 'The importance of AI data governance in large language models', Big Data and Cognitive Computing, [online] 9(6), pp.147–147. doi:10.3390/bdcc9060147.</w:t>
      </w:r>
    </w:p>
    <w:p w14:paraId="5EC63978" w14:textId="77777777" w:rsidR="00353015" w:rsidRPr="00294673" w:rsidRDefault="00000000" w:rsidP="003D1CFD">
      <w:pPr>
        <w:spacing w:after="200" w:line="360" w:lineRule="auto"/>
        <w:jc w:val="both"/>
        <w:rPr>
          <w:rFonts w:ascii="Times New Roman" w:hAnsi="Times New Roman" w:cs="Times New Roman"/>
          <w:sz w:val="24"/>
          <w:szCs w:val="24"/>
        </w:rPr>
      </w:pPr>
      <w:proofErr w:type="spellStart"/>
      <w:r w:rsidRPr="00294673">
        <w:rPr>
          <w:rFonts w:ascii="Times New Roman" w:hAnsi="Times New Roman" w:cs="Times New Roman"/>
          <w:sz w:val="24"/>
          <w:szCs w:val="24"/>
        </w:rPr>
        <w:t>Teepapal</w:t>
      </w:r>
      <w:proofErr w:type="spellEnd"/>
      <w:r w:rsidRPr="00294673">
        <w:rPr>
          <w:rFonts w:ascii="Times New Roman" w:hAnsi="Times New Roman" w:cs="Times New Roman"/>
          <w:sz w:val="24"/>
          <w:szCs w:val="24"/>
        </w:rPr>
        <w:t xml:space="preserve">, T. (2025) 'AI-driven personalization: Unraveling consumer perceptions in social media engagement', Computers in Human Behavior, 165, p.108549. </w:t>
      </w:r>
      <w:proofErr w:type="gramStart"/>
      <w:r w:rsidRPr="00294673">
        <w:rPr>
          <w:rFonts w:ascii="Times New Roman" w:hAnsi="Times New Roman" w:cs="Times New Roman"/>
          <w:sz w:val="24"/>
          <w:szCs w:val="24"/>
        </w:rPr>
        <w:t>doi:10.1016/j.chb</w:t>
      </w:r>
      <w:proofErr w:type="gramEnd"/>
      <w:r w:rsidRPr="00294673">
        <w:rPr>
          <w:rFonts w:ascii="Times New Roman" w:hAnsi="Times New Roman" w:cs="Times New Roman"/>
          <w:sz w:val="24"/>
          <w:szCs w:val="24"/>
        </w:rPr>
        <w:t>.2024.108549.</w:t>
      </w:r>
    </w:p>
    <w:p w14:paraId="7597AB2C"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Turki, H. (2025) 'AI-powered personalization in e-commerce: Governance, consumer behavior, and exploratory insights from big data analytics', Technology in Society, [online] 83, p.103033. </w:t>
      </w:r>
      <w:proofErr w:type="gramStart"/>
      <w:r w:rsidRPr="00294673">
        <w:rPr>
          <w:rFonts w:ascii="Times New Roman" w:hAnsi="Times New Roman" w:cs="Times New Roman"/>
          <w:sz w:val="24"/>
          <w:szCs w:val="24"/>
        </w:rPr>
        <w:t>doi:10.1016/j.techsoc</w:t>
      </w:r>
      <w:proofErr w:type="gramEnd"/>
      <w:r w:rsidRPr="00294673">
        <w:rPr>
          <w:rFonts w:ascii="Times New Roman" w:hAnsi="Times New Roman" w:cs="Times New Roman"/>
          <w:sz w:val="24"/>
          <w:szCs w:val="24"/>
        </w:rPr>
        <w:t>.2025.103033.</w:t>
      </w:r>
    </w:p>
    <w:p w14:paraId="568EBD7B" w14:textId="4A6514C2"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Unilever (2024a) Annual report and accounts 2024. [online] Available at: </w:t>
      </w:r>
      <w:hyperlink r:id="rId22" w:history="1">
        <w:r w:rsidR="00F81D3B" w:rsidRPr="00294673">
          <w:rPr>
            <w:rStyle w:val="Hyperlink"/>
            <w:rFonts w:ascii="Times New Roman" w:hAnsi="Times New Roman" w:cs="Times New Roman"/>
            <w:sz w:val="24"/>
            <w:szCs w:val="24"/>
          </w:rPr>
          <w:t>https://www.unilever.com/investors/annual-report-and-accounts/</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w:t>
      </w:r>
      <w:r w:rsidR="003D1CFD">
        <w:rPr>
          <w:rFonts w:ascii="Times New Roman" w:hAnsi="Times New Roman" w:cs="Times New Roman"/>
          <w:sz w:val="24"/>
          <w:szCs w:val="24"/>
        </w:rPr>
        <w:t>17</w:t>
      </w:r>
      <w:r w:rsidRPr="00294673">
        <w:rPr>
          <w:rFonts w:ascii="Times New Roman" w:hAnsi="Times New Roman" w:cs="Times New Roman"/>
          <w:sz w:val="24"/>
          <w:szCs w:val="24"/>
        </w:rPr>
        <w:t xml:space="preserve"> July 2026).</w:t>
      </w:r>
    </w:p>
    <w:p w14:paraId="3D07F352" w14:textId="5E60421A"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Unilever (2024b) 'How AI-powered ultra-</w:t>
      </w:r>
      <w:proofErr w:type="spellStart"/>
      <w:r w:rsidRPr="00294673">
        <w:rPr>
          <w:rFonts w:ascii="Times New Roman" w:hAnsi="Times New Roman" w:cs="Times New Roman"/>
          <w:sz w:val="24"/>
          <w:szCs w:val="24"/>
        </w:rPr>
        <w:t>personalised</w:t>
      </w:r>
      <w:proofErr w:type="spellEnd"/>
      <w:r w:rsidRPr="00294673">
        <w:rPr>
          <w:rFonts w:ascii="Times New Roman" w:hAnsi="Times New Roman" w:cs="Times New Roman"/>
          <w:sz w:val="24"/>
          <w:szCs w:val="24"/>
        </w:rPr>
        <w:t xml:space="preserve"> experiences are boosting our beauty brands', [online] Available at: </w:t>
      </w:r>
      <w:hyperlink r:id="rId23" w:history="1">
        <w:r w:rsidR="00F81D3B" w:rsidRPr="00294673">
          <w:rPr>
            <w:rStyle w:val="Hyperlink"/>
            <w:rFonts w:ascii="Times New Roman" w:hAnsi="Times New Roman" w:cs="Times New Roman"/>
            <w:sz w:val="24"/>
            <w:szCs w:val="24"/>
          </w:rPr>
          <w:t>https://www.unilever.com/news/news-search/2024/how-aipowered-ultrapersonalised-experiences-are-boosting-our-beauty-brands/</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w:t>
      </w:r>
      <w:r w:rsidR="003D1CFD">
        <w:rPr>
          <w:rFonts w:ascii="Times New Roman" w:hAnsi="Times New Roman" w:cs="Times New Roman"/>
          <w:sz w:val="24"/>
          <w:szCs w:val="24"/>
        </w:rPr>
        <w:t>17</w:t>
      </w:r>
      <w:r w:rsidRPr="00294673">
        <w:rPr>
          <w:rFonts w:ascii="Times New Roman" w:hAnsi="Times New Roman" w:cs="Times New Roman"/>
          <w:sz w:val="24"/>
          <w:szCs w:val="24"/>
        </w:rPr>
        <w:t xml:space="preserve"> July 2026).</w:t>
      </w:r>
    </w:p>
    <w:p w14:paraId="750E703F"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Unilever PLC (2025a) 'How AI is helping drive Desire at Scale across Unilever', [online] Available at: </w:t>
      </w:r>
      <w:hyperlink r:id="rId24" w:history="1">
        <w:r w:rsidR="00F81D3B" w:rsidRPr="00294673">
          <w:rPr>
            <w:rStyle w:val="Hyperlink"/>
            <w:rFonts w:ascii="Times New Roman" w:hAnsi="Times New Roman" w:cs="Times New Roman"/>
            <w:sz w:val="24"/>
            <w:szCs w:val="24"/>
          </w:rPr>
          <w:t>https://www.unilever.com/news/news-search/2025/how-ai-is-helping-drive-desire-at-scale-across-unilever/</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w:t>
      </w:r>
      <w:r w:rsidR="00F81D3B" w:rsidRPr="00294673">
        <w:rPr>
          <w:rFonts w:ascii="Times New Roman" w:hAnsi="Times New Roman" w:cs="Times New Roman"/>
          <w:sz w:val="24"/>
          <w:szCs w:val="24"/>
        </w:rPr>
        <w:t>18</w:t>
      </w:r>
      <w:r w:rsidRPr="00294673">
        <w:rPr>
          <w:rFonts w:ascii="Times New Roman" w:hAnsi="Times New Roman" w:cs="Times New Roman"/>
          <w:sz w:val="24"/>
          <w:szCs w:val="24"/>
        </w:rPr>
        <w:t xml:space="preserve"> July 2026).</w:t>
      </w:r>
    </w:p>
    <w:p w14:paraId="45F50A76" w14:textId="72A7475A"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Unilever PLC (2025b) 'How AI is transforming Unilever's personal care business', [online] Available at: </w:t>
      </w:r>
      <w:hyperlink r:id="rId25" w:history="1">
        <w:r w:rsidR="00F81D3B" w:rsidRPr="00294673">
          <w:rPr>
            <w:rStyle w:val="Hyperlink"/>
            <w:rFonts w:ascii="Times New Roman" w:hAnsi="Times New Roman" w:cs="Times New Roman"/>
            <w:sz w:val="24"/>
            <w:szCs w:val="24"/>
          </w:rPr>
          <w:t>https://www.unilever.com/news/news-search/2025/how-ai-is-transforming-unilevers-personal-care-business/</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w:t>
      </w:r>
      <w:r w:rsidR="003D1CFD">
        <w:rPr>
          <w:rFonts w:ascii="Times New Roman" w:hAnsi="Times New Roman" w:cs="Times New Roman"/>
          <w:sz w:val="24"/>
          <w:szCs w:val="24"/>
        </w:rPr>
        <w:t>17</w:t>
      </w:r>
      <w:r w:rsidRPr="00294673">
        <w:rPr>
          <w:rFonts w:ascii="Times New Roman" w:hAnsi="Times New Roman" w:cs="Times New Roman"/>
          <w:sz w:val="24"/>
          <w:szCs w:val="24"/>
        </w:rPr>
        <w:t xml:space="preserve"> July 2026).</w:t>
      </w:r>
    </w:p>
    <w:p w14:paraId="649F2828"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lastRenderedPageBreak/>
        <w:t xml:space="preserve">Unilever PLC (2026) 'Overview Q4-2025', [online] Available at: </w:t>
      </w:r>
      <w:hyperlink r:id="rId26" w:history="1">
        <w:r w:rsidR="00F81D3B" w:rsidRPr="00294673">
          <w:rPr>
            <w:rStyle w:val="Hyperlink"/>
            <w:rFonts w:ascii="Times New Roman" w:hAnsi="Times New Roman" w:cs="Times New Roman"/>
            <w:sz w:val="24"/>
            <w:szCs w:val="24"/>
          </w:rPr>
          <w:t>https://www.unilever.com/investors/results-events/results-events-webcasts/overview-q4-2025/</w:t>
        </w:r>
      </w:hyperlink>
      <w:r w:rsidR="00F81D3B" w:rsidRPr="00294673">
        <w:rPr>
          <w:rFonts w:ascii="Times New Roman" w:hAnsi="Times New Roman" w:cs="Times New Roman"/>
          <w:sz w:val="24"/>
          <w:szCs w:val="24"/>
        </w:rPr>
        <w:t xml:space="preserve"> </w:t>
      </w:r>
      <w:r w:rsidRPr="00294673">
        <w:rPr>
          <w:rFonts w:ascii="Times New Roman" w:hAnsi="Times New Roman" w:cs="Times New Roman"/>
          <w:sz w:val="24"/>
          <w:szCs w:val="24"/>
        </w:rPr>
        <w:t xml:space="preserve"> (Accessed </w:t>
      </w:r>
      <w:r w:rsidR="00F81D3B" w:rsidRPr="00294673">
        <w:rPr>
          <w:rFonts w:ascii="Times New Roman" w:hAnsi="Times New Roman" w:cs="Times New Roman"/>
          <w:sz w:val="24"/>
          <w:szCs w:val="24"/>
        </w:rPr>
        <w:t>18</w:t>
      </w:r>
      <w:r w:rsidRPr="00294673">
        <w:rPr>
          <w:rFonts w:ascii="Times New Roman" w:hAnsi="Times New Roman" w:cs="Times New Roman"/>
          <w:sz w:val="24"/>
          <w:szCs w:val="24"/>
        </w:rPr>
        <w:t xml:space="preserve"> July 2026).</w:t>
      </w:r>
    </w:p>
    <w:p w14:paraId="48D477D3" w14:textId="77777777" w:rsidR="00353015" w:rsidRPr="00294673" w:rsidRDefault="00000000" w:rsidP="003D1CFD">
      <w:pPr>
        <w:spacing w:after="200" w:line="360" w:lineRule="auto"/>
        <w:jc w:val="both"/>
        <w:rPr>
          <w:rFonts w:ascii="Times New Roman" w:hAnsi="Times New Roman" w:cs="Times New Roman"/>
          <w:sz w:val="24"/>
          <w:szCs w:val="24"/>
        </w:rPr>
      </w:pPr>
      <w:r w:rsidRPr="00294673">
        <w:rPr>
          <w:rFonts w:ascii="Times New Roman" w:hAnsi="Times New Roman" w:cs="Times New Roman"/>
          <w:sz w:val="24"/>
          <w:szCs w:val="24"/>
        </w:rPr>
        <w:t xml:space="preserve">Yuan, Y.-P., Liu, L., Tan, G.W.-H. and Ooi, K.-B. (2024) 'Do consumers' perceptions of algorithms and trusting beliefs in providers affect perceived structural assurances of AI-powered applications?', Telematics and Informatics, [online] 94, p.102188. </w:t>
      </w:r>
      <w:proofErr w:type="gramStart"/>
      <w:r w:rsidRPr="00294673">
        <w:rPr>
          <w:rFonts w:ascii="Times New Roman" w:hAnsi="Times New Roman" w:cs="Times New Roman"/>
          <w:sz w:val="24"/>
          <w:szCs w:val="24"/>
        </w:rPr>
        <w:t>doi:10.1016/j.tele</w:t>
      </w:r>
      <w:proofErr w:type="gramEnd"/>
      <w:r w:rsidRPr="00294673">
        <w:rPr>
          <w:rFonts w:ascii="Times New Roman" w:hAnsi="Times New Roman" w:cs="Times New Roman"/>
          <w:sz w:val="24"/>
          <w:szCs w:val="24"/>
        </w:rPr>
        <w:t>.2024.102188.</w:t>
      </w:r>
    </w:p>
    <w:sectPr w:rsidR="00353015" w:rsidRPr="00294673">
      <w:footerReference w:type="default" r:id="rId27"/>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964EE" w14:textId="77777777" w:rsidR="0009497E" w:rsidRDefault="0009497E" w:rsidP="00F81D3B">
      <w:pPr>
        <w:spacing w:after="0" w:line="240" w:lineRule="auto"/>
      </w:pPr>
      <w:r>
        <w:separator/>
      </w:r>
    </w:p>
  </w:endnote>
  <w:endnote w:type="continuationSeparator" w:id="0">
    <w:p w14:paraId="20775541" w14:textId="77777777" w:rsidR="0009497E" w:rsidRDefault="0009497E" w:rsidP="00F81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6216927"/>
      <w:docPartObj>
        <w:docPartGallery w:val="Page Numbers (Bottom of Page)"/>
        <w:docPartUnique/>
      </w:docPartObj>
    </w:sdtPr>
    <w:sdtEndPr>
      <w:rPr>
        <w:noProof/>
      </w:rPr>
    </w:sdtEndPr>
    <w:sdtContent>
      <w:p w14:paraId="6268D1B9" w14:textId="77777777" w:rsidR="00F81D3B" w:rsidRDefault="00F81D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428A62" w14:textId="77777777" w:rsidR="00F81D3B" w:rsidRDefault="00F81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98403" w14:textId="77777777" w:rsidR="0009497E" w:rsidRDefault="0009497E" w:rsidP="00F81D3B">
      <w:pPr>
        <w:spacing w:after="0" w:line="240" w:lineRule="auto"/>
      </w:pPr>
      <w:r>
        <w:separator/>
      </w:r>
    </w:p>
  </w:footnote>
  <w:footnote w:type="continuationSeparator" w:id="0">
    <w:p w14:paraId="7D6297CE" w14:textId="77777777" w:rsidR="0009497E" w:rsidRDefault="0009497E" w:rsidP="00F81D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509A8"/>
    <w:multiLevelType w:val="hybridMultilevel"/>
    <w:tmpl w:val="4A7AB9E2"/>
    <w:lvl w:ilvl="0" w:tplc="AC92D6A8">
      <w:start w:val="1"/>
      <w:numFmt w:val="bullet"/>
      <w:lvlText w:val="●"/>
      <w:lvlJc w:val="left"/>
      <w:pPr>
        <w:ind w:left="720" w:hanging="360"/>
      </w:pPr>
    </w:lvl>
    <w:lvl w:ilvl="1" w:tplc="7A162F04">
      <w:start w:val="1"/>
      <w:numFmt w:val="bullet"/>
      <w:lvlText w:val="○"/>
      <w:lvlJc w:val="left"/>
      <w:pPr>
        <w:ind w:left="1440" w:hanging="360"/>
      </w:pPr>
    </w:lvl>
    <w:lvl w:ilvl="2" w:tplc="39A26D0E">
      <w:start w:val="1"/>
      <w:numFmt w:val="bullet"/>
      <w:lvlText w:val="■"/>
      <w:lvlJc w:val="left"/>
      <w:pPr>
        <w:ind w:left="2160" w:hanging="360"/>
      </w:pPr>
    </w:lvl>
    <w:lvl w:ilvl="3" w:tplc="455C2C52">
      <w:start w:val="1"/>
      <w:numFmt w:val="bullet"/>
      <w:lvlText w:val="●"/>
      <w:lvlJc w:val="left"/>
      <w:pPr>
        <w:ind w:left="2880" w:hanging="360"/>
      </w:pPr>
    </w:lvl>
    <w:lvl w:ilvl="4" w:tplc="99FC08F8">
      <w:start w:val="1"/>
      <w:numFmt w:val="bullet"/>
      <w:lvlText w:val="○"/>
      <w:lvlJc w:val="left"/>
      <w:pPr>
        <w:ind w:left="3600" w:hanging="360"/>
      </w:pPr>
    </w:lvl>
    <w:lvl w:ilvl="5" w:tplc="7E10AE0A">
      <w:start w:val="1"/>
      <w:numFmt w:val="bullet"/>
      <w:lvlText w:val="■"/>
      <w:lvlJc w:val="left"/>
      <w:pPr>
        <w:ind w:left="4320" w:hanging="360"/>
      </w:pPr>
    </w:lvl>
    <w:lvl w:ilvl="6" w:tplc="4E847DA8">
      <w:start w:val="1"/>
      <w:numFmt w:val="bullet"/>
      <w:lvlText w:val="●"/>
      <w:lvlJc w:val="left"/>
      <w:pPr>
        <w:ind w:left="5040" w:hanging="360"/>
      </w:pPr>
    </w:lvl>
    <w:lvl w:ilvl="7" w:tplc="1E005D02">
      <w:start w:val="1"/>
      <w:numFmt w:val="bullet"/>
      <w:lvlText w:val="●"/>
      <w:lvlJc w:val="left"/>
      <w:pPr>
        <w:ind w:left="5760" w:hanging="360"/>
      </w:pPr>
    </w:lvl>
    <w:lvl w:ilvl="8" w:tplc="9E20B006">
      <w:start w:val="1"/>
      <w:numFmt w:val="bullet"/>
      <w:lvlText w:val="●"/>
      <w:lvlJc w:val="left"/>
      <w:pPr>
        <w:ind w:left="6480" w:hanging="360"/>
      </w:pPr>
    </w:lvl>
  </w:abstractNum>
  <w:num w:numId="1" w16cid:durableId="206425567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3015"/>
    <w:rsid w:val="0009497E"/>
    <w:rsid w:val="00133C3E"/>
    <w:rsid w:val="00153211"/>
    <w:rsid w:val="001E13F5"/>
    <w:rsid w:val="00264C5F"/>
    <w:rsid w:val="00294673"/>
    <w:rsid w:val="00330C05"/>
    <w:rsid w:val="00353015"/>
    <w:rsid w:val="003D1CFD"/>
    <w:rsid w:val="004C0F4E"/>
    <w:rsid w:val="00627ADA"/>
    <w:rsid w:val="006A031F"/>
    <w:rsid w:val="006C470E"/>
    <w:rsid w:val="00887C17"/>
    <w:rsid w:val="008C0E10"/>
    <w:rsid w:val="00AC4177"/>
    <w:rsid w:val="00AE1FB9"/>
    <w:rsid w:val="00BC3E38"/>
    <w:rsid w:val="00BD127E"/>
    <w:rsid w:val="00C07BEC"/>
    <w:rsid w:val="00C24C32"/>
    <w:rsid w:val="00C359CE"/>
    <w:rsid w:val="00E01FAB"/>
    <w:rsid w:val="00E04363"/>
    <w:rsid w:val="00F81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7C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673"/>
  </w:style>
  <w:style w:type="paragraph" w:styleId="Heading1">
    <w:name w:val="heading 1"/>
    <w:basedOn w:val="Normal"/>
    <w:next w:val="Normal"/>
    <w:link w:val="Heading1Char"/>
    <w:uiPriority w:val="9"/>
    <w:qFormat/>
    <w:rsid w:val="00294673"/>
    <w:pPr>
      <w:keepNext/>
      <w:keepLines/>
      <w:spacing w:before="320" w:after="0" w:line="240" w:lineRule="auto"/>
      <w:outlineLvl w:val="0"/>
    </w:pPr>
    <w:rPr>
      <w:rFonts w:asciiTheme="majorHAnsi" w:eastAsiaTheme="majorEastAsia" w:hAnsiTheme="majorHAnsi" w:cstheme="majorBidi"/>
      <w:color w:val="0F4761" w:themeColor="accent1" w:themeShade="BF"/>
      <w:sz w:val="30"/>
      <w:szCs w:val="30"/>
    </w:rPr>
  </w:style>
  <w:style w:type="paragraph" w:styleId="Heading2">
    <w:name w:val="heading 2"/>
    <w:basedOn w:val="Normal"/>
    <w:next w:val="Normal"/>
    <w:link w:val="Heading2Char"/>
    <w:uiPriority w:val="9"/>
    <w:unhideWhenUsed/>
    <w:qFormat/>
    <w:rsid w:val="00294673"/>
    <w:pPr>
      <w:keepNext/>
      <w:keepLines/>
      <w:spacing w:before="40" w:after="0" w:line="240" w:lineRule="auto"/>
      <w:outlineLvl w:val="1"/>
    </w:pPr>
    <w:rPr>
      <w:rFonts w:asciiTheme="majorHAnsi" w:eastAsiaTheme="majorEastAsia" w:hAnsiTheme="majorHAnsi" w:cstheme="majorBidi"/>
      <w:color w:val="BF4E14" w:themeColor="accent2" w:themeShade="BF"/>
      <w:sz w:val="28"/>
      <w:szCs w:val="28"/>
    </w:rPr>
  </w:style>
  <w:style w:type="paragraph" w:styleId="Heading3">
    <w:name w:val="heading 3"/>
    <w:basedOn w:val="Normal"/>
    <w:next w:val="Normal"/>
    <w:link w:val="Heading3Char"/>
    <w:uiPriority w:val="9"/>
    <w:semiHidden/>
    <w:unhideWhenUsed/>
    <w:qFormat/>
    <w:rsid w:val="00294673"/>
    <w:pPr>
      <w:keepNext/>
      <w:keepLines/>
      <w:spacing w:before="40" w:after="0" w:line="240" w:lineRule="auto"/>
      <w:outlineLvl w:val="2"/>
    </w:pPr>
    <w:rPr>
      <w:rFonts w:asciiTheme="majorHAnsi" w:eastAsiaTheme="majorEastAsia" w:hAnsiTheme="majorHAnsi" w:cstheme="majorBidi"/>
      <w:color w:val="3A7C22" w:themeColor="accent6" w:themeShade="BF"/>
      <w:sz w:val="26"/>
      <w:szCs w:val="26"/>
    </w:rPr>
  </w:style>
  <w:style w:type="paragraph" w:styleId="Heading4">
    <w:name w:val="heading 4"/>
    <w:basedOn w:val="Normal"/>
    <w:next w:val="Normal"/>
    <w:link w:val="Heading4Char"/>
    <w:uiPriority w:val="9"/>
    <w:semiHidden/>
    <w:unhideWhenUsed/>
    <w:qFormat/>
    <w:rsid w:val="00294673"/>
    <w:pPr>
      <w:keepNext/>
      <w:keepLines/>
      <w:spacing w:before="40" w:after="0"/>
      <w:outlineLvl w:val="3"/>
    </w:pPr>
    <w:rPr>
      <w:rFonts w:asciiTheme="majorHAnsi" w:eastAsiaTheme="majorEastAsia" w:hAnsiTheme="majorHAnsi" w:cstheme="majorBidi"/>
      <w:i/>
      <w:iCs/>
      <w:color w:val="77206D" w:themeColor="accent5" w:themeShade="BF"/>
      <w:sz w:val="25"/>
      <w:szCs w:val="25"/>
    </w:rPr>
  </w:style>
  <w:style w:type="paragraph" w:styleId="Heading5">
    <w:name w:val="heading 5"/>
    <w:basedOn w:val="Normal"/>
    <w:next w:val="Normal"/>
    <w:link w:val="Heading5Char"/>
    <w:uiPriority w:val="9"/>
    <w:semiHidden/>
    <w:unhideWhenUsed/>
    <w:qFormat/>
    <w:rsid w:val="00294673"/>
    <w:pPr>
      <w:keepNext/>
      <w:keepLines/>
      <w:spacing w:before="40" w:after="0"/>
      <w:outlineLvl w:val="4"/>
    </w:pPr>
    <w:rPr>
      <w:rFonts w:asciiTheme="majorHAnsi" w:eastAsiaTheme="majorEastAsia" w:hAnsiTheme="majorHAnsi" w:cstheme="majorBidi"/>
      <w:i/>
      <w:iCs/>
      <w:color w:val="80340D" w:themeColor="accent2" w:themeShade="80"/>
      <w:sz w:val="24"/>
      <w:szCs w:val="24"/>
    </w:rPr>
  </w:style>
  <w:style w:type="paragraph" w:styleId="Heading6">
    <w:name w:val="heading 6"/>
    <w:basedOn w:val="Normal"/>
    <w:next w:val="Normal"/>
    <w:link w:val="Heading6Char"/>
    <w:uiPriority w:val="9"/>
    <w:semiHidden/>
    <w:unhideWhenUsed/>
    <w:qFormat/>
    <w:rsid w:val="00294673"/>
    <w:pPr>
      <w:keepNext/>
      <w:keepLines/>
      <w:spacing w:before="40" w:after="0"/>
      <w:outlineLvl w:val="5"/>
    </w:pPr>
    <w:rPr>
      <w:rFonts w:asciiTheme="majorHAnsi" w:eastAsiaTheme="majorEastAsia" w:hAnsiTheme="majorHAnsi" w:cstheme="majorBidi"/>
      <w:i/>
      <w:iCs/>
      <w:color w:val="275317" w:themeColor="accent6" w:themeShade="80"/>
      <w:sz w:val="23"/>
      <w:szCs w:val="23"/>
    </w:rPr>
  </w:style>
  <w:style w:type="paragraph" w:styleId="Heading7">
    <w:name w:val="heading 7"/>
    <w:basedOn w:val="Normal"/>
    <w:next w:val="Normal"/>
    <w:link w:val="Heading7Char"/>
    <w:uiPriority w:val="9"/>
    <w:semiHidden/>
    <w:unhideWhenUsed/>
    <w:qFormat/>
    <w:rsid w:val="00294673"/>
    <w:pPr>
      <w:keepNext/>
      <w:keepLines/>
      <w:spacing w:before="40" w:after="0"/>
      <w:outlineLvl w:val="6"/>
    </w:pPr>
    <w:rPr>
      <w:rFonts w:asciiTheme="majorHAnsi" w:eastAsiaTheme="majorEastAsia" w:hAnsiTheme="majorHAnsi" w:cstheme="majorBidi"/>
      <w:color w:val="0A2F41" w:themeColor="accent1" w:themeShade="80"/>
    </w:rPr>
  </w:style>
  <w:style w:type="paragraph" w:styleId="Heading8">
    <w:name w:val="heading 8"/>
    <w:basedOn w:val="Normal"/>
    <w:next w:val="Normal"/>
    <w:link w:val="Heading8Char"/>
    <w:uiPriority w:val="9"/>
    <w:semiHidden/>
    <w:unhideWhenUsed/>
    <w:qFormat/>
    <w:rsid w:val="00294673"/>
    <w:pPr>
      <w:keepNext/>
      <w:keepLines/>
      <w:spacing w:before="40" w:after="0"/>
      <w:outlineLvl w:val="7"/>
    </w:pPr>
    <w:rPr>
      <w:rFonts w:asciiTheme="majorHAnsi" w:eastAsiaTheme="majorEastAsia" w:hAnsiTheme="majorHAnsi" w:cstheme="majorBidi"/>
      <w:color w:val="80340D" w:themeColor="accent2" w:themeShade="80"/>
      <w:sz w:val="21"/>
      <w:szCs w:val="21"/>
    </w:rPr>
  </w:style>
  <w:style w:type="paragraph" w:styleId="Heading9">
    <w:name w:val="heading 9"/>
    <w:basedOn w:val="Normal"/>
    <w:next w:val="Normal"/>
    <w:link w:val="Heading9Char"/>
    <w:uiPriority w:val="9"/>
    <w:semiHidden/>
    <w:unhideWhenUsed/>
    <w:qFormat/>
    <w:rsid w:val="00294673"/>
    <w:pPr>
      <w:keepNext/>
      <w:keepLines/>
      <w:spacing w:before="40" w:after="0"/>
      <w:outlineLvl w:val="8"/>
    </w:pPr>
    <w:rPr>
      <w:rFonts w:asciiTheme="majorHAnsi" w:eastAsiaTheme="majorEastAsia" w:hAnsiTheme="majorHAnsi" w:cstheme="majorBidi"/>
      <w:color w:val="275317"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94673"/>
    <w:pPr>
      <w:spacing w:after="0" w:line="240" w:lineRule="auto"/>
      <w:contextualSpacing/>
    </w:pPr>
    <w:rPr>
      <w:rFonts w:asciiTheme="majorHAnsi" w:eastAsiaTheme="majorEastAsia" w:hAnsiTheme="majorHAnsi" w:cstheme="majorBidi"/>
      <w:color w:val="0F4761" w:themeColor="accent1" w:themeShade="BF"/>
      <w:spacing w:val="-10"/>
      <w:sz w:val="52"/>
      <w:szCs w:val="52"/>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4C0F4E"/>
    <w:pPr>
      <w:spacing w:after="100"/>
    </w:pPr>
  </w:style>
  <w:style w:type="paragraph" w:styleId="TOC2">
    <w:name w:val="toc 2"/>
    <w:basedOn w:val="Normal"/>
    <w:next w:val="Normal"/>
    <w:autoRedefine/>
    <w:uiPriority w:val="39"/>
    <w:unhideWhenUsed/>
    <w:rsid w:val="004C0F4E"/>
    <w:pPr>
      <w:spacing w:after="100"/>
      <w:ind w:left="240"/>
    </w:pPr>
  </w:style>
  <w:style w:type="table" w:styleId="TableGrid">
    <w:name w:val="Table Grid"/>
    <w:basedOn w:val="TableNormal"/>
    <w:uiPriority w:val="39"/>
    <w:rsid w:val="004C0F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4673"/>
    <w:rPr>
      <w:rFonts w:asciiTheme="majorHAnsi" w:eastAsiaTheme="majorEastAsia" w:hAnsiTheme="majorHAnsi" w:cstheme="majorBidi"/>
      <w:color w:val="0F4761" w:themeColor="accent1" w:themeShade="BF"/>
      <w:sz w:val="30"/>
      <w:szCs w:val="30"/>
    </w:rPr>
  </w:style>
  <w:style w:type="character" w:customStyle="1" w:styleId="Heading2Char">
    <w:name w:val="Heading 2 Char"/>
    <w:basedOn w:val="DefaultParagraphFont"/>
    <w:link w:val="Heading2"/>
    <w:uiPriority w:val="9"/>
    <w:rsid w:val="00294673"/>
    <w:rPr>
      <w:rFonts w:asciiTheme="majorHAnsi" w:eastAsiaTheme="majorEastAsia" w:hAnsiTheme="majorHAnsi" w:cstheme="majorBidi"/>
      <w:color w:val="BF4E14" w:themeColor="accent2" w:themeShade="BF"/>
      <w:sz w:val="28"/>
      <w:szCs w:val="28"/>
    </w:rPr>
  </w:style>
  <w:style w:type="character" w:customStyle="1" w:styleId="Heading3Char">
    <w:name w:val="Heading 3 Char"/>
    <w:basedOn w:val="DefaultParagraphFont"/>
    <w:link w:val="Heading3"/>
    <w:uiPriority w:val="9"/>
    <w:semiHidden/>
    <w:rsid w:val="00294673"/>
    <w:rPr>
      <w:rFonts w:asciiTheme="majorHAnsi" w:eastAsiaTheme="majorEastAsia" w:hAnsiTheme="majorHAnsi" w:cstheme="majorBidi"/>
      <w:color w:val="3A7C22" w:themeColor="accent6" w:themeShade="BF"/>
      <w:sz w:val="26"/>
      <w:szCs w:val="26"/>
    </w:rPr>
  </w:style>
  <w:style w:type="character" w:customStyle="1" w:styleId="Heading4Char">
    <w:name w:val="Heading 4 Char"/>
    <w:basedOn w:val="DefaultParagraphFont"/>
    <w:link w:val="Heading4"/>
    <w:uiPriority w:val="9"/>
    <w:semiHidden/>
    <w:rsid w:val="00294673"/>
    <w:rPr>
      <w:rFonts w:asciiTheme="majorHAnsi" w:eastAsiaTheme="majorEastAsia" w:hAnsiTheme="majorHAnsi" w:cstheme="majorBidi"/>
      <w:i/>
      <w:iCs/>
      <w:color w:val="77206D" w:themeColor="accent5" w:themeShade="BF"/>
      <w:sz w:val="25"/>
      <w:szCs w:val="25"/>
    </w:rPr>
  </w:style>
  <w:style w:type="character" w:customStyle="1" w:styleId="Heading5Char">
    <w:name w:val="Heading 5 Char"/>
    <w:basedOn w:val="DefaultParagraphFont"/>
    <w:link w:val="Heading5"/>
    <w:uiPriority w:val="9"/>
    <w:semiHidden/>
    <w:rsid w:val="00294673"/>
    <w:rPr>
      <w:rFonts w:asciiTheme="majorHAnsi" w:eastAsiaTheme="majorEastAsia" w:hAnsiTheme="majorHAnsi" w:cstheme="majorBidi"/>
      <w:i/>
      <w:iCs/>
      <w:color w:val="80340D" w:themeColor="accent2" w:themeShade="80"/>
      <w:sz w:val="24"/>
      <w:szCs w:val="24"/>
    </w:rPr>
  </w:style>
  <w:style w:type="character" w:customStyle="1" w:styleId="Heading6Char">
    <w:name w:val="Heading 6 Char"/>
    <w:basedOn w:val="DefaultParagraphFont"/>
    <w:link w:val="Heading6"/>
    <w:uiPriority w:val="9"/>
    <w:semiHidden/>
    <w:rsid w:val="00294673"/>
    <w:rPr>
      <w:rFonts w:asciiTheme="majorHAnsi" w:eastAsiaTheme="majorEastAsia" w:hAnsiTheme="majorHAnsi" w:cstheme="majorBidi"/>
      <w:i/>
      <w:iCs/>
      <w:color w:val="275317" w:themeColor="accent6" w:themeShade="80"/>
      <w:sz w:val="23"/>
      <w:szCs w:val="23"/>
    </w:rPr>
  </w:style>
  <w:style w:type="character" w:customStyle="1" w:styleId="Heading7Char">
    <w:name w:val="Heading 7 Char"/>
    <w:basedOn w:val="DefaultParagraphFont"/>
    <w:link w:val="Heading7"/>
    <w:uiPriority w:val="9"/>
    <w:semiHidden/>
    <w:rsid w:val="00294673"/>
    <w:rPr>
      <w:rFonts w:asciiTheme="majorHAnsi" w:eastAsiaTheme="majorEastAsia" w:hAnsiTheme="majorHAnsi" w:cstheme="majorBidi"/>
      <w:color w:val="0A2F41" w:themeColor="accent1" w:themeShade="80"/>
    </w:rPr>
  </w:style>
  <w:style w:type="character" w:customStyle="1" w:styleId="Heading8Char">
    <w:name w:val="Heading 8 Char"/>
    <w:basedOn w:val="DefaultParagraphFont"/>
    <w:link w:val="Heading8"/>
    <w:uiPriority w:val="9"/>
    <w:semiHidden/>
    <w:rsid w:val="00294673"/>
    <w:rPr>
      <w:rFonts w:asciiTheme="majorHAnsi" w:eastAsiaTheme="majorEastAsia" w:hAnsiTheme="majorHAnsi" w:cstheme="majorBidi"/>
      <w:color w:val="80340D" w:themeColor="accent2" w:themeShade="80"/>
      <w:sz w:val="21"/>
      <w:szCs w:val="21"/>
    </w:rPr>
  </w:style>
  <w:style w:type="character" w:customStyle="1" w:styleId="Heading9Char">
    <w:name w:val="Heading 9 Char"/>
    <w:basedOn w:val="DefaultParagraphFont"/>
    <w:link w:val="Heading9"/>
    <w:uiPriority w:val="9"/>
    <w:semiHidden/>
    <w:rsid w:val="00294673"/>
    <w:rPr>
      <w:rFonts w:asciiTheme="majorHAnsi" w:eastAsiaTheme="majorEastAsia" w:hAnsiTheme="majorHAnsi" w:cstheme="majorBidi"/>
      <w:color w:val="275317" w:themeColor="accent6" w:themeShade="80"/>
    </w:rPr>
  </w:style>
  <w:style w:type="paragraph" w:styleId="Caption">
    <w:name w:val="caption"/>
    <w:basedOn w:val="Normal"/>
    <w:next w:val="Normal"/>
    <w:uiPriority w:val="35"/>
    <w:semiHidden/>
    <w:unhideWhenUsed/>
    <w:qFormat/>
    <w:rsid w:val="00294673"/>
    <w:pPr>
      <w:spacing w:line="240" w:lineRule="auto"/>
    </w:pPr>
    <w:rPr>
      <w:b/>
      <w:bCs/>
      <w:smallCaps/>
      <w:color w:val="156082" w:themeColor="accent1"/>
      <w:spacing w:val="6"/>
    </w:rPr>
  </w:style>
  <w:style w:type="character" w:customStyle="1" w:styleId="TitleChar">
    <w:name w:val="Title Char"/>
    <w:basedOn w:val="DefaultParagraphFont"/>
    <w:link w:val="Title"/>
    <w:uiPriority w:val="10"/>
    <w:rsid w:val="00294673"/>
    <w:rPr>
      <w:rFonts w:asciiTheme="majorHAnsi" w:eastAsiaTheme="majorEastAsia" w:hAnsiTheme="majorHAnsi" w:cstheme="majorBidi"/>
      <w:color w:val="0F4761" w:themeColor="accent1" w:themeShade="BF"/>
      <w:spacing w:val="-10"/>
      <w:sz w:val="52"/>
      <w:szCs w:val="52"/>
    </w:rPr>
  </w:style>
  <w:style w:type="paragraph" w:styleId="Subtitle">
    <w:name w:val="Subtitle"/>
    <w:basedOn w:val="Normal"/>
    <w:next w:val="Normal"/>
    <w:link w:val="SubtitleChar"/>
    <w:uiPriority w:val="11"/>
    <w:qFormat/>
    <w:rsid w:val="00294673"/>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294673"/>
    <w:rPr>
      <w:rFonts w:asciiTheme="majorHAnsi" w:eastAsiaTheme="majorEastAsia" w:hAnsiTheme="majorHAnsi" w:cstheme="majorBidi"/>
    </w:rPr>
  </w:style>
  <w:style w:type="character" w:styleId="Strong">
    <w:name w:val="Strong"/>
    <w:basedOn w:val="DefaultParagraphFont"/>
    <w:uiPriority w:val="22"/>
    <w:qFormat/>
    <w:rsid w:val="00294673"/>
    <w:rPr>
      <w:b/>
      <w:bCs/>
    </w:rPr>
  </w:style>
  <w:style w:type="character" w:styleId="Emphasis">
    <w:name w:val="Emphasis"/>
    <w:basedOn w:val="DefaultParagraphFont"/>
    <w:uiPriority w:val="20"/>
    <w:qFormat/>
    <w:rsid w:val="00294673"/>
    <w:rPr>
      <w:i/>
      <w:iCs/>
    </w:rPr>
  </w:style>
  <w:style w:type="paragraph" w:styleId="NoSpacing">
    <w:name w:val="No Spacing"/>
    <w:uiPriority w:val="1"/>
    <w:qFormat/>
    <w:rsid w:val="00294673"/>
    <w:pPr>
      <w:spacing w:after="0" w:line="240" w:lineRule="auto"/>
    </w:pPr>
  </w:style>
  <w:style w:type="paragraph" w:styleId="Quote">
    <w:name w:val="Quote"/>
    <w:basedOn w:val="Normal"/>
    <w:next w:val="Normal"/>
    <w:link w:val="QuoteChar"/>
    <w:uiPriority w:val="29"/>
    <w:qFormat/>
    <w:rsid w:val="00294673"/>
    <w:pPr>
      <w:spacing w:before="120"/>
      <w:ind w:left="720" w:right="720"/>
      <w:jc w:val="center"/>
    </w:pPr>
    <w:rPr>
      <w:i/>
      <w:iCs/>
    </w:rPr>
  </w:style>
  <w:style w:type="character" w:customStyle="1" w:styleId="QuoteChar">
    <w:name w:val="Quote Char"/>
    <w:basedOn w:val="DefaultParagraphFont"/>
    <w:link w:val="Quote"/>
    <w:uiPriority w:val="29"/>
    <w:rsid w:val="00294673"/>
    <w:rPr>
      <w:i/>
      <w:iCs/>
    </w:rPr>
  </w:style>
  <w:style w:type="paragraph" w:styleId="IntenseQuote">
    <w:name w:val="Intense Quote"/>
    <w:basedOn w:val="Normal"/>
    <w:next w:val="Normal"/>
    <w:link w:val="IntenseQuoteChar"/>
    <w:uiPriority w:val="30"/>
    <w:qFormat/>
    <w:rsid w:val="00294673"/>
    <w:pPr>
      <w:spacing w:before="120" w:line="300" w:lineRule="auto"/>
      <w:ind w:left="576" w:right="576"/>
      <w:jc w:val="center"/>
    </w:pPr>
    <w:rPr>
      <w:rFonts w:asciiTheme="majorHAnsi" w:eastAsiaTheme="majorEastAsia" w:hAnsiTheme="majorHAnsi" w:cstheme="majorBidi"/>
      <w:color w:val="156082" w:themeColor="accent1"/>
      <w:sz w:val="24"/>
      <w:szCs w:val="24"/>
    </w:rPr>
  </w:style>
  <w:style w:type="character" w:customStyle="1" w:styleId="IntenseQuoteChar">
    <w:name w:val="Intense Quote Char"/>
    <w:basedOn w:val="DefaultParagraphFont"/>
    <w:link w:val="IntenseQuote"/>
    <w:uiPriority w:val="30"/>
    <w:rsid w:val="00294673"/>
    <w:rPr>
      <w:rFonts w:asciiTheme="majorHAnsi" w:eastAsiaTheme="majorEastAsia" w:hAnsiTheme="majorHAnsi" w:cstheme="majorBidi"/>
      <w:color w:val="156082" w:themeColor="accent1"/>
      <w:sz w:val="24"/>
      <w:szCs w:val="24"/>
    </w:rPr>
  </w:style>
  <w:style w:type="character" w:styleId="SubtleEmphasis">
    <w:name w:val="Subtle Emphasis"/>
    <w:basedOn w:val="DefaultParagraphFont"/>
    <w:uiPriority w:val="19"/>
    <w:qFormat/>
    <w:rsid w:val="00294673"/>
    <w:rPr>
      <w:i/>
      <w:iCs/>
      <w:color w:val="404040" w:themeColor="text1" w:themeTint="BF"/>
    </w:rPr>
  </w:style>
  <w:style w:type="character" w:styleId="IntenseEmphasis">
    <w:name w:val="Intense Emphasis"/>
    <w:basedOn w:val="DefaultParagraphFont"/>
    <w:uiPriority w:val="21"/>
    <w:qFormat/>
    <w:rsid w:val="00294673"/>
    <w:rPr>
      <w:b w:val="0"/>
      <w:bCs w:val="0"/>
      <w:i/>
      <w:iCs/>
      <w:color w:val="156082" w:themeColor="accent1"/>
    </w:rPr>
  </w:style>
  <w:style w:type="character" w:styleId="SubtleReference">
    <w:name w:val="Subtle Reference"/>
    <w:basedOn w:val="DefaultParagraphFont"/>
    <w:uiPriority w:val="31"/>
    <w:qFormat/>
    <w:rsid w:val="0029467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94673"/>
    <w:rPr>
      <w:b/>
      <w:bCs/>
      <w:smallCaps/>
      <w:color w:val="156082" w:themeColor="accent1"/>
      <w:spacing w:val="5"/>
      <w:u w:val="single"/>
    </w:rPr>
  </w:style>
  <w:style w:type="character" w:styleId="BookTitle">
    <w:name w:val="Book Title"/>
    <w:basedOn w:val="DefaultParagraphFont"/>
    <w:uiPriority w:val="33"/>
    <w:qFormat/>
    <w:rsid w:val="00294673"/>
    <w:rPr>
      <w:b/>
      <w:bCs/>
      <w:smallCaps/>
    </w:rPr>
  </w:style>
  <w:style w:type="paragraph" w:styleId="TOCHeading">
    <w:name w:val="TOC Heading"/>
    <w:basedOn w:val="Heading1"/>
    <w:next w:val="Normal"/>
    <w:uiPriority w:val="39"/>
    <w:unhideWhenUsed/>
    <w:qFormat/>
    <w:rsid w:val="00294673"/>
    <w:pPr>
      <w:outlineLvl w:val="9"/>
    </w:pPr>
  </w:style>
  <w:style w:type="character" w:styleId="UnresolvedMention">
    <w:name w:val="Unresolved Mention"/>
    <w:basedOn w:val="DefaultParagraphFont"/>
    <w:uiPriority w:val="99"/>
    <w:semiHidden/>
    <w:unhideWhenUsed/>
    <w:rsid w:val="00F81D3B"/>
    <w:rPr>
      <w:color w:val="605E5C"/>
      <w:shd w:val="clear" w:color="auto" w:fill="E1DFDD"/>
    </w:rPr>
  </w:style>
  <w:style w:type="paragraph" w:styleId="Header">
    <w:name w:val="header"/>
    <w:basedOn w:val="Normal"/>
    <w:link w:val="HeaderChar"/>
    <w:uiPriority w:val="99"/>
    <w:unhideWhenUsed/>
    <w:rsid w:val="00F81D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1D3B"/>
  </w:style>
  <w:style w:type="paragraph" w:styleId="Footer">
    <w:name w:val="footer"/>
    <w:basedOn w:val="Normal"/>
    <w:link w:val="FooterChar"/>
    <w:uiPriority w:val="99"/>
    <w:unhideWhenUsed/>
    <w:rsid w:val="00F81D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1D3B"/>
  </w:style>
  <w:style w:type="table" w:styleId="GridTable3-Accent1">
    <w:name w:val="Grid Table 3 Accent 1"/>
    <w:basedOn w:val="TableNormal"/>
    <w:uiPriority w:val="48"/>
    <w:rsid w:val="0029467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ab.com/insights/ai-adoption-is-surging-in-advertising-but-is-the-industry-prepared-for-responsible-ai/" TargetMode="External"/><Relationship Id="rId18" Type="http://schemas.openxmlformats.org/officeDocument/2006/relationships/hyperlink" Target="https://www.researchgate.net/publication/281769091" TargetMode="External"/><Relationship Id="rId26" Type="http://schemas.openxmlformats.org/officeDocument/2006/relationships/hyperlink" Target="https://www.unilever.com/investors/results-events/results-events-webcasts/overview-q4-2025/" TargetMode="External"/><Relationship Id="rId3" Type="http://schemas.openxmlformats.org/officeDocument/2006/relationships/settings" Target="settings.xml"/><Relationship Id="rId21" Type="http://schemas.openxmlformats.org/officeDocument/2006/relationships/hyperlink" Target="https://www.marketdataforecast.com/market-reports/europe-ai-market" TargetMode="External"/><Relationship Id="rId7" Type="http://schemas.openxmlformats.org/officeDocument/2006/relationships/image" Target="media/image1.png"/><Relationship Id="rId12" Type="http://schemas.openxmlformats.org/officeDocument/2006/relationships/hyperlink" Target="https://assets.publishing.service.gov.uk/media/64cb71a547915a00142a91c4/a-pro-innovation-approach-to-ai-regulation-amended-web-ready.pdf" TargetMode="External"/><Relationship Id="rId17" Type="http://schemas.openxmlformats.org/officeDocument/2006/relationships/hyperlink" Target="https://ico.org.uk/media2/migrated/4029424/regulating-ai-the-icos-strategic-approach.pdf" TargetMode="External"/><Relationship Id="rId25" Type="http://schemas.openxmlformats.org/officeDocument/2006/relationships/hyperlink" Target="https://www.unilever.com/news/news-search/2025/how-ai-is-transforming-unilevers-personal-care-business/" TargetMode="External"/><Relationship Id="rId2" Type="http://schemas.openxmlformats.org/officeDocument/2006/relationships/styles" Target="styles.xml"/><Relationship Id="rId16" Type="http://schemas.openxmlformats.org/officeDocument/2006/relationships/hyperlink" Target="https://www.imarcgroup.com/europe-artificial-intelligence-market" TargetMode="External"/><Relationship Id="rId20" Type="http://schemas.openxmlformats.org/officeDocument/2006/relationships/hyperlink" Target="https://www.investegate.co.uk/announcement/rns/unilever--ulvr/2025-full-year-results/9426818"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lacis.io/guide-uk-ai-regulation" TargetMode="External"/><Relationship Id="rId24" Type="http://schemas.openxmlformats.org/officeDocument/2006/relationships/hyperlink" Target="https://www.unilever.com/news/news-search/2025/how-ai-is-helping-drive-desire-at-scale-across-unilever/" TargetMode="External"/><Relationship Id="rId5" Type="http://schemas.openxmlformats.org/officeDocument/2006/relationships/footnotes" Target="footnotes.xml"/><Relationship Id="rId15" Type="http://schemas.openxmlformats.org/officeDocument/2006/relationships/hyperlink" Target="https://ico.org.uk/for-organisations/uk-gdpr-guidance-and-resources/artificial-intelligence/guidance-on-ai-and-data-protection/" TargetMode="External"/><Relationship Id="rId23" Type="http://schemas.openxmlformats.org/officeDocument/2006/relationships/hyperlink" Target="https://www.unilever.com/news/news-search/2024/how-aipowered-ultrapersonalised-experiences-are-boosting-our-beauty-brands/" TargetMode="External"/><Relationship Id="rId28" Type="http://schemas.openxmlformats.org/officeDocument/2006/relationships/fontTable" Target="fontTable.xml"/><Relationship Id="rId10" Type="http://schemas.openxmlformats.org/officeDocument/2006/relationships/hyperlink" Target="https://academic.oup.com/ijlit/article/doi/10.1093/ijlit/eaaf028/8404086" TargetMode="External"/><Relationship Id="rId19" Type="http://schemas.openxmlformats.org/officeDocument/2006/relationships/hyperlink" Target="https://www.iso.org/standards/popular/iso-31000-famil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mg.ibisworld.com/europe/industry/e-commerce/200600" TargetMode="External"/><Relationship Id="rId22" Type="http://schemas.openxmlformats.org/officeDocument/2006/relationships/hyperlink" Target="https://www.unilever.com/investors/annual-report-and-account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7411</Words>
  <Characters>42246</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2026-07-23T06:12:00Z</dcterms:created>
  <dcterms:modified xsi:type="dcterms:W3CDTF">2026-07-23T06:12:00Z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4680d433-3555-4623-9acb-a4c6f3747795</vt:lpwstr>
  </property>
</Properties>
</file>