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D53FE" w14:textId="77777777" w:rsidR="0063452C" w:rsidRPr="0063452C" w:rsidRDefault="0063452C" w:rsidP="0063452C">
      <w:pPr>
        <w:spacing w:after="0" w:line="240" w:lineRule="auto"/>
        <w:ind w:left="-180" w:right="-334"/>
        <w:jc w:val="center"/>
        <w:rPr>
          <w:rFonts w:ascii="Arial" w:eastAsia="SimSun" w:hAnsi="Arial" w:cs="Arial"/>
          <w:b/>
          <w:color w:val="000000"/>
          <w:sz w:val="28"/>
          <w:szCs w:val="28"/>
          <w:lang w:val="cy-GB" w:eastAsia="zh-CN"/>
        </w:rPr>
      </w:pPr>
      <w:r w:rsidRPr="0063452C">
        <w:rPr>
          <w:rFonts w:ascii="Arial" w:eastAsia="SimSun" w:hAnsi="Arial" w:cs="Arial"/>
          <w:b/>
          <w:color w:val="000000"/>
          <w:sz w:val="28"/>
          <w:szCs w:val="28"/>
          <w:lang w:val="cy-GB" w:eastAsia="zh-CN"/>
        </w:rPr>
        <w:t xml:space="preserve">Postgraduate/Distance Learning </w:t>
      </w:r>
    </w:p>
    <w:p w14:paraId="3EDC3142" w14:textId="77777777" w:rsidR="0063452C" w:rsidRPr="0063452C" w:rsidRDefault="0063452C" w:rsidP="0063452C">
      <w:pPr>
        <w:spacing w:after="0" w:line="240" w:lineRule="auto"/>
        <w:ind w:left="-180" w:right="-334"/>
        <w:jc w:val="center"/>
        <w:rPr>
          <w:rFonts w:ascii="Arial" w:eastAsia="SimSun" w:hAnsi="Arial" w:cs="Arial"/>
          <w:b/>
          <w:color w:val="000000"/>
          <w:sz w:val="28"/>
          <w:szCs w:val="28"/>
          <w:lang w:eastAsia="zh-CN"/>
        </w:rPr>
      </w:pPr>
      <w:r w:rsidRPr="0063452C">
        <w:rPr>
          <w:rFonts w:ascii="Arial" w:eastAsia="SimSun" w:hAnsi="Arial" w:cs="Arial"/>
          <w:b/>
          <w:color w:val="000000"/>
          <w:sz w:val="28"/>
          <w:szCs w:val="28"/>
          <w:lang w:val="cy-GB" w:eastAsia="zh-CN"/>
        </w:rPr>
        <w:t>Assignment coversheet &amp; feedback form</w:t>
      </w:r>
    </w:p>
    <w:p w14:paraId="205A7FBA" w14:textId="77777777" w:rsidR="0063452C" w:rsidRPr="0063452C" w:rsidRDefault="0063452C" w:rsidP="0063452C">
      <w:pPr>
        <w:rPr>
          <w:rFonts w:ascii="Arial" w:hAnsi="Arial" w:cs="Arial"/>
          <w:sz w:val="28"/>
          <w:szCs w:val="28"/>
          <w:lang w:val="cy-GB"/>
        </w:rPr>
      </w:pPr>
    </w:p>
    <w:p w14:paraId="4AE2D8BD" w14:textId="77777777" w:rsidR="0063452C" w:rsidRPr="0063452C" w:rsidRDefault="0063452C" w:rsidP="0063452C">
      <w:pPr>
        <w:keepNext/>
        <w:spacing w:after="0" w:line="240" w:lineRule="auto"/>
        <w:ind w:left="720"/>
        <w:jc w:val="center"/>
        <w:outlineLvl w:val="2"/>
        <w:rPr>
          <w:rFonts w:ascii="Tahoma" w:eastAsia="SimSun" w:hAnsi="Tahoma" w:cs="Tahoma"/>
          <w:b/>
          <w:bCs/>
          <w:sz w:val="20"/>
          <w:szCs w:val="20"/>
          <w:lang w:val="cy-GB" w:eastAsia="zh-CN"/>
        </w:rPr>
      </w:pPr>
      <w:r w:rsidRPr="0063452C">
        <w:rPr>
          <w:rFonts w:ascii="Tahoma" w:eastAsia="SimSun" w:hAnsi="Tahoma" w:cs="Tahoma"/>
          <w:b/>
          <w:bCs/>
          <w:sz w:val="20"/>
          <w:szCs w:val="20"/>
          <w:lang w:val="cy-GB" w:eastAsia="zh-CN"/>
        </w:rPr>
        <w:t>THIS SHEET MUST BE THE FIRST PAGE OF THE ASSIGNMENT YOU ARE SUBMITTING  (DO NOT SEND AS A SEPARATE FILE)</w:t>
      </w:r>
    </w:p>
    <w:p w14:paraId="7BA1A026" w14:textId="77777777" w:rsidR="0063452C" w:rsidRPr="0063452C" w:rsidRDefault="0063452C" w:rsidP="0063452C">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3452C" w:rsidRPr="0063452C" w14:paraId="7DBD37B6" w14:textId="77777777" w:rsidTr="00DD75D8">
        <w:trPr>
          <w:trHeight w:val="614"/>
        </w:trPr>
        <w:tc>
          <w:tcPr>
            <w:tcW w:w="8856" w:type="dxa"/>
            <w:gridSpan w:val="5"/>
          </w:tcPr>
          <w:p w14:paraId="0289DBAD" w14:textId="77777777" w:rsidR="0063452C" w:rsidRPr="0063452C" w:rsidRDefault="0063452C" w:rsidP="0063452C">
            <w:pPr>
              <w:spacing w:after="0" w:line="240" w:lineRule="auto"/>
              <w:ind w:right="34"/>
              <w:rPr>
                <w:rFonts w:ascii="Arial" w:eastAsia="SimSun" w:hAnsi="Arial" w:cs="Arial"/>
                <w:color w:val="000000"/>
                <w:lang w:eastAsia="zh-CN"/>
              </w:rPr>
            </w:pPr>
            <w:r w:rsidRPr="0063452C">
              <w:rPr>
                <w:rFonts w:ascii="Arial" w:eastAsia="SimSun" w:hAnsi="Arial" w:cs="Arial"/>
                <w:b/>
                <w:color w:val="000000"/>
                <w:lang w:eastAsia="zh-CN"/>
              </w:rPr>
              <w:t>For completion by the student</w:t>
            </w:r>
            <w:r w:rsidRPr="0063452C">
              <w:rPr>
                <w:rFonts w:ascii="Arial" w:eastAsia="SimSun" w:hAnsi="Arial" w:cs="Arial"/>
                <w:color w:val="000000"/>
                <w:lang w:eastAsia="zh-CN"/>
              </w:rPr>
              <w:t>:</w:t>
            </w:r>
          </w:p>
        </w:tc>
      </w:tr>
      <w:tr w:rsidR="0063452C" w:rsidRPr="0063452C" w14:paraId="72196F19" w14:textId="77777777" w:rsidTr="00DD75D8">
        <w:trPr>
          <w:trHeight w:val="718"/>
        </w:trPr>
        <w:tc>
          <w:tcPr>
            <w:tcW w:w="8856" w:type="dxa"/>
            <w:gridSpan w:val="5"/>
          </w:tcPr>
          <w:p w14:paraId="5F0F4657" w14:textId="77777777" w:rsidR="0063452C" w:rsidRPr="0063452C" w:rsidRDefault="0063452C" w:rsidP="0063452C">
            <w:pPr>
              <w:spacing w:after="0" w:line="240" w:lineRule="auto"/>
              <w:ind w:right="34"/>
              <w:rPr>
                <w:rFonts w:ascii="Arial" w:eastAsia="SimSun" w:hAnsi="Arial" w:cs="Arial"/>
                <w:color w:val="000000"/>
                <w:lang w:eastAsia="zh-CN"/>
              </w:rPr>
            </w:pPr>
            <w:r w:rsidRPr="0063452C">
              <w:rPr>
                <w:rFonts w:ascii="Arial" w:eastAsia="SimSun" w:hAnsi="Arial" w:cs="Arial"/>
                <w:color w:val="000000"/>
                <w:lang w:eastAsia="zh-CN"/>
              </w:rPr>
              <w:t xml:space="preserve">Student Name: </w:t>
            </w:r>
            <w:r w:rsidRPr="0063452C">
              <w:rPr>
                <w:rFonts w:ascii="Arial" w:eastAsia="SimSun" w:hAnsi="Arial" w:cs="Arial"/>
                <w:b/>
                <w:color w:val="000000"/>
                <w:lang w:eastAsia="zh-CN"/>
              </w:rPr>
              <w:t>Briony Knibbs</w:t>
            </w:r>
          </w:p>
          <w:p w14:paraId="680A66DF" w14:textId="77777777" w:rsidR="0063452C" w:rsidRPr="0063452C" w:rsidRDefault="0063452C" w:rsidP="0063452C">
            <w:pPr>
              <w:spacing w:after="0" w:line="240" w:lineRule="auto"/>
              <w:ind w:right="34"/>
              <w:rPr>
                <w:rFonts w:ascii="Arial" w:eastAsia="SimSun" w:hAnsi="Arial" w:cs="Arial"/>
                <w:color w:val="000000"/>
                <w:lang w:eastAsia="zh-CN"/>
              </w:rPr>
            </w:pPr>
          </w:p>
        </w:tc>
      </w:tr>
      <w:tr w:rsidR="0063452C" w:rsidRPr="0063452C" w14:paraId="69A30125" w14:textId="77777777" w:rsidTr="00DD75D8">
        <w:trPr>
          <w:trHeight w:val="849"/>
        </w:trPr>
        <w:tc>
          <w:tcPr>
            <w:tcW w:w="4788" w:type="dxa"/>
          </w:tcPr>
          <w:p w14:paraId="54C7F61C" w14:textId="7395E7AD" w:rsidR="0063452C" w:rsidRPr="0063452C" w:rsidRDefault="0063452C" w:rsidP="0063452C">
            <w:pPr>
              <w:spacing w:after="0" w:line="240" w:lineRule="auto"/>
              <w:ind w:right="34"/>
              <w:rPr>
                <w:rFonts w:ascii="Arial" w:eastAsia="SimSun" w:hAnsi="Arial" w:cs="Arial"/>
                <w:color w:val="000000"/>
                <w:lang w:eastAsia="zh-CN"/>
              </w:rPr>
            </w:pPr>
            <w:r w:rsidRPr="0063452C">
              <w:rPr>
                <w:rFonts w:ascii="Arial" w:eastAsia="SimSun" w:hAnsi="Arial" w:cs="Arial"/>
                <w:color w:val="000000"/>
                <w:lang w:eastAsia="zh-CN"/>
              </w:rPr>
              <w:t xml:space="preserve">Module code: </w:t>
            </w:r>
            <w:r>
              <w:rPr>
                <w:rFonts w:ascii="Arial" w:eastAsia="SimSun" w:hAnsi="Arial" w:cs="Arial"/>
                <w:b/>
                <w:color w:val="000000"/>
                <w:lang w:eastAsia="zh-CN"/>
              </w:rPr>
              <w:t>CSPH7023</w:t>
            </w:r>
          </w:p>
          <w:p w14:paraId="16397CE5" w14:textId="77777777" w:rsidR="0063452C" w:rsidRPr="0063452C" w:rsidRDefault="0063452C" w:rsidP="0063452C">
            <w:pPr>
              <w:spacing w:after="0" w:line="240" w:lineRule="auto"/>
              <w:ind w:right="34"/>
              <w:rPr>
                <w:rFonts w:ascii="Arial" w:eastAsia="SimSun" w:hAnsi="Arial" w:cs="Arial"/>
                <w:color w:val="000000"/>
                <w:lang w:eastAsia="zh-CN"/>
              </w:rPr>
            </w:pPr>
          </w:p>
          <w:p w14:paraId="3679262C" w14:textId="77777777" w:rsidR="0063452C" w:rsidRPr="0063452C" w:rsidRDefault="0063452C" w:rsidP="0063452C">
            <w:pPr>
              <w:spacing w:after="0" w:line="240" w:lineRule="auto"/>
              <w:ind w:right="34"/>
              <w:rPr>
                <w:rFonts w:ascii="Arial" w:eastAsia="SimSun" w:hAnsi="Arial" w:cs="Arial"/>
                <w:color w:val="000000"/>
                <w:lang w:eastAsia="zh-CN"/>
              </w:rPr>
            </w:pPr>
            <w:r w:rsidRPr="0063452C">
              <w:rPr>
                <w:rFonts w:ascii="Arial" w:eastAsia="SimSun" w:hAnsi="Arial" w:cs="Arial"/>
                <w:color w:val="000000"/>
                <w:lang w:eastAsia="zh-CN"/>
              </w:rPr>
              <w:t>Module title:</w:t>
            </w:r>
          </w:p>
          <w:p w14:paraId="60BA3CAD" w14:textId="77B6527B" w:rsidR="0063452C" w:rsidRPr="0063452C" w:rsidRDefault="0063452C" w:rsidP="0063452C">
            <w:pPr>
              <w:spacing w:after="0" w:line="240" w:lineRule="auto"/>
              <w:ind w:right="34"/>
              <w:rPr>
                <w:rFonts w:ascii="Arial" w:eastAsia="SimSun" w:hAnsi="Arial" w:cs="Arial"/>
                <w:b/>
                <w:color w:val="000000"/>
                <w:lang w:eastAsia="zh-CN"/>
              </w:rPr>
            </w:pPr>
            <w:r>
              <w:rPr>
                <w:rFonts w:ascii="Arial" w:eastAsia="SimSun" w:hAnsi="Arial" w:cs="Arial"/>
                <w:b/>
                <w:color w:val="000000"/>
                <w:lang w:eastAsia="zh-CN"/>
              </w:rPr>
              <w:t>Philosophy of Religion</w:t>
            </w:r>
          </w:p>
          <w:p w14:paraId="63B698C1" w14:textId="77777777" w:rsidR="0063452C" w:rsidRPr="0063452C" w:rsidRDefault="0063452C" w:rsidP="0063452C">
            <w:pPr>
              <w:spacing w:after="0" w:line="240" w:lineRule="auto"/>
              <w:ind w:right="34"/>
              <w:rPr>
                <w:rFonts w:ascii="Arial" w:eastAsia="SimSun" w:hAnsi="Arial" w:cs="Arial"/>
                <w:color w:val="000000"/>
                <w:lang w:eastAsia="zh-CN"/>
              </w:rPr>
            </w:pPr>
          </w:p>
          <w:p w14:paraId="6F0F1122" w14:textId="77777777" w:rsidR="0063452C" w:rsidRPr="0063452C" w:rsidRDefault="0063452C" w:rsidP="0063452C">
            <w:pPr>
              <w:spacing w:after="0" w:line="240" w:lineRule="auto"/>
              <w:ind w:right="34"/>
              <w:rPr>
                <w:rFonts w:ascii="Arial" w:eastAsia="SimSun" w:hAnsi="Arial" w:cs="Arial"/>
                <w:color w:val="000000"/>
                <w:lang w:eastAsia="zh-CN"/>
              </w:rPr>
            </w:pPr>
          </w:p>
        </w:tc>
        <w:tc>
          <w:tcPr>
            <w:tcW w:w="2266" w:type="dxa"/>
            <w:gridSpan w:val="3"/>
          </w:tcPr>
          <w:p w14:paraId="30112A35" w14:textId="77777777" w:rsidR="0063452C" w:rsidRPr="0063452C" w:rsidRDefault="0063452C" w:rsidP="0063452C">
            <w:pPr>
              <w:spacing w:after="0" w:line="240" w:lineRule="auto"/>
              <w:ind w:right="34"/>
              <w:rPr>
                <w:rFonts w:ascii="Arial" w:eastAsia="SimSun" w:hAnsi="Arial" w:cs="Arial"/>
                <w:color w:val="000000"/>
                <w:lang w:eastAsia="zh-CN"/>
              </w:rPr>
            </w:pPr>
            <w:r w:rsidRPr="0063452C">
              <w:rPr>
                <w:rFonts w:ascii="Arial" w:eastAsia="SimSun" w:hAnsi="Arial" w:cs="Arial"/>
                <w:color w:val="000000"/>
                <w:lang w:eastAsia="zh-CN"/>
              </w:rPr>
              <w:t>Student ID number:</w:t>
            </w:r>
            <w:r w:rsidRPr="0063452C">
              <w:rPr>
                <w:rFonts w:ascii="Arial" w:eastAsia="SimSun" w:hAnsi="Arial" w:cs="Arial"/>
                <w:b/>
                <w:color w:val="000000"/>
                <w:lang w:eastAsia="zh-CN"/>
              </w:rPr>
              <w:t>0200814</w:t>
            </w:r>
          </w:p>
        </w:tc>
        <w:tc>
          <w:tcPr>
            <w:tcW w:w="1802" w:type="dxa"/>
          </w:tcPr>
          <w:p w14:paraId="1D8CF99D" w14:textId="77777777" w:rsidR="0063452C" w:rsidRPr="0063452C" w:rsidRDefault="0063452C" w:rsidP="0063452C">
            <w:pPr>
              <w:spacing w:after="0" w:line="240" w:lineRule="auto"/>
              <w:ind w:right="34"/>
              <w:rPr>
                <w:rFonts w:ascii="Arial" w:eastAsia="SimSun" w:hAnsi="Arial" w:cs="Arial"/>
                <w:color w:val="000000"/>
                <w:lang w:eastAsia="zh-CN"/>
              </w:rPr>
            </w:pPr>
            <w:r w:rsidRPr="0063452C">
              <w:rPr>
                <w:rFonts w:ascii="Arial" w:eastAsia="SimSun" w:hAnsi="Arial" w:cs="Arial"/>
                <w:color w:val="000000"/>
                <w:lang w:eastAsia="zh-CN"/>
              </w:rPr>
              <w:t>Educational support needs:</w:t>
            </w:r>
          </w:p>
          <w:p w14:paraId="4450C504" w14:textId="77777777" w:rsidR="0063452C" w:rsidRPr="0063452C" w:rsidRDefault="0063452C" w:rsidP="0063452C">
            <w:pPr>
              <w:spacing w:after="0" w:line="240" w:lineRule="auto"/>
              <w:ind w:right="34"/>
              <w:rPr>
                <w:rFonts w:ascii="Arial" w:eastAsia="SimSun" w:hAnsi="Arial" w:cs="Arial"/>
                <w:color w:val="000000"/>
                <w:lang w:eastAsia="zh-CN"/>
              </w:rPr>
            </w:pPr>
            <w:r w:rsidRPr="0063452C">
              <w:rPr>
                <w:rFonts w:ascii="Arial" w:eastAsia="SimSun" w:hAnsi="Arial" w:cs="Arial"/>
                <w:color w:val="000000"/>
                <w:lang w:eastAsia="zh-CN"/>
              </w:rPr>
              <w:t>Yes/</w:t>
            </w:r>
            <w:r w:rsidRPr="0063452C">
              <w:rPr>
                <w:rFonts w:ascii="Arial" w:eastAsia="SimSun" w:hAnsi="Arial" w:cs="Arial"/>
                <w:b/>
                <w:color w:val="000000"/>
                <w:lang w:eastAsia="zh-CN"/>
              </w:rPr>
              <w:t>No</w:t>
            </w:r>
          </w:p>
        </w:tc>
      </w:tr>
      <w:tr w:rsidR="0063452C" w:rsidRPr="0063452C" w14:paraId="75A1085D" w14:textId="77777777" w:rsidTr="00DD75D8">
        <w:trPr>
          <w:trHeight w:val="1139"/>
        </w:trPr>
        <w:tc>
          <w:tcPr>
            <w:tcW w:w="8856" w:type="dxa"/>
            <w:gridSpan w:val="5"/>
          </w:tcPr>
          <w:p w14:paraId="2D6FC85A" w14:textId="3595FB89" w:rsidR="0063452C" w:rsidRPr="0063452C" w:rsidRDefault="0063452C" w:rsidP="0063452C">
            <w:pPr>
              <w:spacing w:after="0" w:line="240" w:lineRule="auto"/>
              <w:ind w:right="34"/>
              <w:rPr>
                <w:rFonts w:ascii="Arial" w:eastAsia="SimSun" w:hAnsi="Arial" w:cs="Arial"/>
                <w:color w:val="000000"/>
                <w:lang w:eastAsia="zh-CN"/>
              </w:rPr>
            </w:pPr>
            <w:r w:rsidRPr="0063452C">
              <w:rPr>
                <w:rFonts w:ascii="Arial" w:eastAsia="SimSun" w:hAnsi="Arial" w:cs="Arial"/>
                <w:color w:val="000000"/>
                <w:lang w:eastAsia="zh-CN"/>
              </w:rPr>
              <w:t xml:space="preserve">Module tutor: </w:t>
            </w:r>
            <w:r w:rsidRPr="0063452C">
              <w:rPr>
                <w:rFonts w:ascii="Arial" w:eastAsia="SimSun" w:hAnsi="Arial" w:cs="Arial"/>
                <w:b/>
                <w:color w:val="000000"/>
                <w:lang w:eastAsia="zh-CN"/>
              </w:rPr>
              <w:t xml:space="preserve">Dr </w:t>
            </w:r>
            <w:r>
              <w:rPr>
                <w:rFonts w:ascii="Arial" w:eastAsia="SimSun" w:hAnsi="Arial" w:cs="Arial"/>
                <w:b/>
                <w:color w:val="000000"/>
                <w:lang w:eastAsia="zh-CN"/>
              </w:rPr>
              <w:t>Tristan Nash</w:t>
            </w:r>
          </w:p>
          <w:p w14:paraId="3465EB5B" w14:textId="77777777" w:rsidR="0063452C" w:rsidRPr="0063452C" w:rsidRDefault="0063452C" w:rsidP="0063452C">
            <w:pPr>
              <w:spacing w:after="0" w:line="240" w:lineRule="auto"/>
              <w:ind w:right="34"/>
              <w:rPr>
                <w:rFonts w:ascii="Arial" w:eastAsia="SimSun" w:hAnsi="Arial" w:cs="Arial"/>
                <w:color w:val="000000"/>
                <w:lang w:eastAsia="zh-CN"/>
              </w:rPr>
            </w:pPr>
          </w:p>
          <w:p w14:paraId="4502C08C" w14:textId="77777777" w:rsidR="0063452C" w:rsidRPr="0063452C" w:rsidRDefault="0063452C" w:rsidP="0063452C">
            <w:pPr>
              <w:spacing w:after="0" w:line="240" w:lineRule="auto"/>
              <w:ind w:right="34"/>
              <w:rPr>
                <w:rFonts w:ascii="Arial" w:eastAsia="SimSun" w:hAnsi="Arial" w:cs="Arial"/>
                <w:color w:val="000000"/>
                <w:lang w:eastAsia="zh-CN"/>
              </w:rPr>
            </w:pPr>
          </w:p>
          <w:p w14:paraId="15A1A76F" w14:textId="21D69CC1" w:rsidR="0063452C" w:rsidRPr="0063452C" w:rsidRDefault="0063452C" w:rsidP="0063452C">
            <w:pPr>
              <w:spacing w:after="0" w:line="240" w:lineRule="auto"/>
              <w:ind w:right="34"/>
              <w:rPr>
                <w:rFonts w:ascii="Arial" w:eastAsia="SimSun" w:hAnsi="Arial" w:cs="Arial"/>
                <w:color w:val="000000"/>
                <w:lang w:eastAsia="zh-CN"/>
              </w:rPr>
            </w:pPr>
            <w:r w:rsidRPr="0063452C">
              <w:rPr>
                <w:rFonts w:ascii="Arial" w:eastAsia="SimSun" w:hAnsi="Arial" w:cs="Arial"/>
                <w:color w:val="000000"/>
                <w:lang w:eastAsia="zh-CN"/>
              </w:rPr>
              <w:t xml:space="preserve">Assignment due date: </w:t>
            </w:r>
            <w:r>
              <w:rPr>
                <w:rFonts w:ascii="Arial" w:eastAsia="SimSun" w:hAnsi="Arial" w:cs="Arial"/>
                <w:b/>
                <w:color w:val="000000"/>
                <w:lang w:eastAsia="zh-CN"/>
              </w:rPr>
              <w:t>31 January 2019</w:t>
            </w:r>
            <w:bookmarkStart w:id="0" w:name="_GoBack"/>
            <w:bookmarkEnd w:id="0"/>
          </w:p>
        </w:tc>
      </w:tr>
      <w:tr w:rsidR="0063452C" w:rsidRPr="0063452C" w14:paraId="33F3D339" w14:textId="77777777" w:rsidTr="00DD75D8">
        <w:trPr>
          <w:trHeight w:val="978"/>
        </w:trPr>
        <w:tc>
          <w:tcPr>
            <w:tcW w:w="8856" w:type="dxa"/>
            <w:gridSpan w:val="5"/>
            <w:tcBorders>
              <w:bottom w:val="single" w:sz="4" w:space="0" w:color="000000"/>
            </w:tcBorders>
          </w:tcPr>
          <w:p w14:paraId="3DCADD15" w14:textId="77777777" w:rsidR="0063452C" w:rsidRPr="0063452C" w:rsidRDefault="0063452C" w:rsidP="0063452C">
            <w:pPr>
              <w:rPr>
                <w:rFonts w:ascii="Arial" w:hAnsi="Arial" w:cs="Arial"/>
              </w:rPr>
            </w:pPr>
            <w:r w:rsidRPr="0063452C">
              <w:rPr>
                <w:rFonts w:ascii="Arial" w:hAnsi="Arial" w:cs="Arial"/>
              </w:rPr>
              <w:t xml:space="preserve">If your module has multiple </w:t>
            </w:r>
            <w:proofErr w:type="gramStart"/>
            <w:r w:rsidRPr="0063452C">
              <w:rPr>
                <w:rFonts w:ascii="Arial" w:hAnsi="Arial" w:cs="Arial"/>
              </w:rPr>
              <w:t>submissions</w:t>
            </w:r>
            <w:proofErr w:type="gramEnd"/>
            <w:r w:rsidRPr="0063452C">
              <w:rPr>
                <w:rFonts w:ascii="Arial" w:hAnsi="Arial" w:cs="Arial"/>
              </w:rPr>
              <w:t xml:space="preserve"> please indicate which piece of work this is.</w:t>
            </w:r>
          </w:p>
          <w:p w14:paraId="2A904DDD" w14:textId="77777777" w:rsidR="0063452C" w:rsidRPr="0063452C" w:rsidRDefault="0063452C" w:rsidP="0063452C">
            <w:pPr>
              <w:rPr>
                <w:rFonts w:ascii="Arial" w:hAnsi="Arial" w:cs="Arial"/>
              </w:rPr>
            </w:pPr>
          </w:p>
          <w:p w14:paraId="7D07EBF3" w14:textId="77777777" w:rsidR="0063452C" w:rsidRPr="0063452C" w:rsidRDefault="0063452C" w:rsidP="0063452C">
            <w:pPr>
              <w:rPr>
                <w:rFonts w:ascii="Arial" w:hAnsi="Arial" w:cs="Arial"/>
              </w:rPr>
            </w:pPr>
            <w:r w:rsidRPr="0063452C">
              <w:rPr>
                <w:rFonts w:ascii="Arial" w:hAnsi="Arial" w:cs="Arial"/>
                <w:b/>
              </w:rPr>
              <w:t>1</w:t>
            </w:r>
            <w:r w:rsidRPr="0063452C">
              <w:rPr>
                <w:rFonts w:ascii="Arial" w:hAnsi="Arial" w:cs="Arial"/>
                <w:b/>
                <w:vertAlign w:val="superscript"/>
              </w:rPr>
              <w:t xml:space="preserve">st </w:t>
            </w:r>
            <w:r w:rsidRPr="0063452C">
              <w:rPr>
                <w:rFonts w:ascii="Arial" w:hAnsi="Arial" w:cs="Arial"/>
                <w:b/>
              </w:rPr>
              <w:fldChar w:fldCharType="begin">
                <w:ffData>
                  <w:name w:val="Check13"/>
                  <w:enabled/>
                  <w:calcOnExit w:val="0"/>
                  <w:checkBox>
                    <w:sizeAuto/>
                    <w:default w:val="0"/>
                  </w:checkBox>
                </w:ffData>
              </w:fldChar>
            </w:r>
            <w:bookmarkStart w:id="1" w:name="Check13"/>
            <w:r w:rsidRPr="0063452C">
              <w:rPr>
                <w:rFonts w:ascii="Arial" w:hAnsi="Arial" w:cs="Arial"/>
                <w:b/>
              </w:rPr>
              <w:instrText xml:space="preserve"> FORMCHECKBOX </w:instrText>
            </w:r>
            <w:r w:rsidRPr="0063452C">
              <w:rPr>
                <w:rFonts w:ascii="Arial" w:hAnsi="Arial" w:cs="Arial"/>
                <w:b/>
              </w:rPr>
            </w:r>
            <w:r w:rsidRPr="0063452C">
              <w:rPr>
                <w:rFonts w:ascii="Arial" w:hAnsi="Arial" w:cs="Arial"/>
                <w:b/>
              </w:rPr>
              <w:fldChar w:fldCharType="separate"/>
            </w:r>
            <w:r w:rsidRPr="0063452C">
              <w:rPr>
                <w:rFonts w:ascii="Arial" w:hAnsi="Arial" w:cs="Arial"/>
                <w:b/>
              </w:rPr>
              <w:fldChar w:fldCharType="end"/>
            </w:r>
            <w:bookmarkEnd w:id="1"/>
            <w:r w:rsidRPr="0063452C">
              <w:rPr>
                <w:rFonts w:ascii="Arial" w:hAnsi="Arial" w:cs="Arial"/>
              </w:rPr>
              <w:t xml:space="preserve">    2</w:t>
            </w:r>
            <w:r w:rsidRPr="0063452C">
              <w:rPr>
                <w:rFonts w:ascii="Arial" w:hAnsi="Arial" w:cs="Arial"/>
                <w:vertAlign w:val="superscript"/>
              </w:rPr>
              <w:t>nd</w:t>
            </w:r>
            <w:r w:rsidRPr="0063452C">
              <w:rPr>
                <w:rFonts w:ascii="Arial" w:hAnsi="Arial" w:cs="Arial"/>
              </w:rPr>
              <w:t xml:space="preserve">  </w:t>
            </w:r>
            <w:r w:rsidRPr="0063452C">
              <w:rPr>
                <w:rFonts w:ascii="Arial" w:hAnsi="Arial" w:cs="Arial"/>
              </w:rPr>
              <w:fldChar w:fldCharType="begin">
                <w:ffData>
                  <w:name w:val="Check14"/>
                  <w:enabled/>
                  <w:calcOnExit w:val="0"/>
                  <w:checkBox>
                    <w:sizeAuto/>
                    <w:default w:val="0"/>
                  </w:checkBox>
                </w:ffData>
              </w:fldChar>
            </w:r>
            <w:bookmarkStart w:id="2" w:name="Check14"/>
            <w:r w:rsidRPr="0063452C">
              <w:rPr>
                <w:rFonts w:ascii="Arial" w:hAnsi="Arial" w:cs="Arial"/>
              </w:rPr>
              <w:instrText xml:space="preserve"> FORMCHECKBOX </w:instrText>
            </w:r>
            <w:r w:rsidRPr="0063452C">
              <w:rPr>
                <w:rFonts w:ascii="Arial" w:hAnsi="Arial" w:cs="Arial"/>
              </w:rPr>
            </w:r>
            <w:r w:rsidRPr="0063452C">
              <w:rPr>
                <w:rFonts w:ascii="Arial" w:hAnsi="Arial" w:cs="Arial"/>
              </w:rPr>
              <w:fldChar w:fldCharType="separate"/>
            </w:r>
            <w:r w:rsidRPr="0063452C">
              <w:rPr>
                <w:rFonts w:ascii="Arial" w:hAnsi="Arial" w:cs="Arial"/>
              </w:rPr>
              <w:fldChar w:fldCharType="end"/>
            </w:r>
            <w:bookmarkEnd w:id="2"/>
            <w:r w:rsidRPr="0063452C">
              <w:rPr>
                <w:rFonts w:ascii="Arial" w:hAnsi="Arial" w:cs="Arial"/>
              </w:rPr>
              <w:t xml:space="preserve">     3</w:t>
            </w:r>
            <w:r w:rsidRPr="0063452C">
              <w:rPr>
                <w:rFonts w:ascii="Arial" w:hAnsi="Arial" w:cs="Arial"/>
                <w:vertAlign w:val="superscript"/>
              </w:rPr>
              <w:t>rd</w:t>
            </w:r>
            <w:r w:rsidRPr="0063452C">
              <w:rPr>
                <w:rFonts w:ascii="Arial" w:hAnsi="Arial" w:cs="Arial"/>
              </w:rPr>
              <w:t xml:space="preserve">  </w:t>
            </w:r>
            <w:r w:rsidRPr="0063452C">
              <w:rPr>
                <w:rFonts w:ascii="Arial" w:hAnsi="Arial" w:cs="Arial"/>
              </w:rPr>
              <w:fldChar w:fldCharType="begin">
                <w:ffData>
                  <w:name w:val="Check15"/>
                  <w:enabled/>
                  <w:calcOnExit w:val="0"/>
                  <w:checkBox>
                    <w:sizeAuto/>
                    <w:default w:val="0"/>
                  </w:checkBox>
                </w:ffData>
              </w:fldChar>
            </w:r>
            <w:bookmarkStart w:id="3" w:name="Check15"/>
            <w:r w:rsidRPr="0063452C">
              <w:rPr>
                <w:rFonts w:ascii="Arial" w:hAnsi="Arial" w:cs="Arial"/>
              </w:rPr>
              <w:instrText xml:space="preserve"> FORMCHECKBOX </w:instrText>
            </w:r>
            <w:r w:rsidRPr="0063452C">
              <w:rPr>
                <w:rFonts w:ascii="Arial" w:hAnsi="Arial" w:cs="Arial"/>
              </w:rPr>
            </w:r>
            <w:r w:rsidRPr="0063452C">
              <w:rPr>
                <w:rFonts w:ascii="Arial" w:hAnsi="Arial" w:cs="Arial"/>
              </w:rPr>
              <w:fldChar w:fldCharType="separate"/>
            </w:r>
            <w:r w:rsidRPr="0063452C">
              <w:rPr>
                <w:rFonts w:ascii="Arial" w:hAnsi="Arial" w:cs="Arial"/>
              </w:rPr>
              <w:fldChar w:fldCharType="end"/>
            </w:r>
            <w:bookmarkEnd w:id="3"/>
            <w:r w:rsidRPr="0063452C">
              <w:rPr>
                <w:rFonts w:ascii="Arial" w:hAnsi="Arial" w:cs="Arial"/>
              </w:rPr>
              <w:t xml:space="preserve">      4</w:t>
            </w:r>
            <w:r w:rsidRPr="0063452C">
              <w:rPr>
                <w:rFonts w:ascii="Arial" w:hAnsi="Arial" w:cs="Arial"/>
                <w:vertAlign w:val="superscript"/>
              </w:rPr>
              <w:t>th</w:t>
            </w:r>
            <w:r w:rsidRPr="0063452C">
              <w:rPr>
                <w:rFonts w:ascii="Arial" w:hAnsi="Arial" w:cs="Arial"/>
              </w:rPr>
              <w:t xml:space="preserve"> </w:t>
            </w:r>
            <w:r w:rsidRPr="0063452C">
              <w:rPr>
                <w:rFonts w:ascii="Arial" w:hAnsi="Arial" w:cs="Arial"/>
              </w:rPr>
              <w:fldChar w:fldCharType="begin">
                <w:ffData>
                  <w:name w:val="Check16"/>
                  <w:enabled/>
                  <w:calcOnExit w:val="0"/>
                  <w:checkBox>
                    <w:sizeAuto/>
                    <w:default w:val="0"/>
                  </w:checkBox>
                </w:ffData>
              </w:fldChar>
            </w:r>
            <w:bookmarkStart w:id="4" w:name="Check16"/>
            <w:r w:rsidRPr="0063452C">
              <w:rPr>
                <w:rFonts w:ascii="Arial" w:hAnsi="Arial" w:cs="Arial"/>
              </w:rPr>
              <w:instrText xml:space="preserve"> FORMCHECKBOX </w:instrText>
            </w:r>
            <w:r w:rsidRPr="0063452C">
              <w:rPr>
                <w:rFonts w:ascii="Arial" w:hAnsi="Arial" w:cs="Arial"/>
              </w:rPr>
            </w:r>
            <w:r w:rsidRPr="0063452C">
              <w:rPr>
                <w:rFonts w:ascii="Arial" w:hAnsi="Arial" w:cs="Arial"/>
              </w:rPr>
              <w:fldChar w:fldCharType="separate"/>
            </w:r>
            <w:r w:rsidRPr="0063452C">
              <w:rPr>
                <w:rFonts w:ascii="Arial" w:hAnsi="Arial" w:cs="Arial"/>
              </w:rPr>
              <w:fldChar w:fldCharType="end"/>
            </w:r>
            <w:bookmarkEnd w:id="4"/>
            <w:r w:rsidRPr="0063452C">
              <w:rPr>
                <w:rFonts w:ascii="Arial" w:hAnsi="Arial" w:cs="Arial"/>
              </w:rPr>
              <w:t xml:space="preserve">      5</w:t>
            </w:r>
            <w:r w:rsidRPr="0063452C">
              <w:rPr>
                <w:rFonts w:ascii="Arial" w:hAnsi="Arial" w:cs="Arial"/>
                <w:vertAlign w:val="superscript"/>
              </w:rPr>
              <w:t>th</w:t>
            </w:r>
            <w:r w:rsidRPr="0063452C">
              <w:rPr>
                <w:rFonts w:ascii="Arial" w:hAnsi="Arial" w:cs="Arial"/>
              </w:rPr>
              <w:t xml:space="preserve"> </w:t>
            </w:r>
            <w:r w:rsidRPr="0063452C">
              <w:rPr>
                <w:rFonts w:ascii="Arial" w:hAnsi="Arial" w:cs="Arial"/>
              </w:rPr>
              <w:fldChar w:fldCharType="begin">
                <w:ffData>
                  <w:name w:val="Check17"/>
                  <w:enabled/>
                  <w:calcOnExit w:val="0"/>
                  <w:checkBox>
                    <w:sizeAuto/>
                    <w:default w:val="0"/>
                  </w:checkBox>
                </w:ffData>
              </w:fldChar>
            </w:r>
            <w:bookmarkStart w:id="5" w:name="Check17"/>
            <w:r w:rsidRPr="0063452C">
              <w:rPr>
                <w:rFonts w:ascii="Arial" w:hAnsi="Arial" w:cs="Arial"/>
              </w:rPr>
              <w:instrText xml:space="preserve"> FORMCHECKBOX </w:instrText>
            </w:r>
            <w:r w:rsidRPr="0063452C">
              <w:rPr>
                <w:rFonts w:ascii="Arial" w:hAnsi="Arial" w:cs="Arial"/>
              </w:rPr>
            </w:r>
            <w:r w:rsidRPr="0063452C">
              <w:rPr>
                <w:rFonts w:ascii="Arial" w:hAnsi="Arial" w:cs="Arial"/>
              </w:rPr>
              <w:fldChar w:fldCharType="separate"/>
            </w:r>
            <w:r w:rsidRPr="0063452C">
              <w:rPr>
                <w:rFonts w:ascii="Arial" w:hAnsi="Arial" w:cs="Arial"/>
              </w:rPr>
              <w:fldChar w:fldCharType="end"/>
            </w:r>
            <w:bookmarkEnd w:id="5"/>
            <w:r w:rsidRPr="0063452C">
              <w:rPr>
                <w:rFonts w:ascii="Arial" w:hAnsi="Arial" w:cs="Arial"/>
              </w:rPr>
              <w:t xml:space="preserve">      6</w:t>
            </w:r>
            <w:r w:rsidRPr="0063452C">
              <w:rPr>
                <w:rFonts w:ascii="Arial" w:hAnsi="Arial" w:cs="Arial"/>
                <w:vertAlign w:val="superscript"/>
              </w:rPr>
              <w:t>th</w:t>
            </w:r>
            <w:r w:rsidRPr="0063452C">
              <w:rPr>
                <w:rFonts w:ascii="Arial" w:hAnsi="Arial" w:cs="Arial"/>
              </w:rPr>
              <w:t xml:space="preserve"> </w:t>
            </w:r>
            <w:r w:rsidRPr="0063452C">
              <w:rPr>
                <w:rFonts w:ascii="Arial" w:hAnsi="Arial" w:cs="Arial"/>
              </w:rPr>
              <w:fldChar w:fldCharType="begin">
                <w:ffData>
                  <w:name w:val="Check18"/>
                  <w:enabled/>
                  <w:calcOnExit w:val="0"/>
                  <w:checkBox>
                    <w:sizeAuto/>
                    <w:default w:val="0"/>
                  </w:checkBox>
                </w:ffData>
              </w:fldChar>
            </w:r>
            <w:bookmarkStart w:id="6" w:name="Check18"/>
            <w:r w:rsidRPr="0063452C">
              <w:rPr>
                <w:rFonts w:ascii="Arial" w:hAnsi="Arial" w:cs="Arial"/>
              </w:rPr>
              <w:instrText xml:space="preserve"> FORMCHECKBOX </w:instrText>
            </w:r>
            <w:r w:rsidRPr="0063452C">
              <w:rPr>
                <w:rFonts w:ascii="Arial" w:hAnsi="Arial" w:cs="Arial"/>
              </w:rPr>
            </w:r>
            <w:r w:rsidRPr="0063452C">
              <w:rPr>
                <w:rFonts w:ascii="Arial" w:hAnsi="Arial" w:cs="Arial"/>
              </w:rPr>
              <w:fldChar w:fldCharType="separate"/>
            </w:r>
            <w:r w:rsidRPr="0063452C">
              <w:rPr>
                <w:rFonts w:ascii="Arial" w:hAnsi="Arial" w:cs="Arial"/>
              </w:rPr>
              <w:fldChar w:fldCharType="end"/>
            </w:r>
            <w:bookmarkEnd w:id="6"/>
          </w:p>
        </w:tc>
      </w:tr>
      <w:tr w:rsidR="0063452C" w:rsidRPr="0063452C" w14:paraId="752CA114" w14:textId="77777777" w:rsidTr="00DD75D8">
        <w:trPr>
          <w:trHeight w:val="978"/>
        </w:trPr>
        <w:tc>
          <w:tcPr>
            <w:tcW w:w="8856" w:type="dxa"/>
            <w:gridSpan w:val="5"/>
            <w:shd w:val="clear" w:color="auto" w:fill="D9D9D9"/>
          </w:tcPr>
          <w:p w14:paraId="2BFAF49F" w14:textId="77777777" w:rsidR="0063452C" w:rsidRPr="0063452C" w:rsidRDefault="0063452C" w:rsidP="0063452C">
            <w:pPr>
              <w:spacing w:after="0" w:line="240" w:lineRule="auto"/>
              <w:ind w:right="34"/>
              <w:rPr>
                <w:rFonts w:ascii="Arial" w:eastAsia="SimSun" w:hAnsi="Arial" w:cs="Arial"/>
                <w:color w:val="000000"/>
                <w:lang w:eastAsia="zh-CN"/>
              </w:rPr>
            </w:pPr>
            <w:r w:rsidRPr="0063452C">
              <w:rPr>
                <w:rFonts w:ascii="Arial" w:eastAsia="SimSun" w:hAnsi="Arial" w:cs="Arial"/>
                <w:color w:val="000000"/>
                <w:lang w:eastAsia="zh-CN"/>
              </w:rPr>
              <w:t>I confirm that this is my original work and that I have adhered to the University policy on plagiarism.</w:t>
            </w:r>
          </w:p>
          <w:p w14:paraId="5587331B" w14:textId="77777777" w:rsidR="0063452C" w:rsidRPr="0063452C" w:rsidRDefault="0063452C" w:rsidP="0063452C">
            <w:pPr>
              <w:spacing w:after="0" w:line="240" w:lineRule="auto"/>
              <w:ind w:right="34"/>
              <w:rPr>
                <w:rFonts w:ascii="Arial" w:eastAsia="SimSun" w:hAnsi="Arial" w:cs="Arial"/>
                <w:color w:val="000000"/>
                <w:lang w:eastAsia="zh-CN"/>
              </w:rPr>
            </w:pPr>
            <w:r w:rsidRPr="0063452C">
              <w:rPr>
                <w:rFonts w:ascii="Arial" w:eastAsia="SimSun" w:hAnsi="Arial" w:cs="Arial"/>
                <w:color w:val="000000"/>
                <w:lang w:eastAsia="zh-CN"/>
              </w:rPr>
              <w:t>Signed …B.L. Knibbs</w:t>
            </w:r>
          </w:p>
          <w:p w14:paraId="3EC06741" w14:textId="77777777" w:rsidR="0063452C" w:rsidRPr="0063452C" w:rsidRDefault="0063452C" w:rsidP="0063452C">
            <w:pPr>
              <w:spacing w:after="0" w:line="240" w:lineRule="auto"/>
              <w:ind w:right="34"/>
              <w:rPr>
                <w:rFonts w:ascii="Calibri" w:eastAsia="SimSun" w:hAnsi="Calibri" w:cs="Calibri"/>
                <w:b/>
                <w:color w:val="000000"/>
                <w:sz w:val="44"/>
                <w:szCs w:val="44"/>
                <w:lang w:eastAsia="zh-CN"/>
              </w:rPr>
            </w:pPr>
            <w:r w:rsidRPr="0063452C">
              <w:rPr>
                <w:rFonts w:ascii="Calibri" w:eastAsia="SimSun" w:hAnsi="Calibri" w:cs="Tahoma"/>
                <w:b/>
                <w:color w:val="000000"/>
                <w:sz w:val="24"/>
                <w:szCs w:val="24"/>
                <w:lang w:eastAsia="zh-CN"/>
              </w:rPr>
              <w:t xml:space="preserve">Email submission: if you are submitting this form via email, please tick this box </w:t>
            </w:r>
            <w:r w:rsidRPr="0063452C">
              <w:rPr>
                <w:rFonts w:ascii="Calibri" w:eastAsia="SimSun" w:hAnsi="Calibri" w:cs="Calibri"/>
                <w:color w:val="000000"/>
                <w:sz w:val="44"/>
                <w:szCs w:val="44"/>
                <w:lang w:eastAsia="zh-CN"/>
              </w:rPr>
              <w:t>□I agree</w:t>
            </w:r>
          </w:p>
          <w:p w14:paraId="7645F749" w14:textId="77777777" w:rsidR="0063452C" w:rsidRPr="0063452C" w:rsidRDefault="0063452C" w:rsidP="0063452C">
            <w:pPr>
              <w:spacing w:after="0" w:line="240" w:lineRule="auto"/>
              <w:ind w:right="34"/>
              <w:rPr>
                <w:rFonts w:ascii="Arial" w:eastAsia="SimSun" w:hAnsi="Arial" w:cs="Arial"/>
                <w:color w:val="000000"/>
                <w:lang w:eastAsia="zh-CN"/>
              </w:rPr>
            </w:pPr>
            <w:r w:rsidRPr="0063452C">
              <w:rPr>
                <w:rFonts w:ascii="Calibri" w:eastAsia="SimSun" w:hAnsi="Calibri" w:cs="Tahoma"/>
                <w:b/>
                <w:color w:val="000000"/>
                <w:sz w:val="24"/>
                <w:szCs w:val="24"/>
                <w:lang w:eastAsia="zh-CN"/>
              </w:rPr>
              <w:t>(as a substitute for your signature) to confirm that you agree to the above declaration.</w:t>
            </w:r>
          </w:p>
        </w:tc>
      </w:tr>
      <w:tr w:rsidR="0063452C" w:rsidRPr="0063452C" w14:paraId="6B4BEF24" w14:textId="77777777" w:rsidTr="00DD75D8">
        <w:trPr>
          <w:trHeight w:val="3972"/>
        </w:trPr>
        <w:tc>
          <w:tcPr>
            <w:tcW w:w="8856" w:type="dxa"/>
            <w:gridSpan w:val="5"/>
          </w:tcPr>
          <w:p w14:paraId="4C2C7C51" w14:textId="77777777" w:rsidR="0063452C" w:rsidRPr="0063452C" w:rsidRDefault="0063452C" w:rsidP="0063452C">
            <w:pPr>
              <w:rPr>
                <w:rFonts w:ascii="Arial" w:hAnsi="Arial"/>
                <w:b/>
              </w:rPr>
            </w:pPr>
          </w:p>
          <w:p w14:paraId="61AA1999" w14:textId="77777777" w:rsidR="0063452C" w:rsidRPr="0063452C" w:rsidRDefault="0063452C" w:rsidP="0063452C">
            <w:pPr>
              <w:rPr>
                <w:rFonts w:ascii="Arial" w:hAnsi="Arial"/>
              </w:rPr>
            </w:pPr>
            <w:r w:rsidRPr="0063452C">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3452C" w:rsidRPr="0063452C" w14:paraId="1557A1A8" w14:textId="77777777" w:rsidTr="00DD75D8">
              <w:tc>
                <w:tcPr>
                  <w:tcW w:w="6970" w:type="dxa"/>
                </w:tcPr>
                <w:p w14:paraId="55A4EB2E" w14:textId="77777777" w:rsidR="0063452C" w:rsidRPr="0063452C" w:rsidRDefault="0063452C" w:rsidP="0063452C">
                  <w:pPr>
                    <w:rPr>
                      <w:rFonts w:ascii="Arial" w:hAnsi="Arial"/>
                      <w:sz w:val="20"/>
                      <w:szCs w:val="20"/>
                    </w:rPr>
                  </w:pPr>
                </w:p>
                <w:p w14:paraId="32DF336E" w14:textId="77777777" w:rsidR="0063452C" w:rsidRPr="0063452C" w:rsidRDefault="0063452C" w:rsidP="0063452C">
                  <w:pPr>
                    <w:rPr>
                      <w:rFonts w:ascii="Arial" w:hAnsi="Arial"/>
                      <w:sz w:val="20"/>
                      <w:szCs w:val="20"/>
                    </w:rPr>
                  </w:pPr>
                  <w:r w:rsidRPr="0063452C">
                    <w:rPr>
                      <w:rFonts w:ascii="Arial" w:hAnsi="Arial"/>
                      <w:sz w:val="20"/>
                      <w:szCs w:val="20"/>
                    </w:rPr>
                    <w:t>1</w:t>
                  </w:r>
                  <w:r w:rsidRPr="0063452C">
                    <w:rPr>
                      <w:rFonts w:ascii="Arial" w:hAnsi="Arial"/>
                      <w:sz w:val="20"/>
                      <w:szCs w:val="20"/>
                      <w:vertAlign w:val="superscript"/>
                    </w:rPr>
                    <w:t>st</w:t>
                  </w:r>
                  <w:r w:rsidRPr="0063452C">
                    <w:rPr>
                      <w:rFonts w:ascii="Arial" w:hAnsi="Arial"/>
                      <w:sz w:val="20"/>
                      <w:szCs w:val="20"/>
                    </w:rPr>
                    <w:t xml:space="preserve"> Marker’s Provisional mark</w:t>
                  </w:r>
                </w:p>
              </w:tc>
              <w:tc>
                <w:tcPr>
                  <w:tcW w:w="1660" w:type="dxa"/>
                </w:tcPr>
                <w:p w14:paraId="37C4D622" w14:textId="77777777" w:rsidR="0063452C" w:rsidRPr="0063452C" w:rsidRDefault="0063452C" w:rsidP="0063452C">
                  <w:pPr>
                    <w:rPr>
                      <w:rFonts w:ascii="Arial" w:hAnsi="Arial"/>
                      <w:sz w:val="20"/>
                      <w:szCs w:val="20"/>
                    </w:rPr>
                  </w:pPr>
                </w:p>
              </w:tc>
            </w:tr>
            <w:tr w:rsidR="0063452C" w:rsidRPr="0063452C" w14:paraId="058BA81F" w14:textId="77777777" w:rsidTr="00DD75D8">
              <w:tc>
                <w:tcPr>
                  <w:tcW w:w="6970" w:type="dxa"/>
                </w:tcPr>
                <w:p w14:paraId="5DE1728F" w14:textId="77777777" w:rsidR="0063452C" w:rsidRPr="0063452C" w:rsidRDefault="0063452C" w:rsidP="0063452C">
                  <w:pPr>
                    <w:rPr>
                      <w:rFonts w:ascii="Arial" w:hAnsi="Arial"/>
                      <w:sz w:val="20"/>
                      <w:szCs w:val="20"/>
                    </w:rPr>
                  </w:pPr>
                </w:p>
                <w:p w14:paraId="2CF4D18F" w14:textId="77777777" w:rsidR="0063452C" w:rsidRPr="0063452C" w:rsidRDefault="0063452C" w:rsidP="0063452C">
                  <w:pPr>
                    <w:rPr>
                      <w:rFonts w:ascii="Arial" w:hAnsi="Arial"/>
                      <w:sz w:val="20"/>
                      <w:szCs w:val="20"/>
                    </w:rPr>
                  </w:pPr>
                  <w:r w:rsidRPr="0063452C">
                    <w:rPr>
                      <w:rFonts w:ascii="Arial" w:hAnsi="Arial"/>
                      <w:sz w:val="20"/>
                      <w:szCs w:val="20"/>
                    </w:rPr>
                    <w:t>2</w:t>
                  </w:r>
                  <w:r w:rsidRPr="0063452C">
                    <w:rPr>
                      <w:rFonts w:ascii="Arial" w:hAnsi="Arial"/>
                      <w:sz w:val="20"/>
                      <w:szCs w:val="20"/>
                      <w:vertAlign w:val="superscript"/>
                    </w:rPr>
                    <w:t>nd</w:t>
                  </w:r>
                  <w:r w:rsidRPr="0063452C">
                    <w:rPr>
                      <w:rFonts w:ascii="Arial" w:hAnsi="Arial"/>
                      <w:sz w:val="20"/>
                      <w:szCs w:val="20"/>
                    </w:rPr>
                    <w:t xml:space="preserve"> Marker’s/Moderator’s provisional mark</w:t>
                  </w:r>
                </w:p>
              </w:tc>
              <w:tc>
                <w:tcPr>
                  <w:tcW w:w="1660" w:type="dxa"/>
                </w:tcPr>
                <w:p w14:paraId="47182D38" w14:textId="77777777" w:rsidR="0063452C" w:rsidRPr="0063452C" w:rsidRDefault="0063452C" w:rsidP="0063452C">
                  <w:pPr>
                    <w:rPr>
                      <w:rFonts w:ascii="Arial" w:hAnsi="Arial"/>
                      <w:sz w:val="20"/>
                      <w:szCs w:val="20"/>
                    </w:rPr>
                  </w:pPr>
                </w:p>
              </w:tc>
            </w:tr>
            <w:tr w:rsidR="0063452C" w:rsidRPr="0063452C" w14:paraId="107CC677" w14:textId="77777777" w:rsidTr="00DD75D8">
              <w:tc>
                <w:tcPr>
                  <w:tcW w:w="6970" w:type="dxa"/>
                </w:tcPr>
                <w:p w14:paraId="59BD5A84" w14:textId="77777777" w:rsidR="0063452C" w:rsidRPr="0063452C" w:rsidRDefault="0063452C" w:rsidP="0063452C">
                  <w:pPr>
                    <w:rPr>
                      <w:rFonts w:ascii="Arial" w:hAnsi="Arial"/>
                      <w:sz w:val="20"/>
                      <w:szCs w:val="20"/>
                    </w:rPr>
                  </w:pPr>
                  <w:r w:rsidRPr="0063452C">
                    <w:rPr>
                      <w:rFonts w:ascii="Arial" w:hAnsi="Arial"/>
                      <w:sz w:val="20"/>
                      <w:szCs w:val="20"/>
                    </w:rPr>
                    <w:t xml:space="preserve">Agreed Internal Mark: </w:t>
                  </w:r>
                </w:p>
                <w:p w14:paraId="50466F11" w14:textId="77777777" w:rsidR="0063452C" w:rsidRPr="0063452C" w:rsidRDefault="0063452C" w:rsidP="0063452C">
                  <w:pPr>
                    <w:rPr>
                      <w:rFonts w:ascii="Arial" w:hAnsi="Arial"/>
                      <w:sz w:val="20"/>
                      <w:szCs w:val="20"/>
                      <w:highlight w:val="yellow"/>
                    </w:rPr>
                  </w:pPr>
                </w:p>
              </w:tc>
              <w:tc>
                <w:tcPr>
                  <w:tcW w:w="1660" w:type="dxa"/>
                </w:tcPr>
                <w:p w14:paraId="391FB558" w14:textId="77777777" w:rsidR="0063452C" w:rsidRPr="0063452C" w:rsidRDefault="0063452C" w:rsidP="0063452C">
                  <w:pPr>
                    <w:rPr>
                      <w:rFonts w:ascii="Arial" w:hAnsi="Arial"/>
                      <w:sz w:val="20"/>
                      <w:szCs w:val="20"/>
                      <w:highlight w:val="yellow"/>
                    </w:rPr>
                  </w:pPr>
                </w:p>
              </w:tc>
            </w:tr>
            <w:tr w:rsidR="0063452C" w:rsidRPr="0063452C" w14:paraId="74BE5F4A" w14:textId="77777777" w:rsidTr="00DD75D8">
              <w:tc>
                <w:tcPr>
                  <w:tcW w:w="6970" w:type="dxa"/>
                </w:tcPr>
                <w:p w14:paraId="1DD68060" w14:textId="77777777" w:rsidR="0063452C" w:rsidRPr="0063452C" w:rsidRDefault="0063452C" w:rsidP="0063452C">
                  <w:pPr>
                    <w:rPr>
                      <w:rFonts w:ascii="Arial" w:hAnsi="Arial"/>
                      <w:sz w:val="20"/>
                      <w:szCs w:val="20"/>
                    </w:rPr>
                  </w:pPr>
                </w:p>
                <w:p w14:paraId="49079EBE" w14:textId="77777777" w:rsidR="0063452C" w:rsidRPr="0063452C" w:rsidRDefault="0063452C" w:rsidP="0063452C">
                  <w:pPr>
                    <w:rPr>
                      <w:rFonts w:ascii="Arial" w:hAnsi="Arial"/>
                      <w:sz w:val="20"/>
                      <w:szCs w:val="20"/>
                    </w:rPr>
                  </w:pPr>
                  <w:r w:rsidRPr="0063452C">
                    <w:rPr>
                      <w:rFonts w:ascii="Arial" w:hAnsi="Arial"/>
                      <w:sz w:val="20"/>
                      <w:szCs w:val="20"/>
                    </w:rPr>
                    <w:t>External Examiner’s mark (if relevant)</w:t>
                  </w:r>
                </w:p>
              </w:tc>
              <w:tc>
                <w:tcPr>
                  <w:tcW w:w="1660" w:type="dxa"/>
                </w:tcPr>
                <w:p w14:paraId="4461BDE2" w14:textId="77777777" w:rsidR="0063452C" w:rsidRPr="0063452C" w:rsidRDefault="0063452C" w:rsidP="0063452C">
                  <w:pPr>
                    <w:rPr>
                      <w:rFonts w:ascii="Arial" w:hAnsi="Arial"/>
                      <w:sz w:val="20"/>
                      <w:szCs w:val="20"/>
                    </w:rPr>
                  </w:pPr>
                </w:p>
              </w:tc>
            </w:tr>
            <w:tr w:rsidR="0063452C" w:rsidRPr="0063452C" w14:paraId="1CD0F02E" w14:textId="77777777" w:rsidTr="00DD75D8">
              <w:tc>
                <w:tcPr>
                  <w:tcW w:w="6970" w:type="dxa"/>
                </w:tcPr>
                <w:p w14:paraId="465A9211" w14:textId="77777777" w:rsidR="0063452C" w:rsidRPr="0063452C" w:rsidRDefault="0063452C" w:rsidP="0063452C">
                  <w:pPr>
                    <w:rPr>
                      <w:rFonts w:ascii="Arial" w:hAnsi="Arial"/>
                      <w:sz w:val="20"/>
                      <w:szCs w:val="20"/>
                    </w:rPr>
                  </w:pPr>
                </w:p>
                <w:p w14:paraId="1BA27D81" w14:textId="77777777" w:rsidR="0063452C" w:rsidRPr="0063452C" w:rsidRDefault="0063452C" w:rsidP="0063452C">
                  <w:pPr>
                    <w:rPr>
                      <w:rFonts w:ascii="Arial" w:hAnsi="Arial"/>
                      <w:b/>
                      <w:sz w:val="20"/>
                      <w:szCs w:val="20"/>
                    </w:rPr>
                  </w:pPr>
                  <w:r w:rsidRPr="0063452C">
                    <w:rPr>
                      <w:rFonts w:ascii="Arial" w:hAnsi="Arial"/>
                      <w:b/>
                      <w:sz w:val="20"/>
                      <w:szCs w:val="20"/>
                    </w:rPr>
                    <w:t>Final Mark</w:t>
                  </w:r>
                </w:p>
                <w:p w14:paraId="43B583D9" w14:textId="77777777" w:rsidR="0063452C" w:rsidRPr="0063452C" w:rsidRDefault="0063452C" w:rsidP="0063452C">
                  <w:pPr>
                    <w:rPr>
                      <w:rFonts w:ascii="Arial" w:hAnsi="Arial"/>
                      <w:sz w:val="20"/>
                      <w:szCs w:val="20"/>
                    </w:rPr>
                  </w:pPr>
                </w:p>
              </w:tc>
              <w:tc>
                <w:tcPr>
                  <w:tcW w:w="1660" w:type="dxa"/>
                </w:tcPr>
                <w:p w14:paraId="258FE856" w14:textId="77777777" w:rsidR="0063452C" w:rsidRPr="0063452C" w:rsidRDefault="0063452C" w:rsidP="0063452C">
                  <w:pPr>
                    <w:rPr>
                      <w:rFonts w:ascii="Arial" w:hAnsi="Arial"/>
                      <w:sz w:val="20"/>
                      <w:szCs w:val="20"/>
                    </w:rPr>
                  </w:pPr>
                </w:p>
              </w:tc>
            </w:tr>
          </w:tbl>
          <w:p w14:paraId="169ACC63" w14:textId="77777777" w:rsidR="0063452C" w:rsidRPr="0063452C" w:rsidRDefault="0063452C" w:rsidP="0063452C">
            <w:pPr>
              <w:spacing w:after="0" w:line="240" w:lineRule="auto"/>
              <w:ind w:left="142" w:right="34"/>
              <w:rPr>
                <w:rFonts w:ascii="Arial" w:eastAsia="SimSun" w:hAnsi="Arial" w:cs="Arial"/>
                <w:b/>
                <w:color w:val="000000"/>
                <w:lang w:eastAsia="zh-CN"/>
              </w:rPr>
            </w:pPr>
          </w:p>
          <w:p w14:paraId="4B9FA3DE" w14:textId="77777777" w:rsidR="0063452C" w:rsidRPr="0063452C" w:rsidRDefault="0063452C" w:rsidP="0063452C">
            <w:pPr>
              <w:spacing w:after="0" w:line="240" w:lineRule="auto"/>
              <w:ind w:left="142" w:right="34"/>
              <w:rPr>
                <w:rFonts w:ascii="Arial" w:eastAsia="SimSun" w:hAnsi="Arial" w:cs="Arial"/>
                <w:color w:val="000000"/>
                <w:lang w:eastAsia="zh-CN"/>
              </w:rPr>
            </w:pPr>
            <w:r w:rsidRPr="0063452C">
              <w:rPr>
                <w:rFonts w:ascii="Arial" w:eastAsia="SimSun" w:hAnsi="Arial" w:cs="Arial"/>
                <w:b/>
                <w:color w:val="000000"/>
                <w:lang w:eastAsia="zh-CN"/>
              </w:rPr>
              <w:t>NB.</w:t>
            </w:r>
            <w:r w:rsidRPr="0063452C">
              <w:rPr>
                <w:rFonts w:ascii="Arial" w:eastAsia="SimSun" w:hAnsi="Arial" w:cs="Arial"/>
                <w:color w:val="000000"/>
                <w:lang w:eastAsia="zh-CN"/>
              </w:rPr>
              <w:t xml:space="preserve">  All marks are provisional until confirmed by the Final Examination Board.</w:t>
            </w:r>
          </w:p>
          <w:p w14:paraId="465E5470" w14:textId="77777777" w:rsidR="0063452C" w:rsidRPr="0063452C" w:rsidRDefault="0063452C" w:rsidP="0063452C">
            <w:pPr>
              <w:spacing w:after="0" w:line="240" w:lineRule="auto"/>
              <w:rPr>
                <w:rFonts w:ascii="Arial" w:eastAsia="SimSun" w:hAnsi="Arial" w:cs="Arial"/>
                <w:b/>
                <w:color w:val="000000"/>
                <w:lang w:eastAsia="zh-CN"/>
              </w:rPr>
            </w:pPr>
          </w:p>
          <w:p w14:paraId="2BDA2FE5" w14:textId="77777777" w:rsidR="0063452C" w:rsidRPr="0063452C" w:rsidRDefault="0063452C" w:rsidP="0063452C">
            <w:pPr>
              <w:spacing w:after="0" w:line="240" w:lineRule="auto"/>
              <w:rPr>
                <w:rFonts w:ascii="Arial" w:eastAsia="SimSun" w:hAnsi="Arial" w:cs="Arial"/>
                <w:b/>
                <w:color w:val="000000"/>
                <w:lang w:eastAsia="zh-CN"/>
              </w:rPr>
            </w:pPr>
          </w:p>
          <w:p w14:paraId="6C6C2A8C" w14:textId="77777777" w:rsidR="0063452C" w:rsidRPr="0063452C" w:rsidRDefault="0063452C" w:rsidP="0063452C">
            <w:pPr>
              <w:spacing w:after="0" w:line="240" w:lineRule="auto"/>
              <w:rPr>
                <w:rFonts w:ascii="Arial" w:eastAsia="SimSun" w:hAnsi="Arial" w:cs="Arial"/>
                <w:b/>
                <w:color w:val="000000"/>
                <w:lang w:eastAsia="zh-CN"/>
              </w:rPr>
            </w:pPr>
          </w:p>
          <w:p w14:paraId="0CA92C35" w14:textId="77777777" w:rsidR="0063452C" w:rsidRPr="0063452C" w:rsidRDefault="0063452C" w:rsidP="0063452C">
            <w:pPr>
              <w:spacing w:after="0" w:line="240" w:lineRule="auto"/>
              <w:rPr>
                <w:rFonts w:ascii="Arial" w:eastAsia="SimSun" w:hAnsi="Arial" w:cs="Arial"/>
                <w:b/>
                <w:color w:val="000000"/>
                <w:lang w:eastAsia="zh-CN"/>
              </w:rPr>
            </w:pPr>
          </w:p>
          <w:p w14:paraId="51119DBB" w14:textId="77777777" w:rsidR="0063452C" w:rsidRPr="0063452C" w:rsidRDefault="0063452C" w:rsidP="0063452C">
            <w:pPr>
              <w:spacing w:after="0" w:line="240" w:lineRule="auto"/>
              <w:rPr>
                <w:rFonts w:ascii="Arial" w:eastAsia="SimSun" w:hAnsi="Arial" w:cs="Arial"/>
                <w:b/>
                <w:color w:val="000000"/>
                <w:lang w:eastAsia="zh-CN"/>
              </w:rPr>
            </w:pPr>
            <w:r w:rsidRPr="0063452C">
              <w:rPr>
                <w:rFonts w:ascii="Arial" w:eastAsia="SimSun" w:hAnsi="Arial" w:cs="Arial"/>
                <w:b/>
                <w:color w:val="000000"/>
                <w:lang w:eastAsia="zh-CN"/>
              </w:rPr>
              <w:t xml:space="preserve">For completion by Marker </w:t>
            </w:r>
            <w:proofErr w:type="gramStart"/>
            <w:r w:rsidRPr="0063452C">
              <w:rPr>
                <w:rFonts w:ascii="Arial" w:eastAsia="SimSun" w:hAnsi="Arial" w:cs="Arial"/>
                <w:b/>
                <w:color w:val="000000"/>
                <w:lang w:eastAsia="zh-CN"/>
              </w:rPr>
              <w:t>1 :</w:t>
            </w:r>
            <w:proofErr w:type="gramEnd"/>
          </w:p>
          <w:p w14:paraId="2BDCFCC8" w14:textId="77777777" w:rsidR="0063452C" w:rsidRPr="0063452C" w:rsidRDefault="0063452C" w:rsidP="0063452C">
            <w:pPr>
              <w:spacing w:before="100" w:beforeAutospacing="1" w:after="100" w:afterAutospacing="1" w:line="240" w:lineRule="auto"/>
              <w:rPr>
                <w:rFonts w:ascii="Arial" w:eastAsia="SimSun" w:hAnsi="Arial" w:cs="Arial"/>
                <w:color w:val="000000"/>
                <w:lang w:eastAsia="zh-CN"/>
              </w:rPr>
            </w:pPr>
            <w:r w:rsidRPr="0063452C">
              <w:rPr>
                <w:rFonts w:ascii="Arial" w:eastAsia="SimSun" w:hAnsi="Arial" w:cs="Arial"/>
                <w:color w:val="000000"/>
                <w:lang w:eastAsia="zh-CN"/>
              </w:rPr>
              <w:t>Comments:</w:t>
            </w:r>
          </w:p>
          <w:p w14:paraId="57DA4312" w14:textId="77777777" w:rsidR="0063452C" w:rsidRPr="0063452C" w:rsidRDefault="0063452C" w:rsidP="0063452C">
            <w:pPr>
              <w:spacing w:before="100" w:beforeAutospacing="1" w:after="100" w:afterAutospacing="1" w:line="240" w:lineRule="auto"/>
              <w:rPr>
                <w:rFonts w:ascii="Arial" w:eastAsia="SimSun" w:hAnsi="Arial" w:cs="Arial"/>
                <w:color w:val="000000"/>
                <w:lang w:eastAsia="zh-CN"/>
              </w:rPr>
            </w:pPr>
          </w:p>
        </w:tc>
      </w:tr>
      <w:tr w:rsidR="0063452C" w:rsidRPr="0063452C" w14:paraId="330F8433" w14:textId="77777777" w:rsidTr="00DD75D8">
        <w:trPr>
          <w:trHeight w:val="492"/>
        </w:trPr>
        <w:tc>
          <w:tcPr>
            <w:tcW w:w="6768" w:type="dxa"/>
            <w:gridSpan w:val="3"/>
          </w:tcPr>
          <w:p w14:paraId="5B221D9B" w14:textId="77777777" w:rsidR="0063452C" w:rsidRPr="0063452C" w:rsidRDefault="0063452C" w:rsidP="0063452C">
            <w:pPr>
              <w:spacing w:before="100" w:beforeAutospacing="1" w:after="100" w:afterAutospacing="1" w:line="240" w:lineRule="auto"/>
              <w:ind w:left="142" w:right="34"/>
              <w:rPr>
                <w:rFonts w:ascii="Arial" w:eastAsia="SimSun" w:hAnsi="Arial" w:cs="Arial"/>
                <w:color w:val="000000"/>
                <w:lang w:eastAsia="zh-CN"/>
              </w:rPr>
            </w:pPr>
            <w:r w:rsidRPr="0063452C">
              <w:rPr>
                <w:rFonts w:ascii="Arial" w:eastAsia="SimSun" w:hAnsi="Arial" w:cs="Arial"/>
                <w:color w:val="000000"/>
                <w:lang w:eastAsia="zh-CN"/>
              </w:rPr>
              <w:lastRenderedPageBreak/>
              <w:t>Marker’s signature:</w:t>
            </w:r>
          </w:p>
        </w:tc>
        <w:tc>
          <w:tcPr>
            <w:tcW w:w="2088" w:type="dxa"/>
            <w:gridSpan w:val="2"/>
          </w:tcPr>
          <w:p w14:paraId="46D6A1F1" w14:textId="77777777" w:rsidR="0063452C" w:rsidRPr="0063452C" w:rsidRDefault="0063452C" w:rsidP="0063452C">
            <w:pPr>
              <w:spacing w:before="100" w:beforeAutospacing="1" w:after="0" w:afterAutospacing="1" w:line="240" w:lineRule="auto"/>
              <w:ind w:left="142" w:right="34"/>
              <w:rPr>
                <w:rFonts w:ascii="Arial" w:eastAsia="SimSun" w:hAnsi="Arial" w:cs="Arial"/>
                <w:color w:val="000000"/>
                <w:lang w:eastAsia="zh-CN"/>
              </w:rPr>
            </w:pPr>
            <w:r w:rsidRPr="0063452C">
              <w:rPr>
                <w:rFonts w:ascii="Arial" w:eastAsia="SimSun" w:hAnsi="Arial" w:cs="Arial"/>
                <w:color w:val="000000"/>
                <w:lang w:eastAsia="zh-CN"/>
              </w:rPr>
              <w:t>Date:</w:t>
            </w:r>
          </w:p>
        </w:tc>
      </w:tr>
      <w:tr w:rsidR="0063452C" w:rsidRPr="0063452C" w14:paraId="3C4CBEA8" w14:textId="77777777" w:rsidTr="00DD75D8">
        <w:tc>
          <w:tcPr>
            <w:tcW w:w="8856" w:type="dxa"/>
            <w:gridSpan w:val="5"/>
          </w:tcPr>
          <w:p w14:paraId="754F76B6" w14:textId="77777777" w:rsidR="0063452C" w:rsidRPr="0063452C" w:rsidRDefault="0063452C" w:rsidP="0063452C">
            <w:pPr>
              <w:spacing w:after="0" w:line="240" w:lineRule="auto"/>
              <w:ind w:right="-334"/>
              <w:rPr>
                <w:rFonts w:ascii="Arial" w:eastAsia="SimSun" w:hAnsi="Arial" w:cs="Arial"/>
                <w:bCs/>
                <w:i/>
                <w:color w:val="000000"/>
                <w:lang w:eastAsia="zh-CN"/>
              </w:rPr>
            </w:pPr>
          </w:p>
          <w:p w14:paraId="048A0A53" w14:textId="77777777" w:rsidR="0063452C" w:rsidRPr="0063452C" w:rsidRDefault="0063452C" w:rsidP="0063452C">
            <w:pPr>
              <w:spacing w:after="0" w:line="240" w:lineRule="auto"/>
              <w:ind w:right="-334"/>
              <w:rPr>
                <w:rFonts w:ascii="Arial" w:eastAsia="SimSun" w:hAnsi="Arial" w:cs="Arial"/>
                <w:b/>
                <w:bCs/>
                <w:color w:val="000000"/>
                <w:lang w:eastAsia="zh-CN"/>
              </w:rPr>
            </w:pPr>
            <w:r w:rsidRPr="0063452C">
              <w:rPr>
                <w:rFonts w:ascii="Arial" w:eastAsia="SimSun" w:hAnsi="Arial" w:cs="Arial"/>
                <w:b/>
                <w:bCs/>
                <w:color w:val="000000"/>
                <w:lang w:eastAsia="zh-CN"/>
              </w:rPr>
              <w:t>For completion by Marker 2/Moderator:</w:t>
            </w:r>
          </w:p>
          <w:p w14:paraId="3EBABC56" w14:textId="77777777" w:rsidR="0063452C" w:rsidRPr="0063452C" w:rsidRDefault="0063452C" w:rsidP="0063452C">
            <w:pPr>
              <w:spacing w:after="0" w:line="240" w:lineRule="auto"/>
              <w:ind w:right="-334"/>
              <w:rPr>
                <w:rFonts w:ascii="Arial" w:eastAsia="SimSun" w:hAnsi="Arial" w:cs="Arial"/>
                <w:b/>
                <w:bCs/>
                <w:color w:val="000000"/>
                <w:lang w:eastAsia="zh-CN"/>
              </w:rPr>
            </w:pPr>
          </w:p>
          <w:p w14:paraId="1CD81333" w14:textId="77777777" w:rsidR="0063452C" w:rsidRPr="0063452C" w:rsidRDefault="0063452C" w:rsidP="0063452C">
            <w:pPr>
              <w:spacing w:after="0" w:line="240" w:lineRule="auto"/>
              <w:ind w:right="-334"/>
              <w:rPr>
                <w:rFonts w:ascii="Arial" w:eastAsia="SimSun" w:hAnsi="Arial" w:cs="Arial"/>
                <w:bCs/>
                <w:color w:val="000000"/>
                <w:lang w:eastAsia="zh-CN"/>
              </w:rPr>
            </w:pPr>
            <w:r w:rsidRPr="0063452C">
              <w:rPr>
                <w:rFonts w:ascii="Arial" w:eastAsia="SimSun" w:hAnsi="Arial" w:cs="Arial"/>
                <w:bCs/>
                <w:color w:val="000000"/>
                <w:lang w:eastAsia="zh-CN"/>
              </w:rPr>
              <w:t>Comments:</w:t>
            </w:r>
          </w:p>
          <w:p w14:paraId="28654AD8" w14:textId="77777777" w:rsidR="0063452C" w:rsidRPr="0063452C" w:rsidRDefault="0063452C" w:rsidP="0063452C">
            <w:pPr>
              <w:spacing w:after="0" w:line="240" w:lineRule="auto"/>
              <w:ind w:right="-334"/>
              <w:rPr>
                <w:rFonts w:ascii="Arial" w:eastAsia="SimSun" w:hAnsi="Arial" w:cs="Arial"/>
                <w:bCs/>
                <w:color w:val="000000"/>
                <w:lang w:eastAsia="zh-CN"/>
              </w:rPr>
            </w:pPr>
          </w:p>
          <w:p w14:paraId="50F5069A" w14:textId="77777777" w:rsidR="0063452C" w:rsidRPr="0063452C" w:rsidRDefault="0063452C" w:rsidP="0063452C">
            <w:pPr>
              <w:spacing w:after="0" w:line="240" w:lineRule="auto"/>
              <w:ind w:right="-334"/>
              <w:rPr>
                <w:rFonts w:ascii="Arial" w:eastAsia="SimSun" w:hAnsi="Arial" w:cs="Arial"/>
                <w:bCs/>
                <w:color w:val="000000"/>
                <w:lang w:eastAsia="zh-CN"/>
              </w:rPr>
            </w:pPr>
          </w:p>
          <w:p w14:paraId="630B1C62" w14:textId="77777777" w:rsidR="0063452C" w:rsidRPr="0063452C" w:rsidRDefault="0063452C" w:rsidP="0063452C">
            <w:pPr>
              <w:spacing w:after="0" w:line="240" w:lineRule="auto"/>
              <w:ind w:right="-334"/>
              <w:rPr>
                <w:rFonts w:ascii="Arial" w:eastAsia="SimSun" w:hAnsi="Arial" w:cs="Arial"/>
                <w:bCs/>
                <w:color w:val="000000"/>
                <w:lang w:eastAsia="zh-CN"/>
              </w:rPr>
            </w:pPr>
          </w:p>
        </w:tc>
      </w:tr>
      <w:tr w:rsidR="0063452C" w:rsidRPr="0063452C" w14:paraId="5F3A97BF" w14:textId="77777777" w:rsidTr="00DD75D8">
        <w:trPr>
          <w:trHeight w:val="720"/>
        </w:trPr>
        <w:tc>
          <w:tcPr>
            <w:tcW w:w="5211" w:type="dxa"/>
            <w:gridSpan w:val="2"/>
          </w:tcPr>
          <w:p w14:paraId="673B11D0" w14:textId="77777777" w:rsidR="0063452C" w:rsidRPr="0063452C" w:rsidRDefault="0063452C" w:rsidP="0063452C">
            <w:pPr>
              <w:spacing w:after="0" w:line="240" w:lineRule="auto"/>
              <w:ind w:right="-334"/>
              <w:rPr>
                <w:rFonts w:ascii="Arial" w:eastAsia="SimSun" w:hAnsi="Arial" w:cs="Arial"/>
                <w:bCs/>
                <w:color w:val="000000"/>
                <w:lang w:eastAsia="zh-CN"/>
              </w:rPr>
            </w:pPr>
            <w:r w:rsidRPr="0063452C">
              <w:rPr>
                <w:rFonts w:ascii="Arial" w:eastAsia="SimSun" w:hAnsi="Arial" w:cs="Arial"/>
                <w:bCs/>
                <w:color w:val="000000"/>
                <w:lang w:eastAsia="zh-CN"/>
              </w:rPr>
              <w:t>Marker’s Signature:</w:t>
            </w:r>
          </w:p>
        </w:tc>
        <w:tc>
          <w:tcPr>
            <w:tcW w:w="3645" w:type="dxa"/>
            <w:gridSpan w:val="3"/>
          </w:tcPr>
          <w:p w14:paraId="60275025" w14:textId="77777777" w:rsidR="0063452C" w:rsidRPr="0063452C" w:rsidRDefault="0063452C" w:rsidP="0063452C">
            <w:pPr>
              <w:spacing w:after="0" w:line="240" w:lineRule="auto"/>
              <w:ind w:right="-334"/>
              <w:rPr>
                <w:rFonts w:ascii="Arial" w:eastAsia="SimSun" w:hAnsi="Arial" w:cs="Arial"/>
                <w:bCs/>
                <w:color w:val="000000"/>
                <w:lang w:eastAsia="zh-CN"/>
              </w:rPr>
            </w:pPr>
            <w:r w:rsidRPr="0063452C">
              <w:rPr>
                <w:rFonts w:ascii="Arial" w:eastAsia="SimSun" w:hAnsi="Arial" w:cs="Arial"/>
                <w:bCs/>
                <w:color w:val="000000"/>
                <w:lang w:eastAsia="zh-CN"/>
              </w:rPr>
              <w:t>Date:</w:t>
            </w:r>
          </w:p>
        </w:tc>
      </w:tr>
      <w:tr w:rsidR="0063452C" w:rsidRPr="0063452C" w14:paraId="6F844353" w14:textId="77777777" w:rsidTr="00DD75D8">
        <w:trPr>
          <w:trHeight w:val="720"/>
        </w:trPr>
        <w:tc>
          <w:tcPr>
            <w:tcW w:w="8856" w:type="dxa"/>
            <w:gridSpan w:val="5"/>
          </w:tcPr>
          <w:p w14:paraId="65DC6156" w14:textId="77777777" w:rsidR="0063452C" w:rsidRPr="0063452C" w:rsidRDefault="0063452C" w:rsidP="0063452C">
            <w:pPr>
              <w:rPr>
                <w:rFonts w:ascii="Arial" w:hAnsi="Arial" w:cs="Arial"/>
                <w:b/>
              </w:rPr>
            </w:pPr>
            <w:r w:rsidRPr="0063452C">
              <w:rPr>
                <w:rFonts w:ascii="Arial" w:hAnsi="Arial" w:cs="Arial"/>
                <w:b/>
              </w:rPr>
              <w:t>AGREED INTERNAL MARK (where necessary):</w:t>
            </w:r>
          </w:p>
          <w:p w14:paraId="528F101C" w14:textId="77777777" w:rsidR="0063452C" w:rsidRPr="0063452C" w:rsidRDefault="0063452C" w:rsidP="0063452C">
            <w:pPr>
              <w:rPr>
                <w:rFonts w:ascii="Arial" w:hAnsi="Arial" w:cs="Arial"/>
                <w:b/>
              </w:rPr>
            </w:pPr>
          </w:p>
          <w:p w14:paraId="5569E347" w14:textId="77777777" w:rsidR="0063452C" w:rsidRPr="0063452C" w:rsidRDefault="0063452C" w:rsidP="0063452C">
            <w:pPr>
              <w:rPr>
                <w:rFonts w:ascii="Arial" w:hAnsi="Arial" w:cs="Arial"/>
                <w:b/>
              </w:rPr>
            </w:pPr>
            <w:r w:rsidRPr="0063452C">
              <w:rPr>
                <w:rFonts w:ascii="Arial" w:hAnsi="Arial" w:cs="Arial"/>
                <w:b/>
              </w:rPr>
              <w:t>Comment on process on arriving at agreed mark:</w:t>
            </w:r>
          </w:p>
          <w:p w14:paraId="5A410437" w14:textId="77777777" w:rsidR="0063452C" w:rsidRPr="0063452C" w:rsidRDefault="0063452C" w:rsidP="0063452C">
            <w:pPr>
              <w:rPr>
                <w:rFonts w:ascii="Arial" w:hAnsi="Arial" w:cs="Arial"/>
                <w:b/>
              </w:rPr>
            </w:pPr>
          </w:p>
          <w:p w14:paraId="0B4BA1A1" w14:textId="77777777" w:rsidR="0063452C" w:rsidRPr="0063452C" w:rsidRDefault="0063452C" w:rsidP="0063452C">
            <w:pPr>
              <w:rPr>
                <w:rFonts w:ascii="Arial" w:hAnsi="Arial" w:cs="Arial"/>
                <w:b/>
              </w:rPr>
            </w:pPr>
          </w:p>
        </w:tc>
      </w:tr>
      <w:tr w:rsidR="0063452C" w:rsidRPr="0063452C" w14:paraId="0C7EBCB4" w14:textId="77777777" w:rsidTr="00DD75D8">
        <w:trPr>
          <w:trHeight w:val="720"/>
        </w:trPr>
        <w:tc>
          <w:tcPr>
            <w:tcW w:w="8856" w:type="dxa"/>
            <w:gridSpan w:val="5"/>
          </w:tcPr>
          <w:p w14:paraId="4017BCF1" w14:textId="77777777" w:rsidR="0063452C" w:rsidRPr="0063452C" w:rsidRDefault="0063452C" w:rsidP="0063452C">
            <w:pPr>
              <w:rPr>
                <w:rFonts w:ascii="Arial" w:hAnsi="Arial" w:cs="Arial"/>
                <w:b/>
              </w:rPr>
            </w:pPr>
            <w:r w:rsidRPr="0063452C">
              <w:rPr>
                <w:rFonts w:ascii="Arial" w:hAnsi="Arial" w:cs="Arial"/>
                <w:b/>
              </w:rPr>
              <w:t>External Examiner’s comments (if relevant)</w:t>
            </w:r>
          </w:p>
          <w:p w14:paraId="69B831B4" w14:textId="77777777" w:rsidR="0063452C" w:rsidRPr="0063452C" w:rsidRDefault="0063452C" w:rsidP="0063452C">
            <w:pPr>
              <w:spacing w:after="0" w:line="240" w:lineRule="auto"/>
              <w:ind w:right="-334"/>
              <w:rPr>
                <w:rFonts w:ascii="Arial" w:eastAsia="SimSun" w:hAnsi="Arial" w:cs="Arial"/>
                <w:bCs/>
                <w:color w:val="000000"/>
                <w:lang w:eastAsia="zh-CN"/>
              </w:rPr>
            </w:pPr>
          </w:p>
          <w:p w14:paraId="5A57C385" w14:textId="77777777" w:rsidR="0063452C" w:rsidRPr="0063452C" w:rsidRDefault="0063452C" w:rsidP="0063452C">
            <w:pPr>
              <w:spacing w:after="0" w:line="240" w:lineRule="auto"/>
              <w:ind w:right="-334"/>
              <w:rPr>
                <w:rFonts w:ascii="Arial" w:eastAsia="SimSun" w:hAnsi="Arial" w:cs="Arial"/>
                <w:bCs/>
                <w:color w:val="000000"/>
                <w:lang w:eastAsia="zh-CN"/>
              </w:rPr>
            </w:pPr>
          </w:p>
          <w:p w14:paraId="73F4AC31" w14:textId="77777777" w:rsidR="0063452C" w:rsidRPr="0063452C" w:rsidRDefault="0063452C" w:rsidP="0063452C">
            <w:pPr>
              <w:spacing w:after="0" w:line="240" w:lineRule="auto"/>
              <w:ind w:right="-334"/>
              <w:rPr>
                <w:rFonts w:ascii="Arial" w:eastAsia="SimSun" w:hAnsi="Arial" w:cs="Arial"/>
                <w:bCs/>
                <w:color w:val="000000"/>
                <w:lang w:eastAsia="zh-CN"/>
              </w:rPr>
            </w:pPr>
          </w:p>
        </w:tc>
      </w:tr>
      <w:tr w:rsidR="0063452C" w:rsidRPr="0063452C" w14:paraId="7165B8B5" w14:textId="77777777" w:rsidTr="00DD75D8">
        <w:trPr>
          <w:trHeight w:val="720"/>
        </w:trPr>
        <w:tc>
          <w:tcPr>
            <w:tcW w:w="5211" w:type="dxa"/>
            <w:gridSpan w:val="2"/>
          </w:tcPr>
          <w:p w14:paraId="751A0441" w14:textId="77777777" w:rsidR="0063452C" w:rsidRPr="0063452C" w:rsidRDefault="0063452C" w:rsidP="0063452C">
            <w:pPr>
              <w:rPr>
                <w:rFonts w:ascii="Arial" w:hAnsi="Arial" w:cs="Arial"/>
              </w:rPr>
            </w:pPr>
            <w:r w:rsidRPr="0063452C">
              <w:rPr>
                <w:rFonts w:ascii="Arial" w:hAnsi="Arial" w:cs="Arial"/>
              </w:rPr>
              <w:t>External Examiner’s Signature:</w:t>
            </w:r>
          </w:p>
        </w:tc>
        <w:tc>
          <w:tcPr>
            <w:tcW w:w="3645" w:type="dxa"/>
            <w:gridSpan w:val="3"/>
          </w:tcPr>
          <w:p w14:paraId="02221AAB" w14:textId="77777777" w:rsidR="0063452C" w:rsidRPr="0063452C" w:rsidRDefault="0063452C" w:rsidP="0063452C">
            <w:pPr>
              <w:rPr>
                <w:rFonts w:ascii="Arial" w:hAnsi="Arial" w:cs="Arial"/>
              </w:rPr>
            </w:pPr>
            <w:r w:rsidRPr="0063452C">
              <w:rPr>
                <w:rFonts w:ascii="Arial" w:hAnsi="Arial" w:cs="Arial"/>
              </w:rPr>
              <w:t>Date:</w:t>
            </w:r>
          </w:p>
        </w:tc>
      </w:tr>
    </w:tbl>
    <w:p w14:paraId="666BE680" w14:textId="77777777" w:rsidR="0063452C" w:rsidRPr="0063452C" w:rsidRDefault="0063452C" w:rsidP="0063452C">
      <w:pPr>
        <w:spacing w:after="0" w:line="240" w:lineRule="auto"/>
        <w:ind w:right="-334"/>
        <w:rPr>
          <w:rFonts w:ascii="Trebuchet MS" w:eastAsia="SimSun" w:hAnsi="Trebuchet MS" w:cs="Tahoma"/>
          <w:bCs/>
          <w:color w:val="000000"/>
          <w:sz w:val="24"/>
          <w:szCs w:val="24"/>
          <w:lang w:eastAsia="zh-CN"/>
        </w:rPr>
      </w:pPr>
    </w:p>
    <w:p w14:paraId="547698E3" w14:textId="77777777" w:rsidR="0063452C" w:rsidRPr="0063452C" w:rsidRDefault="0063452C" w:rsidP="0063452C">
      <w:pPr>
        <w:rPr>
          <w:b/>
          <w:sz w:val="28"/>
          <w:szCs w:val="28"/>
        </w:rPr>
      </w:pPr>
    </w:p>
    <w:p w14:paraId="64D414E1" w14:textId="77777777" w:rsidR="0063452C" w:rsidRPr="0063452C" w:rsidRDefault="0063452C" w:rsidP="0063452C">
      <w:pPr>
        <w:rPr>
          <w:b/>
          <w:sz w:val="28"/>
          <w:szCs w:val="28"/>
        </w:rPr>
      </w:pPr>
    </w:p>
    <w:p w14:paraId="3731E277" w14:textId="77777777" w:rsidR="0063452C" w:rsidRPr="0063452C" w:rsidRDefault="0063452C" w:rsidP="0063452C">
      <w:pPr>
        <w:rPr>
          <w:b/>
          <w:sz w:val="28"/>
          <w:szCs w:val="28"/>
        </w:rPr>
      </w:pPr>
    </w:p>
    <w:p w14:paraId="4BF89667" w14:textId="77777777" w:rsidR="0063452C" w:rsidRDefault="0063452C">
      <w:pPr>
        <w:rPr>
          <w:b/>
          <w:sz w:val="24"/>
          <w:szCs w:val="24"/>
        </w:rPr>
      </w:pPr>
    </w:p>
    <w:p w14:paraId="3BF159BD" w14:textId="77777777" w:rsidR="0063452C" w:rsidRDefault="0063452C">
      <w:pPr>
        <w:rPr>
          <w:b/>
          <w:sz w:val="24"/>
          <w:szCs w:val="24"/>
        </w:rPr>
      </w:pPr>
    </w:p>
    <w:p w14:paraId="7A8BFF75" w14:textId="1AAEB8B9" w:rsidR="00621140" w:rsidRPr="00621140" w:rsidRDefault="00621140">
      <w:pPr>
        <w:rPr>
          <w:b/>
          <w:sz w:val="24"/>
          <w:szCs w:val="24"/>
        </w:rPr>
      </w:pPr>
      <w:r w:rsidRPr="00621140">
        <w:rPr>
          <w:b/>
          <w:sz w:val="24"/>
          <w:szCs w:val="24"/>
        </w:rPr>
        <w:lastRenderedPageBreak/>
        <w:t>CSPH7023 Philosophy of Religion module</w:t>
      </w:r>
    </w:p>
    <w:p w14:paraId="31B19403" w14:textId="53BC5169" w:rsidR="00621140" w:rsidRPr="00621140" w:rsidRDefault="00621140">
      <w:pPr>
        <w:rPr>
          <w:b/>
          <w:sz w:val="24"/>
          <w:szCs w:val="24"/>
        </w:rPr>
      </w:pPr>
      <w:r w:rsidRPr="00621140">
        <w:rPr>
          <w:b/>
          <w:sz w:val="24"/>
          <w:szCs w:val="24"/>
        </w:rPr>
        <w:t>Question 4</w:t>
      </w:r>
    </w:p>
    <w:p w14:paraId="55CADBD8" w14:textId="5206AFA4" w:rsidR="00C9150A" w:rsidRDefault="00621140">
      <w:pPr>
        <w:rPr>
          <w:b/>
          <w:sz w:val="24"/>
          <w:szCs w:val="24"/>
        </w:rPr>
      </w:pPr>
      <w:r w:rsidRPr="00621140">
        <w:rPr>
          <w:b/>
          <w:sz w:val="24"/>
          <w:szCs w:val="24"/>
        </w:rPr>
        <w:t>‘Burning an effigy. Kissing the picture of one’s beloved. That is obviously not based on the belief that it will have some specific effect o</w:t>
      </w:r>
      <w:r w:rsidR="009245E3">
        <w:rPr>
          <w:b/>
          <w:sz w:val="24"/>
          <w:szCs w:val="24"/>
        </w:rPr>
        <w:t>n</w:t>
      </w:r>
      <w:r w:rsidRPr="00621140">
        <w:rPr>
          <w:b/>
          <w:sz w:val="24"/>
          <w:szCs w:val="24"/>
        </w:rPr>
        <w:t xml:space="preserve"> the object which the picture represents. It aims at satisfaction and achieves it. Or rather: it aims at nothing at all; we just behave this way and then we feel satisfied.’ – Wittgenstein. What bearing, if any, do these observations have for our understanding of religious belief? </w:t>
      </w:r>
      <w:r>
        <w:rPr>
          <w:b/>
          <w:sz w:val="24"/>
          <w:szCs w:val="24"/>
        </w:rPr>
        <w:t>(2500 words)</w:t>
      </w:r>
    </w:p>
    <w:p w14:paraId="32E26ED6" w14:textId="35E87C5C" w:rsidR="00621140" w:rsidRDefault="0010751C" w:rsidP="00087327">
      <w:pPr>
        <w:spacing w:line="480" w:lineRule="auto"/>
        <w:ind w:firstLine="720"/>
        <w:rPr>
          <w:sz w:val="24"/>
          <w:szCs w:val="24"/>
        </w:rPr>
      </w:pPr>
      <w:r>
        <w:rPr>
          <w:sz w:val="24"/>
          <w:szCs w:val="24"/>
        </w:rPr>
        <w:t xml:space="preserve">In the above passage taken from Wittgenstein’s </w:t>
      </w:r>
      <w:r w:rsidR="00F61A07" w:rsidRPr="00316F46">
        <w:rPr>
          <w:i/>
          <w:sz w:val="24"/>
          <w:szCs w:val="24"/>
        </w:rPr>
        <w:t>R</w:t>
      </w:r>
      <w:r w:rsidRPr="00316F46">
        <w:rPr>
          <w:i/>
          <w:sz w:val="24"/>
          <w:szCs w:val="24"/>
        </w:rPr>
        <w:t>emarks on Frazer’s Golden Bough</w:t>
      </w:r>
      <w:r w:rsidR="00F61A07">
        <w:rPr>
          <w:rStyle w:val="FootnoteReference"/>
          <w:sz w:val="24"/>
          <w:szCs w:val="24"/>
        </w:rPr>
        <w:footnoteReference w:id="1"/>
      </w:r>
      <w:r w:rsidR="002F44A3">
        <w:rPr>
          <w:sz w:val="24"/>
          <w:szCs w:val="24"/>
        </w:rPr>
        <w:t xml:space="preserve">, Wittgenstein seems to be implying that religious behaviour is not done for any specific, intended result. Religious practices are not </w:t>
      </w:r>
      <w:r w:rsidR="00E569A7">
        <w:rPr>
          <w:sz w:val="24"/>
          <w:szCs w:val="24"/>
        </w:rPr>
        <w:t>reflections of</w:t>
      </w:r>
      <w:r w:rsidR="002F44A3">
        <w:rPr>
          <w:sz w:val="24"/>
          <w:szCs w:val="24"/>
        </w:rPr>
        <w:t xml:space="preserve"> belief, but p</w:t>
      </w:r>
      <w:r w:rsidR="00E569A7">
        <w:rPr>
          <w:sz w:val="24"/>
          <w:szCs w:val="24"/>
        </w:rPr>
        <w:t>otentially</w:t>
      </w:r>
      <w:r w:rsidR="002F44A3">
        <w:rPr>
          <w:sz w:val="24"/>
          <w:szCs w:val="24"/>
        </w:rPr>
        <w:t xml:space="preserve"> only performed because the person feels better for having done this. </w:t>
      </w:r>
      <w:r w:rsidR="00F61A07">
        <w:rPr>
          <w:sz w:val="24"/>
          <w:szCs w:val="24"/>
        </w:rPr>
        <w:t>Wittgenstein compares a soldier kissing a photo of a loved one - not because he believes they will feel it, but because it is an expression of love – with an act performed by exotic cultures, perhaps to show that neither are irrational.</w:t>
      </w:r>
      <w:r w:rsidR="00F61A07">
        <w:rPr>
          <w:rStyle w:val="FootnoteReference"/>
          <w:sz w:val="24"/>
          <w:szCs w:val="24"/>
        </w:rPr>
        <w:footnoteReference w:id="2"/>
      </w:r>
      <w:r w:rsidR="00F61A07">
        <w:rPr>
          <w:sz w:val="24"/>
          <w:szCs w:val="24"/>
        </w:rPr>
        <w:t xml:space="preserve"> It also suggests these actions are in some way cathartic and these expressive rituals- whether in a western context or other – serve as an ‘emotional safety valve.’</w:t>
      </w:r>
      <w:r w:rsidR="00F61A07">
        <w:rPr>
          <w:rStyle w:val="FootnoteReference"/>
          <w:sz w:val="24"/>
          <w:szCs w:val="24"/>
        </w:rPr>
        <w:footnoteReference w:id="3"/>
      </w:r>
      <w:r w:rsidR="00F61A07">
        <w:rPr>
          <w:sz w:val="24"/>
          <w:szCs w:val="24"/>
        </w:rPr>
        <w:t xml:space="preserve"> </w:t>
      </w:r>
      <w:r w:rsidR="00D648BC">
        <w:rPr>
          <w:sz w:val="24"/>
          <w:szCs w:val="24"/>
        </w:rPr>
        <w:t xml:space="preserve">He counters the view of Frazer that these rituals are a waste of time, </w:t>
      </w:r>
      <w:r w:rsidR="0025527D">
        <w:rPr>
          <w:sz w:val="24"/>
          <w:szCs w:val="24"/>
        </w:rPr>
        <w:t>erroneous</w:t>
      </w:r>
      <w:r w:rsidR="00D648BC">
        <w:rPr>
          <w:sz w:val="24"/>
          <w:szCs w:val="24"/>
        </w:rPr>
        <w:t xml:space="preserve"> and in some way backwards</w:t>
      </w:r>
      <w:r w:rsidR="0025527D">
        <w:rPr>
          <w:rStyle w:val="FootnoteReference"/>
          <w:sz w:val="24"/>
          <w:szCs w:val="24"/>
        </w:rPr>
        <w:footnoteReference w:id="4"/>
      </w:r>
      <w:r w:rsidR="00D648BC">
        <w:rPr>
          <w:sz w:val="24"/>
          <w:szCs w:val="24"/>
        </w:rPr>
        <w:t>. Wittgenstein’s</w:t>
      </w:r>
      <w:r w:rsidR="00F61A07">
        <w:rPr>
          <w:sz w:val="24"/>
          <w:szCs w:val="24"/>
        </w:rPr>
        <w:t xml:space="preserve"> view has many bearings on how we understand religious belief, which may make the study of religion and philosophising about it problematic. </w:t>
      </w:r>
      <w:r w:rsidR="0025527D">
        <w:rPr>
          <w:sz w:val="24"/>
          <w:szCs w:val="24"/>
        </w:rPr>
        <w:t xml:space="preserve">I wish to contend that the most important bearing </w:t>
      </w:r>
      <w:r w:rsidR="00AC3AD8">
        <w:rPr>
          <w:sz w:val="24"/>
          <w:szCs w:val="24"/>
        </w:rPr>
        <w:t>is that</w:t>
      </w:r>
      <w:r w:rsidR="0025527D">
        <w:rPr>
          <w:sz w:val="24"/>
          <w:szCs w:val="24"/>
        </w:rPr>
        <w:t xml:space="preserve"> Wittgenstein’s observations legitimise a phenomenological approach to religious and non-religious beliefs which can set aside truth claims</w:t>
      </w:r>
      <w:r w:rsidR="00AC3AD8">
        <w:rPr>
          <w:sz w:val="24"/>
          <w:szCs w:val="24"/>
        </w:rPr>
        <w:t>.</w:t>
      </w:r>
    </w:p>
    <w:p w14:paraId="1E8219A8" w14:textId="5F9EAC61" w:rsidR="00F61A07" w:rsidRDefault="00F61A07" w:rsidP="00087327">
      <w:pPr>
        <w:spacing w:line="480" w:lineRule="auto"/>
        <w:rPr>
          <w:sz w:val="24"/>
          <w:szCs w:val="24"/>
        </w:rPr>
      </w:pPr>
      <w:r>
        <w:rPr>
          <w:sz w:val="24"/>
          <w:szCs w:val="24"/>
        </w:rPr>
        <w:lastRenderedPageBreak/>
        <w:tab/>
        <w:t>Firstly, Wittgenstein seems to be taking an anti-realist position on religion. Wittgenstein is not interested in whether an external reality exists behind the religious practices that can be observed</w:t>
      </w:r>
      <w:r w:rsidR="00A30463">
        <w:rPr>
          <w:sz w:val="24"/>
          <w:szCs w:val="24"/>
        </w:rPr>
        <w:t xml:space="preserve">. A realist might want to </w:t>
      </w:r>
      <w:r w:rsidR="008B6795">
        <w:rPr>
          <w:sz w:val="24"/>
          <w:szCs w:val="24"/>
        </w:rPr>
        <w:t>dismiss</w:t>
      </w:r>
      <w:r w:rsidR="00A30463">
        <w:rPr>
          <w:sz w:val="24"/>
          <w:szCs w:val="24"/>
        </w:rPr>
        <w:t xml:space="preserve"> as nonsense</w:t>
      </w:r>
      <w:r w:rsidR="00087327">
        <w:rPr>
          <w:sz w:val="24"/>
          <w:szCs w:val="24"/>
        </w:rPr>
        <w:t>,</w:t>
      </w:r>
      <w:r w:rsidR="00A30463">
        <w:rPr>
          <w:sz w:val="24"/>
          <w:szCs w:val="24"/>
        </w:rPr>
        <w:t xml:space="preserve"> certain religious practices</w:t>
      </w:r>
      <w:r w:rsidR="00087327">
        <w:rPr>
          <w:sz w:val="24"/>
          <w:szCs w:val="24"/>
        </w:rPr>
        <w:t>,</w:t>
      </w:r>
      <w:r w:rsidR="00A30463">
        <w:rPr>
          <w:sz w:val="24"/>
          <w:szCs w:val="24"/>
        </w:rPr>
        <w:t xml:space="preserve"> if it could be shown that they were not effective in bringing about a certain outcome, but Wittgenstein sees this as a moot point. His position can even leave open the possibility that there is no connection between religious belief and practice. There seems to be some evidence for this. At Auschwitz, survivors Elie Wiesel and Primo Levi describe how they put God on trial at the camp and </w:t>
      </w:r>
      <w:r w:rsidR="009901DE">
        <w:rPr>
          <w:sz w:val="24"/>
          <w:szCs w:val="24"/>
        </w:rPr>
        <w:t>concluded</w:t>
      </w:r>
      <w:r w:rsidR="00A30463">
        <w:rPr>
          <w:sz w:val="24"/>
          <w:szCs w:val="24"/>
        </w:rPr>
        <w:t xml:space="preserve"> that God deserved to be gassed there, however they </w:t>
      </w:r>
      <w:r w:rsidR="009901DE">
        <w:rPr>
          <w:sz w:val="24"/>
          <w:szCs w:val="24"/>
        </w:rPr>
        <w:t>continued</w:t>
      </w:r>
      <w:r w:rsidR="00A30463">
        <w:rPr>
          <w:sz w:val="24"/>
          <w:szCs w:val="24"/>
        </w:rPr>
        <w:t xml:space="preserve"> </w:t>
      </w:r>
      <w:r w:rsidR="009901DE">
        <w:rPr>
          <w:sz w:val="24"/>
          <w:szCs w:val="24"/>
        </w:rPr>
        <w:t>- despite</w:t>
      </w:r>
      <w:r w:rsidR="00A30463">
        <w:rPr>
          <w:sz w:val="24"/>
          <w:szCs w:val="24"/>
        </w:rPr>
        <w:t xml:space="preserve"> loss of faith in a benevolent </w:t>
      </w:r>
      <w:r w:rsidR="009901DE">
        <w:rPr>
          <w:sz w:val="24"/>
          <w:szCs w:val="24"/>
        </w:rPr>
        <w:t>God -</w:t>
      </w:r>
      <w:r w:rsidR="00A30463">
        <w:rPr>
          <w:sz w:val="24"/>
          <w:szCs w:val="24"/>
        </w:rPr>
        <w:t xml:space="preserve"> </w:t>
      </w:r>
      <w:r w:rsidR="009901DE">
        <w:rPr>
          <w:sz w:val="24"/>
          <w:szCs w:val="24"/>
        </w:rPr>
        <w:t>to perform</w:t>
      </w:r>
      <w:r w:rsidR="00A30463">
        <w:rPr>
          <w:sz w:val="24"/>
          <w:szCs w:val="24"/>
        </w:rPr>
        <w:t xml:space="preserve"> their daily prayers</w:t>
      </w:r>
      <w:r w:rsidR="00A77E86">
        <w:rPr>
          <w:sz w:val="24"/>
          <w:szCs w:val="24"/>
        </w:rPr>
        <w:t>.</w:t>
      </w:r>
      <w:r w:rsidR="00A30463">
        <w:rPr>
          <w:rStyle w:val="FootnoteReference"/>
          <w:sz w:val="24"/>
          <w:szCs w:val="24"/>
        </w:rPr>
        <w:footnoteReference w:id="5"/>
      </w:r>
      <w:r w:rsidR="00A30463">
        <w:rPr>
          <w:sz w:val="24"/>
          <w:szCs w:val="24"/>
        </w:rPr>
        <w:t xml:space="preserve"> Why? It brought them satisfaction to continue their regular routines, perhaps? Thus, Wittgenstein</w:t>
      </w:r>
      <w:r w:rsidR="008B6795">
        <w:rPr>
          <w:sz w:val="24"/>
          <w:szCs w:val="24"/>
        </w:rPr>
        <w:t xml:space="preserve"> may be right</w:t>
      </w:r>
      <w:r w:rsidR="00A30463">
        <w:rPr>
          <w:sz w:val="24"/>
          <w:szCs w:val="24"/>
        </w:rPr>
        <w:t xml:space="preserve"> that religious rituals and practices are not always re</w:t>
      </w:r>
      <w:r w:rsidR="008B6795">
        <w:rPr>
          <w:sz w:val="24"/>
          <w:szCs w:val="24"/>
        </w:rPr>
        <w:t>lated to</w:t>
      </w:r>
      <w:r w:rsidR="00A30463">
        <w:rPr>
          <w:sz w:val="24"/>
          <w:szCs w:val="24"/>
        </w:rPr>
        <w:t xml:space="preserve"> </w:t>
      </w:r>
      <w:r w:rsidR="009901DE">
        <w:rPr>
          <w:sz w:val="24"/>
          <w:szCs w:val="24"/>
        </w:rPr>
        <w:t>beliefs</w:t>
      </w:r>
      <w:r w:rsidR="00A30463">
        <w:rPr>
          <w:sz w:val="24"/>
          <w:szCs w:val="24"/>
        </w:rPr>
        <w:t xml:space="preserve"> and should not be assumed to be such.  </w:t>
      </w:r>
      <w:r w:rsidR="0025527D">
        <w:rPr>
          <w:sz w:val="24"/>
          <w:szCs w:val="24"/>
        </w:rPr>
        <w:t xml:space="preserve">If the participant finds them meaningful, then they are meaningful. Religious rituals can be observed without making prejudicial judgements akin to those of Frazer.  </w:t>
      </w:r>
    </w:p>
    <w:p w14:paraId="00F57455" w14:textId="4EBD81DC" w:rsidR="006C6D8A" w:rsidRDefault="00061D70" w:rsidP="00087327">
      <w:pPr>
        <w:spacing w:line="480" w:lineRule="auto"/>
        <w:rPr>
          <w:sz w:val="24"/>
          <w:szCs w:val="24"/>
        </w:rPr>
      </w:pPr>
      <w:r>
        <w:rPr>
          <w:sz w:val="24"/>
          <w:szCs w:val="24"/>
        </w:rPr>
        <w:tab/>
        <w:t>Furthermore, the consequence of an anti-realist position is that religious behaviour becomes meaningful when using a coherence theory of truth, rather than a correspondence theory. The religious practice is purposeful to the person performing it and it should not be judged by others outside of the tradition. To do so, would be to judge religious belief using a correspondence theory of truth.  This is what Wittgenstein appears to charge Frazer with, using the facts of western science to criticise non-western practices.  Wittgenstein states that, ‘Frazer’s account…is unsatisfactory: it makes these views look like errors.’</w:t>
      </w:r>
      <w:r>
        <w:rPr>
          <w:rStyle w:val="FootnoteReference"/>
          <w:sz w:val="24"/>
          <w:szCs w:val="24"/>
        </w:rPr>
        <w:footnoteReference w:id="6"/>
      </w:r>
      <w:r>
        <w:rPr>
          <w:sz w:val="24"/>
          <w:szCs w:val="24"/>
        </w:rPr>
        <w:t xml:space="preserve">  He </w:t>
      </w:r>
      <w:r>
        <w:rPr>
          <w:sz w:val="24"/>
          <w:szCs w:val="24"/>
        </w:rPr>
        <w:lastRenderedPageBreak/>
        <w:t>continues to say that no religious person is in error, until they put forward a theory.</w:t>
      </w:r>
      <w:r w:rsidR="00DF1B23">
        <w:rPr>
          <w:rStyle w:val="FootnoteReference"/>
          <w:sz w:val="24"/>
          <w:szCs w:val="24"/>
        </w:rPr>
        <w:footnoteReference w:id="7"/>
      </w:r>
      <w:r>
        <w:rPr>
          <w:sz w:val="24"/>
          <w:szCs w:val="24"/>
        </w:rPr>
        <w:t xml:space="preserve"> Religious belief can be observed and described by philosophers but once one tries to explain</w:t>
      </w:r>
      <w:r w:rsidR="00DF1B23">
        <w:rPr>
          <w:sz w:val="24"/>
          <w:szCs w:val="24"/>
        </w:rPr>
        <w:t xml:space="preserve"> it, they will begin to provide reasons for something that as stated in the passage, ‘aims at nothing at all’.</w:t>
      </w:r>
      <w:r w:rsidR="00DF1B23">
        <w:rPr>
          <w:rStyle w:val="FootnoteReference"/>
          <w:sz w:val="24"/>
          <w:szCs w:val="24"/>
        </w:rPr>
        <w:footnoteReference w:id="8"/>
      </w:r>
      <w:r w:rsidR="00DF1B23">
        <w:rPr>
          <w:sz w:val="24"/>
          <w:szCs w:val="24"/>
        </w:rPr>
        <w:t xml:space="preserve">  This has implications for those such as Frazer who attempt to subject descriptions of religious behaviour or belief to their own criteria of understanding. This </w:t>
      </w:r>
      <w:r w:rsidR="00452229">
        <w:rPr>
          <w:sz w:val="24"/>
          <w:szCs w:val="24"/>
        </w:rPr>
        <w:t xml:space="preserve">probably </w:t>
      </w:r>
      <w:r w:rsidR="00DF1B23">
        <w:rPr>
          <w:sz w:val="24"/>
          <w:szCs w:val="24"/>
        </w:rPr>
        <w:t>explains why Wittgenstein after initial associations with the Vienna Circle and the Logical Positivists</w:t>
      </w:r>
      <w:r w:rsidR="00087327">
        <w:rPr>
          <w:sz w:val="24"/>
          <w:szCs w:val="24"/>
        </w:rPr>
        <w:t>,</w:t>
      </w:r>
      <w:r w:rsidR="00DF1B23">
        <w:rPr>
          <w:sz w:val="24"/>
          <w:szCs w:val="24"/>
        </w:rPr>
        <w:t xml:space="preserve"> distanced himself from philosophers such as A.J. Ayer.  Ayer maintained that any language that is not verifiable either analytically or synthetically is meaningless. This would include all claims regarding religion.</w:t>
      </w:r>
      <w:r w:rsidR="007B558E">
        <w:rPr>
          <w:rStyle w:val="FootnoteReference"/>
          <w:sz w:val="24"/>
          <w:szCs w:val="24"/>
        </w:rPr>
        <w:footnoteReference w:id="9"/>
      </w:r>
      <w:r w:rsidR="00DF1B23">
        <w:rPr>
          <w:sz w:val="24"/>
          <w:szCs w:val="24"/>
        </w:rPr>
        <w:t xml:space="preserve"> Wittgenstein seems to suggest that Frazer and Ayer have made an error</w:t>
      </w:r>
      <w:r w:rsidR="007B558E">
        <w:rPr>
          <w:sz w:val="24"/>
          <w:szCs w:val="24"/>
        </w:rPr>
        <w:t xml:space="preserve"> and not religious believers.</w:t>
      </w:r>
      <w:r w:rsidR="00DF1B23">
        <w:rPr>
          <w:sz w:val="24"/>
          <w:szCs w:val="24"/>
        </w:rPr>
        <w:t xml:space="preserve">  </w:t>
      </w:r>
      <w:r w:rsidR="007B558E">
        <w:rPr>
          <w:sz w:val="24"/>
          <w:szCs w:val="24"/>
        </w:rPr>
        <w:t>‘An error arises only when magic is interpreted scientifically.’</w:t>
      </w:r>
      <w:r w:rsidR="007B558E">
        <w:rPr>
          <w:rStyle w:val="FootnoteReference"/>
          <w:sz w:val="24"/>
          <w:szCs w:val="24"/>
        </w:rPr>
        <w:footnoteReference w:id="10"/>
      </w:r>
      <w:r w:rsidR="000D5213">
        <w:rPr>
          <w:sz w:val="24"/>
          <w:szCs w:val="24"/>
        </w:rPr>
        <w:t xml:space="preserve">  </w:t>
      </w:r>
      <w:r w:rsidR="00452229">
        <w:rPr>
          <w:sz w:val="24"/>
          <w:szCs w:val="24"/>
        </w:rPr>
        <w:t>Wittgenstein recognises that religious belief is different from non-religious belief, in that its claims can never be tested, and this needs to be accepted, rather than challenged.</w:t>
      </w:r>
      <w:r w:rsidR="00452229">
        <w:rPr>
          <w:rStyle w:val="FootnoteReference"/>
          <w:sz w:val="24"/>
          <w:szCs w:val="24"/>
        </w:rPr>
        <w:footnoteReference w:id="11"/>
      </w:r>
      <w:r w:rsidR="0025527D">
        <w:rPr>
          <w:sz w:val="24"/>
          <w:szCs w:val="24"/>
        </w:rPr>
        <w:t xml:space="preserve"> This does not allow for those outside a religion to criticise and undermine its practices which they are not fully immersed in, </w:t>
      </w:r>
      <w:r w:rsidR="00087327">
        <w:rPr>
          <w:sz w:val="24"/>
          <w:szCs w:val="24"/>
        </w:rPr>
        <w:t>when they are much</w:t>
      </w:r>
      <w:r w:rsidR="0025527D">
        <w:rPr>
          <w:sz w:val="24"/>
          <w:szCs w:val="24"/>
        </w:rPr>
        <w:t xml:space="preserve"> more likely to mis-understand them</w:t>
      </w:r>
      <w:r w:rsidR="00AB33A7">
        <w:rPr>
          <w:sz w:val="24"/>
          <w:szCs w:val="24"/>
        </w:rPr>
        <w:t>, and this is ben</w:t>
      </w:r>
      <w:r w:rsidR="0005773C">
        <w:rPr>
          <w:sz w:val="24"/>
          <w:szCs w:val="24"/>
        </w:rPr>
        <w:t>e</w:t>
      </w:r>
      <w:r w:rsidR="00AB33A7">
        <w:rPr>
          <w:sz w:val="24"/>
          <w:szCs w:val="24"/>
        </w:rPr>
        <w:t>ficial today</w:t>
      </w:r>
      <w:r w:rsidR="0025527D">
        <w:rPr>
          <w:sz w:val="24"/>
          <w:szCs w:val="24"/>
        </w:rPr>
        <w:t xml:space="preserve">.  </w:t>
      </w:r>
    </w:p>
    <w:p w14:paraId="3EF7E5DA" w14:textId="6BBB3FF0" w:rsidR="006C6D8A" w:rsidRDefault="000310FD" w:rsidP="00087327">
      <w:pPr>
        <w:spacing w:line="480" w:lineRule="auto"/>
        <w:ind w:firstLine="720"/>
        <w:rPr>
          <w:sz w:val="24"/>
          <w:szCs w:val="24"/>
        </w:rPr>
      </w:pPr>
      <w:r>
        <w:rPr>
          <w:sz w:val="24"/>
          <w:szCs w:val="24"/>
        </w:rPr>
        <w:t xml:space="preserve">Moreover, this raises the issue of whether religious belief is immune from criticism and cannot be studied like other entities. This can be seen as an advantage, those outside a religion cannot misinterpret and come to their own conclusions. However, it can also be seen as a huge problem. Religion becomes something impenetrable and protected. This may seem unfair especially to those who hold secular atheist or Humanist views. Kai Nielsen has </w:t>
      </w:r>
      <w:r>
        <w:rPr>
          <w:sz w:val="24"/>
          <w:szCs w:val="24"/>
        </w:rPr>
        <w:lastRenderedPageBreak/>
        <w:t xml:space="preserve">criticised what he calls ‘Wittgensteinian Fideism’ – the idea that religious claims </w:t>
      </w:r>
      <w:r w:rsidR="009901DE">
        <w:rPr>
          <w:sz w:val="24"/>
          <w:szCs w:val="24"/>
        </w:rPr>
        <w:t>must</w:t>
      </w:r>
      <w:r>
        <w:rPr>
          <w:sz w:val="24"/>
          <w:szCs w:val="24"/>
        </w:rPr>
        <w:t xml:space="preserve"> be accepted on faith, and no appeal to science or philosophy can be made. This comes with the consequence that only the insider can assess the veracity of religion’s claims. Nielsen disagrees with this and asserts that philosophy can criticise religion.</w:t>
      </w:r>
      <w:r>
        <w:rPr>
          <w:rStyle w:val="FootnoteReference"/>
          <w:sz w:val="24"/>
          <w:szCs w:val="24"/>
        </w:rPr>
        <w:footnoteReference w:id="12"/>
      </w:r>
      <w:r>
        <w:rPr>
          <w:sz w:val="24"/>
          <w:szCs w:val="24"/>
        </w:rPr>
        <w:t xml:space="preserve">  He describes how supporters of Wittgenstein </w:t>
      </w:r>
      <w:r w:rsidR="001061CC">
        <w:rPr>
          <w:sz w:val="24"/>
          <w:szCs w:val="24"/>
        </w:rPr>
        <w:t xml:space="preserve">such as G.E. Hughes </w:t>
      </w:r>
      <w:r>
        <w:rPr>
          <w:sz w:val="24"/>
          <w:szCs w:val="24"/>
        </w:rPr>
        <w:t xml:space="preserve">have attested that </w:t>
      </w:r>
      <w:r w:rsidR="001061CC">
        <w:rPr>
          <w:sz w:val="24"/>
          <w:szCs w:val="24"/>
        </w:rPr>
        <w:t>‘religious utterances or propositions are in order as they are.’</w:t>
      </w:r>
      <w:r w:rsidR="001061CC">
        <w:rPr>
          <w:rStyle w:val="FootnoteReference"/>
          <w:sz w:val="24"/>
          <w:szCs w:val="24"/>
        </w:rPr>
        <w:footnoteReference w:id="13"/>
      </w:r>
      <w:r w:rsidR="001061CC">
        <w:rPr>
          <w:sz w:val="24"/>
          <w:szCs w:val="24"/>
        </w:rPr>
        <w:t xml:space="preserve">  Judgement </w:t>
      </w:r>
      <w:r w:rsidR="009901DE">
        <w:rPr>
          <w:sz w:val="24"/>
          <w:szCs w:val="24"/>
        </w:rPr>
        <w:t>must</w:t>
      </w:r>
      <w:r w:rsidR="001061CC">
        <w:rPr>
          <w:sz w:val="24"/>
          <w:szCs w:val="24"/>
        </w:rPr>
        <w:t xml:space="preserve"> come from those within a tradition only. Religious language is set apart and does something that no other language does.</w:t>
      </w:r>
      <w:r w:rsidR="001061CC">
        <w:rPr>
          <w:rStyle w:val="FootnoteReference"/>
          <w:sz w:val="24"/>
          <w:szCs w:val="24"/>
        </w:rPr>
        <w:footnoteReference w:id="14"/>
      </w:r>
      <w:r w:rsidR="001061CC">
        <w:rPr>
          <w:sz w:val="24"/>
          <w:szCs w:val="24"/>
        </w:rPr>
        <w:t xml:space="preserve">  Peter Winch also supports Wittgenstein that God’s reality is separate from human desires or activities</w:t>
      </w:r>
      <w:r w:rsidR="001061CC">
        <w:rPr>
          <w:rStyle w:val="FootnoteReference"/>
          <w:sz w:val="24"/>
          <w:szCs w:val="24"/>
        </w:rPr>
        <w:footnoteReference w:id="15"/>
      </w:r>
      <w:r w:rsidR="001061CC">
        <w:rPr>
          <w:sz w:val="24"/>
          <w:szCs w:val="24"/>
        </w:rPr>
        <w:t xml:space="preserve"> and we cannot use the criteria of one discourse such as science or ethics to criticise another discipline like religion and vice versa.</w:t>
      </w:r>
      <w:r w:rsidR="001061CC">
        <w:rPr>
          <w:rStyle w:val="FootnoteReference"/>
          <w:sz w:val="24"/>
          <w:szCs w:val="24"/>
        </w:rPr>
        <w:footnoteReference w:id="16"/>
      </w:r>
      <w:r w:rsidR="001061CC">
        <w:rPr>
          <w:sz w:val="24"/>
          <w:szCs w:val="24"/>
        </w:rPr>
        <w:t xml:space="preserve">  Nielsen completely disagrees and states that these various discourses are not compartmentalised in everyday life. The terms that we use to discuss religion are widely understood and can be used in other contexts.</w:t>
      </w:r>
      <w:r w:rsidR="001061CC">
        <w:rPr>
          <w:rStyle w:val="FootnoteReference"/>
          <w:sz w:val="24"/>
          <w:szCs w:val="24"/>
        </w:rPr>
        <w:footnoteReference w:id="17"/>
      </w:r>
      <w:r w:rsidR="001061CC">
        <w:rPr>
          <w:sz w:val="24"/>
          <w:szCs w:val="24"/>
        </w:rPr>
        <w:t xml:space="preserve"> ‘Insiders can and do come to doubt the very coherence of this religious mode of life and its first-order talk.’</w:t>
      </w:r>
      <w:r w:rsidR="001061CC">
        <w:rPr>
          <w:rStyle w:val="FootnoteReference"/>
          <w:sz w:val="24"/>
          <w:szCs w:val="24"/>
        </w:rPr>
        <w:footnoteReference w:id="18"/>
      </w:r>
      <w:r w:rsidR="006C6D8A">
        <w:rPr>
          <w:sz w:val="24"/>
          <w:szCs w:val="24"/>
        </w:rPr>
        <w:t xml:space="preserve">  </w:t>
      </w:r>
    </w:p>
    <w:p w14:paraId="49A76EDA" w14:textId="130617E0" w:rsidR="00061D70" w:rsidRDefault="006C6D8A" w:rsidP="00087327">
      <w:pPr>
        <w:spacing w:line="480" w:lineRule="auto"/>
        <w:ind w:firstLine="720"/>
        <w:rPr>
          <w:sz w:val="24"/>
          <w:szCs w:val="24"/>
        </w:rPr>
      </w:pPr>
      <w:r>
        <w:rPr>
          <w:sz w:val="24"/>
          <w:szCs w:val="24"/>
        </w:rPr>
        <w:t xml:space="preserve">Nielsen mentions one of Winch’s claims that he agrees with, the fact that to understand religious ideas one </w:t>
      </w:r>
      <w:r w:rsidR="009901DE">
        <w:rPr>
          <w:sz w:val="24"/>
          <w:szCs w:val="24"/>
        </w:rPr>
        <w:t>must</w:t>
      </w:r>
      <w:r>
        <w:rPr>
          <w:sz w:val="24"/>
          <w:szCs w:val="24"/>
        </w:rPr>
        <w:t xml:space="preserve"> learn the rules of it from a participant’s perspective. Based on this Winch says that we cannot criticise or write off a whole </w:t>
      </w:r>
      <w:r w:rsidR="009901DE">
        <w:rPr>
          <w:sz w:val="24"/>
          <w:szCs w:val="24"/>
        </w:rPr>
        <w:t>religion,</w:t>
      </w:r>
      <w:r>
        <w:rPr>
          <w:sz w:val="24"/>
          <w:szCs w:val="24"/>
        </w:rPr>
        <w:t xml:space="preserve"> but we could criticise parts of it or certain practices if they do not adhere to that religion’s norms.</w:t>
      </w:r>
      <w:r>
        <w:rPr>
          <w:rStyle w:val="FootnoteReference"/>
          <w:sz w:val="24"/>
          <w:szCs w:val="24"/>
        </w:rPr>
        <w:footnoteReference w:id="19"/>
      </w:r>
      <w:r>
        <w:rPr>
          <w:sz w:val="24"/>
          <w:szCs w:val="24"/>
        </w:rPr>
        <w:t xml:space="preserve"> This has two important bearings. Firstly, a non-religious person can still study and understand a </w:t>
      </w:r>
      <w:r>
        <w:rPr>
          <w:sz w:val="24"/>
          <w:szCs w:val="24"/>
        </w:rPr>
        <w:lastRenderedPageBreak/>
        <w:t>religion if they learn the terminology and try to emp</w:t>
      </w:r>
      <w:r w:rsidR="009245E3">
        <w:rPr>
          <w:sz w:val="24"/>
          <w:szCs w:val="24"/>
        </w:rPr>
        <w:t>at</w:t>
      </w:r>
      <w:r>
        <w:rPr>
          <w:sz w:val="24"/>
          <w:szCs w:val="24"/>
        </w:rPr>
        <w:t xml:space="preserve">hise with the believer. This makes the phenomenological method of studying religion valid.  Secondly, we </w:t>
      </w:r>
      <w:r w:rsidRPr="00087327">
        <w:rPr>
          <w:i/>
          <w:sz w:val="24"/>
          <w:szCs w:val="24"/>
        </w:rPr>
        <w:t>can</w:t>
      </w:r>
      <w:r>
        <w:rPr>
          <w:sz w:val="24"/>
          <w:szCs w:val="24"/>
        </w:rPr>
        <w:t xml:space="preserve"> judge those who try to subvert religious beliefs for their own, often evil ends. For example, if a suicide bomber claims that their tradition allows the killing of innocents to further their religion, even as an outsider, we can check the tenets of that religion and correct them. We do not have to say that practice of killing innocents is satisfying for that person and that’s that. We can say that person is deluded in their beliefs about their religion, if we can find evidence </w:t>
      </w:r>
      <w:r w:rsidR="009245E3">
        <w:rPr>
          <w:sz w:val="24"/>
          <w:szCs w:val="24"/>
        </w:rPr>
        <w:t>to</w:t>
      </w:r>
      <w:r>
        <w:rPr>
          <w:sz w:val="24"/>
          <w:szCs w:val="24"/>
        </w:rPr>
        <w:t xml:space="preserve"> the contrary. Therefore, religion is still very much open to criticism by those inside and outside the tradition.  </w:t>
      </w:r>
    </w:p>
    <w:p w14:paraId="368E6173" w14:textId="11857308" w:rsidR="007A5C81" w:rsidRDefault="007A5C81" w:rsidP="00087327">
      <w:pPr>
        <w:spacing w:line="480" w:lineRule="auto"/>
        <w:ind w:firstLine="720"/>
        <w:rPr>
          <w:sz w:val="24"/>
          <w:szCs w:val="24"/>
        </w:rPr>
      </w:pPr>
      <w:r>
        <w:rPr>
          <w:sz w:val="24"/>
          <w:szCs w:val="24"/>
        </w:rPr>
        <w:t>Returning to Nielsen’s conclusion, he posits that, ‘there is no separate religious language.’</w:t>
      </w:r>
      <w:r>
        <w:rPr>
          <w:rStyle w:val="FootnoteReference"/>
          <w:sz w:val="24"/>
          <w:szCs w:val="24"/>
        </w:rPr>
        <w:footnoteReference w:id="20"/>
      </w:r>
      <w:r>
        <w:rPr>
          <w:sz w:val="24"/>
          <w:szCs w:val="24"/>
        </w:rPr>
        <w:t xml:space="preserve">  Religious discourse can be just as incoherent as any other discourse.  Winch is wrong and we can criticise whole ways of life as irrational, as has been done with talk of witches and fairies. ‘Without a participant’s understanding of God-talk, we could not raise the question of the reality of God, but with it, this is perfectly possible.’</w:t>
      </w:r>
      <w:r>
        <w:rPr>
          <w:rStyle w:val="FootnoteReference"/>
          <w:sz w:val="24"/>
          <w:szCs w:val="24"/>
        </w:rPr>
        <w:footnoteReference w:id="21"/>
      </w:r>
      <w:r>
        <w:rPr>
          <w:sz w:val="24"/>
          <w:szCs w:val="24"/>
        </w:rPr>
        <w:t xml:space="preserve">  Nielsen seems to be taking a realist position on fairies, witches and religion. For this reason, his views </w:t>
      </w:r>
      <w:r w:rsidR="009901DE">
        <w:rPr>
          <w:sz w:val="24"/>
          <w:szCs w:val="24"/>
        </w:rPr>
        <w:t>appear</w:t>
      </w:r>
      <w:r>
        <w:rPr>
          <w:sz w:val="24"/>
          <w:szCs w:val="24"/>
        </w:rPr>
        <w:t xml:space="preserve"> to be flawed. If he were to enter a new age bookshop today, he would see many books on such topics and see that talk of such is not seen as </w:t>
      </w:r>
      <w:r w:rsidR="009245E3">
        <w:rPr>
          <w:sz w:val="24"/>
          <w:szCs w:val="24"/>
        </w:rPr>
        <w:t xml:space="preserve">universally </w:t>
      </w:r>
      <w:r>
        <w:rPr>
          <w:sz w:val="24"/>
          <w:szCs w:val="24"/>
        </w:rPr>
        <w:t>irrational</w:t>
      </w:r>
      <w:r w:rsidR="00563121">
        <w:rPr>
          <w:sz w:val="24"/>
          <w:szCs w:val="24"/>
        </w:rPr>
        <w:t>,</w:t>
      </w:r>
      <w:r>
        <w:rPr>
          <w:sz w:val="24"/>
          <w:szCs w:val="24"/>
        </w:rPr>
        <w:t xml:space="preserve"> </w:t>
      </w:r>
      <w:r w:rsidR="009245E3">
        <w:rPr>
          <w:sz w:val="24"/>
          <w:szCs w:val="24"/>
        </w:rPr>
        <w:t xml:space="preserve">as </w:t>
      </w:r>
      <w:r>
        <w:rPr>
          <w:sz w:val="24"/>
          <w:szCs w:val="24"/>
        </w:rPr>
        <w:t>some still attempt to perform spells or welcome fairies into their life</w:t>
      </w:r>
      <w:r w:rsidR="00A77E86">
        <w:rPr>
          <w:sz w:val="24"/>
          <w:szCs w:val="24"/>
        </w:rPr>
        <w:t>.</w:t>
      </w:r>
      <w:r w:rsidR="00746999">
        <w:rPr>
          <w:rStyle w:val="FootnoteReference"/>
          <w:sz w:val="24"/>
          <w:szCs w:val="24"/>
        </w:rPr>
        <w:footnoteReference w:id="22"/>
      </w:r>
      <w:r>
        <w:rPr>
          <w:sz w:val="24"/>
          <w:szCs w:val="24"/>
        </w:rPr>
        <w:t xml:space="preserve"> Wittgenstein’s understanding that these practices hold appeal in a satisfying way is a much better way of understanding religious and magical belief. </w:t>
      </w:r>
      <w:r w:rsidR="009245E3">
        <w:rPr>
          <w:sz w:val="24"/>
          <w:szCs w:val="24"/>
        </w:rPr>
        <w:t>These</w:t>
      </w:r>
      <w:r>
        <w:rPr>
          <w:sz w:val="24"/>
          <w:szCs w:val="24"/>
        </w:rPr>
        <w:t xml:space="preserve"> performances may serve as </w:t>
      </w:r>
      <w:r w:rsidR="009901DE">
        <w:rPr>
          <w:sz w:val="24"/>
          <w:szCs w:val="24"/>
        </w:rPr>
        <w:t>emotional</w:t>
      </w:r>
      <w:r>
        <w:rPr>
          <w:sz w:val="24"/>
          <w:szCs w:val="24"/>
        </w:rPr>
        <w:t xml:space="preserve"> letting </w:t>
      </w:r>
      <w:r w:rsidR="009901DE">
        <w:rPr>
          <w:sz w:val="24"/>
          <w:szCs w:val="24"/>
        </w:rPr>
        <w:t>off</w:t>
      </w:r>
      <w:r>
        <w:rPr>
          <w:sz w:val="24"/>
          <w:szCs w:val="24"/>
        </w:rPr>
        <w:t xml:space="preserve"> steam in today’s ever growing technological, materialistic and consumerist society that tells us to find </w:t>
      </w:r>
      <w:r>
        <w:rPr>
          <w:sz w:val="24"/>
          <w:szCs w:val="24"/>
        </w:rPr>
        <w:lastRenderedPageBreak/>
        <w:t>comfort in material purchases and stay hooked to social media.</w:t>
      </w:r>
      <w:r w:rsidR="00746999">
        <w:rPr>
          <w:sz w:val="24"/>
          <w:szCs w:val="24"/>
        </w:rPr>
        <w:t xml:space="preserve">  It is as if Nielsen expects religion to decline, in line with the secularization thesis, and whilst there is evidence that organised religion is in decline (see UK church attendance figures)</w:t>
      </w:r>
      <w:r w:rsidR="00A77E86">
        <w:rPr>
          <w:sz w:val="24"/>
          <w:szCs w:val="24"/>
        </w:rPr>
        <w:t>,</w:t>
      </w:r>
      <w:r w:rsidR="00F86656">
        <w:rPr>
          <w:rStyle w:val="FootnoteReference"/>
          <w:sz w:val="24"/>
          <w:szCs w:val="24"/>
        </w:rPr>
        <w:footnoteReference w:id="23"/>
      </w:r>
      <w:r w:rsidR="00746999">
        <w:rPr>
          <w:sz w:val="24"/>
          <w:szCs w:val="24"/>
        </w:rPr>
        <w:t xml:space="preserve"> there is also much evidence that spirituality and alternative religions are on the rise</w:t>
      </w:r>
      <w:r w:rsidR="00A77E86">
        <w:rPr>
          <w:sz w:val="24"/>
          <w:szCs w:val="24"/>
        </w:rPr>
        <w:t>,</w:t>
      </w:r>
      <w:r w:rsidR="00F86656">
        <w:rPr>
          <w:rStyle w:val="FootnoteReference"/>
          <w:sz w:val="24"/>
          <w:szCs w:val="24"/>
        </w:rPr>
        <w:footnoteReference w:id="24"/>
      </w:r>
      <w:r w:rsidR="00746999">
        <w:rPr>
          <w:sz w:val="24"/>
          <w:szCs w:val="24"/>
        </w:rPr>
        <w:t xml:space="preserve"> which has led some early supporters of the thesis to change direction</w:t>
      </w:r>
      <w:r w:rsidR="00A77E86">
        <w:rPr>
          <w:sz w:val="24"/>
          <w:szCs w:val="24"/>
        </w:rPr>
        <w:t>,</w:t>
      </w:r>
      <w:r w:rsidR="00746999">
        <w:rPr>
          <w:rStyle w:val="FootnoteReference"/>
          <w:sz w:val="24"/>
          <w:szCs w:val="24"/>
        </w:rPr>
        <w:footnoteReference w:id="25"/>
      </w:r>
      <w:r w:rsidR="00746999">
        <w:rPr>
          <w:sz w:val="24"/>
          <w:szCs w:val="24"/>
        </w:rPr>
        <w:t xml:space="preserve"> which shows Nielsen’s conclusion is premature. </w:t>
      </w:r>
    </w:p>
    <w:p w14:paraId="2E9E73AE" w14:textId="04EEB1A4" w:rsidR="00F86656" w:rsidRDefault="00F86656" w:rsidP="00087327">
      <w:pPr>
        <w:spacing w:line="480" w:lineRule="auto"/>
        <w:ind w:firstLine="720"/>
        <w:rPr>
          <w:sz w:val="24"/>
          <w:szCs w:val="24"/>
        </w:rPr>
      </w:pPr>
      <w:r>
        <w:rPr>
          <w:sz w:val="24"/>
          <w:szCs w:val="24"/>
        </w:rPr>
        <w:t>Th</w:t>
      </w:r>
      <w:r w:rsidR="00130537">
        <w:rPr>
          <w:sz w:val="24"/>
          <w:szCs w:val="24"/>
        </w:rPr>
        <w:t xml:space="preserve">e problems with Nielsen’s argument are also successfully dealt with by one of Wittgenstein’s supporters – D.Z. Phillips. He recognises the issues that Nielsen sees in </w:t>
      </w:r>
      <w:r w:rsidR="00130537" w:rsidRPr="009245E3">
        <w:rPr>
          <w:i/>
          <w:sz w:val="24"/>
          <w:szCs w:val="24"/>
        </w:rPr>
        <w:t xml:space="preserve">Faith and Philosophical Enquiry, </w:t>
      </w:r>
      <w:r w:rsidR="00130537">
        <w:rPr>
          <w:sz w:val="24"/>
          <w:szCs w:val="24"/>
        </w:rPr>
        <w:t>he voices concern that religion becomes something cut off and isolated, seen as a hobby almost, insignificant to outsiders.</w:t>
      </w:r>
      <w:r w:rsidR="00130537">
        <w:rPr>
          <w:rStyle w:val="FootnoteReference"/>
          <w:sz w:val="24"/>
          <w:szCs w:val="24"/>
        </w:rPr>
        <w:footnoteReference w:id="26"/>
      </w:r>
      <w:r w:rsidR="00130537">
        <w:rPr>
          <w:sz w:val="24"/>
          <w:szCs w:val="24"/>
        </w:rPr>
        <w:t xml:space="preserve">  The immunity to criticism can be interpreted as ‘quasi-justification for what would otherwise be recognised as nonsense.’</w:t>
      </w:r>
      <w:r w:rsidR="00130537">
        <w:rPr>
          <w:rStyle w:val="FootnoteReference"/>
          <w:sz w:val="24"/>
          <w:szCs w:val="24"/>
        </w:rPr>
        <w:footnoteReference w:id="27"/>
      </w:r>
      <w:r w:rsidR="00130537">
        <w:rPr>
          <w:sz w:val="24"/>
          <w:szCs w:val="24"/>
        </w:rPr>
        <w:t xml:space="preserve">  Phillips’ answer is that religious language is not separate from other language, in fact much of it deals with ordinary human desires e.g. pride, lust etc</w:t>
      </w:r>
      <w:r w:rsidR="00A77E86">
        <w:rPr>
          <w:sz w:val="24"/>
          <w:szCs w:val="24"/>
        </w:rPr>
        <w:t>.</w:t>
      </w:r>
      <w:r w:rsidR="00130537">
        <w:rPr>
          <w:rStyle w:val="FootnoteReference"/>
          <w:sz w:val="24"/>
          <w:szCs w:val="24"/>
        </w:rPr>
        <w:footnoteReference w:id="28"/>
      </w:r>
      <w:r w:rsidR="00130537">
        <w:rPr>
          <w:sz w:val="24"/>
          <w:szCs w:val="24"/>
        </w:rPr>
        <w:t xml:space="preserve"> Additionally, what happens in one’s life has a bearing on one’s religious beliefs, death of a child could impede one’s belief in God’s love for example. He questions how this could be if religion is not cut off from the rest of life. On the contrary, religion </w:t>
      </w:r>
      <w:r w:rsidR="00130537" w:rsidRPr="00130537">
        <w:rPr>
          <w:i/>
          <w:sz w:val="24"/>
          <w:szCs w:val="24"/>
        </w:rPr>
        <w:t xml:space="preserve">is </w:t>
      </w:r>
      <w:r w:rsidR="00130537">
        <w:rPr>
          <w:sz w:val="24"/>
          <w:szCs w:val="24"/>
        </w:rPr>
        <w:t>important because it does relate to other areas of life.</w:t>
      </w:r>
      <w:r w:rsidR="00130537">
        <w:rPr>
          <w:rStyle w:val="FootnoteReference"/>
          <w:sz w:val="24"/>
          <w:szCs w:val="24"/>
        </w:rPr>
        <w:footnoteReference w:id="29"/>
      </w:r>
      <w:r w:rsidR="00130537">
        <w:rPr>
          <w:sz w:val="24"/>
          <w:szCs w:val="24"/>
        </w:rPr>
        <w:t xml:space="preserve"> The only way that religion differs from other beliefs is how they should be understood, which is in relation to the significance they have for believers</w:t>
      </w:r>
      <w:r w:rsidR="00A77E86">
        <w:rPr>
          <w:sz w:val="24"/>
          <w:szCs w:val="24"/>
        </w:rPr>
        <w:t>.</w:t>
      </w:r>
      <w:r w:rsidR="004D711D">
        <w:rPr>
          <w:rStyle w:val="FootnoteReference"/>
          <w:sz w:val="24"/>
          <w:szCs w:val="24"/>
        </w:rPr>
        <w:footnoteReference w:id="30"/>
      </w:r>
      <w:r w:rsidR="00130537">
        <w:rPr>
          <w:sz w:val="24"/>
          <w:szCs w:val="24"/>
        </w:rPr>
        <w:t xml:space="preserve"> Only an insider can know this and judge it, but they could explain this to an outsider who could then </w:t>
      </w:r>
      <w:r w:rsidR="00130537">
        <w:rPr>
          <w:sz w:val="24"/>
          <w:szCs w:val="24"/>
        </w:rPr>
        <w:lastRenderedPageBreak/>
        <w:t xml:space="preserve">understand. </w:t>
      </w:r>
      <w:r w:rsidR="004D711D">
        <w:rPr>
          <w:sz w:val="24"/>
          <w:szCs w:val="24"/>
        </w:rPr>
        <w:t>Asking for proof of the validity of religious beliefs makes no sense as ‘philosophy is neither for nor against religious beliefs. After it has sought to clarify the grammar of such beliefs its work is over.’</w:t>
      </w:r>
      <w:r w:rsidR="004D711D">
        <w:rPr>
          <w:rStyle w:val="FootnoteReference"/>
          <w:sz w:val="24"/>
          <w:szCs w:val="24"/>
        </w:rPr>
        <w:footnoteReference w:id="31"/>
      </w:r>
      <w:r w:rsidR="004D711D">
        <w:rPr>
          <w:sz w:val="24"/>
          <w:szCs w:val="24"/>
        </w:rPr>
        <w:t xml:space="preserve">  </w:t>
      </w:r>
      <w:r w:rsidR="00F84C30">
        <w:rPr>
          <w:sz w:val="24"/>
          <w:szCs w:val="24"/>
        </w:rPr>
        <w:t xml:space="preserve">The bearing of Phillips’ view is that the only possible way to study religion is in an impartial and unbiased way which seems forward-thinking. The continuation of the practice makes it meaningful and worthy of study, but any attempt to give reasons for it will become problematic. </w:t>
      </w:r>
      <w:r w:rsidR="00AB33A7">
        <w:rPr>
          <w:sz w:val="24"/>
          <w:szCs w:val="24"/>
        </w:rPr>
        <w:t xml:space="preserve">There is no need to ‘explain away’ religious practices. The practices can speak for themselves. This stops critics of religions from reducing it to something else, for example Freud’s attempt to describe religious behaviour as wish fulfilment and the result of sexual desires.  Freud’s explanations have been widely discredited for lacking empirical evidence which demonstrates that such attempts are </w:t>
      </w:r>
      <w:r w:rsidR="00087327">
        <w:rPr>
          <w:sz w:val="24"/>
          <w:szCs w:val="24"/>
        </w:rPr>
        <w:t xml:space="preserve">usually </w:t>
      </w:r>
      <w:r w:rsidR="00AB33A7">
        <w:rPr>
          <w:sz w:val="24"/>
          <w:szCs w:val="24"/>
        </w:rPr>
        <w:t>unfounded.</w:t>
      </w:r>
      <w:r w:rsidR="00AB33A7">
        <w:rPr>
          <w:rStyle w:val="FootnoteReference"/>
          <w:sz w:val="24"/>
          <w:szCs w:val="24"/>
        </w:rPr>
        <w:footnoteReference w:id="32"/>
      </w:r>
    </w:p>
    <w:p w14:paraId="6887EF8D" w14:textId="45BE1DAE" w:rsidR="00EA5FA5" w:rsidRDefault="00EA5FA5" w:rsidP="00087327">
      <w:pPr>
        <w:spacing w:line="480" w:lineRule="auto"/>
        <w:ind w:firstLine="720"/>
        <w:rPr>
          <w:sz w:val="24"/>
          <w:szCs w:val="24"/>
        </w:rPr>
      </w:pPr>
      <w:r>
        <w:rPr>
          <w:sz w:val="24"/>
          <w:szCs w:val="24"/>
        </w:rPr>
        <w:t xml:space="preserve">Wittgenstein and Phillips’ position </w:t>
      </w:r>
      <w:proofErr w:type="gramStart"/>
      <w:r>
        <w:rPr>
          <w:sz w:val="24"/>
          <w:szCs w:val="24"/>
        </w:rPr>
        <w:t>is</w:t>
      </w:r>
      <w:proofErr w:type="gramEnd"/>
      <w:r>
        <w:rPr>
          <w:sz w:val="24"/>
          <w:szCs w:val="24"/>
        </w:rPr>
        <w:t xml:space="preserve"> further defended by Norman Malcolm.  He describes religious beliefs as groundless because they are part of a certain ‘form of life’ where the associated language is embedded in action (what Wittgenstein calls a language game).</w:t>
      </w:r>
      <w:r>
        <w:rPr>
          <w:rStyle w:val="FootnoteReference"/>
          <w:sz w:val="24"/>
          <w:szCs w:val="24"/>
        </w:rPr>
        <w:footnoteReference w:id="33"/>
      </w:r>
      <w:r>
        <w:rPr>
          <w:sz w:val="24"/>
          <w:szCs w:val="24"/>
        </w:rPr>
        <w:t xml:space="preserve">  This language is not based on evidence, as Wittgenstein points out we have to speak, act and live without evidence, ‘grounds will soon give out’ (</w:t>
      </w:r>
      <w:r w:rsidRPr="00A77E86">
        <w:rPr>
          <w:i/>
          <w:sz w:val="24"/>
          <w:szCs w:val="24"/>
        </w:rPr>
        <w:t xml:space="preserve">Philosophical </w:t>
      </w:r>
      <w:r w:rsidR="00D87D86" w:rsidRPr="00A77E86">
        <w:rPr>
          <w:i/>
          <w:sz w:val="24"/>
          <w:szCs w:val="24"/>
        </w:rPr>
        <w:t>Investigations)</w:t>
      </w:r>
      <w:r w:rsidR="00A77E86" w:rsidRPr="00A77E86">
        <w:rPr>
          <w:i/>
          <w:sz w:val="24"/>
          <w:szCs w:val="24"/>
        </w:rPr>
        <w:t>.</w:t>
      </w:r>
      <w:r w:rsidR="00D87D86" w:rsidRPr="00A77E86">
        <w:rPr>
          <w:rStyle w:val="FootnoteReference"/>
          <w:i/>
          <w:sz w:val="24"/>
          <w:szCs w:val="24"/>
        </w:rPr>
        <w:footnoteReference w:id="34"/>
      </w:r>
      <w:r w:rsidR="00D87D86" w:rsidRPr="00A77E86">
        <w:rPr>
          <w:i/>
          <w:sz w:val="24"/>
          <w:szCs w:val="24"/>
        </w:rPr>
        <w:t xml:space="preserve">  </w:t>
      </w:r>
      <w:r w:rsidR="00D87D86">
        <w:rPr>
          <w:sz w:val="24"/>
          <w:szCs w:val="24"/>
        </w:rPr>
        <w:t xml:space="preserve">He thinks </w:t>
      </w:r>
      <w:r w:rsidR="009901DE">
        <w:rPr>
          <w:sz w:val="24"/>
          <w:szCs w:val="24"/>
        </w:rPr>
        <w:t>therefore</w:t>
      </w:r>
      <w:r w:rsidR="00D87D86">
        <w:rPr>
          <w:sz w:val="24"/>
          <w:szCs w:val="24"/>
        </w:rPr>
        <w:t xml:space="preserve"> philosophers continue to propose arguments for God’s existence as evidence and grounds for beliefs are expected, but none ever succeed</w:t>
      </w:r>
      <w:r w:rsidR="009901DE">
        <w:rPr>
          <w:sz w:val="24"/>
          <w:szCs w:val="24"/>
        </w:rPr>
        <w:t>.</w:t>
      </w:r>
      <w:r w:rsidR="00D87D86">
        <w:rPr>
          <w:rStyle w:val="FootnoteReference"/>
          <w:sz w:val="24"/>
          <w:szCs w:val="24"/>
        </w:rPr>
        <w:footnoteReference w:id="35"/>
      </w:r>
      <w:r w:rsidR="00D87D86">
        <w:rPr>
          <w:sz w:val="24"/>
          <w:szCs w:val="24"/>
        </w:rPr>
        <w:t xml:space="preserve"> What many non-believers fail to see is that belief can wax and wane – it is not constant. It is something that </w:t>
      </w:r>
      <w:r w:rsidR="009901DE">
        <w:rPr>
          <w:sz w:val="24"/>
          <w:szCs w:val="24"/>
        </w:rPr>
        <w:t>must</w:t>
      </w:r>
      <w:r w:rsidR="00D87D86">
        <w:rPr>
          <w:sz w:val="24"/>
          <w:szCs w:val="24"/>
        </w:rPr>
        <w:t xml:space="preserve"> be lived out and it requires commitment and practice.</w:t>
      </w:r>
      <w:r w:rsidR="00D87D86">
        <w:rPr>
          <w:rStyle w:val="FootnoteReference"/>
          <w:sz w:val="24"/>
          <w:szCs w:val="24"/>
        </w:rPr>
        <w:footnoteReference w:id="36"/>
      </w:r>
      <w:r w:rsidR="00D87D86">
        <w:rPr>
          <w:sz w:val="24"/>
          <w:szCs w:val="24"/>
        </w:rPr>
        <w:t xml:space="preserve">  This is the </w:t>
      </w:r>
      <w:r w:rsidR="00D87D86">
        <w:rPr>
          <w:sz w:val="24"/>
          <w:szCs w:val="24"/>
        </w:rPr>
        <w:lastRenderedPageBreak/>
        <w:t xml:space="preserve">evidence in itself – if someone is still performing a religious action, then it is meaningful for them and this is all we can say, how they feel and whether the action reflects a </w:t>
      </w:r>
      <w:r w:rsidR="009901DE">
        <w:rPr>
          <w:sz w:val="24"/>
          <w:szCs w:val="24"/>
        </w:rPr>
        <w:t>belief</w:t>
      </w:r>
      <w:r w:rsidR="00D87D86">
        <w:rPr>
          <w:sz w:val="24"/>
          <w:szCs w:val="24"/>
        </w:rPr>
        <w:t xml:space="preserve"> would be an assumption. He says that belief in God makes sense but belief in the existence of God does not. This sounds like an ‘artificial construction of philosophy’ and ‘another illustration of the craving for justification.’</w:t>
      </w:r>
      <w:r w:rsidR="00D87D86">
        <w:rPr>
          <w:rStyle w:val="FootnoteReference"/>
          <w:sz w:val="24"/>
          <w:szCs w:val="24"/>
        </w:rPr>
        <w:footnoteReference w:id="37"/>
      </w:r>
      <w:r w:rsidR="00D87D86">
        <w:rPr>
          <w:sz w:val="24"/>
          <w:szCs w:val="24"/>
        </w:rPr>
        <w:t xml:space="preserve">  The neo-Wittgensteinians </w:t>
      </w:r>
      <w:r w:rsidR="00E569A7">
        <w:rPr>
          <w:sz w:val="24"/>
          <w:szCs w:val="24"/>
        </w:rPr>
        <w:t xml:space="preserve">argue for religion to be understood on its own terms, which seems reasonable and doesn’t mean it is immune from criticism. </w:t>
      </w:r>
      <w:r w:rsidR="00A92E80">
        <w:rPr>
          <w:sz w:val="24"/>
          <w:szCs w:val="24"/>
        </w:rPr>
        <w:t>This means that whilst anti-theist writers such as Richard Dawkins are free to voice their opinion and criticisms of religion, their opinions should not be used to advise on policy or seen as more valid than the views of the apologists that defend them. Dawkins would be quite happy for example</w:t>
      </w:r>
      <w:r w:rsidR="004D1322">
        <w:rPr>
          <w:sz w:val="24"/>
          <w:szCs w:val="24"/>
        </w:rPr>
        <w:t>,</w:t>
      </w:r>
      <w:r w:rsidR="00A92E80">
        <w:rPr>
          <w:sz w:val="24"/>
          <w:szCs w:val="24"/>
        </w:rPr>
        <w:t xml:space="preserve"> if religious organisations had less rights</w:t>
      </w:r>
      <w:r w:rsidR="004D1322">
        <w:rPr>
          <w:sz w:val="24"/>
          <w:szCs w:val="24"/>
        </w:rPr>
        <w:t>,</w:t>
      </w:r>
      <w:r w:rsidR="00A92E80">
        <w:rPr>
          <w:sz w:val="24"/>
          <w:szCs w:val="24"/>
        </w:rPr>
        <w:t xml:space="preserve"> but no grounds for this can be found in Wittgenstein’s writings</w:t>
      </w:r>
      <w:r w:rsidR="00A92E80">
        <w:rPr>
          <w:rStyle w:val="FootnoteReference"/>
          <w:sz w:val="24"/>
          <w:szCs w:val="24"/>
        </w:rPr>
        <w:footnoteReference w:id="38"/>
      </w:r>
      <w:r w:rsidR="00A92E80">
        <w:rPr>
          <w:sz w:val="24"/>
          <w:szCs w:val="24"/>
        </w:rPr>
        <w:t>. Dawkins would base this on his rejection of religious beliefs due to their impossibility to be verified as true from a realist position, which as Wittgenstein shows is not the most plausible way of understanding religion</w:t>
      </w:r>
      <w:r w:rsidR="00685977">
        <w:rPr>
          <w:sz w:val="24"/>
          <w:szCs w:val="24"/>
        </w:rPr>
        <w:t xml:space="preserve"> and its full complexity</w:t>
      </w:r>
      <w:r w:rsidR="00A92E80">
        <w:rPr>
          <w:sz w:val="24"/>
          <w:szCs w:val="24"/>
        </w:rPr>
        <w:t xml:space="preserve">.  </w:t>
      </w:r>
      <w:r w:rsidR="004D1322">
        <w:rPr>
          <w:sz w:val="24"/>
          <w:szCs w:val="24"/>
        </w:rPr>
        <w:t xml:space="preserve">Wittgenstein might suggest that Dawkins is missing the point of religion. He suggests that there are four imperfect gospel accounts in the Bible, as this doesn’t detract from what they are </w:t>
      </w:r>
      <w:proofErr w:type="gramStart"/>
      <w:r w:rsidR="004D1322">
        <w:rPr>
          <w:sz w:val="24"/>
          <w:szCs w:val="24"/>
        </w:rPr>
        <w:t>really about</w:t>
      </w:r>
      <w:proofErr w:type="gramEnd"/>
      <w:r w:rsidR="004D1322">
        <w:rPr>
          <w:sz w:val="24"/>
          <w:szCs w:val="24"/>
        </w:rPr>
        <w:t xml:space="preserve"> (the Spirit). ‘A mediocre account suffices, is even to be preferred’</w:t>
      </w:r>
      <w:r w:rsidR="004D1322">
        <w:rPr>
          <w:rStyle w:val="FootnoteReference"/>
          <w:sz w:val="24"/>
          <w:szCs w:val="24"/>
        </w:rPr>
        <w:footnoteReference w:id="39"/>
      </w:r>
      <w:r w:rsidR="004D1322">
        <w:rPr>
          <w:sz w:val="24"/>
          <w:szCs w:val="24"/>
        </w:rPr>
        <w:t>.  The message is known through faith and doesn’t need to be verified as factually true as this would be too easy to believe and there would be no challenge to faith.</w:t>
      </w:r>
    </w:p>
    <w:p w14:paraId="3D0D3778" w14:textId="71B63232" w:rsidR="00B6222B" w:rsidRDefault="00B6222B" w:rsidP="00087327">
      <w:pPr>
        <w:spacing w:line="480" w:lineRule="auto"/>
        <w:ind w:firstLine="720"/>
        <w:rPr>
          <w:sz w:val="24"/>
          <w:szCs w:val="24"/>
        </w:rPr>
      </w:pPr>
      <w:r>
        <w:rPr>
          <w:sz w:val="24"/>
          <w:szCs w:val="24"/>
        </w:rPr>
        <w:t xml:space="preserve">A final bearing that could follow from </w:t>
      </w:r>
      <w:r w:rsidR="00142C6A">
        <w:rPr>
          <w:sz w:val="24"/>
          <w:szCs w:val="24"/>
        </w:rPr>
        <w:t xml:space="preserve">Wittgenstein’s observation is that religion does no more than fulfil human need. It is not something done in response to an external deity or </w:t>
      </w:r>
      <w:r w:rsidR="00142C6A">
        <w:rPr>
          <w:sz w:val="24"/>
          <w:szCs w:val="24"/>
        </w:rPr>
        <w:lastRenderedPageBreak/>
        <w:t xml:space="preserve">even aimed at them, it in fact aims at satisfaction or nothing at all. </w:t>
      </w:r>
      <w:r w:rsidR="003C637A">
        <w:rPr>
          <w:sz w:val="24"/>
          <w:szCs w:val="24"/>
        </w:rPr>
        <w:t xml:space="preserve">Wittgenstein claims that all the practices we see are not derived from </w:t>
      </w:r>
      <w:r w:rsidR="009901DE">
        <w:rPr>
          <w:sz w:val="24"/>
          <w:szCs w:val="24"/>
        </w:rPr>
        <w:t>each other but</w:t>
      </w:r>
      <w:r w:rsidR="003C637A">
        <w:rPr>
          <w:sz w:val="24"/>
          <w:szCs w:val="24"/>
        </w:rPr>
        <w:t xml:space="preserve"> do have a common spirit and if they are invented, they come from the same spirit</w:t>
      </w:r>
      <w:r w:rsidR="00A77E86">
        <w:rPr>
          <w:sz w:val="24"/>
          <w:szCs w:val="24"/>
        </w:rPr>
        <w:t>.</w:t>
      </w:r>
      <w:r w:rsidR="003C637A">
        <w:rPr>
          <w:rStyle w:val="FootnoteReference"/>
          <w:sz w:val="24"/>
          <w:szCs w:val="24"/>
        </w:rPr>
        <w:footnoteReference w:id="40"/>
      </w:r>
      <w:r w:rsidR="003C637A">
        <w:rPr>
          <w:sz w:val="24"/>
          <w:szCs w:val="24"/>
        </w:rPr>
        <w:t xml:space="preserve"> This echoes Jung’s theory of the collective unconscious. </w:t>
      </w:r>
      <w:r w:rsidR="00447C18">
        <w:rPr>
          <w:sz w:val="24"/>
          <w:szCs w:val="24"/>
        </w:rPr>
        <w:t>Jung posits that there exists in all humans a deep universal consciousness that contains archetypes including the God archetype. Thus, all archetypal images of God emanate from the unconscious mind.</w:t>
      </w:r>
      <w:r w:rsidR="00C500B0">
        <w:rPr>
          <w:rStyle w:val="FootnoteReference"/>
          <w:sz w:val="24"/>
          <w:szCs w:val="24"/>
        </w:rPr>
        <w:footnoteReference w:id="41"/>
      </w:r>
      <w:r w:rsidR="00447C18">
        <w:rPr>
          <w:sz w:val="24"/>
          <w:szCs w:val="24"/>
        </w:rPr>
        <w:t xml:space="preserve"> The issue of whether there is an external divine reality is a separate one. </w:t>
      </w:r>
      <w:r w:rsidR="003C637A">
        <w:rPr>
          <w:sz w:val="24"/>
          <w:szCs w:val="24"/>
        </w:rPr>
        <w:t xml:space="preserve">It may be our desires that </w:t>
      </w:r>
      <w:r w:rsidR="00447C18">
        <w:rPr>
          <w:sz w:val="24"/>
          <w:szCs w:val="24"/>
        </w:rPr>
        <w:t>seek to connect with</w:t>
      </w:r>
      <w:r w:rsidR="00C500B0">
        <w:rPr>
          <w:sz w:val="24"/>
          <w:szCs w:val="24"/>
        </w:rPr>
        <w:t xml:space="preserve"> the primordial images contained in the collective unconscious and this could explain why we find religious rituals satisfying</w:t>
      </w:r>
      <w:r w:rsidR="00C500B0">
        <w:rPr>
          <w:rStyle w:val="FootnoteReference"/>
          <w:sz w:val="24"/>
          <w:szCs w:val="24"/>
        </w:rPr>
        <w:footnoteReference w:id="42"/>
      </w:r>
      <w:r w:rsidR="003C637A">
        <w:rPr>
          <w:sz w:val="24"/>
          <w:szCs w:val="24"/>
        </w:rPr>
        <w:t xml:space="preserve">.  </w:t>
      </w:r>
      <w:r w:rsidR="00C500B0">
        <w:rPr>
          <w:sz w:val="24"/>
          <w:szCs w:val="24"/>
        </w:rPr>
        <w:t xml:space="preserve">Wittgenstein’s views could be </w:t>
      </w:r>
      <w:r w:rsidR="00F65C85">
        <w:rPr>
          <w:sz w:val="24"/>
          <w:szCs w:val="24"/>
        </w:rPr>
        <w:t>suggestive of a</w:t>
      </w:r>
      <w:r w:rsidR="00C500B0">
        <w:rPr>
          <w:sz w:val="24"/>
          <w:szCs w:val="24"/>
        </w:rPr>
        <w:t xml:space="preserve"> psychological function to religion, rather than seeing it as a response to an external divinity. He states, </w:t>
      </w:r>
      <w:r w:rsidR="003C637A">
        <w:rPr>
          <w:sz w:val="24"/>
          <w:szCs w:val="24"/>
        </w:rPr>
        <w:t xml:space="preserve">‘Christianity is not based on a historical truth; rather it </w:t>
      </w:r>
      <w:r w:rsidR="00963126">
        <w:rPr>
          <w:sz w:val="24"/>
          <w:szCs w:val="24"/>
        </w:rPr>
        <w:t>offers us a historical narrative and says: now believe!’</w:t>
      </w:r>
      <w:r w:rsidR="00963126">
        <w:rPr>
          <w:rStyle w:val="FootnoteReference"/>
          <w:sz w:val="24"/>
          <w:szCs w:val="24"/>
        </w:rPr>
        <w:footnoteReference w:id="43"/>
      </w:r>
      <w:r w:rsidR="00963126">
        <w:rPr>
          <w:sz w:val="24"/>
          <w:szCs w:val="24"/>
        </w:rPr>
        <w:t xml:space="preserve"> </w:t>
      </w:r>
      <w:r w:rsidR="00142C6A">
        <w:rPr>
          <w:sz w:val="24"/>
          <w:szCs w:val="24"/>
        </w:rPr>
        <w:t xml:space="preserve">This could </w:t>
      </w:r>
      <w:proofErr w:type="gramStart"/>
      <w:r w:rsidR="00142C6A">
        <w:rPr>
          <w:sz w:val="24"/>
          <w:szCs w:val="24"/>
        </w:rPr>
        <w:t>be seen as</w:t>
      </w:r>
      <w:proofErr w:type="gramEnd"/>
      <w:r w:rsidR="00142C6A">
        <w:rPr>
          <w:sz w:val="24"/>
          <w:szCs w:val="24"/>
        </w:rPr>
        <w:t xml:space="preserve"> offensive to religious believers </w:t>
      </w:r>
      <w:r w:rsidR="009901DE">
        <w:rPr>
          <w:sz w:val="24"/>
          <w:szCs w:val="24"/>
        </w:rPr>
        <w:t>and</w:t>
      </w:r>
      <w:r w:rsidR="00142C6A">
        <w:rPr>
          <w:sz w:val="24"/>
          <w:szCs w:val="24"/>
        </w:rPr>
        <w:t xml:space="preserve"> highly reductive</w:t>
      </w:r>
      <w:r w:rsidR="00C500B0">
        <w:rPr>
          <w:sz w:val="24"/>
          <w:szCs w:val="24"/>
        </w:rPr>
        <w:t>, as they may be certain that their religious tradition contains literal truth</w:t>
      </w:r>
      <w:r w:rsidR="00142C6A">
        <w:rPr>
          <w:sz w:val="24"/>
          <w:szCs w:val="24"/>
        </w:rPr>
        <w:t xml:space="preserve">. </w:t>
      </w:r>
    </w:p>
    <w:p w14:paraId="2412E397" w14:textId="14F34639" w:rsidR="00142C6A" w:rsidRDefault="00142C6A" w:rsidP="00087327">
      <w:pPr>
        <w:spacing w:line="480" w:lineRule="auto"/>
        <w:ind w:firstLine="720"/>
        <w:rPr>
          <w:sz w:val="24"/>
          <w:szCs w:val="24"/>
        </w:rPr>
      </w:pPr>
      <w:r>
        <w:rPr>
          <w:sz w:val="24"/>
          <w:szCs w:val="24"/>
        </w:rPr>
        <w:t>However, Brian Davies doesn’t see it this way. He in fact describes Wittgenstein’s view of God as ‘traditional’.</w:t>
      </w:r>
      <w:r>
        <w:rPr>
          <w:rStyle w:val="FootnoteReference"/>
          <w:sz w:val="24"/>
          <w:szCs w:val="24"/>
        </w:rPr>
        <w:footnoteReference w:id="44"/>
      </w:r>
      <w:r>
        <w:rPr>
          <w:sz w:val="24"/>
          <w:szCs w:val="24"/>
        </w:rPr>
        <w:t xml:space="preserve">  A believer needs no explanation for what they already know and of course Wittgenstein discourages reasons or explanations for belief.</w:t>
      </w:r>
      <w:r>
        <w:rPr>
          <w:rStyle w:val="FootnoteReference"/>
          <w:sz w:val="24"/>
          <w:szCs w:val="24"/>
        </w:rPr>
        <w:footnoteReference w:id="45"/>
      </w:r>
      <w:r>
        <w:rPr>
          <w:sz w:val="24"/>
          <w:szCs w:val="24"/>
        </w:rPr>
        <w:t xml:space="preserve"> One either feels the presence of God in their life or the inclination for religious ritual or they do</w:t>
      </w:r>
      <w:r w:rsidR="00C667B5">
        <w:rPr>
          <w:sz w:val="24"/>
          <w:szCs w:val="24"/>
        </w:rPr>
        <w:t xml:space="preserve"> not</w:t>
      </w:r>
      <w:r>
        <w:rPr>
          <w:sz w:val="24"/>
          <w:szCs w:val="24"/>
        </w:rPr>
        <w:t xml:space="preserve">.  Davies refers to Wittgenstein’s words in a letter to Engelmann, ‘if only you do not try to utter the unutterable then </w:t>
      </w:r>
      <w:r w:rsidRPr="00142C6A">
        <w:rPr>
          <w:i/>
          <w:sz w:val="24"/>
          <w:szCs w:val="24"/>
        </w:rPr>
        <w:t>nothing</w:t>
      </w:r>
      <w:r>
        <w:rPr>
          <w:sz w:val="24"/>
          <w:szCs w:val="24"/>
        </w:rPr>
        <w:t xml:space="preserve"> gets lost. But the unutterable will be – unutterably – </w:t>
      </w:r>
      <w:r w:rsidRPr="00142C6A">
        <w:rPr>
          <w:i/>
          <w:sz w:val="24"/>
          <w:szCs w:val="24"/>
        </w:rPr>
        <w:t>contained</w:t>
      </w:r>
      <w:r>
        <w:rPr>
          <w:sz w:val="24"/>
          <w:szCs w:val="24"/>
        </w:rPr>
        <w:t xml:space="preserve"> in what has been uttered!’</w:t>
      </w:r>
      <w:r>
        <w:rPr>
          <w:rStyle w:val="FootnoteReference"/>
          <w:sz w:val="24"/>
          <w:szCs w:val="24"/>
        </w:rPr>
        <w:footnoteReference w:id="46"/>
      </w:r>
      <w:r>
        <w:rPr>
          <w:sz w:val="24"/>
          <w:szCs w:val="24"/>
        </w:rPr>
        <w:t xml:space="preserve">  The fact that Wittgenstein uses the word ‘contained’ suggests </w:t>
      </w:r>
      <w:r>
        <w:rPr>
          <w:sz w:val="24"/>
          <w:szCs w:val="24"/>
        </w:rPr>
        <w:lastRenderedPageBreak/>
        <w:t xml:space="preserve">the existence of something apart from language, but </w:t>
      </w:r>
      <w:r w:rsidR="009901DE">
        <w:rPr>
          <w:sz w:val="24"/>
          <w:szCs w:val="24"/>
        </w:rPr>
        <w:t xml:space="preserve">also </w:t>
      </w:r>
      <w:r>
        <w:rPr>
          <w:sz w:val="24"/>
          <w:szCs w:val="24"/>
        </w:rPr>
        <w:t>the acceptance that this can be known but not explained adequately, which is very much how the Christian mystics felt.</w:t>
      </w:r>
      <w:r>
        <w:rPr>
          <w:rStyle w:val="FootnoteReference"/>
          <w:sz w:val="24"/>
          <w:szCs w:val="24"/>
        </w:rPr>
        <w:footnoteReference w:id="47"/>
      </w:r>
      <w:r>
        <w:rPr>
          <w:sz w:val="24"/>
          <w:szCs w:val="24"/>
        </w:rPr>
        <w:t xml:space="preserve">  This also very much reminds of William James’ claim that religious experiences can only be judged on the ‘fruits’</w:t>
      </w:r>
      <w:r w:rsidR="003C637A">
        <w:rPr>
          <w:sz w:val="24"/>
          <w:szCs w:val="24"/>
        </w:rPr>
        <w:t xml:space="preserve"> seen in the person afterwards and that this will tell us whether it was genuine</w:t>
      </w:r>
      <w:r w:rsidR="00A96CA9">
        <w:rPr>
          <w:sz w:val="24"/>
          <w:szCs w:val="24"/>
        </w:rPr>
        <w:t>.</w:t>
      </w:r>
      <w:r w:rsidR="003C637A">
        <w:rPr>
          <w:rStyle w:val="FootnoteReference"/>
          <w:sz w:val="24"/>
          <w:szCs w:val="24"/>
        </w:rPr>
        <w:footnoteReference w:id="48"/>
      </w:r>
      <w:r w:rsidR="003C637A">
        <w:rPr>
          <w:sz w:val="24"/>
          <w:szCs w:val="24"/>
        </w:rPr>
        <w:t xml:space="preserve"> The person and their experience can be judged by no empirical criteria, but does this mean we shouldn’t listen to the person and accept their account if it seems reasonable? Wittgenstein would surely agree, but as soon as we begin to explain or give reasons for it, we commit an error.</w:t>
      </w:r>
      <w:r w:rsidR="00963126">
        <w:rPr>
          <w:sz w:val="24"/>
          <w:szCs w:val="24"/>
        </w:rPr>
        <w:t xml:space="preserve"> </w:t>
      </w:r>
    </w:p>
    <w:p w14:paraId="32F3DCBE" w14:textId="4392B11D" w:rsidR="0005773C" w:rsidRDefault="00963126" w:rsidP="00087327">
      <w:pPr>
        <w:spacing w:line="480" w:lineRule="auto"/>
        <w:ind w:firstLine="720"/>
        <w:rPr>
          <w:sz w:val="24"/>
          <w:szCs w:val="24"/>
        </w:rPr>
      </w:pPr>
      <w:r>
        <w:rPr>
          <w:sz w:val="24"/>
          <w:szCs w:val="24"/>
        </w:rPr>
        <w:t xml:space="preserve">To conclude, </w:t>
      </w:r>
      <w:r w:rsidR="0005773C">
        <w:rPr>
          <w:sz w:val="24"/>
          <w:szCs w:val="24"/>
        </w:rPr>
        <w:t xml:space="preserve">the epistemic relativism implied by Wittgenstein’s anti-realist understanding of religion provides a </w:t>
      </w:r>
      <w:r w:rsidR="00AC3AD8">
        <w:rPr>
          <w:sz w:val="24"/>
          <w:szCs w:val="24"/>
        </w:rPr>
        <w:t xml:space="preserve">sturdy </w:t>
      </w:r>
      <w:r w:rsidR="0005773C">
        <w:rPr>
          <w:sz w:val="24"/>
          <w:szCs w:val="24"/>
        </w:rPr>
        <w:t xml:space="preserve">theoretical framework for the academic phenomenological study of religion and </w:t>
      </w:r>
      <w:r w:rsidR="004D1322">
        <w:rPr>
          <w:sz w:val="24"/>
          <w:szCs w:val="24"/>
        </w:rPr>
        <w:t>it argues for an acceptance that religious claims are known through faith rather than empirical evidence or reason</w:t>
      </w:r>
      <w:r w:rsidR="00AC3AD8">
        <w:rPr>
          <w:sz w:val="24"/>
          <w:szCs w:val="24"/>
        </w:rPr>
        <w:t xml:space="preserve">, which can counter discrimination due to this basis. </w:t>
      </w:r>
      <w:r w:rsidR="004D1322">
        <w:rPr>
          <w:sz w:val="24"/>
          <w:szCs w:val="24"/>
        </w:rPr>
        <w:t xml:space="preserve"> </w:t>
      </w:r>
      <w:r w:rsidR="0005773C">
        <w:rPr>
          <w:sz w:val="24"/>
          <w:szCs w:val="24"/>
        </w:rPr>
        <w:t xml:space="preserve">  </w:t>
      </w:r>
    </w:p>
    <w:p w14:paraId="1600839D" w14:textId="6D53CA04" w:rsidR="009901DE" w:rsidRPr="003A5CF2" w:rsidRDefault="00F84C30" w:rsidP="009901DE">
      <w:pPr>
        <w:rPr>
          <w:b/>
          <w:sz w:val="24"/>
          <w:szCs w:val="24"/>
        </w:rPr>
      </w:pPr>
      <w:r>
        <w:rPr>
          <w:b/>
          <w:sz w:val="24"/>
          <w:szCs w:val="24"/>
        </w:rPr>
        <w:t>2</w:t>
      </w:r>
      <w:r w:rsidR="00AC3AD8">
        <w:rPr>
          <w:b/>
          <w:sz w:val="24"/>
          <w:szCs w:val="24"/>
        </w:rPr>
        <w:t>64</w:t>
      </w:r>
      <w:r w:rsidR="00087327">
        <w:rPr>
          <w:b/>
          <w:sz w:val="24"/>
          <w:szCs w:val="24"/>
        </w:rPr>
        <w:t>4</w:t>
      </w:r>
      <w:r>
        <w:rPr>
          <w:b/>
          <w:sz w:val="24"/>
          <w:szCs w:val="24"/>
        </w:rPr>
        <w:t xml:space="preserve"> words</w:t>
      </w:r>
    </w:p>
    <w:p w14:paraId="3FD1D46C" w14:textId="6FCEFCA9" w:rsidR="009901DE" w:rsidRDefault="009901DE" w:rsidP="009901DE">
      <w:pPr>
        <w:rPr>
          <w:sz w:val="24"/>
          <w:szCs w:val="24"/>
        </w:rPr>
      </w:pPr>
    </w:p>
    <w:p w14:paraId="72BFDFE5" w14:textId="45FD41D0" w:rsidR="009901DE" w:rsidRDefault="009901DE" w:rsidP="009901DE">
      <w:pPr>
        <w:rPr>
          <w:sz w:val="24"/>
          <w:szCs w:val="24"/>
        </w:rPr>
      </w:pPr>
    </w:p>
    <w:p w14:paraId="1FD29883" w14:textId="6D31AC29" w:rsidR="009901DE" w:rsidRDefault="009901DE" w:rsidP="009901DE">
      <w:pPr>
        <w:rPr>
          <w:sz w:val="24"/>
          <w:szCs w:val="24"/>
        </w:rPr>
      </w:pPr>
    </w:p>
    <w:p w14:paraId="25A6812E" w14:textId="7FB684EB" w:rsidR="009901DE" w:rsidRDefault="009901DE" w:rsidP="009901DE">
      <w:pPr>
        <w:rPr>
          <w:sz w:val="24"/>
          <w:szCs w:val="24"/>
        </w:rPr>
      </w:pPr>
    </w:p>
    <w:p w14:paraId="181628F4" w14:textId="252DDC9A" w:rsidR="009901DE" w:rsidRDefault="009901DE" w:rsidP="009901DE">
      <w:pPr>
        <w:rPr>
          <w:sz w:val="24"/>
          <w:szCs w:val="24"/>
        </w:rPr>
      </w:pPr>
    </w:p>
    <w:p w14:paraId="6B74D01E" w14:textId="4279EBEC" w:rsidR="009901DE" w:rsidRDefault="009901DE" w:rsidP="009901DE">
      <w:pPr>
        <w:rPr>
          <w:sz w:val="24"/>
          <w:szCs w:val="24"/>
        </w:rPr>
      </w:pPr>
    </w:p>
    <w:p w14:paraId="5A5C88EF" w14:textId="2AFE2E9D" w:rsidR="00087327" w:rsidRDefault="00087327" w:rsidP="009901DE">
      <w:pPr>
        <w:rPr>
          <w:sz w:val="24"/>
          <w:szCs w:val="24"/>
        </w:rPr>
      </w:pPr>
    </w:p>
    <w:p w14:paraId="744F0530" w14:textId="1686FF92" w:rsidR="00087327" w:rsidRDefault="00087327" w:rsidP="009901DE">
      <w:pPr>
        <w:rPr>
          <w:sz w:val="24"/>
          <w:szCs w:val="24"/>
        </w:rPr>
      </w:pPr>
    </w:p>
    <w:p w14:paraId="540744B4" w14:textId="35E37DDD" w:rsidR="00087327" w:rsidRDefault="00087327" w:rsidP="009901DE">
      <w:pPr>
        <w:rPr>
          <w:sz w:val="24"/>
          <w:szCs w:val="24"/>
        </w:rPr>
      </w:pPr>
    </w:p>
    <w:p w14:paraId="73606445" w14:textId="77777777" w:rsidR="00087327" w:rsidRDefault="00087327" w:rsidP="009901DE">
      <w:pPr>
        <w:rPr>
          <w:sz w:val="24"/>
          <w:szCs w:val="24"/>
        </w:rPr>
      </w:pPr>
    </w:p>
    <w:p w14:paraId="6D66B94A" w14:textId="3265D530" w:rsidR="009901DE" w:rsidRPr="009901DE" w:rsidRDefault="009901DE" w:rsidP="009901DE">
      <w:pPr>
        <w:rPr>
          <w:b/>
          <w:sz w:val="24"/>
          <w:szCs w:val="24"/>
        </w:rPr>
      </w:pPr>
      <w:r w:rsidRPr="009901DE">
        <w:rPr>
          <w:b/>
          <w:sz w:val="24"/>
          <w:szCs w:val="24"/>
        </w:rPr>
        <w:lastRenderedPageBreak/>
        <w:t>Bibliography</w:t>
      </w:r>
    </w:p>
    <w:p w14:paraId="07B073EC" w14:textId="0650D4F8" w:rsidR="009901DE" w:rsidRDefault="00345050" w:rsidP="009901DE">
      <w:pPr>
        <w:rPr>
          <w:sz w:val="24"/>
          <w:szCs w:val="24"/>
        </w:rPr>
      </w:pPr>
      <w:bookmarkStart w:id="12" w:name="_Hlk533257903"/>
      <w:r>
        <w:rPr>
          <w:sz w:val="24"/>
          <w:szCs w:val="24"/>
        </w:rPr>
        <w:t>Ayer</w:t>
      </w:r>
      <w:r w:rsidR="000137B9">
        <w:rPr>
          <w:sz w:val="24"/>
          <w:szCs w:val="24"/>
        </w:rPr>
        <w:t xml:space="preserve">, A.J., </w:t>
      </w:r>
      <w:r w:rsidR="000137B9" w:rsidRPr="000137B9">
        <w:rPr>
          <w:i/>
          <w:sz w:val="24"/>
          <w:szCs w:val="24"/>
        </w:rPr>
        <w:t>Language, Truth and Logic</w:t>
      </w:r>
      <w:r w:rsidR="000137B9">
        <w:rPr>
          <w:sz w:val="24"/>
          <w:szCs w:val="24"/>
        </w:rPr>
        <w:t xml:space="preserve"> (London: Penguin, 1990)</w:t>
      </w:r>
    </w:p>
    <w:bookmarkEnd w:id="12"/>
    <w:p w14:paraId="307B5BEF" w14:textId="048BFA56" w:rsidR="00345050" w:rsidRDefault="00345050" w:rsidP="009901DE">
      <w:pPr>
        <w:rPr>
          <w:sz w:val="24"/>
          <w:szCs w:val="24"/>
        </w:rPr>
      </w:pPr>
      <w:r>
        <w:rPr>
          <w:sz w:val="24"/>
          <w:szCs w:val="24"/>
        </w:rPr>
        <w:t xml:space="preserve">Clack, Brian R., </w:t>
      </w:r>
      <w:r w:rsidRPr="00345050">
        <w:rPr>
          <w:i/>
          <w:sz w:val="24"/>
          <w:szCs w:val="24"/>
        </w:rPr>
        <w:t>An Introduction to Wittgenstein’s Philosophy of Religion</w:t>
      </w:r>
      <w:r>
        <w:rPr>
          <w:sz w:val="24"/>
          <w:szCs w:val="24"/>
        </w:rPr>
        <w:t xml:space="preserve"> (Edinburgh: Edinburgh University Press, 1999)</w:t>
      </w:r>
    </w:p>
    <w:p w14:paraId="090F5816" w14:textId="1A1B4F06" w:rsidR="00345050" w:rsidRDefault="00345050" w:rsidP="009901DE">
      <w:pPr>
        <w:rPr>
          <w:sz w:val="24"/>
          <w:szCs w:val="24"/>
        </w:rPr>
      </w:pPr>
      <w:r>
        <w:rPr>
          <w:sz w:val="24"/>
          <w:szCs w:val="24"/>
        </w:rPr>
        <w:t xml:space="preserve">Davies, Brian, ‘Wittgenstein on God’, </w:t>
      </w:r>
      <w:r w:rsidRPr="00345050">
        <w:rPr>
          <w:i/>
          <w:sz w:val="24"/>
          <w:szCs w:val="24"/>
        </w:rPr>
        <w:t>Philosophy</w:t>
      </w:r>
      <w:r>
        <w:rPr>
          <w:sz w:val="24"/>
          <w:szCs w:val="24"/>
        </w:rPr>
        <w:t>, 55:211, (1980) pp105-108</w:t>
      </w:r>
    </w:p>
    <w:p w14:paraId="24B365D5" w14:textId="7F8E06E5" w:rsidR="00345050" w:rsidRDefault="00345050" w:rsidP="009901DE">
      <w:pPr>
        <w:rPr>
          <w:sz w:val="24"/>
          <w:szCs w:val="24"/>
        </w:rPr>
      </w:pPr>
      <w:r>
        <w:rPr>
          <w:sz w:val="24"/>
          <w:szCs w:val="24"/>
        </w:rPr>
        <w:t xml:space="preserve">James, William, </w:t>
      </w:r>
      <w:r w:rsidRPr="00570A93">
        <w:rPr>
          <w:i/>
          <w:sz w:val="24"/>
          <w:szCs w:val="24"/>
        </w:rPr>
        <w:t>The Varieties of Religious Experience</w:t>
      </w:r>
      <w:r>
        <w:rPr>
          <w:sz w:val="24"/>
          <w:szCs w:val="24"/>
        </w:rPr>
        <w:t xml:space="preserve"> (London: Penguin, </w:t>
      </w:r>
      <w:r w:rsidR="00570A93">
        <w:rPr>
          <w:sz w:val="24"/>
          <w:szCs w:val="24"/>
        </w:rPr>
        <w:t>1985)</w:t>
      </w:r>
    </w:p>
    <w:p w14:paraId="06AB8385" w14:textId="348F5A2E" w:rsidR="00570A93" w:rsidRDefault="00570A93" w:rsidP="009901DE">
      <w:pPr>
        <w:rPr>
          <w:sz w:val="24"/>
          <w:szCs w:val="24"/>
        </w:rPr>
      </w:pPr>
      <w:r>
        <w:rPr>
          <w:sz w:val="24"/>
          <w:szCs w:val="24"/>
        </w:rPr>
        <w:t xml:space="preserve">Malcolm, Norman, </w:t>
      </w:r>
      <w:r w:rsidR="00316F46">
        <w:rPr>
          <w:sz w:val="24"/>
          <w:szCs w:val="24"/>
        </w:rPr>
        <w:t xml:space="preserve">‘The Groundlessness of Religious Belief’, in </w:t>
      </w:r>
      <w:r w:rsidR="00316F46" w:rsidRPr="00316F46">
        <w:rPr>
          <w:i/>
          <w:sz w:val="24"/>
          <w:szCs w:val="24"/>
        </w:rPr>
        <w:t>Philosophy of Religion: A Guide &amp; Anthology</w:t>
      </w:r>
      <w:r w:rsidR="00316F46">
        <w:rPr>
          <w:sz w:val="24"/>
          <w:szCs w:val="24"/>
        </w:rPr>
        <w:t>, ed. B. Davies (Oxford: Oxford University Press, 2000) pp115-122</w:t>
      </w:r>
    </w:p>
    <w:p w14:paraId="0B32F55E" w14:textId="13AC7883" w:rsidR="00570A93" w:rsidRDefault="00570A93" w:rsidP="009901DE">
      <w:pPr>
        <w:rPr>
          <w:sz w:val="24"/>
          <w:szCs w:val="24"/>
        </w:rPr>
      </w:pPr>
      <w:r>
        <w:rPr>
          <w:sz w:val="24"/>
          <w:szCs w:val="24"/>
        </w:rPr>
        <w:t xml:space="preserve">Nielsen, Kai, ‘Wittgensteinian Fideism’, </w:t>
      </w:r>
      <w:r w:rsidRPr="00570A93">
        <w:rPr>
          <w:i/>
          <w:sz w:val="24"/>
          <w:szCs w:val="24"/>
        </w:rPr>
        <w:t>Philosophy</w:t>
      </w:r>
      <w:r>
        <w:rPr>
          <w:sz w:val="24"/>
          <w:szCs w:val="24"/>
        </w:rPr>
        <w:t>, 42:161, (1967) pp191-209</w:t>
      </w:r>
    </w:p>
    <w:p w14:paraId="5A980138" w14:textId="4D8DC491" w:rsidR="00C500B0" w:rsidRDefault="00C500B0" w:rsidP="009901DE">
      <w:pPr>
        <w:rPr>
          <w:sz w:val="24"/>
          <w:szCs w:val="24"/>
        </w:rPr>
      </w:pPr>
      <w:bookmarkStart w:id="13" w:name="_Hlk533000092"/>
      <w:r>
        <w:rPr>
          <w:sz w:val="24"/>
          <w:szCs w:val="24"/>
        </w:rPr>
        <w:t xml:space="preserve">Palmer, Michael, </w:t>
      </w:r>
      <w:r w:rsidRPr="00C500B0">
        <w:rPr>
          <w:i/>
          <w:sz w:val="24"/>
          <w:szCs w:val="24"/>
        </w:rPr>
        <w:t>Freud and Jung on Religion</w:t>
      </w:r>
      <w:r>
        <w:rPr>
          <w:sz w:val="24"/>
          <w:szCs w:val="24"/>
        </w:rPr>
        <w:t xml:space="preserve"> (London: Routledge, 1997)</w:t>
      </w:r>
    </w:p>
    <w:p w14:paraId="46FB2DB7" w14:textId="7495BD24" w:rsidR="00570A93" w:rsidRDefault="00570A93" w:rsidP="009901DE">
      <w:pPr>
        <w:rPr>
          <w:sz w:val="24"/>
          <w:szCs w:val="24"/>
        </w:rPr>
      </w:pPr>
      <w:bookmarkStart w:id="14" w:name="_Hlk532735035"/>
      <w:bookmarkEnd w:id="13"/>
      <w:r>
        <w:rPr>
          <w:sz w:val="24"/>
          <w:szCs w:val="24"/>
        </w:rPr>
        <w:t xml:space="preserve">Phillips, D.Z., </w:t>
      </w:r>
      <w:r w:rsidRPr="00570A93">
        <w:rPr>
          <w:i/>
          <w:sz w:val="24"/>
          <w:szCs w:val="24"/>
        </w:rPr>
        <w:t>Faith and Philosophical Enquiry</w:t>
      </w:r>
      <w:r>
        <w:rPr>
          <w:sz w:val="24"/>
          <w:szCs w:val="24"/>
        </w:rPr>
        <w:t xml:space="preserve"> (London: Routledge, 1970)</w:t>
      </w:r>
    </w:p>
    <w:p w14:paraId="2F86048B" w14:textId="16A3718C" w:rsidR="00570A93" w:rsidRDefault="00570A93" w:rsidP="009901DE">
      <w:pPr>
        <w:rPr>
          <w:sz w:val="24"/>
          <w:szCs w:val="24"/>
        </w:rPr>
      </w:pPr>
      <w:bookmarkStart w:id="15" w:name="_Hlk532999265"/>
      <w:bookmarkEnd w:id="14"/>
      <w:r>
        <w:rPr>
          <w:sz w:val="24"/>
          <w:szCs w:val="24"/>
        </w:rPr>
        <w:t>Vardy, Peter</w:t>
      </w:r>
      <w:r w:rsidR="00447C18">
        <w:rPr>
          <w:sz w:val="24"/>
          <w:szCs w:val="24"/>
        </w:rPr>
        <w:t xml:space="preserve"> &amp; Julie </w:t>
      </w:r>
      <w:proofErr w:type="spellStart"/>
      <w:r w:rsidR="00447C18">
        <w:rPr>
          <w:sz w:val="24"/>
          <w:szCs w:val="24"/>
        </w:rPr>
        <w:t>Arliss</w:t>
      </w:r>
      <w:proofErr w:type="spellEnd"/>
      <w:r w:rsidR="00447C18">
        <w:rPr>
          <w:sz w:val="24"/>
          <w:szCs w:val="24"/>
        </w:rPr>
        <w:t xml:space="preserve">, </w:t>
      </w:r>
      <w:r w:rsidR="00447C18" w:rsidRPr="00447C18">
        <w:rPr>
          <w:i/>
          <w:sz w:val="24"/>
          <w:szCs w:val="24"/>
        </w:rPr>
        <w:t>The Thinker’s Guide to Evil</w:t>
      </w:r>
      <w:r w:rsidR="00447C18">
        <w:rPr>
          <w:sz w:val="24"/>
          <w:szCs w:val="24"/>
        </w:rPr>
        <w:t xml:space="preserve"> (</w:t>
      </w:r>
      <w:proofErr w:type="spellStart"/>
      <w:r w:rsidR="00447C18">
        <w:rPr>
          <w:sz w:val="24"/>
          <w:szCs w:val="24"/>
        </w:rPr>
        <w:t>Arlesford</w:t>
      </w:r>
      <w:proofErr w:type="spellEnd"/>
      <w:r w:rsidR="00447C18">
        <w:rPr>
          <w:sz w:val="24"/>
          <w:szCs w:val="24"/>
        </w:rPr>
        <w:t>: John Hunt, 2003)</w:t>
      </w:r>
    </w:p>
    <w:bookmarkEnd w:id="15"/>
    <w:p w14:paraId="416272A2" w14:textId="06B6F074" w:rsidR="00570A93" w:rsidRDefault="00570A93" w:rsidP="009901DE">
      <w:pPr>
        <w:rPr>
          <w:sz w:val="24"/>
          <w:szCs w:val="24"/>
        </w:rPr>
      </w:pPr>
      <w:r>
        <w:rPr>
          <w:sz w:val="24"/>
          <w:szCs w:val="24"/>
        </w:rPr>
        <w:t xml:space="preserve">Wittgenstein, Ludwig, </w:t>
      </w:r>
      <w:r w:rsidRPr="00570A93">
        <w:rPr>
          <w:i/>
          <w:sz w:val="24"/>
          <w:szCs w:val="24"/>
        </w:rPr>
        <w:t>Lectures and Conversations on Aesthetics, Psychology &amp; Religious Belief</w:t>
      </w:r>
      <w:r>
        <w:rPr>
          <w:i/>
          <w:sz w:val="24"/>
          <w:szCs w:val="24"/>
        </w:rPr>
        <w:t xml:space="preserve">, </w:t>
      </w:r>
      <w:r w:rsidRPr="00570A93">
        <w:rPr>
          <w:sz w:val="24"/>
          <w:szCs w:val="24"/>
        </w:rPr>
        <w:t>ed. C. Barrett</w:t>
      </w:r>
      <w:r w:rsidRPr="00570A93">
        <w:rPr>
          <w:i/>
          <w:sz w:val="24"/>
          <w:szCs w:val="24"/>
        </w:rPr>
        <w:t xml:space="preserve"> </w:t>
      </w:r>
      <w:r>
        <w:rPr>
          <w:sz w:val="24"/>
          <w:szCs w:val="24"/>
        </w:rPr>
        <w:t>(Oxford: Blackwell, 1970)</w:t>
      </w:r>
    </w:p>
    <w:p w14:paraId="3333410C" w14:textId="24CE41A6" w:rsidR="00570A93" w:rsidRDefault="00316F46" w:rsidP="009901DE">
      <w:pPr>
        <w:rPr>
          <w:sz w:val="24"/>
          <w:szCs w:val="24"/>
        </w:rPr>
      </w:pPr>
      <w:bookmarkStart w:id="16" w:name="_Hlk532735213"/>
      <w:r>
        <w:rPr>
          <w:sz w:val="24"/>
          <w:szCs w:val="24"/>
        </w:rPr>
        <w:t xml:space="preserve">Wittgenstein, Ludwig, </w:t>
      </w:r>
      <w:r w:rsidRPr="00316F46">
        <w:rPr>
          <w:i/>
          <w:sz w:val="24"/>
          <w:szCs w:val="24"/>
        </w:rPr>
        <w:t>Culture and Value</w:t>
      </w:r>
      <w:r>
        <w:rPr>
          <w:sz w:val="24"/>
          <w:szCs w:val="24"/>
        </w:rPr>
        <w:t>, ed. G.H. von Wright, trans. P. Winch (Oxford: Blackwell, 1980)</w:t>
      </w:r>
    </w:p>
    <w:p w14:paraId="63C69CF4" w14:textId="6A457C1A" w:rsidR="00570A93" w:rsidRPr="00621140" w:rsidRDefault="00570A93" w:rsidP="009901DE">
      <w:pPr>
        <w:rPr>
          <w:sz w:val="24"/>
          <w:szCs w:val="24"/>
        </w:rPr>
      </w:pPr>
      <w:bookmarkStart w:id="17" w:name="_Hlk532734245"/>
      <w:bookmarkEnd w:id="16"/>
      <w:r>
        <w:rPr>
          <w:sz w:val="24"/>
          <w:szCs w:val="24"/>
        </w:rPr>
        <w:t xml:space="preserve">Wittgenstein, Ludwig, </w:t>
      </w:r>
      <w:r w:rsidRPr="00570A93">
        <w:rPr>
          <w:i/>
          <w:sz w:val="24"/>
          <w:szCs w:val="24"/>
        </w:rPr>
        <w:t>Remarks on Frazer’s Golden Bough</w:t>
      </w:r>
      <w:r>
        <w:rPr>
          <w:sz w:val="24"/>
          <w:szCs w:val="24"/>
        </w:rPr>
        <w:t xml:space="preserve">, ed. R. </w:t>
      </w:r>
      <w:proofErr w:type="spellStart"/>
      <w:r>
        <w:rPr>
          <w:sz w:val="24"/>
          <w:szCs w:val="24"/>
        </w:rPr>
        <w:t>Rhees</w:t>
      </w:r>
      <w:proofErr w:type="spellEnd"/>
      <w:r>
        <w:rPr>
          <w:sz w:val="24"/>
          <w:szCs w:val="24"/>
        </w:rPr>
        <w:t xml:space="preserve">, in </w:t>
      </w:r>
      <w:r w:rsidRPr="00570A93">
        <w:rPr>
          <w:i/>
          <w:sz w:val="24"/>
          <w:szCs w:val="24"/>
        </w:rPr>
        <w:t>Ludwig Wittgenstein: Philosophical Occasions 1912-1951</w:t>
      </w:r>
      <w:r>
        <w:rPr>
          <w:sz w:val="24"/>
          <w:szCs w:val="24"/>
        </w:rPr>
        <w:t xml:space="preserve">, ed. J. </w:t>
      </w:r>
      <w:proofErr w:type="spellStart"/>
      <w:r>
        <w:rPr>
          <w:sz w:val="24"/>
          <w:szCs w:val="24"/>
        </w:rPr>
        <w:t>Klagge</w:t>
      </w:r>
      <w:proofErr w:type="spellEnd"/>
      <w:r>
        <w:rPr>
          <w:sz w:val="24"/>
          <w:szCs w:val="24"/>
        </w:rPr>
        <w:t xml:space="preserve"> &amp; A. </w:t>
      </w:r>
      <w:proofErr w:type="spellStart"/>
      <w:r>
        <w:rPr>
          <w:sz w:val="24"/>
          <w:szCs w:val="24"/>
        </w:rPr>
        <w:t>Nordmann</w:t>
      </w:r>
      <w:proofErr w:type="spellEnd"/>
      <w:r>
        <w:rPr>
          <w:sz w:val="24"/>
          <w:szCs w:val="24"/>
        </w:rPr>
        <w:t xml:space="preserve"> (Indianapolis: Hackett, 1993)</w:t>
      </w:r>
      <w:bookmarkEnd w:id="17"/>
    </w:p>
    <w:sectPr w:rsidR="00570A93" w:rsidRPr="0062114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593C79" w14:textId="77777777" w:rsidR="009B1815" w:rsidRDefault="009B1815" w:rsidP="00621140">
      <w:pPr>
        <w:spacing w:after="0" w:line="240" w:lineRule="auto"/>
      </w:pPr>
      <w:r>
        <w:separator/>
      </w:r>
    </w:p>
  </w:endnote>
  <w:endnote w:type="continuationSeparator" w:id="0">
    <w:p w14:paraId="2A7B4C45" w14:textId="77777777" w:rsidR="009B1815" w:rsidRDefault="009B1815" w:rsidP="00621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5748668"/>
      <w:docPartObj>
        <w:docPartGallery w:val="Page Numbers (Bottom of Page)"/>
        <w:docPartUnique/>
      </w:docPartObj>
    </w:sdtPr>
    <w:sdtEndPr>
      <w:rPr>
        <w:noProof/>
      </w:rPr>
    </w:sdtEndPr>
    <w:sdtContent>
      <w:p w14:paraId="4645B019" w14:textId="545ACF55" w:rsidR="00F434E8" w:rsidRDefault="00F434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780A7C" w14:textId="77777777" w:rsidR="00F434E8" w:rsidRDefault="00F434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8DFED" w14:textId="77777777" w:rsidR="009B1815" w:rsidRDefault="009B1815" w:rsidP="00621140">
      <w:pPr>
        <w:spacing w:after="0" w:line="240" w:lineRule="auto"/>
      </w:pPr>
      <w:r>
        <w:separator/>
      </w:r>
    </w:p>
  </w:footnote>
  <w:footnote w:type="continuationSeparator" w:id="0">
    <w:p w14:paraId="655B2723" w14:textId="77777777" w:rsidR="009B1815" w:rsidRDefault="009B1815" w:rsidP="00621140">
      <w:pPr>
        <w:spacing w:after="0" w:line="240" w:lineRule="auto"/>
      </w:pPr>
      <w:r>
        <w:continuationSeparator/>
      </w:r>
    </w:p>
  </w:footnote>
  <w:footnote w:id="1">
    <w:p w14:paraId="69531550" w14:textId="23F1425F" w:rsidR="00F434E8" w:rsidRDefault="00F434E8">
      <w:pPr>
        <w:pStyle w:val="FootnoteText"/>
      </w:pPr>
      <w:r>
        <w:rPr>
          <w:rStyle w:val="FootnoteReference"/>
        </w:rPr>
        <w:footnoteRef/>
      </w:r>
      <w:r>
        <w:t xml:space="preserve"> </w:t>
      </w:r>
      <w:r w:rsidR="00316F46" w:rsidRPr="00316F46">
        <w:t xml:space="preserve">Wittgenstein, Ludwig, </w:t>
      </w:r>
      <w:r w:rsidR="00316F46" w:rsidRPr="00316F46">
        <w:rPr>
          <w:i/>
        </w:rPr>
        <w:t>Remarks on Frazer’s Golden Bough</w:t>
      </w:r>
      <w:r w:rsidR="00316F46" w:rsidRPr="00316F46">
        <w:t xml:space="preserve">, ed. R. </w:t>
      </w:r>
      <w:proofErr w:type="spellStart"/>
      <w:r w:rsidR="00316F46" w:rsidRPr="00316F46">
        <w:t>Rhees</w:t>
      </w:r>
      <w:proofErr w:type="spellEnd"/>
      <w:r w:rsidR="00316F46" w:rsidRPr="00316F46">
        <w:t xml:space="preserve">, in </w:t>
      </w:r>
      <w:r w:rsidR="00316F46" w:rsidRPr="00316F46">
        <w:rPr>
          <w:i/>
        </w:rPr>
        <w:t>Ludwig Wittgenstein: Philosophical Occasions 1912-1951</w:t>
      </w:r>
      <w:r w:rsidR="00316F46" w:rsidRPr="00316F46">
        <w:t xml:space="preserve">, ed. J. </w:t>
      </w:r>
      <w:proofErr w:type="spellStart"/>
      <w:r w:rsidR="00316F46" w:rsidRPr="00316F46">
        <w:t>Klagge</w:t>
      </w:r>
      <w:proofErr w:type="spellEnd"/>
      <w:r w:rsidR="00316F46" w:rsidRPr="00316F46">
        <w:t xml:space="preserve"> &amp; A. </w:t>
      </w:r>
      <w:proofErr w:type="spellStart"/>
      <w:r w:rsidR="00316F46" w:rsidRPr="00316F46">
        <w:t>Nordmann</w:t>
      </w:r>
      <w:proofErr w:type="spellEnd"/>
      <w:r w:rsidR="00316F46" w:rsidRPr="00316F46">
        <w:t xml:space="preserve"> (Indianapolis: Hackett, 1993)</w:t>
      </w:r>
    </w:p>
  </w:footnote>
  <w:footnote w:id="2">
    <w:p w14:paraId="2504DEFC" w14:textId="2B70A243" w:rsidR="00F434E8" w:rsidRDefault="00F434E8">
      <w:pPr>
        <w:pStyle w:val="FootnoteText"/>
      </w:pPr>
      <w:r>
        <w:rPr>
          <w:rStyle w:val="FootnoteReference"/>
        </w:rPr>
        <w:footnoteRef/>
      </w:r>
      <w:r>
        <w:t xml:space="preserve"> </w:t>
      </w:r>
      <w:r w:rsidR="0048061E" w:rsidRPr="0048061E">
        <w:t xml:space="preserve">Clack, Brian R., </w:t>
      </w:r>
      <w:bookmarkStart w:id="7" w:name="_Hlk532735087"/>
      <w:r w:rsidR="0048061E" w:rsidRPr="0048061E">
        <w:rPr>
          <w:i/>
        </w:rPr>
        <w:t>An Introduction to Wittgenstein’s Philosophy of Religion</w:t>
      </w:r>
      <w:r w:rsidR="0048061E" w:rsidRPr="0048061E">
        <w:t xml:space="preserve"> </w:t>
      </w:r>
      <w:bookmarkEnd w:id="7"/>
      <w:r w:rsidR="0048061E" w:rsidRPr="0048061E">
        <w:t>(Edinburgh: Edinburgh University Press, 1999)</w:t>
      </w:r>
      <w:r w:rsidR="00AA59D3">
        <w:t xml:space="preserve"> </w:t>
      </w:r>
      <w:r>
        <w:t>p62</w:t>
      </w:r>
    </w:p>
  </w:footnote>
  <w:footnote w:id="3">
    <w:p w14:paraId="11F30B64" w14:textId="4F5D0A92" w:rsidR="00F434E8" w:rsidRDefault="00F434E8">
      <w:pPr>
        <w:pStyle w:val="FootnoteText"/>
      </w:pPr>
      <w:r>
        <w:rPr>
          <w:rStyle w:val="FootnoteReference"/>
        </w:rPr>
        <w:footnoteRef/>
      </w:r>
      <w:r>
        <w:t xml:space="preserve"> Ibid p63</w:t>
      </w:r>
    </w:p>
  </w:footnote>
  <w:footnote w:id="4">
    <w:p w14:paraId="0BA14FAB" w14:textId="3DD68531" w:rsidR="0025527D" w:rsidRDefault="0025527D">
      <w:pPr>
        <w:pStyle w:val="FootnoteText"/>
      </w:pPr>
      <w:r>
        <w:rPr>
          <w:rStyle w:val="FootnoteReference"/>
        </w:rPr>
        <w:footnoteRef/>
      </w:r>
      <w:r>
        <w:t xml:space="preserve"> Wittgenstein </w:t>
      </w:r>
      <w:r w:rsidRPr="0025527D">
        <w:rPr>
          <w:i/>
        </w:rPr>
        <w:t>Remarks on Frazer’s Golden Bough</w:t>
      </w:r>
      <w:r>
        <w:t xml:space="preserve"> p119</w:t>
      </w:r>
    </w:p>
  </w:footnote>
  <w:footnote w:id="5">
    <w:p w14:paraId="15B7391A" w14:textId="4D939573" w:rsidR="00F434E8" w:rsidRDefault="00F434E8">
      <w:pPr>
        <w:pStyle w:val="FootnoteText"/>
      </w:pPr>
      <w:r>
        <w:rPr>
          <w:rStyle w:val="FootnoteReference"/>
        </w:rPr>
        <w:footnoteRef/>
      </w:r>
      <w:r>
        <w:t xml:space="preserve"> </w:t>
      </w:r>
      <w:r w:rsidR="00447C18" w:rsidRPr="00447C18">
        <w:t xml:space="preserve">Vardy, Peter &amp; Julie </w:t>
      </w:r>
      <w:proofErr w:type="spellStart"/>
      <w:r w:rsidR="00447C18" w:rsidRPr="00447C18">
        <w:t>Arliss</w:t>
      </w:r>
      <w:proofErr w:type="spellEnd"/>
      <w:r w:rsidR="00447C18" w:rsidRPr="00447C18">
        <w:t xml:space="preserve">, </w:t>
      </w:r>
      <w:r w:rsidR="00447C18" w:rsidRPr="004E6269">
        <w:rPr>
          <w:i/>
        </w:rPr>
        <w:t>The Thinker’s Guide to Evil</w:t>
      </w:r>
      <w:r w:rsidR="00447C18" w:rsidRPr="00447C18">
        <w:t xml:space="preserve"> (</w:t>
      </w:r>
      <w:proofErr w:type="spellStart"/>
      <w:r w:rsidR="00447C18" w:rsidRPr="00447C18">
        <w:t>Arlesford</w:t>
      </w:r>
      <w:proofErr w:type="spellEnd"/>
      <w:r w:rsidR="00447C18" w:rsidRPr="00447C18">
        <w:t>: John Hunt, 2003)</w:t>
      </w:r>
      <w:r w:rsidR="00447C18">
        <w:t xml:space="preserve"> p100</w:t>
      </w:r>
    </w:p>
  </w:footnote>
  <w:footnote w:id="6">
    <w:p w14:paraId="10060905" w14:textId="09046648" w:rsidR="00F434E8" w:rsidRDefault="00F434E8">
      <w:pPr>
        <w:pStyle w:val="FootnoteText"/>
      </w:pPr>
      <w:r>
        <w:rPr>
          <w:rStyle w:val="FootnoteReference"/>
        </w:rPr>
        <w:footnoteRef/>
      </w:r>
      <w:r>
        <w:t xml:space="preserve"> </w:t>
      </w:r>
      <w:r w:rsidR="00AA59D3">
        <w:t xml:space="preserve">Wittgenstein </w:t>
      </w:r>
      <w:r w:rsidR="00AA59D3" w:rsidRPr="00AA59D3">
        <w:rPr>
          <w:i/>
        </w:rPr>
        <w:t>Remarks on Frazer’s Golden Bough</w:t>
      </w:r>
      <w:r>
        <w:t xml:space="preserve"> p119</w:t>
      </w:r>
    </w:p>
  </w:footnote>
  <w:footnote w:id="7">
    <w:p w14:paraId="65D3679E" w14:textId="6914B8FF" w:rsidR="00F434E8" w:rsidRDefault="00F434E8">
      <w:pPr>
        <w:pStyle w:val="FootnoteText"/>
      </w:pPr>
      <w:r>
        <w:rPr>
          <w:rStyle w:val="FootnoteReference"/>
        </w:rPr>
        <w:footnoteRef/>
      </w:r>
      <w:r>
        <w:t xml:space="preserve"> Ibid</w:t>
      </w:r>
    </w:p>
  </w:footnote>
  <w:footnote w:id="8">
    <w:p w14:paraId="27FFCCC9" w14:textId="264DE824" w:rsidR="00F434E8" w:rsidRDefault="00F434E8">
      <w:pPr>
        <w:pStyle w:val="FootnoteText"/>
      </w:pPr>
      <w:r>
        <w:rPr>
          <w:rStyle w:val="FootnoteReference"/>
        </w:rPr>
        <w:footnoteRef/>
      </w:r>
      <w:r>
        <w:t xml:space="preserve"> Ibid p123</w:t>
      </w:r>
    </w:p>
  </w:footnote>
  <w:footnote w:id="9">
    <w:p w14:paraId="6C947E73" w14:textId="79867286" w:rsidR="00F434E8" w:rsidRDefault="00F434E8">
      <w:pPr>
        <w:pStyle w:val="FootnoteText"/>
      </w:pPr>
      <w:r>
        <w:rPr>
          <w:rStyle w:val="FootnoteReference"/>
        </w:rPr>
        <w:footnoteRef/>
      </w:r>
      <w:r>
        <w:t xml:space="preserve"> </w:t>
      </w:r>
      <w:r w:rsidR="000137B9" w:rsidRPr="000137B9">
        <w:t xml:space="preserve">Ayer, A.J., </w:t>
      </w:r>
      <w:r w:rsidR="000137B9" w:rsidRPr="000137B9">
        <w:rPr>
          <w:i/>
        </w:rPr>
        <w:t>Language, Truth and Logic</w:t>
      </w:r>
      <w:r w:rsidR="000137B9" w:rsidRPr="000137B9">
        <w:t xml:space="preserve"> (London: Penguin, 1990)</w:t>
      </w:r>
      <w:r w:rsidR="000137B9">
        <w:t xml:space="preserve"> </w:t>
      </w:r>
    </w:p>
  </w:footnote>
  <w:footnote w:id="10">
    <w:p w14:paraId="60BFB3BC" w14:textId="0F273C39" w:rsidR="00F434E8" w:rsidRDefault="00F434E8">
      <w:pPr>
        <w:pStyle w:val="FootnoteText"/>
      </w:pPr>
      <w:r>
        <w:rPr>
          <w:rStyle w:val="FootnoteReference"/>
        </w:rPr>
        <w:footnoteRef/>
      </w:r>
      <w:r>
        <w:t xml:space="preserve"> </w:t>
      </w:r>
      <w:r w:rsidR="00AA59D3" w:rsidRPr="00AA59D3">
        <w:t xml:space="preserve">Wittgenstein </w:t>
      </w:r>
      <w:r w:rsidR="00AA59D3" w:rsidRPr="00AA59D3">
        <w:rPr>
          <w:i/>
        </w:rPr>
        <w:t>Remarks on Frazer’s Golden Bough</w:t>
      </w:r>
      <w:r w:rsidR="00AA59D3" w:rsidRPr="00AA59D3">
        <w:t xml:space="preserve"> </w:t>
      </w:r>
      <w:r>
        <w:t>p125</w:t>
      </w:r>
    </w:p>
  </w:footnote>
  <w:footnote w:id="11">
    <w:p w14:paraId="5FED3FEA" w14:textId="375D8B13" w:rsidR="00452229" w:rsidRDefault="00452229">
      <w:pPr>
        <w:pStyle w:val="FootnoteText"/>
      </w:pPr>
      <w:r>
        <w:rPr>
          <w:rStyle w:val="FootnoteReference"/>
        </w:rPr>
        <w:footnoteRef/>
      </w:r>
      <w:r>
        <w:t xml:space="preserve"> </w:t>
      </w:r>
      <w:r w:rsidR="00AA59D3" w:rsidRPr="00AA59D3">
        <w:t xml:space="preserve">Wittgenstein, Ludwig, </w:t>
      </w:r>
      <w:r w:rsidR="00AA59D3" w:rsidRPr="00AA59D3">
        <w:rPr>
          <w:i/>
        </w:rPr>
        <w:t xml:space="preserve">Lectures and Conversations on Aesthetics, Psychology &amp; Religious Belief, </w:t>
      </w:r>
      <w:r w:rsidR="00AA59D3" w:rsidRPr="00AA59D3">
        <w:t>ed. C. Barrett</w:t>
      </w:r>
      <w:r w:rsidR="00AA59D3" w:rsidRPr="00AA59D3">
        <w:rPr>
          <w:i/>
        </w:rPr>
        <w:t xml:space="preserve"> </w:t>
      </w:r>
      <w:r w:rsidR="00AA59D3" w:rsidRPr="00AA59D3">
        <w:t>(Oxford: Blackwell, 1970)</w:t>
      </w:r>
      <w:r w:rsidR="00AA59D3">
        <w:t xml:space="preserve"> </w:t>
      </w:r>
      <w:r>
        <w:t>p60</w:t>
      </w:r>
    </w:p>
  </w:footnote>
  <w:footnote w:id="12">
    <w:p w14:paraId="7F83C05E" w14:textId="398E8427" w:rsidR="00F434E8" w:rsidRDefault="00F434E8">
      <w:pPr>
        <w:pStyle w:val="FootnoteText"/>
      </w:pPr>
      <w:r>
        <w:rPr>
          <w:rStyle w:val="FootnoteReference"/>
        </w:rPr>
        <w:footnoteRef/>
      </w:r>
      <w:r>
        <w:t xml:space="preserve"> </w:t>
      </w:r>
      <w:r w:rsidR="00AA59D3" w:rsidRPr="00AA59D3">
        <w:t xml:space="preserve">Nielsen, Kai, ‘Wittgensteinian Fideism’, </w:t>
      </w:r>
      <w:r w:rsidR="00AA59D3" w:rsidRPr="00AA59D3">
        <w:rPr>
          <w:i/>
        </w:rPr>
        <w:t>Philosophy</w:t>
      </w:r>
      <w:r w:rsidR="00AA59D3" w:rsidRPr="00AA59D3">
        <w:t>, 42:161, (1967) pp191-209</w:t>
      </w:r>
    </w:p>
  </w:footnote>
  <w:footnote w:id="13">
    <w:p w14:paraId="38FAF8AC" w14:textId="20E763C1" w:rsidR="00F434E8" w:rsidRDefault="00F434E8">
      <w:pPr>
        <w:pStyle w:val="FootnoteText"/>
      </w:pPr>
      <w:r>
        <w:rPr>
          <w:rStyle w:val="FootnoteReference"/>
        </w:rPr>
        <w:footnoteRef/>
      </w:r>
      <w:r>
        <w:t xml:space="preserve"> Ibid p194</w:t>
      </w:r>
    </w:p>
  </w:footnote>
  <w:footnote w:id="14">
    <w:p w14:paraId="2F3357E5" w14:textId="26F036AE" w:rsidR="00F434E8" w:rsidRDefault="00F434E8">
      <w:pPr>
        <w:pStyle w:val="FootnoteText"/>
      </w:pPr>
      <w:r>
        <w:rPr>
          <w:rStyle w:val="FootnoteReference"/>
        </w:rPr>
        <w:footnoteRef/>
      </w:r>
      <w:r>
        <w:t xml:space="preserve"> Ibid p196</w:t>
      </w:r>
    </w:p>
  </w:footnote>
  <w:footnote w:id="15">
    <w:p w14:paraId="32B557EE" w14:textId="506778F0" w:rsidR="00F434E8" w:rsidRDefault="00F434E8">
      <w:pPr>
        <w:pStyle w:val="FootnoteText"/>
      </w:pPr>
      <w:r>
        <w:rPr>
          <w:rStyle w:val="FootnoteReference"/>
        </w:rPr>
        <w:footnoteRef/>
      </w:r>
      <w:r>
        <w:t xml:space="preserve"> Ibid p199</w:t>
      </w:r>
    </w:p>
  </w:footnote>
  <w:footnote w:id="16">
    <w:p w14:paraId="0F445736" w14:textId="0A485791" w:rsidR="00F434E8" w:rsidRDefault="00F434E8">
      <w:pPr>
        <w:pStyle w:val="FootnoteText"/>
      </w:pPr>
      <w:r>
        <w:rPr>
          <w:rStyle w:val="FootnoteReference"/>
        </w:rPr>
        <w:footnoteRef/>
      </w:r>
      <w:r>
        <w:t xml:space="preserve"> Ibid p201</w:t>
      </w:r>
    </w:p>
  </w:footnote>
  <w:footnote w:id="17">
    <w:p w14:paraId="4916D759" w14:textId="7E45D605" w:rsidR="00F434E8" w:rsidRDefault="00F434E8">
      <w:pPr>
        <w:pStyle w:val="FootnoteText"/>
      </w:pPr>
      <w:r>
        <w:rPr>
          <w:rStyle w:val="FootnoteReference"/>
        </w:rPr>
        <w:footnoteRef/>
      </w:r>
      <w:r>
        <w:t xml:space="preserve"> Ibid p204</w:t>
      </w:r>
    </w:p>
  </w:footnote>
  <w:footnote w:id="18">
    <w:p w14:paraId="6DF3A92D" w14:textId="3162BD65" w:rsidR="00F434E8" w:rsidRDefault="00F434E8">
      <w:pPr>
        <w:pStyle w:val="FootnoteText"/>
      </w:pPr>
      <w:r>
        <w:rPr>
          <w:rStyle w:val="FootnoteReference"/>
        </w:rPr>
        <w:footnoteRef/>
      </w:r>
      <w:r>
        <w:t xml:space="preserve"> Ibid p205</w:t>
      </w:r>
    </w:p>
  </w:footnote>
  <w:footnote w:id="19">
    <w:p w14:paraId="458AB9AC" w14:textId="5CCB6ABB" w:rsidR="00F434E8" w:rsidRDefault="00F434E8">
      <w:pPr>
        <w:pStyle w:val="FootnoteText"/>
      </w:pPr>
      <w:r>
        <w:rPr>
          <w:rStyle w:val="FootnoteReference"/>
        </w:rPr>
        <w:footnoteRef/>
      </w:r>
      <w:r>
        <w:t xml:space="preserve"> Ibid pp205-206</w:t>
      </w:r>
    </w:p>
  </w:footnote>
  <w:footnote w:id="20">
    <w:p w14:paraId="21C650BB" w14:textId="17547692" w:rsidR="00F434E8" w:rsidRDefault="00F434E8">
      <w:pPr>
        <w:pStyle w:val="FootnoteText"/>
      </w:pPr>
      <w:r>
        <w:rPr>
          <w:rStyle w:val="FootnoteReference"/>
        </w:rPr>
        <w:footnoteRef/>
      </w:r>
      <w:r>
        <w:t xml:space="preserve"> Ibid p207</w:t>
      </w:r>
    </w:p>
  </w:footnote>
  <w:footnote w:id="21">
    <w:p w14:paraId="1EE8324A" w14:textId="3A2BAE48" w:rsidR="00F434E8" w:rsidRDefault="00F434E8">
      <w:pPr>
        <w:pStyle w:val="FootnoteText"/>
      </w:pPr>
      <w:r>
        <w:rPr>
          <w:rStyle w:val="FootnoteReference"/>
        </w:rPr>
        <w:footnoteRef/>
      </w:r>
      <w:r>
        <w:t xml:space="preserve"> Ibid p208</w:t>
      </w:r>
    </w:p>
  </w:footnote>
  <w:footnote w:id="22">
    <w:p w14:paraId="7BD072C1" w14:textId="21407F7B" w:rsidR="00F434E8" w:rsidRDefault="00F434E8">
      <w:pPr>
        <w:pStyle w:val="FootnoteText"/>
      </w:pPr>
      <w:r>
        <w:rPr>
          <w:rStyle w:val="FootnoteReference"/>
        </w:rPr>
        <w:footnoteRef/>
      </w:r>
      <w:r>
        <w:t xml:space="preserve"> See </w:t>
      </w:r>
      <w:hyperlink r:id="rId1" w:history="1">
        <w:r w:rsidRPr="006A445D">
          <w:rPr>
            <w:rStyle w:val="Hyperlink"/>
          </w:rPr>
          <w:t>http://www.soulandspiritmagazine.com/connect-fairies-angels-ancestors-4-powerful-crystals/</w:t>
        </w:r>
      </w:hyperlink>
      <w:r>
        <w:t xml:space="preserve"> for example or </w:t>
      </w:r>
      <w:hyperlink r:id="rId2" w:history="1">
        <w:r w:rsidRPr="006A445D">
          <w:rPr>
            <w:rStyle w:val="Hyperlink"/>
          </w:rPr>
          <w:t>https://wiccanspells.info/wiccan-pagan-articles/becoming-a-witch/</w:t>
        </w:r>
      </w:hyperlink>
      <w:r>
        <w:t xml:space="preserve"> </w:t>
      </w:r>
    </w:p>
  </w:footnote>
  <w:footnote w:id="23">
    <w:p w14:paraId="27456A1B" w14:textId="51366F23" w:rsidR="00F434E8" w:rsidRDefault="00F434E8">
      <w:pPr>
        <w:pStyle w:val="FootnoteText"/>
      </w:pPr>
      <w:r>
        <w:rPr>
          <w:rStyle w:val="FootnoteReference"/>
        </w:rPr>
        <w:footnoteRef/>
      </w:r>
      <w:r>
        <w:t xml:space="preserve"> See </w:t>
      </w:r>
      <w:r w:rsidR="00316F46" w:rsidRPr="00316F46">
        <w:t xml:space="preserve">Bruce, Steve, </w:t>
      </w:r>
      <w:bookmarkStart w:id="8" w:name="_Hlk500690160"/>
      <w:bookmarkStart w:id="9" w:name="_Hlk500689485"/>
      <w:r w:rsidR="00316F46" w:rsidRPr="00316F46">
        <w:t>‘Christianity in Britain, R.I.P.’</w:t>
      </w:r>
      <w:bookmarkEnd w:id="8"/>
      <w:r w:rsidR="00316F46" w:rsidRPr="00316F46">
        <w:t xml:space="preserve">, </w:t>
      </w:r>
      <w:r w:rsidR="00316F46" w:rsidRPr="00316F46">
        <w:rPr>
          <w:i/>
        </w:rPr>
        <w:t>Sociology of Religion</w:t>
      </w:r>
      <w:r w:rsidR="00316F46" w:rsidRPr="00316F46">
        <w:t>, 62:2, (2001) pp191-203</w:t>
      </w:r>
      <w:bookmarkEnd w:id="9"/>
    </w:p>
  </w:footnote>
  <w:footnote w:id="24">
    <w:p w14:paraId="68951AE3" w14:textId="02BB145D" w:rsidR="00F434E8" w:rsidRDefault="00F434E8">
      <w:pPr>
        <w:pStyle w:val="FootnoteText"/>
      </w:pPr>
      <w:r>
        <w:rPr>
          <w:rStyle w:val="FootnoteReference"/>
        </w:rPr>
        <w:footnoteRef/>
      </w:r>
      <w:r>
        <w:t xml:space="preserve"> See </w:t>
      </w:r>
      <w:r w:rsidR="00316F46" w:rsidRPr="00316F46">
        <w:t xml:space="preserve">Heelas, Paul et al, </w:t>
      </w:r>
      <w:r w:rsidR="00316F46" w:rsidRPr="00316F46">
        <w:rPr>
          <w:i/>
        </w:rPr>
        <w:t>The Spiritual Revolution</w:t>
      </w:r>
      <w:r w:rsidR="00316F46" w:rsidRPr="00316F46">
        <w:t>, (Oxford: Blackwell, 2004)</w:t>
      </w:r>
    </w:p>
  </w:footnote>
  <w:footnote w:id="25">
    <w:p w14:paraId="452C079B" w14:textId="30114BA5" w:rsidR="00F434E8" w:rsidRDefault="00F434E8">
      <w:pPr>
        <w:pStyle w:val="FootnoteText"/>
      </w:pPr>
      <w:r>
        <w:rPr>
          <w:rStyle w:val="FootnoteReference"/>
        </w:rPr>
        <w:footnoteRef/>
      </w:r>
      <w:r>
        <w:t xml:space="preserve"> For </w:t>
      </w:r>
      <w:r w:rsidR="009901DE">
        <w:t>example,</w:t>
      </w:r>
      <w:r>
        <w:t xml:space="preserve"> Peter Berger see </w:t>
      </w:r>
      <w:r w:rsidR="00316F46" w:rsidRPr="00316F46">
        <w:t xml:space="preserve">Stark, Rodney, </w:t>
      </w:r>
      <w:bookmarkStart w:id="10" w:name="_Hlk500689546"/>
      <w:r w:rsidR="00316F46" w:rsidRPr="00316F46">
        <w:t>‘Secularization, R.I.P.’</w:t>
      </w:r>
      <w:bookmarkEnd w:id="10"/>
      <w:r w:rsidR="00316F46" w:rsidRPr="00316F46">
        <w:t xml:space="preserve">, </w:t>
      </w:r>
      <w:r w:rsidR="00316F46" w:rsidRPr="00316F46">
        <w:rPr>
          <w:i/>
        </w:rPr>
        <w:t>Sociology of Religion</w:t>
      </w:r>
      <w:r w:rsidR="00316F46" w:rsidRPr="00316F46">
        <w:t>, 60:3, (1999) pp249-27</w:t>
      </w:r>
    </w:p>
  </w:footnote>
  <w:footnote w:id="26">
    <w:p w14:paraId="6CB71FAD" w14:textId="4C295138" w:rsidR="00F434E8" w:rsidRDefault="00F434E8">
      <w:pPr>
        <w:pStyle w:val="FootnoteText"/>
      </w:pPr>
      <w:r>
        <w:rPr>
          <w:rStyle w:val="FootnoteReference"/>
        </w:rPr>
        <w:footnoteRef/>
      </w:r>
      <w:r>
        <w:t xml:space="preserve"> </w:t>
      </w:r>
      <w:r w:rsidR="00AA59D3" w:rsidRPr="00AA59D3">
        <w:t xml:space="preserve">Phillips, D.Z., </w:t>
      </w:r>
      <w:r w:rsidR="00AA59D3" w:rsidRPr="00AA59D3">
        <w:rPr>
          <w:i/>
        </w:rPr>
        <w:t>Faith and Philosophical Enquiry</w:t>
      </w:r>
      <w:r w:rsidR="00AA59D3" w:rsidRPr="00AA59D3">
        <w:t xml:space="preserve"> (London: Routledge, 1970)</w:t>
      </w:r>
      <w:r w:rsidR="00AA59D3">
        <w:t xml:space="preserve"> </w:t>
      </w:r>
      <w:r>
        <w:t>p78</w:t>
      </w:r>
    </w:p>
  </w:footnote>
  <w:footnote w:id="27">
    <w:p w14:paraId="3EF7670A" w14:textId="5B72E89C" w:rsidR="00F434E8" w:rsidRDefault="00F434E8">
      <w:pPr>
        <w:pStyle w:val="FootnoteText"/>
      </w:pPr>
      <w:r>
        <w:rPr>
          <w:rStyle w:val="FootnoteReference"/>
        </w:rPr>
        <w:footnoteRef/>
      </w:r>
      <w:r>
        <w:t xml:space="preserve"> Ibid </w:t>
      </w:r>
    </w:p>
  </w:footnote>
  <w:footnote w:id="28">
    <w:p w14:paraId="4CF98AD4" w14:textId="07B416D4" w:rsidR="00F434E8" w:rsidRDefault="00F434E8">
      <w:pPr>
        <w:pStyle w:val="FootnoteText"/>
      </w:pPr>
      <w:r>
        <w:rPr>
          <w:rStyle w:val="FootnoteReference"/>
        </w:rPr>
        <w:footnoteRef/>
      </w:r>
      <w:r>
        <w:t xml:space="preserve"> Ibid p99</w:t>
      </w:r>
    </w:p>
  </w:footnote>
  <w:footnote w:id="29">
    <w:p w14:paraId="7C3C6E27" w14:textId="4AF67254" w:rsidR="00F434E8" w:rsidRDefault="00F434E8">
      <w:pPr>
        <w:pStyle w:val="FootnoteText"/>
      </w:pPr>
      <w:r>
        <w:rPr>
          <w:rStyle w:val="FootnoteReference"/>
        </w:rPr>
        <w:footnoteRef/>
      </w:r>
      <w:r>
        <w:t xml:space="preserve"> Ibid p100</w:t>
      </w:r>
    </w:p>
  </w:footnote>
  <w:footnote w:id="30">
    <w:p w14:paraId="09FE07A9" w14:textId="46F15E1E" w:rsidR="00F434E8" w:rsidRDefault="00F434E8">
      <w:pPr>
        <w:pStyle w:val="FootnoteText"/>
      </w:pPr>
      <w:r>
        <w:rPr>
          <w:rStyle w:val="FootnoteReference"/>
        </w:rPr>
        <w:footnoteRef/>
      </w:r>
      <w:r>
        <w:t xml:space="preserve"> Ibid p105</w:t>
      </w:r>
    </w:p>
  </w:footnote>
  <w:footnote w:id="31">
    <w:p w14:paraId="73DDA3B6" w14:textId="3DB77B43" w:rsidR="00F434E8" w:rsidRDefault="00F434E8">
      <w:pPr>
        <w:pStyle w:val="FootnoteText"/>
      </w:pPr>
      <w:r>
        <w:rPr>
          <w:rStyle w:val="FootnoteReference"/>
        </w:rPr>
        <w:footnoteRef/>
      </w:r>
      <w:r>
        <w:t xml:space="preserve"> Ibid pp108-109</w:t>
      </w:r>
    </w:p>
  </w:footnote>
  <w:footnote w:id="32">
    <w:p w14:paraId="3A8DC4F4" w14:textId="062E196E" w:rsidR="00AB33A7" w:rsidRDefault="00AB33A7">
      <w:pPr>
        <w:pStyle w:val="FootnoteText"/>
      </w:pPr>
      <w:r>
        <w:rPr>
          <w:rStyle w:val="FootnoteReference"/>
        </w:rPr>
        <w:footnoteRef/>
      </w:r>
      <w:r>
        <w:t xml:space="preserve"> </w:t>
      </w:r>
      <w:r w:rsidR="00584000" w:rsidRPr="00C500B0">
        <w:t xml:space="preserve">Palmer, Michael, </w:t>
      </w:r>
      <w:r w:rsidR="00584000" w:rsidRPr="00C500B0">
        <w:rPr>
          <w:i/>
        </w:rPr>
        <w:t>Freud and Jung on Religion</w:t>
      </w:r>
      <w:r w:rsidR="00584000" w:rsidRPr="00C500B0">
        <w:t xml:space="preserve"> (London: Routledge, 1997)</w:t>
      </w:r>
    </w:p>
  </w:footnote>
  <w:footnote w:id="33">
    <w:p w14:paraId="3F653775" w14:textId="648B0331" w:rsidR="00F434E8" w:rsidRDefault="00F434E8">
      <w:pPr>
        <w:pStyle w:val="FootnoteText"/>
      </w:pPr>
      <w:r>
        <w:rPr>
          <w:rStyle w:val="FootnoteReference"/>
        </w:rPr>
        <w:footnoteRef/>
      </w:r>
      <w:r>
        <w:t xml:space="preserve"> Clack</w:t>
      </w:r>
      <w:r w:rsidR="00AA59D3" w:rsidRPr="00AA59D3">
        <w:rPr>
          <w:i/>
        </w:rPr>
        <w:t xml:space="preserve"> </w:t>
      </w:r>
      <w:proofErr w:type="gramStart"/>
      <w:r w:rsidR="00AA59D3" w:rsidRPr="00AA59D3">
        <w:rPr>
          <w:i/>
        </w:rPr>
        <w:t>An</w:t>
      </w:r>
      <w:proofErr w:type="gramEnd"/>
      <w:r w:rsidR="00AA59D3" w:rsidRPr="00AA59D3">
        <w:rPr>
          <w:i/>
        </w:rPr>
        <w:t xml:space="preserve"> Introduction to Wittgenstein’s Philosophy of Religion</w:t>
      </w:r>
      <w:r>
        <w:t xml:space="preserve"> p87</w:t>
      </w:r>
    </w:p>
  </w:footnote>
  <w:footnote w:id="34">
    <w:p w14:paraId="04ED603A" w14:textId="668B6103" w:rsidR="00F434E8" w:rsidRDefault="00F434E8">
      <w:pPr>
        <w:pStyle w:val="FootnoteText"/>
      </w:pPr>
      <w:r>
        <w:rPr>
          <w:rStyle w:val="FootnoteReference"/>
        </w:rPr>
        <w:footnoteRef/>
      </w:r>
      <w:r>
        <w:t xml:space="preserve"> </w:t>
      </w:r>
      <w:r w:rsidR="00AA59D3" w:rsidRPr="00AA59D3">
        <w:t xml:space="preserve">Malcolm, Norman, ‘The Groundlessness of Religious Belief’, in </w:t>
      </w:r>
      <w:r w:rsidR="00AA59D3" w:rsidRPr="00AA59D3">
        <w:rPr>
          <w:i/>
        </w:rPr>
        <w:t>Philosophy of Religion: A Guide &amp; Anthology</w:t>
      </w:r>
      <w:r w:rsidR="00AA59D3" w:rsidRPr="00AA59D3">
        <w:t>, ed. B. Davies (Oxford: Oxford University Press, 2000)</w:t>
      </w:r>
      <w:r w:rsidR="00AA59D3">
        <w:t xml:space="preserve"> </w:t>
      </w:r>
      <w:r>
        <w:t>p119</w:t>
      </w:r>
    </w:p>
  </w:footnote>
  <w:footnote w:id="35">
    <w:p w14:paraId="1219CA15" w14:textId="0522A10F" w:rsidR="00F434E8" w:rsidRDefault="00F434E8">
      <w:pPr>
        <w:pStyle w:val="FootnoteText"/>
      </w:pPr>
      <w:r>
        <w:rPr>
          <w:rStyle w:val="FootnoteReference"/>
        </w:rPr>
        <w:footnoteRef/>
      </w:r>
      <w:r>
        <w:t xml:space="preserve"> Ibid pp120-121</w:t>
      </w:r>
    </w:p>
  </w:footnote>
  <w:footnote w:id="36">
    <w:p w14:paraId="4810DB22" w14:textId="27B7799C" w:rsidR="00F434E8" w:rsidRDefault="00F434E8">
      <w:pPr>
        <w:pStyle w:val="FootnoteText"/>
      </w:pPr>
      <w:r>
        <w:rPr>
          <w:rStyle w:val="FootnoteReference"/>
        </w:rPr>
        <w:footnoteRef/>
      </w:r>
      <w:r>
        <w:t xml:space="preserve"> Ibid p122</w:t>
      </w:r>
    </w:p>
  </w:footnote>
  <w:footnote w:id="37">
    <w:p w14:paraId="61926591" w14:textId="746D6EAB" w:rsidR="00F434E8" w:rsidRDefault="00F434E8">
      <w:pPr>
        <w:pStyle w:val="FootnoteText"/>
      </w:pPr>
      <w:r>
        <w:rPr>
          <w:rStyle w:val="FootnoteReference"/>
        </w:rPr>
        <w:footnoteRef/>
      </w:r>
      <w:r>
        <w:t xml:space="preserve"> Ibid</w:t>
      </w:r>
    </w:p>
  </w:footnote>
  <w:footnote w:id="38">
    <w:p w14:paraId="4B35B79B" w14:textId="567293E6" w:rsidR="00A92E80" w:rsidRDefault="00A92E80">
      <w:pPr>
        <w:pStyle w:val="FootnoteText"/>
      </w:pPr>
      <w:r>
        <w:rPr>
          <w:rStyle w:val="FootnoteReference"/>
        </w:rPr>
        <w:footnoteRef/>
      </w:r>
      <w:r>
        <w:t xml:space="preserve"> Dawkins has suggested that the bishops in the House of Lords should be replaced by elected </w:t>
      </w:r>
      <w:r w:rsidR="00685977">
        <w:t xml:space="preserve">secular professionals. See </w:t>
      </w:r>
      <w:r w:rsidR="00584000">
        <w:t xml:space="preserve">Brown, Andrew ‘Richard Dawkins wants to Revive the Victorian Establishment’, </w:t>
      </w:r>
      <w:r w:rsidR="00584000" w:rsidRPr="00584000">
        <w:rPr>
          <w:i/>
        </w:rPr>
        <w:t>The Guardian,</w:t>
      </w:r>
      <w:r w:rsidR="00584000">
        <w:rPr>
          <w:i/>
        </w:rPr>
        <w:t xml:space="preserve"> </w:t>
      </w:r>
      <w:r w:rsidR="00584000">
        <w:t>10 May 2013,</w:t>
      </w:r>
      <w:r w:rsidR="00584000" w:rsidRPr="00584000">
        <w:t xml:space="preserve"> </w:t>
      </w:r>
      <w:hyperlink r:id="rId3" w:history="1">
        <w:r w:rsidR="00584000" w:rsidRPr="00D47517">
          <w:rPr>
            <w:rStyle w:val="Hyperlink"/>
          </w:rPr>
          <w:t>https://www.theguardian.com/commentisfree/andrewbrown/2013/may/10/richard-dawkins-house-of-lords</w:t>
        </w:r>
      </w:hyperlink>
      <w:r w:rsidR="00685977">
        <w:t xml:space="preserve"> </w:t>
      </w:r>
      <w:r w:rsidR="00584000">
        <w:t>Accessed 23 January 2019</w:t>
      </w:r>
    </w:p>
  </w:footnote>
  <w:footnote w:id="39">
    <w:p w14:paraId="072EBF5F" w14:textId="551B343D" w:rsidR="004D1322" w:rsidRDefault="004D1322">
      <w:pPr>
        <w:pStyle w:val="FootnoteText"/>
      </w:pPr>
      <w:r>
        <w:rPr>
          <w:rStyle w:val="FootnoteReference"/>
        </w:rPr>
        <w:footnoteRef/>
      </w:r>
      <w:r>
        <w:t xml:space="preserve"> </w:t>
      </w:r>
      <w:r w:rsidR="0016668E" w:rsidRPr="0016668E">
        <w:t xml:space="preserve">Wittgenstein, Ludwig, </w:t>
      </w:r>
      <w:r w:rsidR="0016668E" w:rsidRPr="0016668E">
        <w:rPr>
          <w:i/>
        </w:rPr>
        <w:t>Culture and Value</w:t>
      </w:r>
      <w:r w:rsidR="0016668E" w:rsidRPr="0016668E">
        <w:t>, ed. G.H. von Wright, trans. P. Winch (Oxford: Blackwell, 1980)</w:t>
      </w:r>
      <w:r w:rsidR="0016668E">
        <w:t xml:space="preserve"> </w:t>
      </w:r>
      <w:r>
        <w:t>p31</w:t>
      </w:r>
    </w:p>
  </w:footnote>
  <w:footnote w:id="40">
    <w:p w14:paraId="11C5F5D2" w14:textId="6CC3F061" w:rsidR="00F434E8" w:rsidRDefault="00F434E8">
      <w:pPr>
        <w:pStyle w:val="FootnoteText"/>
      </w:pPr>
      <w:r>
        <w:rPr>
          <w:rStyle w:val="FootnoteReference"/>
        </w:rPr>
        <w:footnoteRef/>
      </w:r>
      <w:r>
        <w:t xml:space="preserve"> </w:t>
      </w:r>
      <w:r w:rsidR="00AA59D3" w:rsidRPr="00AA59D3">
        <w:t xml:space="preserve">Wittgenstein </w:t>
      </w:r>
      <w:r w:rsidR="00AA59D3" w:rsidRPr="00AA59D3">
        <w:rPr>
          <w:i/>
        </w:rPr>
        <w:t>Remarks on Frazer’s Golden Bough</w:t>
      </w:r>
      <w:r w:rsidR="00AA59D3" w:rsidRPr="00AA59D3">
        <w:t xml:space="preserve"> </w:t>
      </w:r>
      <w:r>
        <w:t>p151</w:t>
      </w:r>
    </w:p>
  </w:footnote>
  <w:footnote w:id="41">
    <w:p w14:paraId="661421E9" w14:textId="08738D92" w:rsidR="00C500B0" w:rsidRDefault="00C500B0">
      <w:pPr>
        <w:pStyle w:val="FootnoteText"/>
      </w:pPr>
      <w:r>
        <w:rPr>
          <w:rStyle w:val="FootnoteReference"/>
        </w:rPr>
        <w:footnoteRef/>
      </w:r>
      <w:r>
        <w:t xml:space="preserve"> </w:t>
      </w:r>
      <w:r w:rsidRPr="00C500B0">
        <w:t xml:space="preserve">Palmer </w:t>
      </w:r>
      <w:r w:rsidRPr="00C500B0">
        <w:rPr>
          <w:i/>
        </w:rPr>
        <w:t>Freud and Jung on Religion</w:t>
      </w:r>
      <w:r>
        <w:t xml:space="preserve"> p123</w:t>
      </w:r>
    </w:p>
  </w:footnote>
  <w:footnote w:id="42">
    <w:p w14:paraId="2A0D0684" w14:textId="6FA901BA" w:rsidR="00C500B0" w:rsidRDefault="00C500B0">
      <w:pPr>
        <w:pStyle w:val="FootnoteText"/>
      </w:pPr>
      <w:r>
        <w:rPr>
          <w:rStyle w:val="FootnoteReference"/>
        </w:rPr>
        <w:footnoteRef/>
      </w:r>
      <w:r>
        <w:t xml:space="preserve"> Ibid p114</w:t>
      </w:r>
    </w:p>
  </w:footnote>
  <w:footnote w:id="43">
    <w:p w14:paraId="37C09881" w14:textId="551355B2" w:rsidR="00F434E8" w:rsidRDefault="00F434E8">
      <w:pPr>
        <w:pStyle w:val="FootnoteText"/>
      </w:pPr>
      <w:r>
        <w:rPr>
          <w:rStyle w:val="FootnoteReference"/>
        </w:rPr>
        <w:footnoteRef/>
      </w:r>
      <w:r>
        <w:t xml:space="preserve"> </w:t>
      </w:r>
      <w:bookmarkStart w:id="11" w:name="_Hlk536021038"/>
      <w:r w:rsidR="00AA59D3" w:rsidRPr="00AA59D3">
        <w:t xml:space="preserve">Wittgenstein, </w:t>
      </w:r>
      <w:r w:rsidR="00AA59D3" w:rsidRPr="00AA59D3">
        <w:rPr>
          <w:i/>
        </w:rPr>
        <w:t>Culture and Value</w:t>
      </w:r>
      <w:bookmarkEnd w:id="11"/>
      <w:r w:rsidR="0016668E">
        <w:t xml:space="preserve"> </w:t>
      </w:r>
      <w:r>
        <w:t>p32</w:t>
      </w:r>
    </w:p>
  </w:footnote>
  <w:footnote w:id="44">
    <w:p w14:paraId="0E1D5E9B" w14:textId="55AB2E5B" w:rsidR="00F434E8" w:rsidRDefault="00F434E8">
      <w:pPr>
        <w:pStyle w:val="FootnoteText"/>
      </w:pPr>
      <w:r>
        <w:rPr>
          <w:rStyle w:val="FootnoteReference"/>
        </w:rPr>
        <w:footnoteRef/>
      </w:r>
      <w:r>
        <w:t xml:space="preserve"> </w:t>
      </w:r>
      <w:r w:rsidR="00AA59D3" w:rsidRPr="00AA59D3">
        <w:t xml:space="preserve">Davies, Brian, ‘Wittgenstein on God’, </w:t>
      </w:r>
      <w:r w:rsidR="00AA59D3" w:rsidRPr="00AA59D3">
        <w:rPr>
          <w:i/>
        </w:rPr>
        <w:t>Philosophy</w:t>
      </w:r>
      <w:r w:rsidR="00AA59D3" w:rsidRPr="00AA59D3">
        <w:t xml:space="preserve">, 55:211, (1980) </w:t>
      </w:r>
      <w:r>
        <w:t>p108</w:t>
      </w:r>
    </w:p>
  </w:footnote>
  <w:footnote w:id="45">
    <w:p w14:paraId="71054BFD" w14:textId="0B05E8CF" w:rsidR="00F434E8" w:rsidRDefault="00F434E8">
      <w:pPr>
        <w:pStyle w:val="FootnoteText"/>
      </w:pPr>
      <w:r>
        <w:rPr>
          <w:rStyle w:val="FootnoteReference"/>
        </w:rPr>
        <w:footnoteRef/>
      </w:r>
      <w:r>
        <w:t xml:space="preserve"> Ibid p106</w:t>
      </w:r>
    </w:p>
  </w:footnote>
  <w:footnote w:id="46">
    <w:p w14:paraId="69504C46" w14:textId="1CF4EC16" w:rsidR="00F434E8" w:rsidRDefault="00F434E8">
      <w:pPr>
        <w:pStyle w:val="FootnoteText"/>
      </w:pPr>
      <w:r>
        <w:rPr>
          <w:rStyle w:val="FootnoteReference"/>
        </w:rPr>
        <w:footnoteRef/>
      </w:r>
      <w:r>
        <w:t xml:space="preserve"> Ibid p107</w:t>
      </w:r>
    </w:p>
  </w:footnote>
  <w:footnote w:id="47">
    <w:p w14:paraId="762156FD" w14:textId="3E60F4EB" w:rsidR="00F434E8" w:rsidRDefault="00F434E8">
      <w:pPr>
        <w:pStyle w:val="FootnoteText"/>
      </w:pPr>
      <w:r>
        <w:rPr>
          <w:rStyle w:val="FootnoteReference"/>
        </w:rPr>
        <w:footnoteRef/>
      </w:r>
      <w:r>
        <w:t xml:space="preserve"> Ibid </w:t>
      </w:r>
    </w:p>
  </w:footnote>
  <w:footnote w:id="48">
    <w:p w14:paraId="6E61E9E4" w14:textId="0A61D8D4" w:rsidR="00F434E8" w:rsidRDefault="00F434E8">
      <w:pPr>
        <w:pStyle w:val="FootnoteText"/>
      </w:pPr>
      <w:r>
        <w:rPr>
          <w:rStyle w:val="FootnoteReference"/>
        </w:rPr>
        <w:footnoteRef/>
      </w:r>
      <w:r>
        <w:t xml:space="preserve"> </w:t>
      </w:r>
      <w:r w:rsidR="00AA59D3" w:rsidRPr="00AA59D3">
        <w:t xml:space="preserve">James, William, </w:t>
      </w:r>
      <w:r w:rsidR="00AA59D3" w:rsidRPr="00AA59D3">
        <w:rPr>
          <w:i/>
        </w:rPr>
        <w:t>The Varieties of Religious Experience</w:t>
      </w:r>
      <w:r w:rsidR="00AA59D3" w:rsidRPr="00AA59D3">
        <w:t xml:space="preserve"> (London: Penguin, 1985)</w:t>
      </w:r>
      <w:r w:rsidR="00AA59D3">
        <w:t xml:space="preserve"> </w:t>
      </w:r>
      <w:r>
        <w:t>p237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C2F03" w14:textId="08D98449" w:rsidR="00F434E8" w:rsidRDefault="00F434E8">
    <w:pPr>
      <w:pStyle w:val="Header"/>
    </w:pPr>
    <w:r>
      <w:t>Student number 0200814</w:t>
    </w:r>
  </w:p>
  <w:p w14:paraId="6276EC1E" w14:textId="77777777" w:rsidR="00F434E8" w:rsidRDefault="00F434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140"/>
    <w:rsid w:val="000137B9"/>
    <w:rsid w:val="000310FD"/>
    <w:rsid w:val="0005773C"/>
    <w:rsid w:val="00061D70"/>
    <w:rsid w:val="00087327"/>
    <w:rsid w:val="000D5213"/>
    <w:rsid w:val="001061CC"/>
    <w:rsid w:val="0010751C"/>
    <w:rsid w:val="00130537"/>
    <w:rsid w:val="00142C6A"/>
    <w:rsid w:val="0016668E"/>
    <w:rsid w:val="001B2D3E"/>
    <w:rsid w:val="0025527D"/>
    <w:rsid w:val="002F44A3"/>
    <w:rsid w:val="00316F46"/>
    <w:rsid w:val="00345050"/>
    <w:rsid w:val="00361A0B"/>
    <w:rsid w:val="00390336"/>
    <w:rsid w:val="003A5CF2"/>
    <w:rsid w:val="003C637A"/>
    <w:rsid w:val="00447C18"/>
    <w:rsid w:val="00452229"/>
    <w:rsid w:val="0048061E"/>
    <w:rsid w:val="004D1322"/>
    <w:rsid w:val="004D358D"/>
    <w:rsid w:val="004D711D"/>
    <w:rsid w:val="004E6269"/>
    <w:rsid w:val="00563121"/>
    <w:rsid w:val="00570A93"/>
    <w:rsid w:val="00584000"/>
    <w:rsid w:val="005C0BEE"/>
    <w:rsid w:val="00621140"/>
    <w:rsid w:val="0063452C"/>
    <w:rsid w:val="00685977"/>
    <w:rsid w:val="006C6D8A"/>
    <w:rsid w:val="00746999"/>
    <w:rsid w:val="007A5C81"/>
    <w:rsid w:val="007B558E"/>
    <w:rsid w:val="00860C34"/>
    <w:rsid w:val="008A66BB"/>
    <w:rsid w:val="008B6795"/>
    <w:rsid w:val="009245E3"/>
    <w:rsid w:val="00931134"/>
    <w:rsid w:val="009620A2"/>
    <w:rsid w:val="00963126"/>
    <w:rsid w:val="009901DE"/>
    <w:rsid w:val="009B1815"/>
    <w:rsid w:val="00A30463"/>
    <w:rsid w:val="00A77E86"/>
    <w:rsid w:val="00A92E80"/>
    <w:rsid w:val="00A96CA9"/>
    <w:rsid w:val="00AA59D3"/>
    <w:rsid w:val="00AB33A7"/>
    <w:rsid w:val="00AC3AD8"/>
    <w:rsid w:val="00B6222B"/>
    <w:rsid w:val="00C500B0"/>
    <w:rsid w:val="00C667B5"/>
    <w:rsid w:val="00C9150A"/>
    <w:rsid w:val="00CB4A04"/>
    <w:rsid w:val="00D30FB0"/>
    <w:rsid w:val="00D648BC"/>
    <w:rsid w:val="00D73A5C"/>
    <w:rsid w:val="00D87D86"/>
    <w:rsid w:val="00DF1B23"/>
    <w:rsid w:val="00E569A7"/>
    <w:rsid w:val="00EA5FA5"/>
    <w:rsid w:val="00F434E8"/>
    <w:rsid w:val="00F61A07"/>
    <w:rsid w:val="00F65C85"/>
    <w:rsid w:val="00F84C30"/>
    <w:rsid w:val="00F86656"/>
    <w:rsid w:val="00FF4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EE7553"/>
  <w15:chartTrackingRefBased/>
  <w15:docId w15:val="{488A4E71-A98F-419C-9024-F3427FB93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140"/>
  </w:style>
  <w:style w:type="paragraph" w:styleId="Footer">
    <w:name w:val="footer"/>
    <w:basedOn w:val="Normal"/>
    <w:link w:val="FooterChar"/>
    <w:uiPriority w:val="99"/>
    <w:unhideWhenUsed/>
    <w:rsid w:val="00621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140"/>
  </w:style>
  <w:style w:type="paragraph" w:styleId="FootnoteText">
    <w:name w:val="footnote text"/>
    <w:basedOn w:val="Normal"/>
    <w:link w:val="FootnoteTextChar"/>
    <w:uiPriority w:val="99"/>
    <w:semiHidden/>
    <w:unhideWhenUsed/>
    <w:rsid w:val="00F61A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1A07"/>
    <w:rPr>
      <w:sz w:val="20"/>
      <w:szCs w:val="20"/>
    </w:rPr>
  </w:style>
  <w:style w:type="character" w:styleId="FootnoteReference">
    <w:name w:val="footnote reference"/>
    <w:basedOn w:val="DefaultParagraphFont"/>
    <w:uiPriority w:val="99"/>
    <w:semiHidden/>
    <w:unhideWhenUsed/>
    <w:rsid w:val="00F61A07"/>
    <w:rPr>
      <w:vertAlign w:val="superscript"/>
    </w:rPr>
  </w:style>
  <w:style w:type="character" w:styleId="Hyperlink">
    <w:name w:val="Hyperlink"/>
    <w:basedOn w:val="DefaultParagraphFont"/>
    <w:uiPriority w:val="99"/>
    <w:unhideWhenUsed/>
    <w:rsid w:val="00746999"/>
    <w:rPr>
      <w:color w:val="0563C1" w:themeColor="hyperlink"/>
      <w:u w:val="single"/>
    </w:rPr>
  </w:style>
  <w:style w:type="character" w:styleId="UnresolvedMention">
    <w:name w:val="Unresolved Mention"/>
    <w:basedOn w:val="DefaultParagraphFont"/>
    <w:uiPriority w:val="99"/>
    <w:semiHidden/>
    <w:unhideWhenUsed/>
    <w:rsid w:val="007469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theguardian.com/commentisfree/andrewbrown/2013/may/10/richard-dawkins-house-of-lords" TargetMode="External"/><Relationship Id="rId2" Type="http://schemas.openxmlformats.org/officeDocument/2006/relationships/hyperlink" Target="https://wiccanspells.info/wiccan-pagan-articles/becoming-a-witch/" TargetMode="External"/><Relationship Id="rId1" Type="http://schemas.openxmlformats.org/officeDocument/2006/relationships/hyperlink" Target="http://www.soulandspiritmagazine.com/connect-fairies-angels-ancestors-4-powerful-cryst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72F8C-62EF-47AA-B9FD-6462009EC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13</Pages>
  <Words>2946</Words>
  <Characters>16798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Briony Knibbs</dc:creator>
  <cp:keywords/>
  <dc:description/>
  <cp:lastModifiedBy>Briony Knibbs</cp:lastModifiedBy>
  <cp:revision>6</cp:revision>
  <dcterms:created xsi:type="dcterms:W3CDTF">2019-01-23T14:13:00Z</dcterms:created>
  <dcterms:modified xsi:type="dcterms:W3CDTF">2019-01-27T18:24:00Z</dcterms:modified>
</cp:coreProperties>
</file>