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DF5B9F" w14:textId="1AA87126" w:rsidR="00B47FC3" w:rsidRDefault="00B47FC3" w:rsidP="004F3F5C">
      <w:pPr>
        <w:spacing w:before="100" w:beforeAutospacing="1" w:after="100" w:afterAutospacing="1" w:line="240" w:lineRule="auto"/>
        <w:outlineLvl w:val="1"/>
        <w:rPr>
          <w:rFonts w:ascii="Arial" w:eastAsia="Times New Roman" w:hAnsi="Arial" w:cs="Arial"/>
          <w:b/>
          <w:bCs/>
          <w:sz w:val="24"/>
          <w:szCs w:val="24"/>
          <w:lang w:eastAsia="en-GB"/>
        </w:rPr>
      </w:pPr>
      <w:r w:rsidRPr="00F71301">
        <w:rPr>
          <w:rFonts w:ascii="Arial" w:eastAsia="Times New Roman" w:hAnsi="Arial" w:cs="Arial"/>
          <w:b/>
          <w:bCs/>
          <w:sz w:val="24"/>
          <w:szCs w:val="24"/>
          <w:lang w:eastAsia="en-GB"/>
        </w:rPr>
        <w:t>Service Transformation through People: Industry E-Portfolio of Work</w:t>
      </w:r>
      <w:bookmarkStart w:id="0" w:name="_GoBack"/>
      <w:bookmarkEnd w:id="0"/>
    </w:p>
    <w:p w14:paraId="4B09755A" w14:textId="281E691C" w:rsidR="00D051A6" w:rsidRPr="00D051A6" w:rsidRDefault="00D051A6" w:rsidP="00D051A6">
      <w:pPr>
        <w:spacing w:before="100" w:beforeAutospacing="1" w:after="100" w:afterAutospacing="1" w:line="240" w:lineRule="auto"/>
        <w:jc w:val="center"/>
        <w:outlineLvl w:val="1"/>
        <w:rPr>
          <w:rFonts w:ascii="Arial" w:eastAsia="Times New Roman" w:hAnsi="Arial" w:cs="Arial"/>
          <w:b/>
          <w:bCs/>
          <w:lang w:eastAsia="en-GB"/>
        </w:rPr>
      </w:pPr>
      <w:r w:rsidRPr="00D051A6">
        <w:rPr>
          <w:rFonts w:ascii="Arial" w:eastAsia="Times New Roman" w:hAnsi="Arial" w:cs="Arial"/>
          <w:b/>
          <w:bCs/>
          <w:lang w:eastAsia="en-GB"/>
        </w:rPr>
        <w:t>Word Count: 5190</w:t>
      </w:r>
    </w:p>
    <w:p w14:paraId="79CAAD03" w14:textId="77777777" w:rsidR="00931662" w:rsidRPr="00F71301" w:rsidRDefault="00931662" w:rsidP="004F3F5C">
      <w:pPr>
        <w:spacing w:before="100" w:beforeAutospacing="1" w:after="100" w:afterAutospacing="1" w:line="240" w:lineRule="auto"/>
        <w:outlineLvl w:val="1"/>
        <w:rPr>
          <w:rFonts w:ascii="Arial" w:eastAsia="Times New Roman" w:hAnsi="Arial" w:cs="Arial"/>
          <w:b/>
          <w:bCs/>
          <w:sz w:val="24"/>
          <w:szCs w:val="24"/>
          <w:lang w:eastAsia="en-GB"/>
        </w:rPr>
      </w:pPr>
      <w:r w:rsidRPr="00F71301">
        <w:rPr>
          <w:rFonts w:ascii="Arial" w:eastAsia="Times New Roman" w:hAnsi="Arial" w:cs="Arial"/>
          <w:b/>
          <w:bCs/>
          <w:sz w:val="24"/>
          <w:szCs w:val="24"/>
          <w:lang w:eastAsia="en-GB"/>
        </w:rPr>
        <w:t>Part 1</w:t>
      </w:r>
    </w:p>
    <w:p w14:paraId="6F5C4C84" w14:textId="63F1F921" w:rsidR="004F3F5C" w:rsidRDefault="004F3F5C" w:rsidP="004F3F5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Sexual health services play a critical role in individual and population wellbeing. Beyond testing and treatment for sexually transmitted infections (STIs), they deliver essential preventive interventions such as vaccination. Swansea Bay University Health Board (SBUHB) moved to an electronic records system (</w:t>
      </w:r>
      <w:proofErr w:type="spellStart"/>
      <w:r w:rsidRPr="00F71301">
        <w:rPr>
          <w:rFonts w:ascii="Arial" w:eastAsia="Times New Roman" w:hAnsi="Arial" w:cs="Arial"/>
          <w:sz w:val="24"/>
          <w:szCs w:val="24"/>
          <w:lang w:eastAsia="en-GB"/>
        </w:rPr>
        <w:t>MillSystems</w:t>
      </w:r>
      <w:proofErr w:type="spellEnd"/>
      <w:r w:rsidRPr="00F71301">
        <w:rPr>
          <w:rFonts w:ascii="Arial" w:eastAsia="Times New Roman" w:hAnsi="Arial" w:cs="Arial"/>
          <w:sz w:val="24"/>
          <w:szCs w:val="24"/>
          <w:lang w:eastAsia="en-GB"/>
        </w:rPr>
        <w:t>) in 2022. P</w:t>
      </w:r>
      <w:r w:rsidR="00C27474" w:rsidRPr="00F71301">
        <w:rPr>
          <w:rFonts w:ascii="Arial" w:eastAsia="Times New Roman" w:hAnsi="Arial" w:cs="Arial"/>
          <w:sz w:val="24"/>
          <w:szCs w:val="24"/>
          <w:lang w:eastAsia="en-GB"/>
        </w:rPr>
        <w:t>reviously</w:t>
      </w:r>
      <w:r w:rsidRPr="00F71301">
        <w:rPr>
          <w:rFonts w:ascii="Arial" w:eastAsia="Times New Roman" w:hAnsi="Arial" w:cs="Arial"/>
          <w:sz w:val="24"/>
          <w:szCs w:val="24"/>
          <w:lang w:eastAsia="en-GB"/>
        </w:rPr>
        <w:t>, vaccines were recorded on paper ‘protocols’</w:t>
      </w:r>
      <w:r w:rsidR="00C27474" w:rsidRPr="00F71301">
        <w:rPr>
          <w:rFonts w:ascii="Arial" w:eastAsia="Times New Roman" w:hAnsi="Arial" w:cs="Arial"/>
          <w:sz w:val="24"/>
          <w:szCs w:val="24"/>
          <w:lang w:eastAsia="en-GB"/>
        </w:rPr>
        <w:t xml:space="preserve"> that clearly showed what doses had been given and what was required next.</w:t>
      </w:r>
      <w:r w:rsidR="00D811F7" w:rsidRPr="00F71301">
        <w:rPr>
          <w:rFonts w:ascii="Arial" w:eastAsia="Times New Roman" w:hAnsi="Arial" w:cs="Arial"/>
          <w:sz w:val="24"/>
          <w:szCs w:val="24"/>
          <w:lang w:eastAsia="en-GB"/>
        </w:rPr>
        <w:t xml:space="preserve"> </w:t>
      </w:r>
      <w:r w:rsidRPr="00F71301">
        <w:rPr>
          <w:rFonts w:ascii="Arial" w:eastAsia="Times New Roman" w:hAnsi="Arial" w:cs="Arial"/>
          <w:sz w:val="24"/>
          <w:szCs w:val="24"/>
          <w:lang w:eastAsia="en-GB"/>
        </w:rPr>
        <w:t xml:space="preserve">The </w:t>
      </w:r>
      <w:r w:rsidR="00C27474" w:rsidRPr="00F71301">
        <w:rPr>
          <w:rFonts w:ascii="Arial" w:eastAsia="Times New Roman" w:hAnsi="Arial" w:cs="Arial"/>
          <w:sz w:val="24"/>
          <w:szCs w:val="24"/>
          <w:lang w:eastAsia="en-GB"/>
        </w:rPr>
        <w:t xml:space="preserve">adopted </w:t>
      </w:r>
      <w:r w:rsidRPr="00F71301">
        <w:rPr>
          <w:rFonts w:ascii="Arial" w:eastAsia="Times New Roman" w:hAnsi="Arial" w:cs="Arial"/>
          <w:sz w:val="24"/>
          <w:szCs w:val="24"/>
          <w:lang w:eastAsia="en-GB"/>
        </w:rPr>
        <w:t>electronic system is not fit for purpose</w:t>
      </w:r>
      <w:r w:rsidR="00D811F7" w:rsidRPr="00F71301">
        <w:rPr>
          <w:rFonts w:ascii="Arial" w:eastAsia="Times New Roman" w:hAnsi="Arial" w:cs="Arial"/>
          <w:sz w:val="24"/>
          <w:szCs w:val="24"/>
          <w:lang w:eastAsia="en-GB"/>
        </w:rPr>
        <w:t>, and</w:t>
      </w:r>
      <w:r w:rsidR="00C27474" w:rsidRPr="00F71301">
        <w:rPr>
          <w:rFonts w:ascii="Arial" w:eastAsia="Times New Roman" w:hAnsi="Arial" w:cs="Arial"/>
          <w:sz w:val="24"/>
          <w:szCs w:val="24"/>
          <w:lang w:eastAsia="en-GB"/>
        </w:rPr>
        <w:t xml:space="preserve"> staff frequently report challenges with vaccine documentation</w:t>
      </w:r>
      <w:r w:rsidRPr="00F71301">
        <w:rPr>
          <w:rFonts w:ascii="Arial" w:eastAsia="Times New Roman" w:hAnsi="Arial" w:cs="Arial"/>
          <w:sz w:val="24"/>
          <w:szCs w:val="24"/>
          <w:lang w:eastAsia="en-GB"/>
        </w:rPr>
        <w:t xml:space="preserve">. </w:t>
      </w:r>
      <w:r w:rsidR="00C27474" w:rsidRPr="00F71301">
        <w:rPr>
          <w:rFonts w:ascii="Arial" w:eastAsia="Times New Roman" w:hAnsi="Arial" w:cs="Arial"/>
          <w:sz w:val="24"/>
          <w:szCs w:val="24"/>
          <w:lang w:eastAsia="en-GB"/>
        </w:rPr>
        <w:t>R</w:t>
      </w:r>
      <w:r w:rsidRPr="00F71301">
        <w:rPr>
          <w:rFonts w:ascii="Arial" w:eastAsia="Times New Roman" w:hAnsi="Arial" w:cs="Arial"/>
          <w:sz w:val="24"/>
          <w:szCs w:val="24"/>
          <w:lang w:eastAsia="en-GB"/>
        </w:rPr>
        <w:t xml:space="preserve">ecords are difficult to </w:t>
      </w:r>
      <w:r w:rsidR="00C27474" w:rsidRPr="00F71301">
        <w:rPr>
          <w:rFonts w:ascii="Arial" w:eastAsia="Times New Roman" w:hAnsi="Arial" w:cs="Arial"/>
          <w:sz w:val="24"/>
          <w:szCs w:val="24"/>
          <w:lang w:eastAsia="en-GB"/>
        </w:rPr>
        <w:t>interpret</w:t>
      </w:r>
      <w:r w:rsidRPr="00F71301">
        <w:rPr>
          <w:rFonts w:ascii="Arial" w:eastAsia="Times New Roman" w:hAnsi="Arial" w:cs="Arial"/>
          <w:sz w:val="24"/>
          <w:szCs w:val="24"/>
          <w:lang w:eastAsia="en-GB"/>
        </w:rPr>
        <w:t xml:space="preserve"> with no apparent ‘protoco</w:t>
      </w:r>
      <w:r w:rsidR="00C27474" w:rsidRPr="00F71301">
        <w:rPr>
          <w:rFonts w:ascii="Arial" w:eastAsia="Times New Roman" w:hAnsi="Arial" w:cs="Arial"/>
          <w:sz w:val="24"/>
          <w:szCs w:val="24"/>
          <w:lang w:eastAsia="en-GB"/>
        </w:rPr>
        <w:t>ls’ for each vaccine type. This, combined with poor</w:t>
      </w:r>
      <w:r w:rsidRPr="00F71301">
        <w:rPr>
          <w:rFonts w:ascii="Arial" w:eastAsia="Times New Roman" w:hAnsi="Arial" w:cs="Arial"/>
          <w:sz w:val="24"/>
          <w:szCs w:val="24"/>
          <w:lang w:eastAsia="en-GB"/>
        </w:rPr>
        <w:t xml:space="preserve"> patient access to vaccine history has resulted in gaps in coverage, duplication of doses and </w:t>
      </w:r>
      <w:r w:rsidR="00C27474" w:rsidRPr="00F71301">
        <w:rPr>
          <w:rFonts w:ascii="Arial" w:eastAsia="Times New Roman" w:hAnsi="Arial" w:cs="Arial"/>
          <w:sz w:val="24"/>
          <w:szCs w:val="24"/>
          <w:lang w:eastAsia="en-GB"/>
        </w:rPr>
        <w:t>less effective</w:t>
      </w:r>
      <w:r w:rsidRPr="00F71301">
        <w:rPr>
          <w:rFonts w:ascii="Arial" w:eastAsia="Times New Roman" w:hAnsi="Arial" w:cs="Arial"/>
          <w:sz w:val="24"/>
          <w:szCs w:val="24"/>
          <w:lang w:eastAsia="en-GB"/>
        </w:rPr>
        <w:t xml:space="preserve"> out</w:t>
      </w:r>
      <w:r w:rsidR="00393778" w:rsidRPr="00F71301">
        <w:rPr>
          <w:rFonts w:ascii="Arial" w:eastAsia="Times New Roman" w:hAnsi="Arial" w:cs="Arial"/>
          <w:sz w:val="24"/>
          <w:szCs w:val="24"/>
          <w:lang w:eastAsia="en-GB"/>
        </w:rPr>
        <w:t>break response</w:t>
      </w:r>
      <w:r w:rsidRPr="00F71301">
        <w:rPr>
          <w:rFonts w:ascii="Arial" w:eastAsia="Times New Roman" w:hAnsi="Arial" w:cs="Arial"/>
          <w:sz w:val="24"/>
          <w:szCs w:val="24"/>
          <w:lang w:eastAsia="en-GB"/>
        </w:rPr>
        <w:t>.</w:t>
      </w:r>
    </w:p>
    <w:p w14:paraId="42F04AAE" w14:textId="77777777" w:rsidR="004F3F5C" w:rsidRPr="00F71301" w:rsidRDefault="00C27474" w:rsidP="004F3F5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Dev</w:t>
      </w:r>
      <w:r w:rsidR="00492A9C">
        <w:rPr>
          <w:rFonts w:ascii="Arial" w:eastAsia="Times New Roman" w:hAnsi="Arial" w:cs="Arial"/>
          <w:sz w:val="24"/>
          <w:szCs w:val="24"/>
          <w:lang w:eastAsia="en-GB"/>
        </w:rPr>
        <w:t>e</w:t>
      </w:r>
      <w:r w:rsidRPr="00F71301">
        <w:rPr>
          <w:rFonts w:ascii="Arial" w:eastAsia="Times New Roman" w:hAnsi="Arial" w:cs="Arial"/>
          <w:sz w:val="24"/>
          <w:szCs w:val="24"/>
          <w:lang w:eastAsia="en-GB"/>
        </w:rPr>
        <w:t>loping</w:t>
      </w:r>
      <w:r w:rsidR="004F3F5C" w:rsidRPr="00F71301">
        <w:rPr>
          <w:rFonts w:ascii="Arial" w:eastAsia="Times New Roman" w:hAnsi="Arial" w:cs="Arial"/>
          <w:sz w:val="24"/>
          <w:szCs w:val="24"/>
          <w:lang w:eastAsia="en-GB"/>
        </w:rPr>
        <w:t xml:space="preserve"> a digital vaccination record (DVR) that stores patients’ vaccination data, accessible both to healthcare providers and to patients would transform the way that vaccines are administered and documented with sexual health services. DVRs already exist</w:t>
      </w:r>
      <w:r w:rsidR="00FE59F1" w:rsidRPr="00F71301">
        <w:rPr>
          <w:rFonts w:ascii="Arial" w:eastAsia="Times New Roman" w:hAnsi="Arial" w:cs="Arial"/>
          <w:sz w:val="24"/>
          <w:szCs w:val="24"/>
          <w:lang w:eastAsia="en-GB"/>
        </w:rPr>
        <w:t xml:space="preserve"> within Wales. The ‘Children and Young Person’s Integrated System (CYPRIS) was developed by NHS Wales Informatics Service (</w:t>
      </w:r>
      <w:proofErr w:type="spellStart"/>
      <w:r w:rsidR="00FE59F1" w:rsidRPr="00F71301">
        <w:rPr>
          <w:rFonts w:ascii="Arial" w:eastAsia="Times New Roman" w:hAnsi="Arial" w:cs="Arial"/>
          <w:sz w:val="24"/>
          <w:szCs w:val="24"/>
          <w:lang w:eastAsia="en-GB"/>
        </w:rPr>
        <w:t>Openmi</w:t>
      </w:r>
      <w:r w:rsidRPr="00F71301">
        <w:rPr>
          <w:rFonts w:ascii="Arial" w:eastAsia="Times New Roman" w:hAnsi="Arial" w:cs="Arial"/>
          <w:sz w:val="24"/>
          <w:szCs w:val="24"/>
          <w:lang w:eastAsia="en-GB"/>
        </w:rPr>
        <w:t>nds</w:t>
      </w:r>
      <w:proofErr w:type="spellEnd"/>
      <w:r w:rsidRPr="00F71301">
        <w:rPr>
          <w:rFonts w:ascii="Arial" w:eastAsia="Times New Roman" w:hAnsi="Arial" w:cs="Arial"/>
          <w:sz w:val="24"/>
          <w:szCs w:val="24"/>
          <w:lang w:eastAsia="en-GB"/>
        </w:rPr>
        <w:t xml:space="preserve"> 2018), and it’s</w:t>
      </w:r>
      <w:r w:rsidR="00FE59F1" w:rsidRPr="00F71301">
        <w:rPr>
          <w:rFonts w:ascii="Arial" w:eastAsia="Times New Roman" w:hAnsi="Arial" w:cs="Arial"/>
          <w:sz w:val="24"/>
          <w:szCs w:val="24"/>
          <w:lang w:eastAsia="en-GB"/>
        </w:rPr>
        <w:t xml:space="preserve"> success led to the development and launch of </w:t>
      </w:r>
      <w:r w:rsidRPr="00F71301">
        <w:rPr>
          <w:rFonts w:ascii="Arial" w:eastAsia="Times New Roman" w:hAnsi="Arial" w:cs="Arial"/>
          <w:sz w:val="24"/>
          <w:szCs w:val="24"/>
          <w:lang w:eastAsia="en-GB"/>
        </w:rPr>
        <w:t>the adult</w:t>
      </w:r>
      <w:r w:rsidR="00FE59F1" w:rsidRPr="00F71301">
        <w:rPr>
          <w:rFonts w:ascii="Arial" w:eastAsia="Times New Roman" w:hAnsi="Arial" w:cs="Arial"/>
          <w:sz w:val="24"/>
          <w:szCs w:val="24"/>
          <w:lang w:eastAsia="en-GB"/>
        </w:rPr>
        <w:t xml:space="preserve"> ‘Welsh Immunisation System</w:t>
      </w:r>
      <w:r w:rsidR="0067582F" w:rsidRPr="00F71301">
        <w:rPr>
          <w:rFonts w:ascii="Arial" w:eastAsia="Times New Roman" w:hAnsi="Arial" w:cs="Arial"/>
          <w:sz w:val="24"/>
          <w:szCs w:val="24"/>
          <w:lang w:eastAsia="en-GB"/>
        </w:rPr>
        <w:t>’</w:t>
      </w:r>
      <w:r w:rsidR="00FE59F1" w:rsidRPr="00F71301">
        <w:rPr>
          <w:rFonts w:ascii="Arial" w:eastAsia="Times New Roman" w:hAnsi="Arial" w:cs="Arial"/>
          <w:sz w:val="24"/>
          <w:szCs w:val="24"/>
          <w:lang w:eastAsia="en-GB"/>
        </w:rPr>
        <w:t xml:space="preserve"> (WIS) in 2020 (DHCW 2024)</w:t>
      </w:r>
      <w:r w:rsidR="004F3F5C" w:rsidRPr="00F71301">
        <w:rPr>
          <w:rFonts w:ascii="Arial" w:eastAsia="Times New Roman" w:hAnsi="Arial" w:cs="Arial"/>
          <w:sz w:val="24"/>
          <w:szCs w:val="24"/>
          <w:lang w:eastAsia="en-GB"/>
        </w:rPr>
        <w:t>.</w:t>
      </w:r>
      <w:r w:rsidR="00FE59F1" w:rsidRPr="00F71301">
        <w:rPr>
          <w:rFonts w:ascii="Arial" w:eastAsia="Times New Roman" w:hAnsi="Arial" w:cs="Arial"/>
          <w:sz w:val="24"/>
          <w:szCs w:val="24"/>
          <w:lang w:eastAsia="en-GB"/>
        </w:rPr>
        <w:t xml:space="preserve"> </w:t>
      </w:r>
      <w:r w:rsidRPr="00F71301">
        <w:rPr>
          <w:rFonts w:ascii="Arial" w:eastAsia="Times New Roman" w:hAnsi="Arial" w:cs="Arial"/>
          <w:sz w:val="24"/>
          <w:szCs w:val="24"/>
          <w:lang w:eastAsia="en-GB"/>
        </w:rPr>
        <w:t>WIS</w:t>
      </w:r>
      <w:r w:rsidR="00FE59F1" w:rsidRPr="00F71301">
        <w:rPr>
          <w:rFonts w:ascii="Arial" w:hAnsi="Arial" w:cs="Arial"/>
          <w:sz w:val="24"/>
          <w:szCs w:val="24"/>
        </w:rPr>
        <w:t xml:space="preserve"> enabled real-time recording and reporting of vaccinations, contributing to Wales achieving one of the most successful COVID-19 vaccination campaigns globally (DHCW 2024), leading to a Digital Leader Award </w:t>
      </w:r>
      <w:r w:rsidRPr="00F71301">
        <w:rPr>
          <w:rFonts w:ascii="Arial" w:hAnsi="Arial" w:cs="Arial"/>
          <w:sz w:val="24"/>
          <w:szCs w:val="24"/>
        </w:rPr>
        <w:t>i</w:t>
      </w:r>
      <w:r w:rsidR="00FE59F1" w:rsidRPr="00F71301">
        <w:rPr>
          <w:rFonts w:ascii="Arial" w:hAnsi="Arial" w:cs="Arial"/>
          <w:sz w:val="24"/>
          <w:szCs w:val="24"/>
        </w:rPr>
        <w:t>n 2022.</w:t>
      </w:r>
      <w:r w:rsidR="004F3F5C" w:rsidRPr="00F71301">
        <w:rPr>
          <w:rFonts w:ascii="Arial" w:eastAsia="Times New Roman" w:hAnsi="Arial" w:cs="Arial"/>
          <w:sz w:val="24"/>
          <w:szCs w:val="24"/>
          <w:lang w:eastAsia="en-GB"/>
        </w:rPr>
        <w:t xml:space="preserve"> </w:t>
      </w:r>
      <w:r w:rsidRPr="00F71301">
        <w:rPr>
          <w:rFonts w:ascii="Arial" w:eastAsia="Times New Roman" w:hAnsi="Arial" w:cs="Arial"/>
          <w:sz w:val="24"/>
          <w:szCs w:val="24"/>
          <w:lang w:eastAsia="en-GB"/>
        </w:rPr>
        <w:t>However, a DVR for</w:t>
      </w:r>
      <w:r w:rsidR="00FE59F1" w:rsidRPr="00F71301">
        <w:rPr>
          <w:rFonts w:ascii="Arial" w:eastAsia="Times New Roman" w:hAnsi="Arial" w:cs="Arial"/>
          <w:sz w:val="24"/>
          <w:szCs w:val="24"/>
          <w:lang w:eastAsia="en-GB"/>
        </w:rPr>
        <w:t xml:space="preserve"> </w:t>
      </w:r>
      <w:r w:rsidR="004F3F5C" w:rsidRPr="00F71301">
        <w:rPr>
          <w:rFonts w:ascii="Arial" w:eastAsia="Times New Roman" w:hAnsi="Arial" w:cs="Arial"/>
          <w:sz w:val="24"/>
          <w:szCs w:val="24"/>
          <w:lang w:eastAsia="en-GB"/>
        </w:rPr>
        <w:t>Sexual Health services pose</w:t>
      </w:r>
      <w:r w:rsidR="00FE59F1" w:rsidRPr="00F71301">
        <w:rPr>
          <w:rFonts w:ascii="Arial" w:eastAsia="Times New Roman" w:hAnsi="Arial" w:cs="Arial"/>
          <w:sz w:val="24"/>
          <w:szCs w:val="24"/>
          <w:lang w:eastAsia="en-GB"/>
        </w:rPr>
        <w:t>s</w:t>
      </w:r>
      <w:r w:rsidR="004F3F5C" w:rsidRPr="00F71301">
        <w:rPr>
          <w:rFonts w:ascii="Arial" w:eastAsia="Times New Roman" w:hAnsi="Arial" w:cs="Arial"/>
          <w:sz w:val="24"/>
          <w:szCs w:val="24"/>
          <w:lang w:eastAsia="en-GB"/>
        </w:rPr>
        <w:t xml:space="preserve"> issues with regards to the sensitive nature of the services</w:t>
      </w:r>
      <w:r w:rsidRPr="00F71301">
        <w:rPr>
          <w:rFonts w:ascii="Arial" w:eastAsia="Times New Roman" w:hAnsi="Arial" w:cs="Arial"/>
          <w:sz w:val="24"/>
          <w:szCs w:val="24"/>
          <w:lang w:eastAsia="en-GB"/>
        </w:rPr>
        <w:t xml:space="preserve"> and </w:t>
      </w:r>
      <w:r w:rsidR="004F3F5C" w:rsidRPr="00F71301">
        <w:rPr>
          <w:rFonts w:ascii="Arial" w:eastAsia="Times New Roman" w:hAnsi="Arial" w:cs="Arial"/>
          <w:sz w:val="24"/>
          <w:szCs w:val="24"/>
          <w:lang w:eastAsia="en-GB"/>
        </w:rPr>
        <w:t>the need to ano</w:t>
      </w:r>
      <w:r w:rsidR="00FE59F1" w:rsidRPr="00F71301">
        <w:rPr>
          <w:rFonts w:ascii="Arial" w:eastAsia="Times New Roman" w:hAnsi="Arial" w:cs="Arial"/>
          <w:sz w:val="24"/>
          <w:szCs w:val="24"/>
          <w:lang w:eastAsia="en-GB"/>
        </w:rPr>
        <w:t>nymise data for confidentiality</w:t>
      </w:r>
      <w:r w:rsidRPr="00F71301">
        <w:rPr>
          <w:rFonts w:ascii="Arial" w:eastAsia="Times New Roman" w:hAnsi="Arial" w:cs="Arial"/>
          <w:sz w:val="24"/>
          <w:szCs w:val="24"/>
          <w:lang w:eastAsia="en-GB"/>
        </w:rPr>
        <w:t>. This</w:t>
      </w:r>
      <w:r w:rsidR="00FE59F1" w:rsidRPr="00F71301">
        <w:rPr>
          <w:rFonts w:ascii="Arial" w:eastAsia="Times New Roman" w:hAnsi="Arial" w:cs="Arial"/>
          <w:sz w:val="24"/>
          <w:szCs w:val="24"/>
          <w:lang w:eastAsia="en-GB"/>
        </w:rPr>
        <w:t xml:space="preserve"> indicates a need for a system separate from the rest of the NHS services</w:t>
      </w:r>
      <w:r w:rsidR="004F3F5C" w:rsidRPr="00F71301">
        <w:rPr>
          <w:rFonts w:ascii="Arial" w:eastAsia="Times New Roman" w:hAnsi="Arial" w:cs="Arial"/>
          <w:sz w:val="24"/>
          <w:szCs w:val="24"/>
          <w:lang w:eastAsia="en-GB"/>
        </w:rPr>
        <w:t xml:space="preserve">. </w:t>
      </w:r>
    </w:p>
    <w:p w14:paraId="176DD040" w14:textId="6F75750E" w:rsidR="004F3F5C" w:rsidRPr="00F71301" w:rsidRDefault="004F3F5C" w:rsidP="00C278DE">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Sexual health services are </w:t>
      </w:r>
      <w:r w:rsidR="00B56BBA">
        <w:rPr>
          <w:rFonts w:ascii="Arial" w:eastAsia="Times New Roman" w:hAnsi="Arial" w:cs="Arial"/>
          <w:sz w:val="24"/>
          <w:szCs w:val="24"/>
          <w:lang w:eastAsia="en-GB"/>
        </w:rPr>
        <w:t>in an ideal position</w:t>
      </w:r>
      <w:r w:rsidRPr="00F71301">
        <w:rPr>
          <w:rFonts w:ascii="Arial" w:eastAsia="Times New Roman" w:hAnsi="Arial" w:cs="Arial"/>
          <w:sz w:val="24"/>
          <w:szCs w:val="24"/>
          <w:lang w:eastAsia="en-GB"/>
        </w:rPr>
        <w:t xml:space="preserve"> to deliver vaccination. </w:t>
      </w:r>
      <w:r w:rsidR="00C27474" w:rsidRPr="00F71301">
        <w:rPr>
          <w:rFonts w:ascii="Arial" w:eastAsia="Times New Roman" w:hAnsi="Arial" w:cs="Arial"/>
          <w:sz w:val="24"/>
          <w:szCs w:val="24"/>
          <w:lang w:eastAsia="en-GB"/>
        </w:rPr>
        <w:t>P</w:t>
      </w:r>
      <w:r w:rsidRPr="00F71301">
        <w:rPr>
          <w:rFonts w:ascii="Arial" w:eastAsia="Times New Roman" w:hAnsi="Arial" w:cs="Arial"/>
          <w:sz w:val="24"/>
          <w:szCs w:val="24"/>
          <w:lang w:eastAsia="en-GB"/>
        </w:rPr>
        <w:t xml:space="preserve">opulations at risk of STIs, including </w:t>
      </w:r>
      <w:r w:rsidRPr="00F71301">
        <w:rPr>
          <w:rFonts w:ascii="Arial" w:eastAsia="Times New Roman" w:hAnsi="Arial" w:cs="Arial"/>
          <w:bCs/>
          <w:sz w:val="24"/>
          <w:szCs w:val="24"/>
          <w:lang w:eastAsia="en-GB"/>
        </w:rPr>
        <w:t>men who have sex with men (MSM)</w:t>
      </w:r>
      <w:r w:rsidRPr="00F71301">
        <w:rPr>
          <w:rFonts w:ascii="Arial" w:eastAsia="Times New Roman" w:hAnsi="Arial" w:cs="Arial"/>
          <w:sz w:val="24"/>
          <w:szCs w:val="24"/>
          <w:lang w:eastAsia="en-GB"/>
        </w:rPr>
        <w:t xml:space="preserve">, young people, migrants, and people living with HIV, may not consistently access general practice or other mainstream healthcare (Kirby et al 2020). Sexual health clinics often provide the first, and sometimes only, contact with preventive services such as vaccination. In recent years, more vaccines have become ‘routine’ within sexual health services. </w:t>
      </w:r>
      <w:r w:rsidR="001778F0" w:rsidRPr="00F71301">
        <w:rPr>
          <w:rFonts w:ascii="Arial" w:eastAsia="Times New Roman" w:hAnsi="Arial" w:cs="Arial"/>
          <w:sz w:val="24"/>
          <w:szCs w:val="24"/>
          <w:lang w:eastAsia="en-GB"/>
        </w:rPr>
        <w:t>The World Health Organisation (WHO) has set targets for the elimination of Hepatitis B &amp; C as public health threats by 2030 (Public Health Wales (PHW) 2024), and the strategic vaccination of ‘high</w:t>
      </w:r>
      <w:r w:rsidR="00B56BBA">
        <w:rPr>
          <w:rFonts w:ascii="Arial" w:eastAsia="Times New Roman" w:hAnsi="Arial" w:cs="Arial"/>
          <w:sz w:val="24"/>
          <w:szCs w:val="24"/>
          <w:lang w:eastAsia="en-GB"/>
        </w:rPr>
        <w:t>-</w:t>
      </w:r>
      <w:r w:rsidR="001778F0" w:rsidRPr="00F71301">
        <w:rPr>
          <w:rFonts w:ascii="Arial" w:eastAsia="Times New Roman" w:hAnsi="Arial" w:cs="Arial"/>
          <w:sz w:val="24"/>
          <w:szCs w:val="24"/>
          <w:lang w:eastAsia="en-GB"/>
        </w:rPr>
        <w:t>risk’ groups is part of this strategy.</w:t>
      </w:r>
      <w:r w:rsidR="00CD2F4F" w:rsidRPr="00F71301">
        <w:rPr>
          <w:rFonts w:ascii="Arial" w:eastAsia="Times New Roman" w:hAnsi="Arial" w:cs="Arial"/>
          <w:sz w:val="24"/>
          <w:szCs w:val="24"/>
          <w:lang w:eastAsia="en-GB"/>
        </w:rPr>
        <w:t xml:space="preserve"> </w:t>
      </w:r>
      <w:r w:rsidR="00C27474" w:rsidRPr="00F71301">
        <w:rPr>
          <w:rFonts w:ascii="Arial" w:eastAsia="Times New Roman" w:hAnsi="Arial" w:cs="Arial"/>
          <w:sz w:val="24"/>
          <w:szCs w:val="24"/>
          <w:lang w:eastAsia="en-GB"/>
        </w:rPr>
        <w:t>T</w:t>
      </w:r>
      <w:r w:rsidR="00CD2F4F" w:rsidRPr="00F71301">
        <w:rPr>
          <w:rFonts w:ascii="Arial" w:eastAsia="Times New Roman" w:hAnsi="Arial" w:cs="Arial"/>
          <w:sz w:val="24"/>
          <w:szCs w:val="24"/>
          <w:lang w:eastAsia="en-GB"/>
        </w:rPr>
        <w:t>he MSM community has also been identified as a high</w:t>
      </w:r>
      <w:r w:rsidR="00B56BBA">
        <w:rPr>
          <w:rFonts w:ascii="Arial" w:eastAsia="Times New Roman" w:hAnsi="Arial" w:cs="Arial"/>
          <w:sz w:val="24"/>
          <w:szCs w:val="24"/>
          <w:lang w:eastAsia="en-GB"/>
        </w:rPr>
        <w:t>-</w:t>
      </w:r>
      <w:r w:rsidR="00CD2F4F" w:rsidRPr="00F71301">
        <w:rPr>
          <w:rFonts w:ascii="Arial" w:eastAsia="Times New Roman" w:hAnsi="Arial" w:cs="Arial"/>
          <w:sz w:val="24"/>
          <w:szCs w:val="24"/>
          <w:lang w:eastAsia="en-GB"/>
        </w:rPr>
        <w:t>risk group for other diseases. In 2022, the MSM population was disproportionately affected by a</w:t>
      </w:r>
      <w:r w:rsidRPr="00F71301">
        <w:rPr>
          <w:rFonts w:ascii="Arial" w:eastAsia="Times New Roman" w:hAnsi="Arial" w:cs="Arial"/>
          <w:sz w:val="24"/>
          <w:szCs w:val="24"/>
          <w:lang w:eastAsia="en-GB"/>
        </w:rPr>
        <w:t xml:space="preserve"> global outbreak of </w:t>
      </w:r>
      <w:proofErr w:type="spellStart"/>
      <w:r w:rsidRPr="00F71301">
        <w:rPr>
          <w:rFonts w:ascii="Arial" w:eastAsia="Times New Roman" w:hAnsi="Arial" w:cs="Arial"/>
          <w:sz w:val="24"/>
          <w:szCs w:val="24"/>
          <w:lang w:eastAsia="en-GB"/>
        </w:rPr>
        <w:t>MPox</w:t>
      </w:r>
      <w:proofErr w:type="spellEnd"/>
      <w:r w:rsidR="00CD2F4F" w:rsidRPr="00F71301">
        <w:rPr>
          <w:rFonts w:ascii="Arial" w:eastAsia="Times New Roman" w:hAnsi="Arial" w:cs="Arial"/>
          <w:sz w:val="24"/>
          <w:szCs w:val="24"/>
          <w:lang w:eastAsia="en-GB"/>
        </w:rPr>
        <w:t xml:space="preserve">. This led to </w:t>
      </w:r>
      <w:r w:rsidRPr="00F71301">
        <w:rPr>
          <w:rFonts w:ascii="Arial" w:eastAsia="Times New Roman" w:hAnsi="Arial" w:cs="Arial"/>
          <w:sz w:val="24"/>
          <w:szCs w:val="24"/>
          <w:lang w:eastAsia="en-GB"/>
        </w:rPr>
        <w:t>the urgent implementation of</w:t>
      </w:r>
      <w:r w:rsidR="0067582F" w:rsidRPr="00F71301">
        <w:rPr>
          <w:rFonts w:ascii="Arial" w:eastAsia="Times New Roman" w:hAnsi="Arial" w:cs="Arial"/>
          <w:sz w:val="24"/>
          <w:szCs w:val="24"/>
          <w:lang w:eastAsia="en-GB"/>
        </w:rPr>
        <w:t xml:space="preserve"> the</w:t>
      </w:r>
      <w:r w:rsidRPr="00F71301">
        <w:rPr>
          <w:rFonts w:ascii="Arial" w:eastAsia="Times New Roman" w:hAnsi="Arial" w:cs="Arial"/>
          <w:sz w:val="24"/>
          <w:szCs w:val="24"/>
          <w:lang w:eastAsia="en-GB"/>
        </w:rPr>
        <w:t xml:space="preserve"> smallpox vaccination (</w:t>
      </w:r>
      <w:r w:rsidR="00A54F1F" w:rsidRPr="00F71301">
        <w:rPr>
          <w:rFonts w:ascii="Arial" w:eastAsia="Times New Roman" w:hAnsi="Arial" w:cs="Arial"/>
          <w:sz w:val="24"/>
          <w:szCs w:val="24"/>
          <w:lang w:eastAsia="en-GB"/>
        </w:rPr>
        <w:t>Welsh Assembly Government (WAG</w:t>
      </w:r>
      <w:r w:rsidRPr="00F71301">
        <w:rPr>
          <w:rFonts w:ascii="Arial" w:eastAsia="Times New Roman" w:hAnsi="Arial" w:cs="Arial"/>
          <w:sz w:val="24"/>
          <w:szCs w:val="24"/>
          <w:lang w:eastAsia="en-GB"/>
        </w:rPr>
        <w:t>)</w:t>
      </w:r>
      <w:r w:rsidR="00A54F1F" w:rsidRPr="00F71301">
        <w:rPr>
          <w:rFonts w:ascii="Arial" w:eastAsia="Times New Roman" w:hAnsi="Arial" w:cs="Arial"/>
          <w:sz w:val="24"/>
          <w:szCs w:val="24"/>
          <w:lang w:eastAsia="en-GB"/>
        </w:rPr>
        <w:t xml:space="preserve"> (2025)</w:t>
      </w:r>
      <w:r w:rsidRPr="00F71301">
        <w:rPr>
          <w:rFonts w:ascii="Arial" w:eastAsia="Times New Roman" w:hAnsi="Arial" w:cs="Arial"/>
          <w:sz w:val="24"/>
          <w:szCs w:val="24"/>
          <w:lang w:eastAsia="en-GB"/>
        </w:rPr>
        <w:t xml:space="preserve">. </w:t>
      </w:r>
      <w:r w:rsidR="00C27474" w:rsidRPr="00F71301">
        <w:rPr>
          <w:rFonts w:ascii="Arial" w:eastAsia="Times New Roman" w:hAnsi="Arial" w:cs="Arial"/>
          <w:sz w:val="24"/>
          <w:szCs w:val="24"/>
          <w:lang w:eastAsia="en-GB"/>
        </w:rPr>
        <w:t>I</w:t>
      </w:r>
      <w:r w:rsidR="00CD2F4F" w:rsidRPr="00F71301">
        <w:rPr>
          <w:rFonts w:ascii="Arial" w:eastAsia="Times New Roman" w:hAnsi="Arial" w:cs="Arial"/>
          <w:sz w:val="24"/>
          <w:szCs w:val="24"/>
          <w:lang w:eastAsia="en-GB"/>
        </w:rPr>
        <w:t>n 2023</w:t>
      </w:r>
      <w:r w:rsidRPr="00F71301">
        <w:rPr>
          <w:rFonts w:ascii="Arial" w:eastAsia="Times New Roman" w:hAnsi="Arial" w:cs="Arial"/>
          <w:sz w:val="24"/>
          <w:szCs w:val="24"/>
          <w:lang w:eastAsia="en-GB"/>
        </w:rPr>
        <w:t xml:space="preserve">, </w:t>
      </w:r>
      <w:r w:rsidR="00CD2F4F" w:rsidRPr="00F71301">
        <w:rPr>
          <w:rFonts w:ascii="Arial" w:eastAsia="Times New Roman" w:hAnsi="Arial" w:cs="Arial"/>
          <w:sz w:val="24"/>
          <w:szCs w:val="24"/>
          <w:lang w:eastAsia="en-GB"/>
        </w:rPr>
        <w:t xml:space="preserve">the </w:t>
      </w:r>
      <w:r w:rsidR="00CD2F4F" w:rsidRPr="00F71301">
        <w:rPr>
          <w:rFonts w:ascii="Arial" w:hAnsi="Arial" w:cs="Arial"/>
          <w:color w:val="0B0C0C"/>
          <w:sz w:val="24"/>
          <w:szCs w:val="24"/>
          <w:shd w:val="clear" w:color="auto" w:fill="FFFFFF"/>
        </w:rPr>
        <w:t>Joint Committee on Vaccination and Immunisation (</w:t>
      </w:r>
      <w:r w:rsidR="00CD2F4F" w:rsidRPr="00F71301">
        <w:rPr>
          <w:rFonts w:ascii="Arial" w:hAnsi="Arial" w:cs="Arial"/>
          <w:sz w:val="24"/>
          <w:szCs w:val="24"/>
        </w:rPr>
        <w:t>JCVI</w:t>
      </w:r>
      <w:r w:rsidR="00CD2F4F" w:rsidRPr="00F71301">
        <w:rPr>
          <w:rFonts w:ascii="Arial" w:hAnsi="Arial" w:cs="Arial"/>
          <w:color w:val="0B0C0C"/>
          <w:sz w:val="24"/>
          <w:szCs w:val="24"/>
          <w:shd w:val="clear" w:color="auto" w:fill="FFFFFF"/>
        </w:rPr>
        <w:t>)</w:t>
      </w:r>
      <w:r w:rsidR="00CD2F4F" w:rsidRPr="00F71301">
        <w:rPr>
          <w:rFonts w:ascii="Arial" w:eastAsia="Times New Roman" w:hAnsi="Arial" w:cs="Arial"/>
          <w:sz w:val="24"/>
          <w:szCs w:val="24"/>
          <w:lang w:eastAsia="en-GB"/>
        </w:rPr>
        <w:t xml:space="preserve"> issued advice on the use of the </w:t>
      </w:r>
      <w:proofErr w:type="spellStart"/>
      <w:r w:rsidR="00CD2F4F" w:rsidRPr="00F71301">
        <w:rPr>
          <w:rFonts w:ascii="Arial" w:eastAsia="Times New Roman" w:hAnsi="Arial" w:cs="Arial"/>
          <w:sz w:val="24"/>
          <w:szCs w:val="24"/>
          <w:lang w:eastAsia="en-GB"/>
        </w:rPr>
        <w:t>Meningoccocal</w:t>
      </w:r>
      <w:proofErr w:type="spellEnd"/>
      <w:r w:rsidR="00CD2F4F" w:rsidRPr="00F71301">
        <w:rPr>
          <w:rFonts w:ascii="Arial" w:eastAsia="Times New Roman" w:hAnsi="Arial" w:cs="Arial"/>
          <w:sz w:val="24"/>
          <w:szCs w:val="24"/>
          <w:lang w:eastAsia="en-GB"/>
        </w:rPr>
        <w:t xml:space="preserve"> B vaccine for the prevention of Gonorrhoea</w:t>
      </w:r>
      <w:r w:rsidR="00C278DE" w:rsidRPr="00F71301">
        <w:rPr>
          <w:rFonts w:ascii="Arial" w:hAnsi="Arial" w:cs="Arial"/>
          <w:sz w:val="24"/>
          <w:szCs w:val="24"/>
        </w:rPr>
        <w:t xml:space="preserve"> (Department of Health &amp; Social Care (DHSC) (2023)</w:t>
      </w:r>
      <w:r w:rsidR="00CD2F4F" w:rsidRPr="00F71301">
        <w:rPr>
          <w:rFonts w:ascii="Arial" w:eastAsia="Times New Roman" w:hAnsi="Arial" w:cs="Arial"/>
          <w:sz w:val="24"/>
          <w:szCs w:val="24"/>
          <w:lang w:eastAsia="en-GB"/>
        </w:rPr>
        <w:t xml:space="preserve">. WAG issued a letter and guidance on commencing routine vaccination against both Meningococcal B and </w:t>
      </w:r>
      <w:proofErr w:type="spellStart"/>
      <w:r w:rsidR="00CD2F4F" w:rsidRPr="00F71301">
        <w:rPr>
          <w:rFonts w:ascii="Arial" w:eastAsia="Times New Roman" w:hAnsi="Arial" w:cs="Arial"/>
          <w:sz w:val="24"/>
          <w:szCs w:val="24"/>
          <w:lang w:eastAsia="en-GB"/>
        </w:rPr>
        <w:t>MPox</w:t>
      </w:r>
      <w:proofErr w:type="spellEnd"/>
      <w:r w:rsidR="00CD2F4F" w:rsidRPr="00F71301">
        <w:rPr>
          <w:rFonts w:ascii="Arial" w:eastAsia="Times New Roman" w:hAnsi="Arial" w:cs="Arial"/>
          <w:sz w:val="24"/>
          <w:szCs w:val="24"/>
          <w:lang w:eastAsia="en-GB"/>
        </w:rPr>
        <w:t xml:space="preserve"> in June 2025 (WAG 2025).</w:t>
      </w:r>
      <w:r w:rsidRPr="00F71301">
        <w:rPr>
          <w:rFonts w:ascii="Arial" w:eastAsia="Times New Roman" w:hAnsi="Arial" w:cs="Arial"/>
          <w:sz w:val="24"/>
          <w:szCs w:val="24"/>
          <w:lang w:eastAsia="en-GB"/>
        </w:rPr>
        <w:t xml:space="preserve"> </w:t>
      </w:r>
    </w:p>
    <w:p w14:paraId="6ADAF553" w14:textId="77777777" w:rsidR="004F3F5C" w:rsidRPr="00F71301" w:rsidRDefault="004F3F5C" w:rsidP="004F3F5C">
      <w:pPr>
        <w:pStyle w:val="NormalWeb"/>
        <w:jc w:val="both"/>
        <w:rPr>
          <w:rFonts w:ascii="Arial" w:hAnsi="Arial" w:cs="Arial"/>
        </w:rPr>
      </w:pPr>
      <w:r w:rsidRPr="00F71301">
        <w:rPr>
          <w:rFonts w:ascii="Arial" w:hAnsi="Arial" w:cs="Arial"/>
        </w:rPr>
        <w:t xml:space="preserve">Although vaccinations are a routine part of a sexual health clinician’s daily role, challenges remain. </w:t>
      </w:r>
      <w:r w:rsidR="00C278DE" w:rsidRPr="00F71301">
        <w:rPr>
          <w:rFonts w:ascii="Arial" w:hAnsi="Arial" w:cs="Arial"/>
        </w:rPr>
        <w:t xml:space="preserve">Confidentiality has long been </w:t>
      </w:r>
      <w:r w:rsidR="00C27474" w:rsidRPr="00F71301">
        <w:rPr>
          <w:rFonts w:ascii="Arial" w:hAnsi="Arial" w:cs="Arial"/>
        </w:rPr>
        <w:t>central to</w:t>
      </w:r>
      <w:r w:rsidR="00C278DE" w:rsidRPr="00F71301">
        <w:rPr>
          <w:rFonts w:ascii="Arial" w:hAnsi="Arial" w:cs="Arial"/>
        </w:rPr>
        <w:t xml:space="preserve"> sexual health services, </w:t>
      </w:r>
      <w:r w:rsidR="00C278DE" w:rsidRPr="00F71301">
        <w:rPr>
          <w:rFonts w:ascii="Arial" w:hAnsi="Arial" w:cs="Arial"/>
        </w:rPr>
        <w:lastRenderedPageBreak/>
        <w:t>dating back to the Venereal Disease Act of 1917</w:t>
      </w:r>
      <w:r w:rsidR="00C27474" w:rsidRPr="00F71301">
        <w:rPr>
          <w:rFonts w:ascii="Arial" w:hAnsi="Arial" w:cs="Arial"/>
        </w:rPr>
        <w:t>, which offered anonymity beyond standard healthcare</w:t>
      </w:r>
      <w:r w:rsidR="00C278DE" w:rsidRPr="00F71301">
        <w:rPr>
          <w:rFonts w:ascii="Arial" w:hAnsi="Arial" w:cs="Arial"/>
        </w:rPr>
        <w:t xml:space="preserve"> (Parker et al 2014). Although the Act has since been repealed, organisations such as the British HIV Association (BHIVA) continue to </w:t>
      </w:r>
      <w:r w:rsidR="006374CA" w:rsidRPr="00F71301">
        <w:rPr>
          <w:rFonts w:ascii="Arial" w:hAnsi="Arial" w:cs="Arial"/>
        </w:rPr>
        <w:t>promote</w:t>
      </w:r>
      <w:r w:rsidR="00C278DE" w:rsidRPr="00F71301">
        <w:rPr>
          <w:rFonts w:ascii="Arial" w:hAnsi="Arial" w:cs="Arial"/>
        </w:rPr>
        <w:t xml:space="preserve"> the anonymisation of patient data within sexual health services (BHIVA 2015). Therefore, sexual health clinic records are kept separate from general practice and national immunisation databases. </w:t>
      </w:r>
      <w:r w:rsidR="00C27474" w:rsidRPr="00F71301">
        <w:rPr>
          <w:rFonts w:ascii="Arial" w:hAnsi="Arial" w:cs="Arial"/>
        </w:rPr>
        <w:t>T</w:t>
      </w:r>
      <w:r w:rsidRPr="00F71301">
        <w:rPr>
          <w:rFonts w:ascii="Arial" w:hAnsi="Arial" w:cs="Arial"/>
        </w:rPr>
        <w:t xml:space="preserve">his separation often results in incomplete or inaccessible vaccination histories, leading to situations where patients may miss doses or receive unnecessary repeat vaccinations because clinicians cannot </w:t>
      </w:r>
      <w:r w:rsidR="00C27474" w:rsidRPr="00F71301">
        <w:rPr>
          <w:rFonts w:ascii="Arial" w:hAnsi="Arial" w:cs="Arial"/>
        </w:rPr>
        <w:t>verify prior vaccines.</w:t>
      </w:r>
    </w:p>
    <w:p w14:paraId="6D025554" w14:textId="77777777" w:rsidR="004F3F5C" w:rsidRPr="00F71301" w:rsidRDefault="004F3F5C" w:rsidP="004F3F5C">
      <w:pPr>
        <w:pStyle w:val="NormalWeb"/>
        <w:jc w:val="both"/>
        <w:rPr>
          <w:rFonts w:ascii="Arial" w:hAnsi="Arial" w:cs="Arial"/>
        </w:rPr>
      </w:pPr>
      <w:r w:rsidRPr="00F71301">
        <w:rPr>
          <w:rFonts w:ascii="Arial" w:hAnsi="Arial" w:cs="Arial"/>
        </w:rPr>
        <w:t>In the current Swansea Bay sexual health system, vaccines administered are prone to documentation errors. The electronic record lacks built-in specific protocols, and the way vaccinations are logged can be confusing</w:t>
      </w:r>
      <w:r w:rsidR="00C27474" w:rsidRPr="00F71301">
        <w:rPr>
          <w:rFonts w:ascii="Arial" w:hAnsi="Arial" w:cs="Arial"/>
        </w:rPr>
        <w:t xml:space="preserve">. </w:t>
      </w:r>
      <w:r w:rsidRPr="00F71301">
        <w:rPr>
          <w:rFonts w:ascii="Arial" w:hAnsi="Arial" w:cs="Arial"/>
        </w:rPr>
        <w:t>As a result, clinicians must spend additional time reviewing notes to interpret vaccination details accurately.</w:t>
      </w:r>
    </w:p>
    <w:p w14:paraId="0D90722D" w14:textId="77777777" w:rsidR="004F3F5C" w:rsidRPr="00F71301" w:rsidRDefault="004F3F5C" w:rsidP="004F3F5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Sexual health services could improve the efficiency of vaccination programmes by introducing a secure and interoperable DVR that is accessible by patients</w:t>
      </w:r>
      <w:r w:rsidR="006374CA" w:rsidRPr="00F71301">
        <w:rPr>
          <w:rFonts w:ascii="Arial" w:eastAsia="Times New Roman" w:hAnsi="Arial" w:cs="Arial"/>
          <w:sz w:val="24"/>
          <w:szCs w:val="24"/>
          <w:lang w:eastAsia="en-GB"/>
        </w:rPr>
        <w:t>, bu</w:t>
      </w:r>
      <w:r w:rsidR="00C27474" w:rsidRPr="00F71301">
        <w:rPr>
          <w:rFonts w:ascii="Arial" w:eastAsia="Times New Roman" w:hAnsi="Arial" w:cs="Arial"/>
          <w:sz w:val="24"/>
          <w:szCs w:val="24"/>
          <w:lang w:eastAsia="en-GB"/>
        </w:rPr>
        <w:t>t separate to other NHS systems</w:t>
      </w:r>
      <w:r w:rsidRPr="00F71301">
        <w:rPr>
          <w:rFonts w:ascii="Arial" w:eastAsia="Times New Roman" w:hAnsi="Arial" w:cs="Arial"/>
          <w:sz w:val="24"/>
          <w:szCs w:val="24"/>
          <w:lang w:eastAsia="en-GB"/>
        </w:rPr>
        <w:t>.</w:t>
      </w:r>
    </w:p>
    <w:p w14:paraId="7978E928" w14:textId="77777777" w:rsidR="004F3F5C" w:rsidRPr="00F71301" w:rsidRDefault="009024CB" w:rsidP="004F3F5C">
      <w:pPr>
        <w:spacing w:before="100" w:beforeAutospacing="1" w:after="100" w:afterAutospacing="1" w:line="240" w:lineRule="auto"/>
        <w:jc w:val="both"/>
        <w:rPr>
          <w:rFonts w:ascii="Arial" w:hAnsi="Arial" w:cs="Arial"/>
          <w:sz w:val="24"/>
          <w:szCs w:val="24"/>
        </w:rPr>
      </w:pPr>
      <w:r w:rsidRPr="00F71301">
        <w:rPr>
          <w:rFonts w:ascii="Arial" w:hAnsi="Arial" w:cs="Arial"/>
          <w:sz w:val="24"/>
          <w:szCs w:val="24"/>
        </w:rPr>
        <w:t>Sexual health services</w:t>
      </w:r>
      <w:r w:rsidR="00CC34F8" w:rsidRPr="00F71301">
        <w:rPr>
          <w:rFonts w:ascii="Arial" w:hAnsi="Arial" w:cs="Arial"/>
          <w:sz w:val="24"/>
          <w:szCs w:val="24"/>
        </w:rPr>
        <w:t>’</w:t>
      </w:r>
      <w:r w:rsidRPr="00F71301">
        <w:rPr>
          <w:rFonts w:ascii="Arial" w:hAnsi="Arial" w:cs="Arial"/>
          <w:sz w:val="24"/>
          <w:szCs w:val="24"/>
        </w:rPr>
        <w:t xml:space="preserve"> </w:t>
      </w:r>
      <w:r w:rsidR="00CC34F8" w:rsidRPr="00F71301">
        <w:rPr>
          <w:rFonts w:ascii="Arial" w:hAnsi="Arial" w:cs="Arial"/>
          <w:sz w:val="24"/>
          <w:szCs w:val="24"/>
        </w:rPr>
        <w:t>contribution and effectiveness to public health</w:t>
      </w:r>
      <w:r w:rsidRPr="00F71301">
        <w:rPr>
          <w:rFonts w:ascii="Arial" w:hAnsi="Arial" w:cs="Arial"/>
          <w:sz w:val="24"/>
          <w:szCs w:val="24"/>
        </w:rPr>
        <w:t xml:space="preserve"> can be evaluated through the ‘</w:t>
      </w:r>
      <w:r w:rsidRPr="00F71301">
        <w:rPr>
          <w:rStyle w:val="Emphasis"/>
          <w:rFonts w:ascii="Arial" w:hAnsi="Arial" w:cs="Arial"/>
          <w:i w:val="0"/>
          <w:sz w:val="24"/>
          <w:szCs w:val="24"/>
        </w:rPr>
        <w:t>Quintuple Aim’</w:t>
      </w:r>
      <w:r w:rsidRPr="00F71301">
        <w:rPr>
          <w:rFonts w:ascii="Arial" w:hAnsi="Arial" w:cs="Arial"/>
          <w:sz w:val="24"/>
          <w:szCs w:val="24"/>
        </w:rPr>
        <w:t xml:space="preserve"> framework. </w:t>
      </w:r>
      <w:r w:rsidR="004F3F5C" w:rsidRPr="00F71301">
        <w:rPr>
          <w:rFonts w:ascii="Arial" w:hAnsi="Arial" w:cs="Arial"/>
          <w:sz w:val="24"/>
          <w:szCs w:val="24"/>
        </w:rPr>
        <w:t>In 2008, Berwick and colleagues introduced the concept of the ‘</w:t>
      </w:r>
      <w:r w:rsidR="004F3F5C" w:rsidRPr="00F71301">
        <w:rPr>
          <w:rStyle w:val="Emphasis"/>
          <w:rFonts w:ascii="Arial" w:hAnsi="Arial" w:cs="Arial"/>
          <w:i w:val="0"/>
          <w:sz w:val="24"/>
          <w:szCs w:val="24"/>
        </w:rPr>
        <w:t>Triple Aim’</w:t>
      </w:r>
      <w:r w:rsidR="004F3F5C" w:rsidRPr="00F71301">
        <w:rPr>
          <w:rFonts w:ascii="Arial" w:hAnsi="Arial" w:cs="Arial"/>
          <w:sz w:val="24"/>
          <w:szCs w:val="24"/>
        </w:rPr>
        <w:t xml:space="preserve"> for health improvement, which focused on three connected goals: improving population health, enhancing the patient care experience, and reducing healthcare costs (Berwick, Nolan &amp; Whittington 2008). Previously, these objectives were often viewed as conflicting. For example, enhancing patient experience was thought to lead to increased costs. In 2014, this framework expanded into the ‘</w:t>
      </w:r>
      <w:r w:rsidR="004F3F5C" w:rsidRPr="00F71301">
        <w:rPr>
          <w:rStyle w:val="Emphasis"/>
          <w:rFonts w:ascii="Arial" w:hAnsi="Arial" w:cs="Arial"/>
          <w:i w:val="0"/>
          <w:sz w:val="24"/>
          <w:szCs w:val="24"/>
        </w:rPr>
        <w:t>Quadruple Aim</w:t>
      </w:r>
      <w:r w:rsidR="004F3F5C" w:rsidRPr="00F71301">
        <w:rPr>
          <w:rStyle w:val="Emphasis"/>
          <w:rFonts w:ascii="Arial" w:hAnsi="Arial" w:cs="Arial"/>
          <w:sz w:val="24"/>
          <w:szCs w:val="24"/>
        </w:rPr>
        <w:t>’</w:t>
      </w:r>
      <w:r w:rsidR="004F3F5C" w:rsidRPr="00F71301">
        <w:rPr>
          <w:rFonts w:ascii="Arial" w:hAnsi="Arial" w:cs="Arial"/>
          <w:sz w:val="24"/>
          <w:szCs w:val="24"/>
        </w:rPr>
        <w:t>, recognising the importance of supporting healthcare workforce well-being and addressing ‘burnout’ (</w:t>
      </w:r>
      <w:proofErr w:type="spellStart"/>
      <w:r w:rsidR="004F3F5C" w:rsidRPr="00F71301">
        <w:rPr>
          <w:rFonts w:ascii="Arial" w:hAnsi="Arial" w:cs="Arial"/>
          <w:sz w:val="24"/>
          <w:szCs w:val="24"/>
        </w:rPr>
        <w:t>Bodenheimer</w:t>
      </w:r>
      <w:proofErr w:type="spellEnd"/>
      <w:r w:rsidR="004F3F5C" w:rsidRPr="00F71301">
        <w:rPr>
          <w:rFonts w:ascii="Arial" w:hAnsi="Arial" w:cs="Arial"/>
          <w:sz w:val="24"/>
          <w:szCs w:val="24"/>
        </w:rPr>
        <w:t xml:space="preserve"> &amp; </w:t>
      </w:r>
      <w:proofErr w:type="spellStart"/>
      <w:r w:rsidR="004F3F5C" w:rsidRPr="00F71301">
        <w:rPr>
          <w:rFonts w:ascii="Arial" w:hAnsi="Arial" w:cs="Arial"/>
          <w:sz w:val="24"/>
          <w:szCs w:val="24"/>
        </w:rPr>
        <w:t>Sinsky</w:t>
      </w:r>
      <w:proofErr w:type="spellEnd"/>
      <w:r w:rsidR="004F3F5C" w:rsidRPr="00F71301">
        <w:rPr>
          <w:rFonts w:ascii="Arial" w:hAnsi="Arial" w:cs="Arial"/>
          <w:sz w:val="24"/>
          <w:szCs w:val="24"/>
        </w:rPr>
        <w:t xml:space="preserve"> 2014). Most recently, in 2022, </w:t>
      </w:r>
      <w:proofErr w:type="spellStart"/>
      <w:r w:rsidR="004F3F5C" w:rsidRPr="00F71301">
        <w:rPr>
          <w:rFonts w:ascii="Arial" w:hAnsi="Arial" w:cs="Arial"/>
          <w:sz w:val="24"/>
          <w:szCs w:val="24"/>
        </w:rPr>
        <w:t>Nundy</w:t>
      </w:r>
      <w:proofErr w:type="spellEnd"/>
      <w:r w:rsidR="004F3F5C" w:rsidRPr="00F71301">
        <w:rPr>
          <w:rFonts w:ascii="Arial" w:hAnsi="Arial" w:cs="Arial"/>
          <w:sz w:val="24"/>
          <w:szCs w:val="24"/>
        </w:rPr>
        <w:t xml:space="preserve"> et al proposed the ‘</w:t>
      </w:r>
      <w:r w:rsidR="004F3F5C" w:rsidRPr="00F71301">
        <w:rPr>
          <w:rStyle w:val="Emphasis"/>
          <w:rFonts w:ascii="Arial" w:hAnsi="Arial" w:cs="Arial"/>
          <w:i w:val="0"/>
          <w:sz w:val="24"/>
          <w:szCs w:val="24"/>
        </w:rPr>
        <w:t>Quintuple Aim’</w:t>
      </w:r>
      <w:r w:rsidR="004F3F5C" w:rsidRPr="00F71301">
        <w:rPr>
          <w:rFonts w:ascii="Arial" w:hAnsi="Arial" w:cs="Arial"/>
          <w:sz w:val="24"/>
          <w:szCs w:val="24"/>
        </w:rPr>
        <w:t>, adding the advancement of health equity as a fifth element.</w:t>
      </w:r>
      <w:r w:rsidRPr="00F71301">
        <w:rPr>
          <w:rFonts w:ascii="Arial" w:hAnsi="Arial" w:cs="Arial"/>
          <w:sz w:val="24"/>
          <w:szCs w:val="24"/>
        </w:rPr>
        <w:t xml:space="preserve"> </w:t>
      </w:r>
    </w:p>
    <w:p w14:paraId="2E95A84E" w14:textId="77777777" w:rsidR="004F3F5C" w:rsidRPr="00F71301" w:rsidRDefault="004F3F5C" w:rsidP="004F3F5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hAnsi="Arial" w:cs="Arial"/>
          <w:sz w:val="24"/>
          <w:szCs w:val="24"/>
        </w:rPr>
        <w:t>The introduction of a DVR within sexual health services would contribute to all five aims of this framework</w:t>
      </w:r>
      <w:r w:rsidR="00D811F7" w:rsidRPr="00F71301">
        <w:rPr>
          <w:rFonts w:ascii="Arial" w:hAnsi="Arial" w:cs="Arial"/>
          <w:sz w:val="24"/>
          <w:szCs w:val="24"/>
        </w:rPr>
        <w:t xml:space="preserve"> and meeting every need identified by the sexual health service currently</w:t>
      </w:r>
      <w:r w:rsidRPr="00F71301">
        <w:rPr>
          <w:rFonts w:ascii="Arial" w:hAnsi="Arial" w:cs="Arial"/>
          <w:sz w:val="24"/>
          <w:szCs w:val="24"/>
        </w:rPr>
        <w:t xml:space="preserve">. </w:t>
      </w:r>
    </w:p>
    <w:p w14:paraId="3E668D15" w14:textId="77777777" w:rsidR="004F3F5C" w:rsidRPr="00F71301" w:rsidRDefault="004F3F5C" w:rsidP="004F3F5C">
      <w:pPr>
        <w:spacing w:before="100" w:beforeAutospacing="1" w:after="100" w:afterAutospacing="1" w:line="240" w:lineRule="auto"/>
        <w:outlineLvl w:val="2"/>
        <w:rPr>
          <w:rFonts w:ascii="Arial" w:eastAsia="Times New Roman" w:hAnsi="Arial" w:cs="Arial"/>
          <w:b/>
          <w:bCs/>
          <w:sz w:val="24"/>
          <w:szCs w:val="24"/>
          <w:lang w:eastAsia="en-GB"/>
        </w:rPr>
      </w:pPr>
      <w:r w:rsidRPr="00F71301">
        <w:rPr>
          <w:rFonts w:ascii="Arial" w:eastAsia="Times New Roman" w:hAnsi="Arial" w:cs="Arial"/>
          <w:b/>
          <w:bCs/>
          <w:sz w:val="24"/>
          <w:szCs w:val="24"/>
          <w:lang w:eastAsia="en-GB"/>
        </w:rPr>
        <w:t>1. Enhancing patient experience</w:t>
      </w:r>
    </w:p>
    <w:p w14:paraId="7F3F22CF" w14:textId="77777777" w:rsidR="004F3F5C" w:rsidRPr="00F71301" w:rsidRDefault="00CC34F8" w:rsidP="004F3F5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A</w:t>
      </w:r>
      <w:r w:rsidR="004F3F5C" w:rsidRPr="00F71301">
        <w:rPr>
          <w:rFonts w:ascii="Arial" w:eastAsia="Times New Roman" w:hAnsi="Arial" w:cs="Arial"/>
          <w:sz w:val="24"/>
          <w:szCs w:val="24"/>
          <w:lang w:eastAsia="en-GB"/>
        </w:rPr>
        <w:t xml:space="preserve"> DVR within Sexual Health services would ensure that patients benefit from clear, accessible vaccination records and reminders</w:t>
      </w:r>
      <w:r w:rsidR="00BA7CCA" w:rsidRPr="00F71301">
        <w:rPr>
          <w:rFonts w:ascii="Arial" w:eastAsia="Times New Roman" w:hAnsi="Arial" w:cs="Arial"/>
          <w:sz w:val="24"/>
          <w:szCs w:val="24"/>
          <w:lang w:eastAsia="en-GB"/>
        </w:rPr>
        <w:t>, possibly via a patient portal or app</w:t>
      </w:r>
      <w:r w:rsidR="004F3F5C" w:rsidRPr="00F71301">
        <w:rPr>
          <w:rFonts w:ascii="Arial" w:eastAsia="Times New Roman" w:hAnsi="Arial" w:cs="Arial"/>
          <w:sz w:val="24"/>
          <w:szCs w:val="24"/>
          <w:lang w:eastAsia="en-GB"/>
        </w:rPr>
        <w:t xml:space="preserve">. This would reduce confusion and empower the patient to take control of their own health. </w:t>
      </w:r>
      <w:r w:rsidR="00BA7CCA" w:rsidRPr="00F71301">
        <w:rPr>
          <w:rFonts w:ascii="Arial" w:eastAsia="Times New Roman" w:hAnsi="Arial" w:cs="Arial"/>
          <w:sz w:val="24"/>
          <w:szCs w:val="24"/>
          <w:lang w:eastAsia="en-GB"/>
        </w:rPr>
        <w:t>The current system does not a</w:t>
      </w:r>
      <w:r w:rsidRPr="00F71301">
        <w:rPr>
          <w:rFonts w:ascii="Arial" w:eastAsia="Times New Roman" w:hAnsi="Arial" w:cs="Arial"/>
          <w:sz w:val="24"/>
          <w:szCs w:val="24"/>
          <w:lang w:eastAsia="en-GB"/>
        </w:rPr>
        <w:t>llow for electronic ‘reminders’, and paper appointment cards are often lost</w:t>
      </w:r>
      <w:r w:rsidR="00BA7CCA" w:rsidRPr="00F71301">
        <w:rPr>
          <w:rFonts w:ascii="Arial" w:eastAsia="Times New Roman" w:hAnsi="Arial" w:cs="Arial"/>
          <w:sz w:val="24"/>
          <w:szCs w:val="24"/>
          <w:lang w:eastAsia="en-GB"/>
        </w:rPr>
        <w:t xml:space="preserve">. </w:t>
      </w:r>
      <w:r w:rsidR="00D674A7" w:rsidRPr="00F71301">
        <w:rPr>
          <w:rFonts w:ascii="Arial" w:eastAsia="Times New Roman" w:hAnsi="Arial" w:cs="Arial"/>
          <w:sz w:val="24"/>
          <w:szCs w:val="24"/>
          <w:lang w:eastAsia="en-GB"/>
        </w:rPr>
        <w:t>Additionally, p</w:t>
      </w:r>
      <w:r w:rsidR="004F3F5C" w:rsidRPr="00F71301">
        <w:rPr>
          <w:rFonts w:ascii="Arial" w:eastAsia="Times New Roman" w:hAnsi="Arial" w:cs="Arial"/>
          <w:sz w:val="24"/>
          <w:szCs w:val="24"/>
          <w:lang w:eastAsia="en-GB"/>
        </w:rPr>
        <w:t xml:space="preserve">atients </w:t>
      </w:r>
      <w:r w:rsidR="00D674A7" w:rsidRPr="00F71301">
        <w:rPr>
          <w:rFonts w:ascii="Arial" w:eastAsia="Times New Roman" w:hAnsi="Arial" w:cs="Arial"/>
          <w:sz w:val="24"/>
          <w:szCs w:val="24"/>
          <w:lang w:eastAsia="en-GB"/>
        </w:rPr>
        <w:t>who</w:t>
      </w:r>
      <w:r w:rsidR="004F3F5C" w:rsidRPr="00F71301">
        <w:rPr>
          <w:rFonts w:ascii="Arial" w:eastAsia="Times New Roman" w:hAnsi="Arial" w:cs="Arial"/>
          <w:sz w:val="24"/>
          <w:szCs w:val="24"/>
          <w:lang w:eastAsia="en-GB"/>
        </w:rPr>
        <w:t xml:space="preserve"> ‘clinic hop’- attending different clinics in different parts of the country</w:t>
      </w:r>
      <w:r w:rsidR="00D674A7" w:rsidRPr="00F71301">
        <w:rPr>
          <w:rFonts w:ascii="Arial" w:eastAsia="Times New Roman" w:hAnsi="Arial" w:cs="Arial"/>
          <w:sz w:val="24"/>
          <w:szCs w:val="24"/>
          <w:lang w:eastAsia="en-GB"/>
        </w:rPr>
        <w:t>, would be able</w:t>
      </w:r>
      <w:r w:rsidR="004F3F5C" w:rsidRPr="00F71301">
        <w:rPr>
          <w:rFonts w:ascii="Arial" w:eastAsia="Times New Roman" w:hAnsi="Arial" w:cs="Arial"/>
          <w:sz w:val="24"/>
          <w:szCs w:val="24"/>
          <w:lang w:eastAsia="en-GB"/>
        </w:rPr>
        <w:t xml:space="preserve"> to evidence what doses of which vaccine they have already received when attending different clinics. </w:t>
      </w:r>
      <w:r w:rsidRPr="00F71301">
        <w:rPr>
          <w:rFonts w:ascii="Arial" w:eastAsia="Times New Roman" w:hAnsi="Arial" w:cs="Arial"/>
          <w:sz w:val="24"/>
          <w:szCs w:val="24"/>
          <w:lang w:eastAsia="en-GB"/>
        </w:rPr>
        <w:t>Evidence</w:t>
      </w:r>
      <w:r w:rsidR="004F3F5C" w:rsidRPr="00F71301">
        <w:rPr>
          <w:rFonts w:ascii="Arial" w:eastAsia="Times New Roman" w:hAnsi="Arial" w:cs="Arial"/>
          <w:sz w:val="24"/>
          <w:szCs w:val="24"/>
          <w:lang w:eastAsia="en-GB"/>
        </w:rPr>
        <w:t xml:space="preserve"> suggest</w:t>
      </w:r>
      <w:r w:rsidRPr="00F71301">
        <w:rPr>
          <w:rFonts w:ascii="Arial" w:eastAsia="Times New Roman" w:hAnsi="Arial" w:cs="Arial"/>
          <w:sz w:val="24"/>
          <w:szCs w:val="24"/>
          <w:lang w:eastAsia="en-GB"/>
        </w:rPr>
        <w:t>s</w:t>
      </w:r>
      <w:r w:rsidR="004F3F5C" w:rsidRPr="00F71301">
        <w:rPr>
          <w:rFonts w:ascii="Arial" w:eastAsia="Times New Roman" w:hAnsi="Arial" w:cs="Arial"/>
          <w:sz w:val="24"/>
          <w:szCs w:val="24"/>
          <w:lang w:eastAsia="en-GB"/>
        </w:rPr>
        <w:t xml:space="preserve"> that access to personal health data increases trust and patient engagement in their own healthcare (</w:t>
      </w:r>
      <w:r w:rsidR="00D674A7" w:rsidRPr="00F71301">
        <w:rPr>
          <w:rFonts w:ascii="Arial" w:eastAsia="Times New Roman" w:hAnsi="Arial" w:cs="Arial"/>
          <w:sz w:val="24"/>
          <w:szCs w:val="24"/>
          <w:lang w:eastAsia="en-GB"/>
        </w:rPr>
        <w:t>Alomar et al 2024</w:t>
      </w:r>
      <w:r w:rsidR="004F3F5C" w:rsidRPr="00F71301">
        <w:rPr>
          <w:rFonts w:ascii="Arial" w:eastAsia="Times New Roman" w:hAnsi="Arial" w:cs="Arial"/>
          <w:sz w:val="24"/>
          <w:szCs w:val="24"/>
          <w:lang w:eastAsia="en-GB"/>
        </w:rPr>
        <w:t>).</w:t>
      </w:r>
    </w:p>
    <w:p w14:paraId="34276AA4" w14:textId="77777777" w:rsidR="004F3F5C" w:rsidRPr="00F71301" w:rsidRDefault="004F3F5C" w:rsidP="004F3F5C">
      <w:pPr>
        <w:spacing w:before="100" w:beforeAutospacing="1" w:after="100" w:afterAutospacing="1" w:line="240" w:lineRule="auto"/>
        <w:outlineLvl w:val="2"/>
        <w:rPr>
          <w:rFonts w:ascii="Arial" w:eastAsia="Times New Roman" w:hAnsi="Arial" w:cs="Arial"/>
          <w:b/>
          <w:bCs/>
          <w:sz w:val="24"/>
          <w:szCs w:val="24"/>
          <w:lang w:eastAsia="en-GB"/>
        </w:rPr>
      </w:pPr>
      <w:r w:rsidRPr="00F71301">
        <w:rPr>
          <w:rFonts w:ascii="Arial" w:eastAsia="Times New Roman" w:hAnsi="Arial" w:cs="Arial"/>
          <w:b/>
          <w:bCs/>
          <w:sz w:val="24"/>
          <w:szCs w:val="24"/>
          <w:lang w:eastAsia="en-GB"/>
        </w:rPr>
        <w:t>2. Improving population health</w:t>
      </w:r>
    </w:p>
    <w:p w14:paraId="6732F0C4" w14:textId="6412FBC5" w:rsidR="004F3F5C" w:rsidRPr="00F71301" w:rsidRDefault="002C4737" w:rsidP="004F3F5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hAnsi="Arial" w:cs="Arial"/>
          <w:sz w:val="24"/>
          <w:szCs w:val="24"/>
        </w:rPr>
        <w:t xml:space="preserve">Sexual health services directly contribute to </w:t>
      </w:r>
      <w:r w:rsidRPr="00F71301">
        <w:rPr>
          <w:rStyle w:val="Strong"/>
          <w:rFonts w:ascii="Arial" w:hAnsi="Arial" w:cs="Arial"/>
          <w:b w:val="0"/>
          <w:sz w:val="24"/>
          <w:szCs w:val="24"/>
        </w:rPr>
        <w:t>improving population health</w:t>
      </w:r>
      <w:r w:rsidRPr="00F71301">
        <w:rPr>
          <w:rFonts w:ascii="Arial" w:hAnsi="Arial" w:cs="Arial"/>
          <w:sz w:val="24"/>
          <w:szCs w:val="24"/>
        </w:rPr>
        <w:t xml:space="preserve"> by preventing and managing </w:t>
      </w:r>
      <w:r w:rsidR="00CC34F8" w:rsidRPr="00F71301">
        <w:rPr>
          <w:rFonts w:ascii="Arial" w:hAnsi="Arial" w:cs="Arial"/>
          <w:sz w:val="24"/>
          <w:szCs w:val="24"/>
        </w:rPr>
        <w:t>STIs</w:t>
      </w:r>
      <w:r w:rsidRPr="00F71301">
        <w:rPr>
          <w:rFonts w:ascii="Arial" w:hAnsi="Arial" w:cs="Arial"/>
          <w:sz w:val="24"/>
          <w:szCs w:val="24"/>
        </w:rPr>
        <w:t xml:space="preserve">, reducing unintended pregnancies, and promoting reproductive </w:t>
      </w:r>
      <w:r w:rsidRPr="00F71301">
        <w:rPr>
          <w:rFonts w:ascii="Arial" w:hAnsi="Arial" w:cs="Arial"/>
          <w:sz w:val="24"/>
          <w:szCs w:val="24"/>
        </w:rPr>
        <w:lastRenderedPageBreak/>
        <w:t>well-being. Screening, vaccination, and education initiatives are evidence-based strategies that improve health outcomes across communities. However, challenges remain, particularly regarding access and engagement among marginalise</w:t>
      </w:r>
      <w:r w:rsidR="00BA7CCA" w:rsidRPr="00F71301">
        <w:rPr>
          <w:rFonts w:ascii="Arial" w:hAnsi="Arial" w:cs="Arial"/>
          <w:sz w:val="24"/>
          <w:szCs w:val="24"/>
        </w:rPr>
        <w:t>d populations, such as young people</w:t>
      </w:r>
      <w:r w:rsidRPr="00F71301">
        <w:rPr>
          <w:rFonts w:ascii="Arial" w:hAnsi="Arial" w:cs="Arial"/>
          <w:sz w:val="24"/>
          <w:szCs w:val="24"/>
        </w:rPr>
        <w:t>, LGBTQ+ individuals, and ethnic minorities</w:t>
      </w:r>
      <w:r w:rsidR="0060469C">
        <w:rPr>
          <w:rFonts w:ascii="Arial" w:hAnsi="Arial" w:cs="Arial"/>
          <w:sz w:val="24"/>
          <w:szCs w:val="24"/>
        </w:rPr>
        <w:t>.</w:t>
      </w:r>
      <w:r w:rsidRPr="00F71301">
        <w:rPr>
          <w:rFonts w:ascii="Arial" w:hAnsi="Arial" w:cs="Arial"/>
          <w:sz w:val="24"/>
          <w:szCs w:val="24"/>
        </w:rPr>
        <w:t xml:space="preserve"> </w:t>
      </w:r>
      <w:r w:rsidR="004F3F5C" w:rsidRPr="00F71301">
        <w:rPr>
          <w:rFonts w:ascii="Arial" w:eastAsia="Times New Roman" w:hAnsi="Arial" w:cs="Arial"/>
          <w:sz w:val="24"/>
          <w:szCs w:val="24"/>
          <w:lang w:eastAsia="en-GB"/>
        </w:rPr>
        <w:t>A DVR allow</w:t>
      </w:r>
      <w:r w:rsidR="00CC34F8" w:rsidRPr="00F71301">
        <w:rPr>
          <w:rFonts w:ascii="Arial" w:eastAsia="Times New Roman" w:hAnsi="Arial" w:cs="Arial"/>
          <w:sz w:val="24"/>
          <w:szCs w:val="24"/>
          <w:lang w:eastAsia="en-GB"/>
        </w:rPr>
        <w:t>s</w:t>
      </w:r>
      <w:r w:rsidR="004F3F5C" w:rsidRPr="00F71301">
        <w:rPr>
          <w:rFonts w:ascii="Arial" w:eastAsia="Times New Roman" w:hAnsi="Arial" w:cs="Arial"/>
          <w:sz w:val="24"/>
          <w:szCs w:val="24"/>
          <w:lang w:eastAsia="en-GB"/>
        </w:rPr>
        <w:t xml:space="preserve"> real-time monitoring of vaccination coverage and gaps across populations</w:t>
      </w:r>
      <w:r w:rsidR="00CC34F8" w:rsidRPr="00F71301">
        <w:rPr>
          <w:rFonts w:ascii="Arial" w:eastAsia="Times New Roman" w:hAnsi="Arial" w:cs="Arial"/>
          <w:sz w:val="24"/>
          <w:szCs w:val="24"/>
          <w:lang w:eastAsia="en-GB"/>
        </w:rPr>
        <w:t>, and t</w:t>
      </w:r>
      <w:r w:rsidR="00BA7CCA" w:rsidRPr="00F71301">
        <w:rPr>
          <w:rFonts w:ascii="Arial" w:eastAsia="Times New Roman" w:hAnsi="Arial" w:cs="Arial"/>
          <w:sz w:val="24"/>
          <w:szCs w:val="24"/>
          <w:lang w:eastAsia="en-GB"/>
        </w:rPr>
        <w:t xml:space="preserve">hrough accurate coding, </w:t>
      </w:r>
      <w:r w:rsidR="004F3F5C" w:rsidRPr="00F71301">
        <w:rPr>
          <w:rFonts w:ascii="Arial" w:eastAsia="Times New Roman" w:hAnsi="Arial" w:cs="Arial"/>
          <w:sz w:val="24"/>
          <w:szCs w:val="24"/>
          <w:lang w:eastAsia="en-GB"/>
        </w:rPr>
        <w:t>would be able to identify at-risk groups</w:t>
      </w:r>
      <w:r w:rsidR="00CC34F8" w:rsidRPr="00F71301">
        <w:rPr>
          <w:rFonts w:ascii="Arial" w:eastAsia="Times New Roman" w:hAnsi="Arial" w:cs="Arial"/>
          <w:sz w:val="24"/>
          <w:szCs w:val="24"/>
          <w:lang w:eastAsia="en-GB"/>
        </w:rPr>
        <w:t xml:space="preserve">. </w:t>
      </w:r>
      <w:r w:rsidR="004F3F5C" w:rsidRPr="00F71301">
        <w:rPr>
          <w:rFonts w:ascii="Arial" w:eastAsia="Times New Roman" w:hAnsi="Arial" w:cs="Arial"/>
          <w:sz w:val="24"/>
          <w:szCs w:val="24"/>
          <w:lang w:eastAsia="en-GB"/>
        </w:rPr>
        <w:t>For example, evidence shows that MSM remain disproportionately affected by hepatitis B, yet vaccination uptake is often incomplete (</w:t>
      </w:r>
      <w:r w:rsidR="00BB0583" w:rsidRPr="00F71301">
        <w:rPr>
          <w:rFonts w:ascii="Arial" w:eastAsia="Times New Roman" w:hAnsi="Arial" w:cs="Arial"/>
          <w:sz w:val="24"/>
          <w:szCs w:val="24"/>
          <w:lang w:eastAsia="en-GB"/>
        </w:rPr>
        <w:t xml:space="preserve">Rhodes et al 2000; Marseille et al 2021; </w:t>
      </w:r>
      <w:r w:rsidR="004F3F5C" w:rsidRPr="00F71301">
        <w:rPr>
          <w:rFonts w:ascii="Arial" w:eastAsia="Times New Roman" w:hAnsi="Arial" w:cs="Arial"/>
          <w:sz w:val="24"/>
          <w:szCs w:val="24"/>
          <w:lang w:eastAsia="en-GB"/>
        </w:rPr>
        <w:t>Public Health England 202</w:t>
      </w:r>
      <w:r w:rsidR="00BB0583" w:rsidRPr="00F71301">
        <w:rPr>
          <w:rFonts w:ascii="Arial" w:eastAsia="Times New Roman" w:hAnsi="Arial" w:cs="Arial"/>
          <w:sz w:val="24"/>
          <w:szCs w:val="24"/>
          <w:lang w:eastAsia="en-GB"/>
        </w:rPr>
        <w:t>3</w:t>
      </w:r>
      <w:r w:rsidR="004F3F5C" w:rsidRPr="00F71301">
        <w:rPr>
          <w:rFonts w:ascii="Arial" w:eastAsia="Times New Roman" w:hAnsi="Arial" w:cs="Arial"/>
          <w:sz w:val="24"/>
          <w:szCs w:val="24"/>
          <w:lang w:eastAsia="en-GB"/>
        </w:rPr>
        <w:t>). A DVR would support targeted outreach and reduce the costs related to the treatment of disease.</w:t>
      </w:r>
    </w:p>
    <w:p w14:paraId="284B6B38" w14:textId="77777777" w:rsidR="004F3F5C" w:rsidRPr="00F71301" w:rsidRDefault="004F3F5C" w:rsidP="004F3F5C">
      <w:pPr>
        <w:spacing w:before="100" w:beforeAutospacing="1" w:after="100" w:afterAutospacing="1" w:line="240" w:lineRule="auto"/>
        <w:outlineLvl w:val="2"/>
        <w:rPr>
          <w:rFonts w:ascii="Arial" w:eastAsia="Times New Roman" w:hAnsi="Arial" w:cs="Arial"/>
          <w:b/>
          <w:bCs/>
          <w:sz w:val="24"/>
          <w:szCs w:val="24"/>
          <w:lang w:eastAsia="en-GB"/>
        </w:rPr>
      </w:pPr>
      <w:r w:rsidRPr="00F71301">
        <w:rPr>
          <w:rFonts w:ascii="Arial" w:eastAsia="Times New Roman" w:hAnsi="Arial" w:cs="Arial"/>
          <w:b/>
          <w:bCs/>
          <w:sz w:val="24"/>
          <w:szCs w:val="24"/>
          <w:lang w:eastAsia="en-GB"/>
        </w:rPr>
        <w:t>3. Reducing costs</w:t>
      </w:r>
    </w:p>
    <w:p w14:paraId="705CF8EA" w14:textId="08188C5B" w:rsidR="004F3F5C" w:rsidRPr="00F71301" w:rsidRDefault="004F3F5C" w:rsidP="004F3F5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Presently, </w:t>
      </w:r>
      <w:r w:rsidR="00CC34F8" w:rsidRPr="00F71301">
        <w:rPr>
          <w:rFonts w:ascii="Arial" w:eastAsia="Times New Roman" w:hAnsi="Arial" w:cs="Arial"/>
          <w:sz w:val="24"/>
          <w:szCs w:val="24"/>
          <w:lang w:eastAsia="en-GB"/>
        </w:rPr>
        <w:t>inadequate documentation</w:t>
      </w:r>
      <w:r w:rsidR="00BA7CCA" w:rsidRPr="00F71301">
        <w:rPr>
          <w:rFonts w:ascii="Arial" w:eastAsia="Times New Roman" w:hAnsi="Arial" w:cs="Arial"/>
          <w:sz w:val="24"/>
          <w:szCs w:val="24"/>
          <w:lang w:eastAsia="en-GB"/>
        </w:rPr>
        <w:t xml:space="preserve"> has led to </w:t>
      </w:r>
      <w:r w:rsidRPr="00F71301">
        <w:rPr>
          <w:rFonts w:ascii="Arial" w:eastAsia="Times New Roman" w:hAnsi="Arial" w:cs="Arial"/>
          <w:sz w:val="24"/>
          <w:szCs w:val="24"/>
          <w:lang w:eastAsia="en-GB"/>
        </w:rPr>
        <w:t xml:space="preserve">patients </w:t>
      </w:r>
      <w:r w:rsidR="00BA7CCA" w:rsidRPr="00F71301">
        <w:rPr>
          <w:rFonts w:ascii="Arial" w:eastAsia="Times New Roman" w:hAnsi="Arial" w:cs="Arial"/>
          <w:sz w:val="24"/>
          <w:szCs w:val="24"/>
          <w:lang w:eastAsia="en-GB"/>
        </w:rPr>
        <w:t>missing doses or having been</w:t>
      </w:r>
      <w:r w:rsidRPr="00F71301">
        <w:rPr>
          <w:rFonts w:ascii="Arial" w:eastAsia="Times New Roman" w:hAnsi="Arial" w:cs="Arial"/>
          <w:sz w:val="24"/>
          <w:szCs w:val="24"/>
          <w:lang w:eastAsia="en-GB"/>
        </w:rPr>
        <w:t xml:space="preserve"> given unnecessary repeat doses. Avoiding </w:t>
      </w:r>
      <w:r w:rsidR="00CC34F8" w:rsidRPr="00F71301">
        <w:rPr>
          <w:rFonts w:ascii="Arial" w:eastAsia="Times New Roman" w:hAnsi="Arial" w:cs="Arial"/>
          <w:sz w:val="24"/>
          <w:szCs w:val="24"/>
          <w:lang w:eastAsia="en-GB"/>
        </w:rPr>
        <w:t>duplication</w:t>
      </w:r>
      <w:r w:rsidRPr="00F71301">
        <w:rPr>
          <w:rFonts w:ascii="Arial" w:eastAsia="Times New Roman" w:hAnsi="Arial" w:cs="Arial"/>
          <w:sz w:val="24"/>
          <w:szCs w:val="24"/>
          <w:lang w:eastAsia="en-GB"/>
        </w:rPr>
        <w:t xml:space="preserve"> will save resources. In addition, </w:t>
      </w:r>
      <w:r w:rsidR="00CC34F8" w:rsidRPr="00F71301">
        <w:rPr>
          <w:rFonts w:ascii="Arial" w:eastAsia="Times New Roman" w:hAnsi="Arial" w:cs="Arial"/>
          <w:sz w:val="24"/>
          <w:szCs w:val="24"/>
          <w:lang w:eastAsia="en-GB"/>
        </w:rPr>
        <w:t xml:space="preserve">an easy to use, </w:t>
      </w:r>
      <w:r w:rsidRPr="00F71301">
        <w:rPr>
          <w:rFonts w:ascii="Arial" w:eastAsia="Times New Roman" w:hAnsi="Arial" w:cs="Arial"/>
          <w:sz w:val="24"/>
          <w:szCs w:val="24"/>
          <w:lang w:eastAsia="en-GB"/>
        </w:rPr>
        <w:t>streamlined digital system will save on administration time, allowing clinicians to focus on patient care (</w:t>
      </w:r>
      <w:proofErr w:type="spellStart"/>
      <w:r w:rsidR="00F747F8" w:rsidRPr="00F71301">
        <w:rPr>
          <w:rFonts w:ascii="Arial" w:eastAsia="Times New Roman" w:hAnsi="Arial" w:cs="Arial"/>
          <w:sz w:val="24"/>
          <w:szCs w:val="24"/>
          <w:lang w:eastAsia="en-GB"/>
        </w:rPr>
        <w:t>Gentili</w:t>
      </w:r>
      <w:proofErr w:type="spellEnd"/>
      <w:r w:rsidR="00F747F8" w:rsidRPr="00F71301">
        <w:rPr>
          <w:rFonts w:ascii="Arial" w:eastAsia="Times New Roman" w:hAnsi="Arial" w:cs="Arial"/>
          <w:sz w:val="24"/>
          <w:szCs w:val="24"/>
          <w:lang w:eastAsia="en-GB"/>
        </w:rPr>
        <w:t xml:space="preserve"> et al 2022</w:t>
      </w:r>
      <w:r w:rsidRPr="00F71301">
        <w:rPr>
          <w:rFonts w:ascii="Arial" w:eastAsia="Times New Roman" w:hAnsi="Arial" w:cs="Arial"/>
          <w:sz w:val="24"/>
          <w:szCs w:val="24"/>
          <w:lang w:eastAsia="en-GB"/>
        </w:rPr>
        <w:t xml:space="preserve">). </w:t>
      </w:r>
      <w:r w:rsidR="00CC34F8" w:rsidRPr="00F71301">
        <w:rPr>
          <w:rFonts w:ascii="Arial" w:eastAsia="Times New Roman" w:hAnsi="Arial" w:cs="Arial"/>
          <w:sz w:val="24"/>
          <w:szCs w:val="24"/>
          <w:lang w:eastAsia="en-GB"/>
        </w:rPr>
        <w:t>V</w:t>
      </w:r>
      <w:r w:rsidRPr="00F71301">
        <w:rPr>
          <w:rFonts w:ascii="Arial" w:eastAsia="Times New Roman" w:hAnsi="Arial" w:cs="Arial"/>
          <w:sz w:val="24"/>
          <w:szCs w:val="24"/>
          <w:lang w:eastAsia="en-GB"/>
        </w:rPr>
        <w:t>accination against diseases such as certain cancers (HPV), Hepatitis B and Gonorrhoea has been proven to reduce the long-term costs of the treatment of these disease</w:t>
      </w:r>
      <w:r w:rsidR="00B56BBA">
        <w:rPr>
          <w:rFonts w:ascii="Arial" w:eastAsia="Times New Roman" w:hAnsi="Arial" w:cs="Arial"/>
          <w:sz w:val="24"/>
          <w:szCs w:val="24"/>
          <w:lang w:eastAsia="en-GB"/>
        </w:rPr>
        <w:t>s</w:t>
      </w:r>
      <w:r w:rsidRPr="00F71301">
        <w:rPr>
          <w:rFonts w:ascii="Arial" w:eastAsia="Times New Roman" w:hAnsi="Arial" w:cs="Arial"/>
          <w:sz w:val="24"/>
          <w:szCs w:val="24"/>
          <w:lang w:eastAsia="en-GB"/>
        </w:rPr>
        <w:t xml:space="preserve"> (</w:t>
      </w:r>
      <w:r w:rsidR="00353DA7" w:rsidRPr="00F71301">
        <w:rPr>
          <w:rFonts w:ascii="Arial" w:eastAsia="Times New Roman" w:hAnsi="Arial" w:cs="Arial"/>
          <w:sz w:val="24"/>
          <w:szCs w:val="24"/>
          <w:lang w:eastAsia="en-GB"/>
        </w:rPr>
        <w:t>National Institute for Clinical Excellence (NICE) 2022</w:t>
      </w:r>
      <w:r w:rsidRPr="00F71301">
        <w:rPr>
          <w:rFonts w:ascii="Arial" w:eastAsia="Times New Roman" w:hAnsi="Arial" w:cs="Arial"/>
          <w:sz w:val="24"/>
          <w:szCs w:val="24"/>
          <w:lang w:eastAsia="en-GB"/>
        </w:rPr>
        <w:t>).</w:t>
      </w:r>
      <w:r w:rsidR="00BA7CCA" w:rsidRPr="00F71301">
        <w:rPr>
          <w:rFonts w:ascii="Arial" w:eastAsia="Times New Roman" w:hAnsi="Arial" w:cs="Arial"/>
          <w:sz w:val="24"/>
          <w:szCs w:val="24"/>
          <w:lang w:eastAsia="en-GB"/>
        </w:rPr>
        <w:t xml:space="preserve"> </w:t>
      </w:r>
      <w:r w:rsidR="00CC34F8" w:rsidRPr="00F71301">
        <w:rPr>
          <w:rFonts w:ascii="Arial" w:eastAsia="Times New Roman" w:hAnsi="Arial" w:cs="Arial"/>
          <w:sz w:val="24"/>
          <w:szCs w:val="24"/>
          <w:lang w:eastAsia="en-GB"/>
        </w:rPr>
        <w:t>E</w:t>
      </w:r>
      <w:r w:rsidR="00BA7CCA" w:rsidRPr="00F71301">
        <w:rPr>
          <w:rFonts w:ascii="Arial" w:eastAsia="Times New Roman" w:hAnsi="Arial" w:cs="Arial"/>
          <w:sz w:val="24"/>
          <w:szCs w:val="24"/>
          <w:lang w:eastAsia="en-GB"/>
        </w:rPr>
        <w:t xml:space="preserve">nsuring vaccine schedules are completed will lead to </w:t>
      </w:r>
      <w:r w:rsidR="00CC34F8" w:rsidRPr="00F71301">
        <w:rPr>
          <w:rFonts w:ascii="Arial" w:eastAsia="Times New Roman" w:hAnsi="Arial" w:cs="Arial"/>
          <w:sz w:val="24"/>
          <w:szCs w:val="24"/>
          <w:lang w:eastAsia="en-GB"/>
        </w:rPr>
        <w:t>significant</w:t>
      </w:r>
      <w:r w:rsidR="00BA7CCA" w:rsidRPr="00F71301">
        <w:rPr>
          <w:rFonts w:ascii="Arial" w:eastAsia="Times New Roman" w:hAnsi="Arial" w:cs="Arial"/>
          <w:sz w:val="24"/>
          <w:szCs w:val="24"/>
          <w:lang w:eastAsia="en-GB"/>
        </w:rPr>
        <w:t xml:space="preserve"> cost savings.</w:t>
      </w:r>
    </w:p>
    <w:p w14:paraId="39C62457" w14:textId="77777777" w:rsidR="004F3F5C" w:rsidRPr="00F71301" w:rsidRDefault="004F3F5C" w:rsidP="004F3F5C">
      <w:pPr>
        <w:spacing w:before="100" w:beforeAutospacing="1" w:after="100" w:afterAutospacing="1" w:line="240" w:lineRule="auto"/>
        <w:outlineLvl w:val="2"/>
        <w:rPr>
          <w:rFonts w:ascii="Arial" w:eastAsia="Times New Roman" w:hAnsi="Arial" w:cs="Arial"/>
          <w:b/>
          <w:bCs/>
          <w:sz w:val="24"/>
          <w:szCs w:val="24"/>
          <w:lang w:eastAsia="en-GB"/>
        </w:rPr>
      </w:pPr>
      <w:r w:rsidRPr="00F71301">
        <w:rPr>
          <w:rFonts w:ascii="Arial" w:eastAsia="Times New Roman" w:hAnsi="Arial" w:cs="Arial"/>
          <w:b/>
          <w:bCs/>
          <w:sz w:val="24"/>
          <w:szCs w:val="24"/>
          <w:lang w:eastAsia="en-GB"/>
        </w:rPr>
        <w:t>4. Supporting the healthcare workforce</w:t>
      </w:r>
    </w:p>
    <w:p w14:paraId="016CF6D9" w14:textId="4620787C" w:rsidR="004F3F5C" w:rsidRPr="00F71301" w:rsidRDefault="004F3F5C" w:rsidP="004F3F5C">
      <w:pPr>
        <w:spacing w:before="100" w:beforeAutospacing="1" w:after="100" w:afterAutospacing="1" w:line="240" w:lineRule="auto"/>
        <w:jc w:val="both"/>
        <w:rPr>
          <w:rFonts w:ascii="Arial" w:eastAsia="Times New Roman" w:hAnsi="Arial" w:cs="Arial"/>
          <w:sz w:val="24"/>
          <w:szCs w:val="24"/>
          <w:lang w:eastAsia="en-GB"/>
        </w:rPr>
      </w:pPr>
      <w:r w:rsidRPr="007334C7">
        <w:rPr>
          <w:rFonts w:ascii="Arial" w:eastAsia="Times New Roman" w:hAnsi="Arial" w:cs="Arial"/>
          <w:sz w:val="24"/>
          <w:szCs w:val="24"/>
          <w:lang w:eastAsia="en-GB"/>
        </w:rPr>
        <w:t xml:space="preserve">DVR’s are proven to reduce duplication of work, simplify documentation </w:t>
      </w:r>
      <w:r w:rsidR="007334C7" w:rsidRPr="007334C7">
        <w:rPr>
          <w:rFonts w:ascii="Arial" w:eastAsia="Times New Roman" w:hAnsi="Arial" w:cs="Arial"/>
          <w:sz w:val="24"/>
          <w:szCs w:val="24"/>
          <w:lang w:eastAsia="en-GB"/>
        </w:rPr>
        <w:t>(</w:t>
      </w:r>
      <w:proofErr w:type="spellStart"/>
      <w:r w:rsidR="007334C7" w:rsidRPr="007334C7">
        <w:rPr>
          <w:rFonts w:ascii="Arial" w:eastAsia="Times New Roman" w:hAnsi="Arial" w:cs="Arial"/>
          <w:sz w:val="24"/>
          <w:szCs w:val="24"/>
          <w:lang w:eastAsia="en-GB"/>
        </w:rPr>
        <w:t>Dombkowski</w:t>
      </w:r>
      <w:proofErr w:type="spellEnd"/>
      <w:r w:rsidR="007334C7" w:rsidRPr="007334C7">
        <w:rPr>
          <w:rFonts w:ascii="Arial" w:eastAsia="Times New Roman" w:hAnsi="Arial" w:cs="Arial"/>
          <w:sz w:val="24"/>
          <w:szCs w:val="24"/>
          <w:lang w:eastAsia="en-GB"/>
        </w:rPr>
        <w:t xml:space="preserve"> et al 2025) </w:t>
      </w:r>
      <w:r w:rsidRPr="00F71301">
        <w:rPr>
          <w:rFonts w:ascii="Arial" w:eastAsia="Times New Roman" w:hAnsi="Arial" w:cs="Arial"/>
          <w:sz w:val="24"/>
          <w:szCs w:val="24"/>
          <w:lang w:eastAsia="en-GB"/>
        </w:rPr>
        <w:t>and provide reassurance to the clinician that records are accurate and up to date. This supports staff wellbeing by reducing the stress, frustration and burnout frequently cited by clinicians (</w:t>
      </w:r>
      <w:r w:rsidR="00652107" w:rsidRPr="00F71301">
        <w:rPr>
          <w:rFonts w:ascii="Arial" w:eastAsia="Times New Roman" w:hAnsi="Arial" w:cs="Arial"/>
          <w:sz w:val="24"/>
          <w:szCs w:val="24"/>
          <w:lang w:eastAsia="en-GB"/>
        </w:rPr>
        <w:t>Kang &amp; Sarkar 2024)</w:t>
      </w:r>
      <w:r w:rsidRPr="00F71301">
        <w:rPr>
          <w:rFonts w:ascii="Arial" w:eastAsia="Times New Roman" w:hAnsi="Arial" w:cs="Arial"/>
          <w:sz w:val="24"/>
          <w:szCs w:val="24"/>
          <w:lang w:eastAsia="en-GB"/>
        </w:rPr>
        <w:t xml:space="preserve"> related to searching for the information through poor record-keeping systems and duplication of work.  </w:t>
      </w:r>
    </w:p>
    <w:p w14:paraId="4C46A31F" w14:textId="77777777" w:rsidR="004F3F5C" w:rsidRPr="00F71301" w:rsidRDefault="004F3F5C" w:rsidP="004F3F5C">
      <w:pPr>
        <w:spacing w:before="100" w:beforeAutospacing="1" w:after="100" w:afterAutospacing="1" w:line="240" w:lineRule="auto"/>
        <w:outlineLvl w:val="2"/>
        <w:rPr>
          <w:rFonts w:ascii="Arial" w:eastAsia="Times New Roman" w:hAnsi="Arial" w:cs="Arial"/>
          <w:b/>
          <w:bCs/>
          <w:sz w:val="24"/>
          <w:szCs w:val="24"/>
          <w:lang w:eastAsia="en-GB"/>
        </w:rPr>
      </w:pPr>
      <w:r w:rsidRPr="00F71301">
        <w:rPr>
          <w:rFonts w:ascii="Arial" w:eastAsia="Times New Roman" w:hAnsi="Arial" w:cs="Arial"/>
          <w:b/>
          <w:bCs/>
          <w:sz w:val="24"/>
          <w:szCs w:val="24"/>
          <w:lang w:eastAsia="en-GB"/>
        </w:rPr>
        <w:t>5. Advancing equity</w:t>
      </w:r>
    </w:p>
    <w:p w14:paraId="4CECB042" w14:textId="30CD32AF" w:rsidR="004F3F5C" w:rsidRPr="00F71301" w:rsidRDefault="004F3F5C" w:rsidP="004F3F5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Marginalised groups, including those who are not registered with a GP or who ‘clinic hop’ or move frequently between services, are at risk of under-vaccinat</w:t>
      </w:r>
      <w:r w:rsidR="00D710E7" w:rsidRPr="00F71301">
        <w:rPr>
          <w:rFonts w:ascii="Arial" w:eastAsia="Times New Roman" w:hAnsi="Arial" w:cs="Arial"/>
          <w:sz w:val="24"/>
          <w:szCs w:val="24"/>
          <w:lang w:eastAsia="en-GB"/>
        </w:rPr>
        <w:t>ion</w:t>
      </w:r>
      <w:r w:rsidRPr="00F71301">
        <w:rPr>
          <w:rFonts w:ascii="Arial" w:eastAsia="Times New Roman" w:hAnsi="Arial" w:cs="Arial"/>
          <w:sz w:val="24"/>
          <w:szCs w:val="24"/>
          <w:lang w:eastAsia="en-GB"/>
        </w:rPr>
        <w:t xml:space="preserve"> (</w:t>
      </w:r>
      <w:r w:rsidR="00394257" w:rsidRPr="00F71301">
        <w:rPr>
          <w:rFonts w:ascii="Arial" w:eastAsia="Times New Roman" w:hAnsi="Arial" w:cs="Arial"/>
          <w:sz w:val="24"/>
          <w:szCs w:val="24"/>
          <w:lang w:eastAsia="en-GB"/>
        </w:rPr>
        <w:t>Gillibrand et al 2024</w:t>
      </w:r>
      <w:r w:rsidRPr="00F71301">
        <w:rPr>
          <w:rFonts w:ascii="Arial" w:eastAsia="Times New Roman" w:hAnsi="Arial" w:cs="Arial"/>
          <w:sz w:val="24"/>
          <w:szCs w:val="24"/>
          <w:lang w:eastAsia="en-GB"/>
        </w:rPr>
        <w:t xml:space="preserve">). DVRs ensure continuity of care across settings, empowering patients who may </w:t>
      </w:r>
      <w:r w:rsidR="00D710E7" w:rsidRPr="00F71301">
        <w:rPr>
          <w:rFonts w:ascii="Arial" w:eastAsia="Times New Roman" w:hAnsi="Arial" w:cs="Arial"/>
          <w:sz w:val="24"/>
          <w:szCs w:val="24"/>
          <w:lang w:eastAsia="en-GB"/>
        </w:rPr>
        <w:t xml:space="preserve">be </w:t>
      </w:r>
      <w:r w:rsidRPr="00F71301">
        <w:rPr>
          <w:rFonts w:ascii="Arial" w:eastAsia="Times New Roman" w:hAnsi="Arial" w:cs="Arial"/>
          <w:sz w:val="24"/>
          <w:szCs w:val="24"/>
          <w:lang w:eastAsia="en-GB"/>
        </w:rPr>
        <w:t xml:space="preserve">otherwise </w:t>
      </w:r>
      <w:r w:rsidR="00D710E7" w:rsidRPr="00F71301">
        <w:rPr>
          <w:rFonts w:ascii="Arial" w:eastAsia="Times New Roman" w:hAnsi="Arial" w:cs="Arial"/>
          <w:sz w:val="24"/>
          <w:szCs w:val="24"/>
          <w:lang w:eastAsia="en-GB"/>
        </w:rPr>
        <w:t>overlooked</w:t>
      </w:r>
      <w:r w:rsidRPr="00F71301">
        <w:rPr>
          <w:rFonts w:ascii="Arial" w:eastAsia="Times New Roman" w:hAnsi="Arial" w:cs="Arial"/>
          <w:sz w:val="24"/>
          <w:szCs w:val="24"/>
          <w:lang w:eastAsia="en-GB"/>
        </w:rPr>
        <w:t xml:space="preserve">. </w:t>
      </w:r>
      <w:r w:rsidR="00D710E7" w:rsidRPr="00F71301">
        <w:rPr>
          <w:rFonts w:ascii="Arial" w:eastAsia="Times New Roman" w:hAnsi="Arial" w:cs="Arial"/>
          <w:sz w:val="24"/>
          <w:szCs w:val="24"/>
          <w:lang w:eastAsia="en-GB"/>
        </w:rPr>
        <w:t>C</w:t>
      </w:r>
      <w:r w:rsidRPr="00F71301">
        <w:rPr>
          <w:rFonts w:ascii="Arial" w:eastAsia="Times New Roman" w:hAnsi="Arial" w:cs="Arial"/>
          <w:sz w:val="24"/>
          <w:szCs w:val="24"/>
          <w:lang w:eastAsia="en-GB"/>
        </w:rPr>
        <w:t xml:space="preserve">apturing </w:t>
      </w:r>
      <w:r w:rsidR="00D710E7" w:rsidRPr="00F71301">
        <w:rPr>
          <w:rFonts w:ascii="Arial" w:eastAsia="Times New Roman" w:hAnsi="Arial" w:cs="Arial"/>
          <w:sz w:val="24"/>
          <w:szCs w:val="24"/>
          <w:lang w:eastAsia="en-GB"/>
        </w:rPr>
        <w:t>accurate</w:t>
      </w:r>
      <w:r w:rsidRPr="00F71301">
        <w:rPr>
          <w:rFonts w:ascii="Arial" w:eastAsia="Times New Roman" w:hAnsi="Arial" w:cs="Arial"/>
          <w:sz w:val="24"/>
          <w:szCs w:val="24"/>
          <w:lang w:eastAsia="en-GB"/>
        </w:rPr>
        <w:t xml:space="preserve"> surveillance data</w:t>
      </w:r>
      <w:r w:rsidR="00D710E7" w:rsidRPr="00F71301">
        <w:rPr>
          <w:rFonts w:ascii="Arial" w:eastAsia="Times New Roman" w:hAnsi="Arial" w:cs="Arial"/>
          <w:sz w:val="24"/>
          <w:szCs w:val="24"/>
          <w:lang w:eastAsia="en-GB"/>
        </w:rPr>
        <w:t xml:space="preserve"> can help</w:t>
      </w:r>
      <w:r w:rsidRPr="00F71301">
        <w:rPr>
          <w:rFonts w:ascii="Arial" w:eastAsia="Times New Roman" w:hAnsi="Arial" w:cs="Arial"/>
          <w:sz w:val="24"/>
          <w:szCs w:val="24"/>
          <w:lang w:eastAsia="en-GB"/>
        </w:rPr>
        <w:t xml:space="preserve"> services address disparities.</w:t>
      </w:r>
    </w:p>
    <w:p w14:paraId="2F32AAAC" w14:textId="77777777" w:rsidR="004F3F5C" w:rsidRPr="00F71301" w:rsidRDefault="004F3F5C" w:rsidP="004F3F5C">
      <w:pPr>
        <w:spacing w:before="100" w:beforeAutospacing="1" w:after="100" w:afterAutospacing="1" w:line="240" w:lineRule="auto"/>
        <w:rPr>
          <w:rFonts w:ascii="Arial" w:eastAsia="Times New Roman" w:hAnsi="Arial" w:cs="Arial"/>
          <w:sz w:val="24"/>
          <w:szCs w:val="24"/>
          <w:lang w:eastAsia="en-GB"/>
        </w:rPr>
      </w:pPr>
    </w:p>
    <w:p w14:paraId="45CA4207" w14:textId="77777777" w:rsidR="004F3F5C" w:rsidRPr="00F71301" w:rsidRDefault="00B47FC3" w:rsidP="00B47FC3">
      <w:pPr>
        <w:spacing w:before="100" w:beforeAutospacing="1" w:after="100" w:afterAutospacing="1" w:line="240" w:lineRule="auto"/>
        <w:jc w:val="center"/>
        <w:outlineLvl w:val="1"/>
        <w:rPr>
          <w:rFonts w:ascii="Arial" w:eastAsia="Times New Roman" w:hAnsi="Arial" w:cs="Arial"/>
          <w:b/>
          <w:bCs/>
          <w:sz w:val="24"/>
          <w:szCs w:val="24"/>
          <w:lang w:eastAsia="en-GB"/>
        </w:rPr>
      </w:pPr>
      <w:r w:rsidRPr="00F71301">
        <w:rPr>
          <w:rFonts w:ascii="Arial" w:eastAsia="Times New Roman" w:hAnsi="Arial" w:cs="Arial"/>
          <w:b/>
          <w:bCs/>
          <w:sz w:val="24"/>
          <w:szCs w:val="24"/>
          <w:lang w:eastAsia="en-GB"/>
        </w:rPr>
        <w:t>Assessing the DVR/</w:t>
      </w:r>
      <w:r w:rsidR="004F3F5C" w:rsidRPr="00F71301">
        <w:rPr>
          <w:rFonts w:ascii="Arial" w:eastAsia="Times New Roman" w:hAnsi="Arial" w:cs="Arial"/>
          <w:b/>
          <w:bCs/>
          <w:sz w:val="24"/>
          <w:szCs w:val="24"/>
          <w:lang w:eastAsia="en-GB"/>
        </w:rPr>
        <w:t>Modified Donabedian Framework</w:t>
      </w:r>
    </w:p>
    <w:p w14:paraId="7B53F38F" w14:textId="44709C71" w:rsidR="004F3F5C" w:rsidRPr="00F71301" w:rsidRDefault="00D710E7" w:rsidP="004F3F5C">
      <w:pPr>
        <w:spacing w:before="100" w:beforeAutospacing="1" w:after="100" w:afterAutospacing="1" w:line="240" w:lineRule="auto"/>
        <w:jc w:val="both"/>
        <w:outlineLvl w:val="1"/>
        <w:rPr>
          <w:rFonts w:ascii="Arial" w:hAnsi="Arial" w:cs="Arial"/>
          <w:sz w:val="24"/>
          <w:szCs w:val="24"/>
        </w:rPr>
      </w:pPr>
      <w:r w:rsidRPr="00F71301">
        <w:rPr>
          <w:rFonts w:ascii="Arial" w:hAnsi="Arial" w:cs="Arial"/>
          <w:sz w:val="24"/>
          <w:szCs w:val="24"/>
        </w:rPr>
        <w:t>Introducing</w:t>
      </w:r>
      <w:r w:rsidR="004F3F5C" w:rsidRPr="00F71301">
        <w:rPr>
          <w:rFonts w:ascii="Arial" w:hAnsi="Arial" w:cs="Arial"/>
          <w:sz w:val="24"/>
          <w:szCs w:val="24"/>
        </w:rPr>
        <w:t xml:space="preserve"> a digital vaccine record within sexual health services will require an assessment of its impact </w:t>
      </w:r>
      <w:r w:rsidR="0060469C">
        <w:rPr>
          <w:rFonts w:ascii="Arial" w:hAnsi="Arial" w:cs="Arial"/>
          <w:sz w:val="24"/>
          <w:szCs w:val="24"/>
        </w:rPr>
        <w:t>in relation to</w:t>
      </w:r>
      <w:r w:rsidR="004F3F5C" w:rsidRPr="00F71301">
        <w:rPr>
          <w:rFonts w:ascii="Arial" w:hAnsi="Arial" w:cs="Arial"/>
          <w:sz w:val="24"/>
          <w:szCs w:val="24"/>
        </w:rPr>
        <w:t xml:space="preserve"> quality, accessibility and safety. Evaluation</w:t>
      </w:r>
      <w:r w:rsidR="00B56BBA">
        <w:rPr>
          <w:rFonts w:ascii="Arial" w:hAnsi="Arial" w:cs="Arial"/>
          <w:sz w:val="24"/>
          <w:szCs w:val="24"/>
        </w:rPr>
        <w:t>s</w:t>
      </w:r>
      <w:r w:rsidR="004F3F5C" w:rsidRPr="00F71301">
        <w:rPr>
          <w:rFonts w:ascii="Arial" w:hAnsi="Arial" w:cs="Arial"/>
          <w:sz w:val="24"/>
          <w:szCs w:val="24"/>
        </w:rPr>
        <w:t xml:space="preserve"> help determine whether the system </w:t>
      </w:r>
      <w:r w:rsidR="00B56BBA">
        <w:rPr>
          <w:rFonts w:ascii="Arial" w:hAnsi="Arial" w:cs="Arial"/>
          <w:sz w:val="24"/>
          <w:szCs w:val="24"/>
        </w:rPr>
        <w:t>is in line</w:t>
      </w:r>
      <w:r w:rsidR="004F3F5C" w:rsidRPr="00F71301">
        <w:rPr>
          <w:rFonts w:ascii="Arial" w:hAnsi="Arial" w:cs="Arial"/>
          <w:sz w:val="24"/>
          <w:szCs w:val="24"/>
        </w:rPr>
        <w:t xml:space="preserve"> with </w:t>
      </w:r>
      <w:r w:rsidRPr="00F71301">
        <w:rPr>
          <w:rFonts w:ascii="Arial" w:hAnsi="Arial" w:cs="Arial"/>
          <w:sz w:val="24"/>
          <w:szCs w:val="24"/>
        </w:rPr>
        <w:t>national</w:t>
      </w:r>
      <w:r w:rsidR="004F3F5C" w:rsidRPr="00F71301">
        <w:rPr>
          <w:rFonts w:ascii="Arial" w:hAnsi="Arial" w:cs="Arial"/>
          <w:sz w:val="24"/>
          <w:szCs w:val="24"/>
        </w:rPr>
        <w:t xml:space="preserve"> goals and digital initiatives, and whether it enhances vaccination coverage and efficiency</w:t>
      </w:r>
      <w:r w:rsidR="00B56BBA">
        <w:rPr>
          <w:rFonts w:ascii="Arial" w:hAnsi="Arial" w:cs="Arial"/>
          <w:sz w:val="24"/>
          <w:szCs w:val="24"/>
        </w:rPr>
        <w:t>,</w:t>
      </w:r>
      <w:r w:rsidR="004F3F5C" w:rsidRPr="00F71301">
        <w:rPr>
          <w:rFonts w:ascii="Arial" w:hAnsi="Arial" w:cs="Arial"/>
          <w:sz w:val="24"/>
          <w:szCs w:val="24"/>
        </w:rPr>
        <w:t xml:space="preserve"> while protecting patient privacy and data security.  It also identifies barriers, such as digital inequ</w:t>
      </w:r>
      <w:r w:rsidR="00B56BBA">
        <w:rPr>
          <w:rFonts w:ascii="Arial" w:hAnsi="Arial" w:cs="Arial"/>
          <w:sz w:val="24"/>
          <w:szCs w:val="24"/>
        </w:rPr>
        <w:t>ali</w:t>
      </w:r>
      <w:r w:rsidR="004F3F5C" w:rsidRPr="00F71301">
        <w:rPr>
          <w:rFonts w:ascii="Arial" w:hAnsi="Arial" w:cs="Arial"/>
          <w:sz w:val="24"/>
          <w:szCs w:val="24"/>
        </w:rPr>
        <w:t xml:space="preserve">ties or technical issues, and ensures the </w:t>
      </w:r>
      <w:r w:rsidRPr="00F71301">
        <w:rPr>
          <w:rFonts w:ascii="Arial" w:hAnsi="Arial" w:cs="Arial"/>
          <w:sz w:val="24"/>
          <w:szCs w:val="24"/>
        </w:rPr>
        <w:t xml:space="preserve">support for </w:t>
      </w:r>
      <w:r w:rsidR="004F3F5C" w:rsidRPr="00F71301">
        <w:rPr>
          <w:rFonts w:ascii="Arial" w:hAnsi="Arial" w:cs="Arial"/>
          <w:sz w:val="24"/>
          <w:szCs w:val="24"/>
        </w:rPr>
        <w:t>patient-cent</w:t>
      </w:r>
      <w:r w:rsidR="000A0052" w:rsidRPr="00F71301">
        <w:rPr>
          <w:rFonts w:ascii="Arial" w:hAnsi="Arial" w:cs="Arial"/>
          <w:sz w:val="24"/>
          <w:szCs w:val="24"/>
        </w:rPr>
        <w:t>r</w:t>
      </w:r>
      <w:r w:rsidR="004F3F5C" w:rsidRPr="00F71301">
        <w:rPr>
          <w:rFonts w:ascii="Arial" w:hAnsi="Arial" w:cs="Arial"/>
          <w:sz w:val="24"/>
          <w:szCs w:val="24"/>
        </w:rPr>
        <w:t xml:space="preserve">ed care. </w:t>
      </w:r>
    </w:p>
    <w:p w14:paraId="5EB3C02A" w14:textId="77777777" w:rsidR="004F3F5C" w:rsidRPr="00F71301" w:rsidRDefault="004F3F5C" w:rsidP="004F3F5C">
      <w:pPr>
        <w:spacing w:before="100" w:beforeAutospacing="1" w:after="100" w:afterAutospacing="1" w:line="240" w:lineRule="auto"/>
        <w:jc w:val="both"/>
        <w:outlineLvl w:val="1"/>
        <w:rPr>
          <w:rFonts w:ascii="Arial" w:hAnsi="Arial" w:cs="Arial"/>
          <w:sz w:val="24"/>
          <w:szCs w:val="24"/>
        </w:rPr>
      </w:pPr>
      <w:r w:rsidRPr="00F71301">
        <w:rPr>
          <w:rFonts w:ascii="Arial" w:hAnsi="Arial" w:cs="Arial"/>
          <w:sz w:val="24"/>
          <w:szCs w:val="24"/>
        </w:rPr>
        <w:lastRenderedPageBreak/>
        <w:t xml:space="preserve">The Donabedian model </w:t>
      </w:r>
      <w:r w:rsidR="00D710E7" w:rsidRPr="00F71301">
        <w:rPr>
          <w:rFonts w:ascii="Arial" w:hAnsi="Arial" w:cs="Arial"/>
          <w:sz w:val="24"/>
          <w:szCs w:val="24"/>
        </w:rPr>
        <w:t xml:space="preserve">evaluates healthcare quality across three key categories: structure, process and outcomes. </w:t>
      </w:r>
      <w:r w:rsidR="00BD4FA7" w:rsidRPr="00F71301">
        <w:rPr>
          <w:rFonts w:ascii="Arial" w:hAnsi="Arial" w:cs="Arial"/>
          <w:sz w:val="24"/>
          <w:szCs w:val="24"/>
        </w:rPr>
        <w:t>(Berwick &amp; Fox 2016)</w:t>
      </w:r>
      <w:r w:rsidRPr="00F71301">
        <w:rPr>
          <w:rFonts w:ascii="Arial" w:hAnsi="Arial" w:cs="Arial"/>
          <w:sz w:val="24"/>
          <w:szCs w:val="24"/>
        </w:rPr>
        <w:t xml:space="preserve">. </w:t>
      </w:r>
      <w:r w:rsidR="00D710E7" w:rsidRPr="00F71301">
        <w:rPr>
          <w:rFonts w:ascii="Arial" w:hAnsi="Arial" w:cs="Arial"/>
          <w:sz w:val="24"/>
          <w:szCs w:val="24"/>
        </w:rPr>
        <w:t xml:space="preserve"> </w:t>
      </w:r>
      <w:r w:rsidRPr="00F71301">
        <w:rPr>
          <w:rFonts w:ascii="Arial" w:hAnsi="Arial" w:cs="Arial"/>
          <w:sz w:val="24"/>
          <w:szCs w:val="24"/>
        </w:rPr>
        <w:t>‘</w:t>
      </w:r>
      <w:r w:rsidR="00D710E7" w:rsidRPr="00F71301">
        <w:rPr>
          <w:rFonts w:ascii="Arial" w:hAnsi="Arial" w:cs="Arial"/>
          <w:sz w:val="24"/>
          <w:szCs w:val="24"/>
        </w:rPr>
        <w:t>S</w:t>
      </w:r>
      <w:r w:rsidRPr="00F71301">
        <w:rPr>
          <w:rFonts w:ascii="Arial" w:hAnsi="Arial" w:cs="Arial"/>
          <w:sz w:val="24"/>
          <w:szCs w:val="24"/>
        </w:rPr>
        <w:t xml:space="preserve">tructure’ refers to </w:t>
      </w:r>
      <w:r w:rsidR="00D710E7" w:rsidRPr="00F71301">
        <w:rPr>
          <w:rFonts w:ascii="Arial" w:hAnsi="Arial" w:cs="Arial"/>
          <w:sz w:val="24"/>
          <w:szCs w:val="24"/>
        </w:rPr>
        <w:t>the environment in which</w:t>
      </w:r>
      <w:r w:rsidRPr="00F71301">
        <w:rPr>
          <w:rFonts w:ascii="Arial" w:hAnsi="Arial" w:cs="Arial"/>
          <w:sz w:val="24"/>
          <w:szCs w:val="24"/>
        </w:rPr>
        <w:t xml:space="preserve"> care is provided</w:t>
      </w:r>
      <w:r w:rsidR="00D710E7" w:rsidRPr="00F71301">
        <w:rPr>
          <w:rFonts w:ascii="Arial" w:hAnsi="Arial" w:cs="Arial"/>
          <w:sz w:val="24"/>
          <w:szCs w:val="24"/>
        </w:rPr>
        <w:t>, including</w:t>
      </w:r>
      <w:r w:rsidRPr="00F71301">
        <w:rPr>
          <w:rFonts w:ascii="Arial" w:hAnsi="Arial" w:cs="Arial"/>
          <w:sz w:val="24"/>
          <w:szCs w:val="24"/>
        </w:rPr>
        <w:t xml:space="preserve"> hospital facilities, staffing, finances, and medical equipment. The ‘process’ aspect </w:t>
      </w:r>
      <w:r w:rsidR="00D710E7" w:rsidRPr="00F71301">
        <w:rPr>
          <w:rFonts w:ascii="Arial" w:hAnsi="Arial" w:cs="Arial"/>
          <w:sz w:val="24"/>
          <w:szCs w:val="24"/>
        </w:rPr>
        <w:t xml:space="preserve">relates to </w:t>
      </w:r>
      <w:r w:rsidRPr="00F71301">
        <w:rPr>
          <w:rFonts w:ascii="Arial" w:hAnsi="Arial" w:cs="Arial"/>
          <w:sz w:val="24"/>
          <w:szCs w:val="24"/>
        </w:rPr>
        <w:t xml:space="preserve">the interactions between patients and </w:t>
      </w:r>
      <w:r w:rsidR="00D710E7" w:rsidRPr="00F71301">
        <w:rPr>
          <w:rFonts w:ascii="Arial" w:hAnsi="Arial" w:cs="Arial"/>
          <w:sz w:val="24"/>
          <w:szCs w:val="24"/>
        </w:rPr>
        <w:t>clinicians</w:t>
      </w:r>
      <w:r w:rsidRPr="00F71301">
        <w:rPr>
          <w:rFonts w:ascii="Arial" w:hAnsi="Arial" w:cs="Arial"/>
          <w:sz w:val="24"/>
          <w:szCs w:val="24"/>
        </w:rPr>
        <w:t xml:space="preserve"> during the delivery of care</w:t>
      </w:r>
      <w:r w:rsidR="00D710E7" w:rsidRPr="00F71301">
        <w:rPr>
          <w:rFonts w:ascii="Arial" w:hAnsi="Arial" w:cs="Arial"/>
          <w:sz w:val="24"/>
          <w:szCs w:val="24"/>
        </w:rPr>
        <w:t>.</w:t>
      </w:r>
      <w:r w:rsidRPr="00F71301">
        <w:rPr>
          <w:rFonts w:ascii="Arial" w:hAnsi="Arial" w:cs="Arial"/>
          <w:sz w:val="24"/>
          <w:szCs w:val="24"/>
        </w:rPr>
        <w:t xml:space="preserve"> ‘</w:t>
      </w:r>
      <w:r w:rsidR="00D710E7" w:rsidRPr="00F71301">
        <w:rPr>
          <w:rFonts w:ascii="Arial" w:hAnsi="Arial" w:cs="Arial"/>
          <w:sz w:val="24"/>
          <w:szCs w:val="24"/>
        </w:rPr>
        <w:t>O</w:t>
      </w:r>
      <w:r w:rsidRPr="00F71301">
        <w:rPr>
          <w:rFonts w:ascii="Arial" w:hAnsi="Arial" w:cs="Arial"/>
          <w:sz w:val="24"/>
          <w:szCs w:val="24"/>
        </w:rPr>
        <w:t>utcomes’ measure the effects o</w:t>
      </w:r>
      <w:r w:rsidR="00C70274" w:rsidRPr="00F71301">
        <w:rPr>
          <w:rFonts w:ascii="Arial" w:hAnsi="Arial" w:cs="Arial"/>
          <w:sz w:val="24"/>
          <w:szCs w:val="24"/>
        </w:rPr>
        <w:t>f healthcare on</w:t>
      </w:r>
      <w:r w:rsidRPr="00F71301">
        <w:rPr>
          <w:rFonts w:ascii="Arial" w:hAnsi="Arial" w:cs="Arial"/>
          <w:sz w:val="24"/>
          <w:szCs w:val="24"/>
        </w:rPr>
        <w:t xml:space="preserve"> health status </w:t>
      </w:r>
      <w:r w:rsidR="00C70274" w:rsidRPr="00F71301">
        <w:rPr>
          <w:rFonts w:ascii="Arial" w:hAnsi="Arial" w:cs="Arial"/>
          <w:sz w:val="24"/>
          <w:szCs w:val="24"/>
        </w:rPr>
        <w:t>at</w:t>
      </w:r>
      <w:r w:rsidRPr="00F71301">
        <w:rPr>
          <w:rFonts w:ascii="Arial" w:hAnsi="Arial" w:cs="Arial"/>
          <w:sz w:val="24"/>
          <w:szCs w:val="24"/>
        </w:rPr>
        <w:t xml:space="preserve"> individual and population</w:t>
      </w:r>
      <w:r w:rsidR="00C70274" w:rsidRPr="00F71301">
        <w:rPr>
          <w:rFonts w:ascii="Arial" w:hAnsi="Arial" w:cs="Arial"/>
          <w:sz w:val="24"/>
          <w:szCs w:val="24"/>
        </w:rPr>
        <w:t xml:space="preserve"> levels</w:t>
      </w:r>
      <w:r w:rsidR="00BD4FA7" w:rsidRPr="00F71301">
        <w:rPr>
          <w:rFonts w:ascii="Arial" w:hAnsi="Arial" w:cs="Arial"/>
          <w:sz w:val="24"/>
          <w:szCs w:val="24"/>
        </w:rPr>
        <w:t xml:space="preserve"> (Donabedian 1966)</w:t>
      </w:r>
      <w:r w:rsidRPr="00F71301">
        <w:rPr>
          <w:rFonts w:ascii="Arial" w:hAnsi="Arial" w:cs="Arial"/>
          <w:sz w:val="24"/>
          <w:szCs w:val="24"/>
        </w:rPr>
        <w:t>. Although other frameworks exist for evaluating healthcare quality, the Donabedian model remains the most widely used</w:t>
      </w:r>
      <w:r w:rsidR="00C70274" w:rsidRPr="00F71301">
        <w:rPr>
          <w:rFonts w:ascii="Arial" w:hAnsi="Arial" w:cs="Arial"/>
          <w:sz w:val="24"/>
          <w:szCs w:val="24"/>
        </w:rPr>
        <w:t xml:space="preserve"> </w:t>
      </w:r>
      <w:r w:rsidRPr="00F71301">
        <w:rPr>
          <w:rFonts w:ascii="Arial" w:hAnsi="Arial" w:cs="Arial"/>
          <w:sz w:val="24"/>
          <w:szCs w:val="24"/>
        </w:rPr>
        <w:t>(</w:t>
      </w:r>
      <w:r w:rsidR="004A6237" w:rsidRPr="00F71301">
        <w:rPr>
          <w:rFonts w:ascii="Arial" w:hAnsi="Arial" w:cs="Arial"/>
          <w:sz w:val="24"/>
          <w:szCs w:val="24"/>
        </w:rPr>
        <w:t>Berwick &amp; Fox 2016</w:t>
      </w:r>
      <w:r w:rsidRPr="00F71301">
        <w:rPr>
          <w:rFonts w:ascii="Arial" w:hAnsi="Arial" w:cs="Arial"/>
          <w:sz w:val="24"/>
          <w:szCs w:val="24"/>
        </w:rPr>
        <w:t>).</w:t>
      </w:r>
    </w:p>
    <w:p w14:paraId="30DFF7FB" w14:textId="77777777" w:rsidR="004F3F5C" w:rsidRPr="00F71301" w:rsidRDefault="0067582F" w:rsidP="004F3F5C">
      <w:pPr>
        <w:spacing w:before="100" w:beforeAutospacing="1" w:after="100" w:afterAutospacing="1" w:line="240" w:lineRule="auto"/>
        <w:jc w:val="both"/>
        <w:outlineLvl w:val="1"/>
        <w:rPr>
          <w:rFonts w:ascii="Arial" w:hAnsi="Arial" w:cs="Arial"/>
          <w:sz w:val="24"/>
          <w:szCs w:val="24"/>
        </w:rPr>
      </w:pPr>
      <w:r w:rsidRPr="00F71301">
        <w:rPr>
          <w:rFonts w:ascii="Arial" w:hAnsi="Arial" w:cs="Arial"/>
          <w:sz w:val="24"/>
          <w:szCs w:val="24"/>
        </w:rPr>
        <w:t>Applying the Donabedian model to the introduction of a DVR</w:t>
      </w:r>
      <w:r w:rsidR="00D244F4" w:rsidRPr="00F71301">
        <w:rPr>
          <w:rFonts w:ascii="Arial" w:hAnsi="Arial" w:cs="Arial"/>
          <w:sz w:val="24"/>
          <w:szCs w:val="24"/>
        </w:rPr>
        <w:t>, as per Figure 1,</w:t>
      </w:r>
      <w:r w:rsidRPr="00F71301">
        <w:rPr>
          <w:rFonts w:ascii="Arial" w:hAnsi="Arial" w:cs="Arial"/>
          <w:sz w:val="24"/>
          <w:szCs w:val="24"/>
        </w:rPr>
        <w:t xml:space="preserve"> will allow for a structured approach to planning, implementation and evaluation. </w:t>
      </w:r>
    </w:p>
    <w:p w14:paraId="1B39212B" w14:textId="77777777" w:rsidR="00132511" w:rsidRPr="00F71301" w:rsidRDefault="00132511" w:rsidP="004F3F5C">
      <w:pPr>
        <w:spacing w:before="100" w:beforeAutospacing="1" w:after="100" w:afterAutospacing="1" w:line="240" w:lineRule="auto"/>
        <w:jc w:val="both"/>
        <w:outlineLvl w:val="1"/>
        <w:rPr>
          <w:rFonts w:ascii="Arial" w:eastAsia="Times New Roman" w:hAnsi="Arial" w:cs="Arial"/>
          <w:b/>
          <w:bCs/>
          <w:sz w:val="24"/>
          <w:szCs w:val="24"/>
          <w:lang w:eastAsia="en-GB"/>
        </w:rPr>
      </w:pPr>
      <w:r w:rsidRPr="00F71301">
        <w:rPr>
          <w:rFonts w:ascii="Arial" w:hAnsi="Arial" w:cs="Arial"/>
          <w:noProof/>
          <w:sz w:val="24"/>
          <w:szCs w:val="24"/>
          <w:lang w:eastAsia="en-GB"/>
        </w:rPr>
        <w:drawing>
          <wp:inline distT="0" distB="0" distL="0" distR="0" wp14:anchorId="7B7EF4F6" wp14:editId="5088835E">
            <wp:extent cx="5731510" cy="3820795"/>
            <wp:effectExtent l="0" t="0" r="7874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79BA1EF2" w14:textId="77777777" w:rsidR="0046135B" w:rsidRPr="00F71301" w:rsidRDefault="0046135B" w:rsidP="0046135B">
      <w:pPr>
        <w:spacing w:before="100" w:beforeAutospacing="1" w:after="100" w:afterAutospacing="1" w:line="240" w:lineRule="auto"/>
        <w:ind w:left="720"/>
        <w:jc w:val="both"/>
        <w:outlineLvl w:val="1"/>
        <w:rPr>
          <w:rFonts w:ascii="Arial" w:hAnsi="Arial" w:cs="Arial"/>
          <w:i/>
          <w:sz w:val="24"/>
          <w:szCs w:val="24"/>
        </w:rPr>
      </w:pPr>
      <w:r w:rsidRPr="00F71301">
        <w:rPr>
          <w:rFonts w:ascii="Arial" w:hAnsi="Arial" w:cs="Arial"/>
          <w:i/>
          <w:sz w:val="24"/>
          <w:szCs w:val="24"/>
        </w:rPr>
        <w:t>Figure. 1: Example of a Donabedian Model for the introduction of a DVR</w:t>
      </w:r>
    </w:p>
    <w:p w14:paraId="7442302F" w14:textId="77777777" w:rsidR="0046135B" w:rsidRPr="00F71301" w:rsidRDefault="0046135B" w:rsidP="004F3F5C">
      <w:pPr>
        <w:spacing w:before="100" w:beforeAutospacing="1" w:after="100" w:afterAutospacing="1" w:line="240" w:lineRule="auto"/>
        <w:jc w:val="both"/>
        <w:outlineLvl w:val="1"/>
        <w:rPr>
          <w:rFonts w:ascii="Arial" w:eastAsia="Times New Roman" w:hAnsi="Arial" w:cs="Arial"/>
          <w:b/>
          <w:bCs/>
          <w:sz w:val="24"/>
          <w:szCs w:val="24"/>
          <w:lang w:eastAsia="en-GB"/>
        </w:rPr>
      </w:pPr>
    </w:p>
    <w:p w14:paraId="2A3F6819" w14:textId="77777777" w:rsidR="0067582F" w:rsidRPr="00F71301" w:rsidRDefault="0067582F" w:rsidP="0067582F">
      <w:pPr>
        <w:pStyle w:val="NormalWeb"/>
        <w:rPr>
          <w:rFonts w:ascii="Arial" w:hAnsi="Arial" w:cs="Arial"/>
        </w:rPr>
      </w:pPr>
      <w:r w:rsidRPr="00F71301">
        <w:rPr>
          <w:rStyle w:val="Strong"/>
          <w:rFonts w:ascii="Arial" w:hAnsi="Arial" w:cs="Arial"/>
        </w:rPr>
        <w:t>Structure</w:t>
      </w:r>
    </w:p>
    <w:p w14:paraId="5D8945A5" w14:textId="77777777" w:rsidR="0067582F" w:rsidRPr="00F71301" w:rsidRDefault="0067582F" w:rsidP="00895238">
      <w:pPr>
        <w:pStyle w:val="NormalWeb"/>
        <w:jc w:val="both"/>
        <w:rPr>
          <w:rFonts w:ascii="Arial" w:hAnsi="Arial" w:cs="Arial"/>
        </w:rPr>
      </w:pPr>
      <w:r w:rsidRPr="00F71301">
        <w:rPr>
          <w:rFonts w:ascii="Arial" w:hAnsi="Arial" w:cs="Arial"/>
        </w:rPr>
        <w:t xml:space="preserve">The structural dimension of the Donabedian Model focuses on the physical and organisational infrastructure necessary to support change. Introducing a digital vaccine record would require secure digital platforms capable of integrating with existing sexual health electronic health record systems. Adequate investment in </w:t>
      </w:r>
      <w:r w:rsidR="006249BC" w:rsidRPr="00F71301">
        <w:rPr>
          <w:rFonts w:ascii="Arial" w:hAnsi="Arial" w:cs="Arial"/>
        </w:rPr>
        <w:t>technology/software</w:t>
      </w:r>
      <w:r w:rsidRPr="00F71301">
        <w:rPr>
          <w:rFonts w:ascii="Arial" w:hAnsi="Arial" w:cs="Arial"/>
        </w:rPr>
        <w:t xml:space="preserve">, cybersecurity, and </w:t>
      </w:r>
      <w:r w:rsidR="006249BC" w:rsidRPr="00F71301">
        <w:rPr>
          <w:rFonts w:ascii="Arial" w:hAnsi="Arial" w:cs="Arial"/>
        </w:rPr>
        <w:t xml:space="preserve">development of </w:t>
      </w:r>
      <w:r w:rsidRPr="00F71301">
        <w:rPr>
          <w:rFonts w:ascii="Arial" w:hAnsi="Arial" w:cs="Arial"/>
        </w:rPr>
        <w:t xml:space="preserve">governance policies would be fundamental. </w:t>
      </w:r>
      <w:r w:rsidR="00B23518" w:rsidRPr="00F71301">
        <w:rPr>
          <w:rFonts w:ascii="Arial" w:hAnsi="Arial" w:cs="Arial"/>
        </w:rPr>
        <w:t>Policies must</w:t>
      </w:r>
      <w:r w:rsidR="006249BC" w:rsidRPr="00F71301">
        <w:rPr>
          <w:rFonts w:ascii="Arial" w:hAnsi="Arial" w:cs="Arial"/>
        </w:rPr>
        <w:t xml:space="preserve"> ensure data security, patient consent and compliance with existing regulations such as adherence to the Data Protection Act (2018) and data quality standards such as SNOMED-CT (Systematized Nomenclature of Medicine—Clinical Terms) and HL7-FHIR (Fast Healthcare Interoperability Resources), which </w:t>
      </w:r>
      <w:r w:rsidR="006249BC" w:rsidRPr="00F71301">
        <w:rPr>
          <w:rFonts w:ascii="Arial" w:hAnsi="Arial" w:cs="Arial"/>
        </w:rPr>
        <w:lastRenderedPageBreak/>
        <w:t>were both mandated by the WAG in Welsh Health Circulars (WAG 2015; WAG 2023).   In addition</w:t>
      </w:r>
      <w:r w:rsidRPr="00F71301">
        <w:rPr>
          <w:rFonts w:ascii="Arial" w:hAnsi="Arial" w:cs="Arial"/>
        </w:rPr>
        <w:t xml:space="preserve">, staff training and digital literacy would </w:t>
      </w:r>
      <w:r w:rsidR="006249BC" w:rsidRPr="00F71301">
        <w:rPr>
          <w:rFonts w:ascii="Arial" w:hAnsi="Arial" w:cs="Arial"/>
        </w:rPr>
        <w:t xml:space="preserve">be </w:t>
      </w:r>
      <w:r w:rsidRPr="00F71301">
        <w:rPr>
          <w:rFonts w:ascii="Arial" w:hAnsi="Arial" w:cs="Arial"/>
        </w:rPr>
        <w:t>a key part of the structure</w:t>
      </w:r>
      <w:r w:rsidR="00B23518" w:rsidRPr="00F71301">
        <w:rPr>
          <w:rFonts w:ascii="Arial" w:hAnsi="Arial" w:cs="Arial"/>
        </w:rPr>
        <w:t xml:space="preserve"> to ensure </w:t>
      </w:r>
      <w:r w:rsidRPr="00F71301">
        <w:rPr>
          <w:rFonts w:ascii="Arial" w:hAnsi="Arial" w:cs="Arial"/>
        </w:rPr>
        <w:t xml:space="preserve">that clinicians and administrative staff are competent in using the system. </w:t>
      </w:r>
    </w:p>
    <w:p w14:paraId="7641BE7A" w14:textId="77777777" w:rsidR="0067582F" w:rsidRPr="00F71301" w:rsidRDefault="0067582F" w:rsidP="00895238">
      <w:pPr>
        <w:pStyle w:val="NormalWeb"/>
        <w:jc w:val="both"/>
        <w:rPr>
          <w:rFonts w:ascii="Arial" w:hAnsi="Arial" w:cs="Arial"/>
        </w:rPr>
      </w:pPr>
      <w:r w:rsidRPr="00F71301">
        <w:rPr>
          <w:rFonts w:ascii="Arial" w:hAnsi="Arial" w:cs="Arial"/>
        </w:rPr>
        <w:t xml:space="preserve">Leadership and </w:t>
      </w:r>
      <w:r w:rsidR="00B23518" w:rsidRPr="00F71301">
        <w:rPr>
          <w:rFonts w:ascii="Arial" w:hAnsi="Arial" w:cs="Arial"/>
        </w:rPr>
        <w:t>collaboration with</w:t>
      </w:r>
      <w:r w:rsidRPr="00F71301">
        <w:rPr>
          <w:rFonts w:ascii="Arial" w:hAnsi="Arial" w:cs="Arial"/>
        </w:rPr>
        <w:t xml:space="preserve"> stakeholders such as WAG and Public Health Wales (PHW)</w:t>
      </w:r>
      <w:r w:rsidR="004D6D09" w:rsidRPr="00F71301">
        <w:rPr>
          <w:rFonts w:ascii="Arial" w:hAnsi="Arial" w:cs="Arial"/>
        </w:rPr>
        <w:t xml:space="preserve"> would be essential</w:t>
      </w:r>
      <w:r w:rsidR="00B23518" w:rsidRPr="00F71301">
        <w:rPr>
          <w:rFonts w:ascii="Arial" w:hAnsi="Arial" w:cs="Arial"/>
        </w:rPr>
        <w:t xml:space="preserve"> </w:t>
      </w:r>
      <w:r w:rsidRPr="00F71301">
        <w:rPr>
          <w:rFonts w:ascii="Arial" w:hAnsi="Arial" w:cs="Arial"/>
        </w:rPr>
        <w:t xml:space="preserve">to </w:t>
      </w:r>
      <w:r w:rsidR="004D6D09" w:rsidRPr="00F71301">
        <w:rPr>
          <w:rFonts w:ascii="Arial" w:hAnsi="Arial" w:cs="Arial"/>
        </w:rPr>
        <w:t>ensure</w:t>
      </w:r>
      <w:r w:rsidR="009C6AE5" w:rsidRPr="00F71301">
        <w:rPr>
          <w:rFonts w:ascii="Arial" w:hAnsi="Arial" w:cs="Arial"/>
        </w:rPr>
        <w:t xml:space="preserve"> the</w:t>
      </w:r>
      <w:r w:rsidRPr="00F71301">
        <w:rPr>
          <w:rFonts w:ascii="Arial" w:hAnsi="Arial" w:cs="Arial"/>
        </w:rPr>
        <w:t xml:space="preserve"> national standards for interoperability</w:t>
      </w:r>
      <w:r w:rsidR="004D6D09" w:rsidRPr="00F71301">
        <w:rPr>
          <w:rFonts w:ascii="Arial" w:hAnsi="Arial" w:cs="Arial"/>
        </w:rPr>
        <w:t xml:space="preserve"> are met</w:t>
      </w:r>
      <w:r w:rsidRPr="00F71301">
        <w:rPr>
          <w:rFonts w:ascii="Arial" w:hAnsi="Arial" w:cs="Arial"/>
        </w:rPr>
        <w:t xml:space="preserve">, ensuring seamless information sharing across care settings. </w:t>
      </w:r>
      <w:r w:rsidR="00B23518" w:rsidRPr="00F71301">
        <w:rPr>
          <w:rFonts w:ascii="Arial" w:hAnsi="Arial" w:cs="Arial"/>
        </w:rPr>
        <w:t>A</w:t>
      </w:r>
      <w:r w:rsidR="004D6D09" w:rsidRPr="00F71301">
        <w:rPr>
          <w:rFonts w:ascii="Arial" w:hAnsi="Arial" w:cs="Arial"/>
        </w:rPr>
        <w:t xml:space="preserve"> strong</w:t>
      </w:r>
      <w:r w:rsidRPr="00F71301">
        <w:rPr>
          <w:rFonts w:ascii="Arial" w:hAnsi="Arial" w:cs="Arial"/>
        </w:rPr>
        <w:t xml:space="preserve"> structural foundation </w:t>
      </w:r>
      <w:r w:rsidR="004D6D09" w:rsidRPr="00F71301">
        <w:rPr>
          <w:rFonts w:ascii="Arial" w:hAnsi="Arial" w:cs="Arial"/>
        </w:rPr>
        <w:t xml:space="preserve">will </w:t>
      </w:r>
      <w:r w:rsidR="00B23518" w:rsidRPr="00F71301">
        <w:rPr>
          <w:rFonts w:ascii="Arial" w:hAnsi="Arial" w:cs="Arial"/>
        </w:rPr>
        <w:t>support</w:t>
      </w:r>
      <w:r w:rsidRPr="00F71301">
        <w:rPr>
          <w:rFonts w:ascii="Arial" w:hAnsi="Arial" w:cs="Arial"/>
        </w:rPr>
        <w:t xml:space="preserve"> effective delivery of the digital vaccine record.</w:t>
      </w:r>
    </w:p>
    <w:p w14:paraId="533551F8" w14:textId="77777777" w:rsidR="0067582F" w:rsidRPr="00F71301" w:rsidRDefault="0067582F" w:rsidP="0067582F">
      <w:pPr>
        <w:pStyle w:val="NormalWeb"/>
        <w:rPr>
          <w:rFonts w:ascii="Arial" w:hAnsi="Arial" w:cs="Arial"/>
        </w:rPr>
      </w:pPr>
      <w:r w:rsidRPr="00F71301">
        <w:rPr>
          <w:rStyle w:val="Strong"/>
          <w:rFonts w:ascii="Arial" w:hAnsi="Arial" w:cs="Arial"/>
        </w:rPr>
        <w:t>Process</w:t>
      </w:r>
    </w:p>
    <w:p w14:paraId="3F96767A" w14:textId="77777777" w:rsidR="0067582F" w:rsidRPr="00F71301" w:rsidRDefault="003A2F11" w:rsidP="00895238">
      <w:pPr>
        <w:pStyle w:val="NormalWeb"/>
        <w:jc w:val="both"/>
        <w:rPr>
          <w:rFonts w:ascii="Arial" w:hAnsi="Arial" w:cs="Arial"/>
        </w:rPr>
      </w:pPr>
      <w:r w:rsidRPr="00F71301">
        <w:rPr>
          <w:rFonts w:ascii="Arial" w:hAnsi="Arial" w:cs="Arial"/>
        </w:rPr>
        <w:t>The process dimension</w:t>
      </w:r>
      <w:r w:rsidR="0067582F" w:rsidRPr="00F71301">
        <w:rPr>
          <w:rFonts w:ascii="Arial" w:hAnsi="Arial" w:cs="Arial"/>
        </w:rPr>
        <w:t xml:space="preserve"> concerns </w:t>
      </w:r>
      <w:r w:rsidRPr="00F71301">
        <w:rPr>
          <w:rFonts w:ascii="Arial" w:hAnsi="Arial" w:cs="Arial"/>
        </w:rPr>
        <w:t>how</w:t>
      </w:r>
      <w:r w:rsidR="0067582F" w:rsidRPr="00F71301">
        <w:rPr>
          <w:rFonts w:ascii="Arial" w:hAnsi="Arial" w:cs="Arial"/>
        </w:rPr>
        <w:t xml:space="preserve"> healthcare is delivered. </w:t>
      </w:r>
      <w:r w:rsidRPr="00F71301">
        <w:rPr>
          <w:rFonts w:ascii="Arial" w:hAnsi="Arial" w:cs="Arial"/>
        </w:rPr>
        <w:t>Introducing</w:t>
      </w:r>
      <w:r w:rsidR="0067582F" w:rsidRPr="00F71301">
        <w:rPr>
          <w:rFonts w:ascii="Arial" w:hAnsi="Arial" w:cs="Arial"/>
        </w:rPr>
        <w:t xml:space="preserve"> a digital vaccine record would transform workflows</w:t>
      </w:r>
      <w:r w:rsidRPr="00F71301">
        <w:rPr>
          <w:rFonts w:ascii="Arial" w:hAnsi="Arial" w:cs="Arial"/>
        </w:rPr>
        <w:t>.</w:t>
      </w:r>
      <w:r w:rsidR="0067582F" w:rsidRPr="00F71301">
        <w:rPr>
          <w:rFonts w:ascii="Arial" w:hAnsi="Arial" w:cs="Arial"/>
        </w:rPr>
        <w:t xml:space="preserve"> Initially, </w:t>
      </w:r>
      <w:r w:rsidR="004D6D09" w:rsidRPr="00F71301">
        <w:rPr>
          <w:rFonts w:ascii="Arial" w:hAnsi="Arial" w:cs="Arial"/>
        </w:rPr>
        <w:t>a pilot scheme</w:t>
      </w:r>
      <w:r w:rsidR="0067582F" w:rsidRPr="00F71301">
        <w:rPr>
          <w:rFonts w:ascii="Arial" w:hAnsi="Arial" w:cs="Arial"/>
        </w:rPr>
        <w:t xml:space="preserve"> could be introduced in selected clinics to test usability</w:t>
      </w:r>
      <w:r w:rsidRPr="00F71301">
        <w:rPr>
          <w:rFonts w:ascii="Arial" w:hAnsi="Arial" w:cs="Arial"/>
        </w:rPr>
        <w:t>.</w:t>
      </w:r>
      <w:r w:rsidR="004D6D09" w:rsidRPr="00F71301">
        <w:rPr>
          <w:rFonts w:ascii="Arial" w:hAnsi="Arial" w:cs="Arial"/>
        </w:rPr>
        <w:t xml:space="preserve"> I</w:t>
      </w:r>
      <w:r w:rsidR="0067582F" w:rsidRPr="00F71301">
        <w:rPr>
          <w:rFonts w:ascii="Arial" w:hAnsi="Arial" w:cs="Arial"/>
        </w:rPr>
        <w:t>mprovements</w:t>
      </w:r>
      <w:r w:rsidR="004D6D09" w:rsidRPr="00F71301">
        <w:rPr>
          <w:rFonts w:ascii="Arial" w:hAnsi="Arial" w:cs="Arial"/>
        </w:rPr>
        <w:t xml:space="preserve"> and adjustments can then be made</w:t>
      </w:r>
      <w:r w:rsidR="0067582F" w:rsidRPr="00F71301">
        <w:rPr>
          <w:rFonts w:ascii="Arial" w:hAnsi="Arial" w:cs="Arial"/>
        </w:rPr>
        <w:t xml:space="preserve"> based on feedback</w:t>
      </w:r>
      <w:r w:rsidR="004D6D09" w:rsidRPr="00F71301">
        <w:rPr>
          <w:rFonts w:ascii="Arial" w:hAnsi="Arial" w:cs="Arial"/>
        </w:rPr>
        <w:t xml:space="preserve"> before the system goes ‘live’</w:t>
      </w:r>
      <w:r w:rsidR="00EC1C3B" w:rsidRPr="00F71301">
        <w:rPr>
          <w:rFonts w:ascii="Arial" w:hAnsi="Arial" w:cs="Arial"/>
        </w:rPr>
        <w:t xml:space="preserve"> and to ensure the system fits with the clinical workflow</w:t>
      </w:r>
      <w:r w:rsidR="0067582F" w:rsidRPr="00F71301">
        <w:rPr>
          <w:rFonts w:ascii="Arial" w:hAnsi="Arial" w:cs="Arial"/>
        </w:rPr>
        <w:t>.</w:t>
      </w:r>
      <w:r w:rsidR="00D244F4" w:rsidRPr="00F71301">
        <w:rPr>
          <w:rFonts w:ascii="Arial" w:hAnsi="Arial" w:cs="Arial"/>
        </w:rPr>
        <w:t xml:space="preserve"> The project manager would need to consider digital literacy of staff and resistance to change as</w:t>
      </w:r>
      <w:r w:rsidR="0067582F" w:rsidRPr="00F71301">
        <w:rPr>
          <w:rFonts w:ascii="Arial" w:hAnsi="Arial" w:cs="Arial"/>
        </w:rPr>
        <w:t xml:space="preserve"> </w:t>
      </w:r>
      <w:r w:rsidR="00D244F4" w:rsidRPr="00F71301">
        <w:rPr>
          <w:rFonts w:ascii="Arial" w:hAnsi="Arial" w:cs="Arial"/>
        </w:rPr>
        <w:t>s</w:t>
      </w:r>
      <w:r w:rsidR="0067582F" w:rsidRPr="00F71301">
        <w:rPr>
          <w:rFonts w:ascii="Arial" w:hAnsi="Arial" w:cs="Arial"/>
        </w:rPr>
        <w:t>taff would need to adapt to new protocols</w:t>
      </w:r>
      <w:r w:rsidR="00EC1C3B" w:rsidRPr="00F71301">
        <w:rPr>
          <w:rFonts w:ascii="Arial" w:hAnsi="Arial" w:cs="Arial"/>
        </w:rPr>
        <w:t>.</w:t>
      </w:r>
    </w:p>
    <w:p w14:paraId="0A4C08EE" w14:textId="77777777" w:rsidR="0067582F" w:rsidRPr="00F71301" w:rsidRDefault="00EC1C3B" w:rsidP="00895238">
      <w:pPr>
        <w:pStyle w:val="NormalWeb"/>
        <w:jc w:val="both"/>
        <w:rPr>
          <w:rFonts w:ascii="Arial" w:hAnsi="Arial" w:cs="Arial"/>
        </w:rPr>
      </w:pPr>
      <w:r w:rsidRPr="00F71301">
        <w:rPr>
          <w:rFonts w:ascii="Arial" w:hAnsi="Arial" w:cs="Arial"/>
        </w:rPr>
        <w:t>A</w:t>
      </w:r>
      <w:r w:rsidR="0067582F" w:rsidRPr="00F71301">
        <w:rPr>
          <w:rFonts w:ascii="Arial" w:hAnsi="Arial" w:cs="Arial"/>
        </w:rPr>
        <w:t>utomated reminders for vaccine doses</w:t>
      </w:r>
      <w:r w:rsidR="004D6D09" w:rsidRPr="00F71301">
        <w:rPr>
          <w:rFonts w:ascii="Arial" w:hAnsi="Arial" w:cs="Arial"/>
        </w:rPr>
        <w:t xml:space="preserve"> and</w:t>
      </w:r>
      <w:r w:rsidR="0067582F" w:rsidRPr="00F71301">
        <w:rPr>
          <w:rFonts w:ascii="Arial" w:hAnsi="Arial" w:cs="Arial"/>
        </w:rPr>
        <w:t xml:space="preserve"> </w:t>
      </w:r>
      <w:r w:rsidR="004D6D09" w:rsidRPr="00F71301">
        <w:rPr>
          <w:rFonts w:ascii="Arial" w:hAnsi="Arial" w:cs="Arial"/>
        </w:rPr>
        <w:t xml:space="preserve">possible </w:t>
      </w:r>
      <w:r w:rsidR="0067582F" w:rsidRPr="00F71301">
        <w:rPr>
          <w:rFonts w:ascii="Arial" w:hAnsi="Arial" w:cs="Arial"/>
        </w:rPr>
        <w:t xml:space="preserve">integration with apps would </w:t>
      </w:r>
      <w:r w:rsidR="004D6D09" w:rsidRPr="00F71301">
        <w:rPr>
          <w:rFonts w:ascii="Arial" w:hAnsi="Arial" w:cs="Arial"/>
        </w:rPr>
        <w:t>ensure</w:t>
      </w:r>
      <w:r w:rsidR="0067582F" w:rsidRPr="00F71301">
        <w:rPr>
          <w:rFonts w:ascii="Arial" w:hAnsi="Arial" w:cs="Arial"/>
        </w:rPr>
        <w:t xml:space="preserve"> better communication and </w:t>
      </w:r>
      <w:r w:rsidR="004D6D09" w:rsidRPr="00F71301">
        <w:rPr>
          <w:rFonts w:ascii="Arial" w:hAnsi="Arial" w:cs="Arial"/>
        </w:rPr>
        <w:t>continuity</w:t>
      </w:r>
      <w:r w:rsidR="0067582F" w:rsidRPr="00F71301">
        <w:rPr>
          <w:rFonts w:ascii="Arial" w:hAnsi="Arial" w:cs="Arial"/>
        </w:rPr>
        <w:t xml:space="preserve"> of care. Patients could access their vaccination history through NHS digital portals, increasing engagement and self-management. </w:t>
      </w:r>
      <w:r w:rsidRPr="00F71301">
        <w:rPr>
          <w:rFonts w:ascii="Arial" w:hAnsi="Arial" w:cs="Arial"/>
        </w:rPr>
        <w:t>During the tra</w:t>
      </w:r>
      <w:r w:rsidR="0067582F" w:rsidRPr="00F71301">
        <w:rPr>
          <w:rFonts w:ascii="Arial" w:hAnsi="Arial" w:cs="Arial"/>
        </w:rPr>
        <w:t xml:space="preserve">nsition phase, </w:t>
      </w:r>
      <w:r w:rsidR="004D6D09" w:rsidRPr="00F71301">
        <w:rPr>
          <w:rFonts w:ascii="Arial" w:hAnsi="Arial" w:cs="Arial"/>
        </w:rPr>
        <w:t>both the old and new</w:t>
      </w:r>
      <w:r w:rsidR="0067582F" w:rsidRPr="00F71301">
        <w:rPr>
          <w:rFonts w:ascii="Arial" w:hAnsi="Arial" w:cs="Arial"/>
        </w:rPr>
        <w:t xml:space="preserve"> systems may </w:t>
      </w:r>
      <w:r w:rsidR="004D6D09" w:rsidRPr="00F71301">
        <w:rPr>
          <w:rFonts w:ascii="Arial" w:hAnsi="Arial" w:cs="Arial"/>
        </w:rPr>
        <w:t>need to operate to</w:t>
      </w:r>
      <w:r w:rsidR="0067582F" w:rsidRPr="00F71301">
        <w:rPr>
          <w:rFonts w:ascii="Arial" w:hAnsi="Arial" w:cs="Arial"/>
        </w:rPr>
        <w:t xml:space="preserve"> ensure service continuity</w:t>
      </w:r>
      <w:r w:rsidRPr="00F71301">
        <w:rPr>
          <w:rFonts w:ascii="Arial" w:hAnsi="Arial" w:cs="Arial"/>
        </w:rPr>
        <w:t xml:space="preserve">. </w:t>
      </w:r>
      <w:r w:rsidR="0067582F" w:rsidRPr="00F71301">
        <w:rPr>
          <w:rFonts w:ascii="Arial" w:hAnsi="Arial" w:cs="Arial"/>
        </w:rPr>
        <w:t xml:space="preserve">Continuous monitoring, training, and feedback would help </w:t>
      </w:r>
      <w:r w:rsidR="004D6D09" w:rsidRPr="00F71301">
        <w:rPr>
          <w:rFonts w:ascii="Arial" w:hAnsi="Arial" w:cs="Arial"/>
        </w:rPr>
        <w:t>improve</w:t>
      </w:r>
      <w:r w:rsidR="0067582F" w:rsidRPr="00F71301">
        <w:rPr>
          <w:rFonts w:ascii="Arial" w:hAnsi="Arial" w:cs="Arial"/>
        </w:rPr>
        <w:t xml:space="preserve"> these processes</w:t>
      </w:r>
      <w:r w:rsidR="004D6D09" w:rsidRPr="00F71301">
        <w:rPr>
          <w:rFonts w:ascii="Arial" w:hAnsi="Arial" w:cs="Arial"/>
        </w:rPr>
        <w:t xml:space="preserve">. </w:t>
      </w:r>
    </w:p>
    <w:p w14:paraId="21FF4770" w14:textId="77777777" w:rsidR="0067582F" w:rsidRPr="00F71301" w:rsidRDefault="0067582F" w:rsidP="0067582F">
      <w:pPr>
        <w:pStyle w:val="NormalWeb"/>
        <w:rPr>
          <w:rFonts w:ascii="Arial" w:hAnsi="Arial" w:cs="Arial"/>
        </w:rPr>
      </w:pPr>
      <w:r w:rsidRPr="00F71301">
        <w:rPr>
          <w:rStyle w:val="Strong"/>
          <w:rFonts w:ascii="Arial" w:hAnsi="Arial" w:cs="Arial"/>
        </w:rPr>
        <w:t>Outcome</w:t>
      </w:r>
    </w:p>
    <w:p w14:paraId="59645746" w14:textId="77777777" w:rsidR="0067582F" w:rsidRPr="00F71301" w:rsidRDefault="0067582F" w:rsidP="00895238">
      <w:pPr>
        <w:pStyle w:val="NormalWeb"/>
        <w:jc w:val="both"/>
        <w:rPr>
          <w:rFonts w:ascii="Arial" w:hAnsi="Arial" w:cs="Arial"/>
        </w:rPr>
      </w:pPr>
      <w:r w:rsidRPr="00F71301">
        <w:rPr>
          <w:rFonts w:ascii="Arial" w:hAnsi="Arial" w:cs="Arial"/>
        </w:rPr>
        <w:t xml:space="preserve">The outcome </w:t>
      </w:r>
      <w:r w:rsidR="00EC1C3B" w:rsidRPr="00F71301">
        <w:rPr>
          <w:rFonts w:ascii="Arial" w:hAnsi="Arial" w:cs="Arial"/>
        </w:rPr>
        <w:t>dimension</w:t>
      </w:r>
      <w:r w:rsidRPr="00F71301">
        <w:rPr>
          <w:rFonts w:ascii="Arial" w:hAnsi="Arial" w:cs="Arial"/>
        </w:rPr>
        <w:t xml:space="preserve"> of the </w:t>
      </w:r>
      <w:r w:rsidR="00EC1C3B" w:rsidRPr="00F71301">
        <w:rPr>
          <w:rFonts w:ascii="Arial" w:hAnsi="Arial" w:cs="Arial"/>
        </w:rPr>
        <w:t>m</w:t>
      </w:r>
      <w:r w:rsidRPr="00F71301">
        <w:rPr>
          <w:rFonts w:ascii="Arial" w:hAnsi="Arial" w:cs="Arial"/>
        </w:rPr>
        <w:t>odel</w:t>
      </w:r>
      <w:r w:rsidR="002C4737" w:rsidRPr="00F71301">
        <w:rPr>
          <w:rFonts w:ascii="Arial" w:hAnsi="Arial" w:cs="Arial"/>
        </w:rPr>
        <w:t xml:space="preserve"> </w:t>
      </w:r>
      <w:r w:rsidR="00EC1C3B" w:rsidRPr="00F71301">
        <w:rPr>
          <w:rFonts w:ascii="Arial" w:hAnsi="Arial" w:cs="Arial"/>
        </w:rPr>
        <w:t>evaluates</w:t>
      </w:r>
      <w:r w:rsidR="002C4737" w:rsidRPr="00F71301">
        <w:rPr>
          <w:rFonts w:ascii="Arial" w:hAnsi="Arial" w:cs="Arial"/>
        </w:rPr>
        <w:t xml:space="preserve"> the res</w:t>
      </w:r>
      <w:r w:rsidR="009375CA" w:rsidRPr="00F71301">
        <w:rPr>
          <w:rFonts w:ascii="Arial" w:hAnsi="Arial" w:cs="Arial"/>
        </w:rPr>
        <w:t xml:space="preserve">ults of the introduction of </w:t>
      </w:r>
      <w:r w:rsidR="002C4737" w:rsidRPr="00F71301">
        <w:rPr>
          <w:rFonts w:ascii="Arial" w:hAnsi="Arial" w:cs="Arial"/>
        </w:rPr>
        <w:t>a DVR</w:t>
      </w:r>
      <w:r w:rsidRPr="00F71301">
        <w:rPr>
          <w:rFonts w:ascii="Arial" w:hAnsi="Arial" w:cs="Arial"/>
        </w:rPr>
        <w:t xml:space="preserve"> in terms of effectiveness, safety, and patient satisfaction. The</w:t>
      </w:r>
      <w:r w:rsidR="00EC1C3B" w:rsidRPr="00F71301">
        <w:rPr>
          <w:rFonts w:ascii="Arial" w:hAnsi="Arial" w:cs="Arial"/>
        </w:rPr>
        <w:t xml:space="preserve"> expected benefits of</w:t>
      </w:r>
      <w:r w:rsidRPr="00F71301">
        <w:rPr>
          <w:rFonts w:ascii="Arial" w:hAnsi="Arial" w:cs="Arial"/>
        </w:rPr>
        <w:t xml:space="preserve"> introducing a </w:t>
      </w:r>
      <w:r w:rsidR="00EC1C3B" w:rsidRPr="00F71301">
        <w:rPr>
          <w:rFonts w:ascii="Arial" w:hAnsi="Arial" w:cs="Arial"/>
        </w:rPr>
        <w:t>DVR</w:t>
      </w:r>
      <w:r w:rsidRPr="00F71301">
        <w:rPr>
          <w:rFonts w:ascii="Arial" w:hAnsi="Arial" w:cs="Arial"/>
        </w:rPr>
        <w:t xml:space="preserve"> in sexual health services include improved vaccine uptake, reduced missed opportunities for immunisation, and </w:t>
      </w:r>
      <w:r w:rsidR="004D6D09" w:rsidRPr="00F71301">
        <w:rPr>
          <w:rFonts w:ascii="Arial" w:hAnsi="Arial" w:cs="Arial"/>
        </w:rPr>
        <w:t>improved working conditions for clinicians.</w:t>
      </w:r>
      <w:r w:rsidRPr="00F71301">
        <w:rPr>
          <w:rFonts w:ascii="Arial" w:hAnsi="Arial" w:cs="Arial"/>
        </w:rPr>
        <w:t xml:space="preserve"> Over time, these improvements could lead to </w:t>
      </w:r>
      <w:r w:rsidR="002F3490" w:rsidRPr="00F71301">
        <w:rPr>
          <w:rFonts w:ascii="Arial" w:hAnsi="Arial" w:cs="Arial"/>
        </w:rPr>
        <w:t xml:space="preserve">higher levels of patient satisfaction due to easier access to their health information, </w:t>
      </w:r>
      <w:r w:rsidRPr="00F71301">
        <w:rPr>
          <w:rFonts w:ascii="Arial" w:hAnsi="Arial" w:cs="Arial"/>
        </w:rPr>
        <w:t xml:space="preserve">lower rates of vaccine-preventable infections, reduced health inequalities, and improved </w:t>
      </w:r>
      <w:r w:rsidR="004D6D09" w:rsidRPr="00F71301">
        <w:rPr>
          <w:rFonts w:ascii="Arial" w:hAnsi="Arial" w:cs="Arial"/>
        </w:rPr>
        <w:t>staff wellbeing</w:t>
      </w:r>
      <w:r w:rsidR="002F3490" w:rsidRPr="00F71301">
        <w:rPr>
          <w:rFonts w:ascii="Arial" w:hAnsi="Arial" w:cs="Arial"/>
        </w:rPr>
        <w:t xml:space="preserve"> (due to improved workflow and reduced administration time)</w:t>
      </w:r>
      <w:r w:rsidRPr="00F71301">
        <w:rPr>
          <w:rFonts w:ascii="Arial" w:hAnsi="Arial" w:cs="Arial"/>
        </w:rPr>
        <w:t>.</w:t>
      </w:r>
    </w:p>
    <w:p w14:paraId="7974EC1F" w14:textId="77777777" w:rsidR="0067582F" w:rsidRPr="00F71301" w:rsidRDefault="00EC1C3B" w:rsidP="00895238">
      <w:pPr>
        <w:pStyle w:val="NormalWeb"/>
        <w:jc w:val="both"/>
        <w:rPr>
          <w:rFonts w:ascii="Arial" w:hAnsi="Arial" w:cs="Arial"/>
        </w:rPr>
      </w:pPr>
      <w:r w:rsidRPr="00F71301">
        <w:rPr>
          <w:rFonts w:ascii="Arial" w:hAnsi="Arial" w:cs="Arial"/>
        </w:rPr>
        <w:t>E</w:t>
      </w:r>
      <w:r w:rsidR="0067582F" w:rsidRPr="00F71301">
        <w:rPr>
          <w:rFonts w:ascii="Arial" w:hAnsi="Arial" w:cs="Arial"/>
        </w:rPr>
        <w:t>valuati</w:t>
      </w:r>
      <w:r w:rsidR="002F3490" w:rsidRPr="00F71301">
        <w:rPr>
          <w:rFonts w:ascii="Arial" w:hAnsi="Arial" w:cs="Arial"/>
        </w:rPr>
        <w:t xml:space="preserve">on </w:t>
      </w:r>
      <w:r w:rsidR="0067582F" w:rsidRPr="00F71301">
        <w:rPr>
          <w:rFonts w:ascii="Arial" w:hAnsi="Arial" w:cs="Arial"/>
        </w:rPr>
        <w:t xml:space="preserve">would </w:t>
      </w:r>
      <w:r w:rsidRPr="00F71301">
        <w:rPr>
          <w:rFonts w:ascii="Arial" w:hAnsi="Arial" w:cs="Arial"/>
        </w:rPr>
        <w:t>use</w:t>
      </w:r>
      <w:r w:rsidR="0067582F" w:rsidRPr="00F71301">
        <w:rPr>
          <w:rFonts w:ascii="Arial" w:hAnsi="Arial" w:cs="Arial"/>
        </w:rPr>
        <w:t xml:space="preserve"> both quantitative measures (e.g., vaccination coverage rates</w:t>
      </w:r>
      <w:r w:rsidR="002F3490" w:rsidRPr="00F71301">
        <w:rPr>
          <w:rFonts w:ascii="Arial" w:hAnsi="Arial" w:cs="Arial"/>
        </w:rPr>
        <w:t xml:space="preserve"> and</w:t>
      </w:r>
      <w:r w:rsidR="0067582F" w:rsidRPr="00F71301">
        <w:rPr>
          <w:rFonts w:ascii="Arial" w:hAnsi="Arial" w:cs="Arial"/>
        </w:rPr>
        <w:t xml:space="preserve"> error reduction) and qualitative feedback on usability and trust in digital systems.</w:t>
      </w:r>
    </w:p>
    <w:p w14:paraId="15935D59" w14:textId="77777777" w:rsidR="0067582F" w:rsidRPr="00F71301" w:rsidRDefault="0067582F">
      <w:pPr>
        <w:rPr>
          <w:rFonts w:ascii="Arial" w:hAnsi="Arial" w:cs="Arial"/>
          <w:color w:val="FF0000"/>
          <w:sz w:val="24"/>
          <w:szCs w:val="24"/>
        </w:rPr>
      </w:pPr>
    </w:p>
    <w:p w14:paraId="5170CB04" w14:textId="77777777" w:rsidR="00052EF9" w:rsidRPr="00F71301" w:rsidRDefault="00052EF9">
      <w:pPr>
        <w:rPr>
          <w:rFonts w:ascii="Arial" w:hAnsi="Arial" w:cs="Arial"/>
          <w:b/>
          <w:color w:val="000000" w:themeColor="text1"/>
          <w:sz w:val="24"/>
          <w:szCs w:val="24"/>
        </w:rPr>
      </w:pPr>
      <w:r w:rsidRPr="00F71301">
        <w:rPr>
          <w:rFonts w:ascii="Arial" w:hAnsi="Arial" w:cs="Arial"/>
          <w:b/>
          <w:color w:val="000000" w:themeColor="text1"/>
          <w:sz w:val="24"/>
          <w:szCs w:val="24"/>
        </w:rPr>
        <w:t>Part 2</w:t>
      </w:r>
    </w:p>
    <w:p w14:paraId="6F292E52" w14:textId="77777777" w:rsidR="00052EF9" w:rsidRPr="00F71301" w:rsidRDefault="00052EF9">
      <w:pPr>
        <w:rPr>
          <w:rFonts w:ascii="Arial" w:hAnsi="Arial" w:cs="Arial"/>
          <w:b/>
          <w:color w:val="000000" w:themeColor="text1"/>
          <w:sz w:val="24"/>
          <w:szCs w:val="24"/>
        </w:rPr>
      </w:pPr>
      <w:r w:rsidRPr="00F71301">
        <w:rPr>
          <w:rFonts w:ascii="Arial" w:hAnsi="Arial" w:cs="Arial"/>
          <w:b/>
          <w:color w:val="000000" w:themeColor="text1"/>
          <w:sz w:val="24"/>
          <w:szCs w:val="24"/>
        </w:rPr>
        <w:t>What people or organisations are involved?</w:t>
      </w:r>
    </w:p>
    <w:p w14:paraId="19E2DFC6" w14:textId="06FCE2F8" w:rsidR="000A0052" w:rsidRPr="00F71301" w:rsidRDefault="00DA17DB" w:rsidP="00AE188E">
      <w:pPr>
        <w:spacing w:before="100" w:beforeAutospacing="1" w:after="100" w:afterAutospacing="1" w:line="240" w:lineRule="auto"/>
        <w:jc w:val="both"/>
        <w:rPr>
          <w:rFonts w:ascii="Arial" w:hAnsi="Arial" w:cs="Arial"/>
          <w:sz w:val="24"/>
          <w:szCs w:val="24"/>
        </w:rPr>
      </w:pPr>
      <w:r w:rsidRPr="00F71301">
        <w:rPr>
          <w:rFonts w:ascii="Arial" w:eastAsia="Times New Roman" w:hAnsi="Arial" w:cs="Arial"/>
          <w:sz w:val="24"/>
          <w:szCs w:val="24"/>
          <w:lang w:eastAsia="en-GB"/>
        </w:rPr>
        <w:t>Implementing a DVR</w:t>
      </w:r>
      <w:r w:rsidR="004246EC" w:rsidRPr="00F71301">
        <w:rPr>
          <w:rFonts w:ascii="Arial" w:eastAsia="Times New Roman" w:hAnsi="Arial" w:cs="Arial"/>
          <w:sz w:val="24"/>
          <w:szCs w:val="24"/>
          <w:lang w:eastAsia="en-GB"/>
        </w:rPr>
        <w:t xml:space="preserve"> </w:t>
      </w:r>
      <w:r w:rsidR="00275F5F" w:rsidRPr="00F71301">
        <w:rPr>
          <w:rFonts w:ascii="Arial" w:eastAsia="Times New Roman" w:hAnsi="Arial" w:cs="Arial"/>
          <w:sz w:val="24"/>
          <w:szCs w:val="24"/>
          <w:lang w:eastAsia="en-GB"/>
        </w:rPr>
        <w:t xml:space="preserve">within sexual health services would require collaboration among multiple stakeholders across healthcare and digital </w:t>
      </w:r>
      <w:r w:rsidR="00B56BBA">
        <w:rPr>
          <w:rFonts w:ascii="Arial" w:eastAsia="Times New Roman" w:hAnsi="Arial" w:cs="Arial"/>
          <w:sz w:val="24"/>
          <w:szCs w:val="24"/>
          <w:lang w:eastAsia="en-GB"/>
        </w:rPr>
        <w:t>services</w:t>
      </w:r>
      <w:r w:rsidR="004246EC" w:rsidRPr="00F71301">
        <w:rPr>
          <w:rFonts w:ascii="Arial" w:eastAsia="Times New Roman" w:hAnsi="Arial" w:cs="Arial"/>
          <w:sz w:val="24"/>
          <w:szCs w:val="24"/>
          <w:lang w:eastAsia="en-GB"/>
        </w:rPr>
        <w:t>.</w:t>
      </w:r>
      <w:r w:rsidR="00275F5F" w:rsidRPr="00F71301">
        <w:rPr>
          <w:rFonts w:ascii="Arial" w:eastAsia="Times New Roman" w:hAnsi="Arial" w:cs="Arial"/>
          <w:sz w:val="24"/>
          <w:szCs w:val="24"/>
          <w:lang w:eastAsia="en-GB"/>
        </w:rPr>
        <w:t xml:space="preserve"> </w:t>
      </w:r>
      <w:r w:rsidR="000A0052" w:rsidRPr="00F71301">
        <w:rPr>
          <w:rFonts w:ascii="Arial" w:hAnsi="Arial" w:cs="Arial"/>
          <w:sz w:val="24"/>
          <w:szCs w:val="24"/>
        </w:rPr>
        <w:t xml:space="preserve">Identifying </w:t>
      </w:r>
      <w:r w:rsidR="004246EC" w:rsidRPr="00F71301">
        <w:rPr>
          <w:rFonts w:ascii="Arial" w:hAnsi="Arial" w:cs="Arial"/>
          <w:sz w:val="24"/>
          <w:szCs w:val="24"/>
        </w:rPr>
        <w:t>these</w:t>
      </w:r>
      <w:r w:rsidR="000A0052" w:rsidRPr="00F71301">
        <w:rPr>
          <w:rFonts w:ascii="Arial" w:hAnsi="Arial" w:cs="Arial"/>
          <w:sz w:val="24"/>
          <w:szCs w:val="24"/>
        </w:rPr>
        <w:t xml:space="preserve"> stakeholders is imperative for understanding their perspectives, their level of influence, and determining any resources they can contribute (Rosenfeld &amp; </w:t>
      </w:r>
      <w:proofErr w:type="spellStart"/>
      <w:r w:rsidR="000A0052" w:rsidRPr="00F71301">
        <w:rPr>
          <w:rFonts w:ascii="Arial" w:hAnsi="Arial" w:cs="Arial"/>
          <w:sz w:val="24"/>
          <w:szCs w:val="24"/>
        </w:rPr>
        <w:t>Wyer</w:t>
      </w:r>
      <w:proofErr w:type="spellEnd"/>
      <w:r w:rsidR="000A0052" w:rsidRPr="00F71301">
        <w:rPr>
          <w:rFonts w:ascii="Arial" w:hAnsi="Arial" w:cs="Arial"/>
          <w:sz w:val="24"/>
          <w:szCs w:val="24"/>
        </w:rPr>
        <w:t xml:space="preserve"> 2017). </w:t>
      </w:r>
      <w:r w:rsidR="004246EC" w:rsidRPr="00F71301">
        <w:rPr>
          <w:rFonts w:ascii="Arial" w:hAnsi="Arial" w:cs="Arial"/>
          <w:sz w:val="24"/>
          <w:szCs w:val="24"/>
        </w:rPr>
        <w:t>Early engagement</w:t>
      </w:r>
      <w:r w:rsidR="000A0052" w:rsidRPr="00F71301">
        <w:rPr>
          <w:rFonts w:ascii="Arial" w:hAnsi="Arial" w:cs="Arial"/>
          <w:sz w:val="24"/>
          <w:szCs w:val="24"/>
        </w:rPr>
        <w:t xml:space="preserve"> allows for clarification of the planned changes, </w:t>
      </w:r>
      <w:r w:rsidR="004246EC" w:rsidRPr="00F71301">
        <w:rPr>
          <w:rFonts w:ascii="Arial" w:hAnsi="Arial" w:cs="Arial"/>
          <w:sz w:val="24"/>
          <w:szCs w:val="24"/>
        </w:rPr>
        <w:t xml:space="preserve">and helps </w:t>
      </w:r>
      <w:r w:rsidR="000A0052" w:rsidRPr="00F71301">
        <w:rPr>
          <w:rFonts w:ascii="Arial" w:hAnsi="Arial" w:cs="Arial"/>
          <w:sz w:val="24"/>
          <w:szCs w:val="24"/>
        </w:rPr>
        <w:t xml:space="preserve">address potential barriers by resolving issues promptly (Rosenfeld &amp; </w:t>
      </w:r>
      <w:proofErr w:type="spellStart"/>
      <w:r w:rsidR="000A0052" w:rsidRPr="00F71301">
        <w:rPr>
          <w:rFonts w:ascii="Arial" w:hAnsi="Arial" w:cs="Arial"/>
          <w:sz w:val="24"/>
          <w:szCs w:val="24"/>
        </w:rPr>
        <w:t>Wyer</w:t>
      </w:r>
      <w:proofErr w:type="spellEnd"/>
      <w:r w:rsidR="000A0052" w:rsidRPr="00F71301">
        <w:rPr>
          <w:rFonts w:ascii="Arial" w:hAnsi="Arial" w:cs="Arial"/>
          <w:sz w:val="24"/>
          <w:szCs w:val="24"/>
        </w:rPr>
        <w:t xml:space="preserve"> 2017). A framework </w:t>
      </w:r>
      <w:r w:rsidR="000A0052" w:rsidRPr="00F71301">
        <w:rPr>
          <w:rFonts w:ascii="Arial" w:hAnsi="Arial" w:cs="Arial"/>
          <w:sz w:val="24"/>
          <w:szCs w:val="24"/>
        </w:rPr>
        <w:lastRenderedPageBreak/>
        <w:t xml:space="preserve">such as </w:t>
      </w:r>
      <w:proofErr w:type="spellStart"/>
      <w:r w:rsidR="000A0052" w:rsidRPr="00F71301">
        <w:rPr>
          <w:rFonts w:ascii="Arial" w:hAnsi="Arial" w:cs="Arial"/>
          <w:sz w:val="24"/>
          <w:szCs w:val="24"/>
        </w:rPr>
        <w:t>Mendelow’s</w:t>
      </w:r>
      <w:proofErr w:type="spellEnd"/>
      <w:r w:rsidR="000A0052" w:rsidRPr="00F71301">
        <w:rPr>
          <w:rFonts w:ascii="Arial" w:hAnsi="Arial" w:cs="Arial"/>
          <w:sz w:val="24"/>
          <w:szCs w:val="24"/>
        </w:rPr>
        <w:t xml:space="preserve"> Matrix (1991) could </w:t>
      </w:r>
      <w:r w:rsidR="004246EC" w:rsidRPr="00F71301">
        <w:rPr>
          <w:rFonts w:ascii="Arial" w:hAnsi="Arial" w:cs="Arial"/>
          <w:sz w:val="24"/>
          <w:szCs w:val="24"/>
        </w:rPr>
        <w:t>support accurate stakeholder identification</w:t>
      </w:r>
      <w:r w:rsidR="006B1F7E" w:rsidRPr="00F71301">
        <w:rPr>
          <w:rFonts w:ascii="Arial" w:hAnsi="Arial" w:cs="Arial"/>
          <w:sz w:val="24"/>
          <w:szCs w:val="24"/>
        </w:rPr>
        <w:t xml:space="preserve">, and </w:t>
      </w:r>
      <w:r w:rsidR="004246EC" w:rsidRPr="00F71301">
        <w:rPr>
          <w:rFonts w:ascii="Arial" w:hAnsi="Arial" w:cs="Arial"/>
          <w:sz w:val="24"/>
          <w:szCs w:val="24"/>
        </w:rPr>
        <w:t>help prioritise</w:t>
      </w:r>
      <w:r w:rsidR="006B1F7E" w:rsidRPr="00F71301">
        <w:rPr>
          <w:rFonts w:ascii="Arial" w:hAnsi="Arial" w:cs="Arial"/>
          <w:sz w:val="24"/>
          <w:szCs w:val="24"/>
        </w:rPr>
        <w:t xml:space="preserve"> communication and collaboration</w:t>
      </w:r>
      <w:r w:rsidR="000A0052" w:rsidRPr="00F71301">
        <w:rPr>
          <w:rFonts w:ascii="Arial" w:hAnsi="Arial" w:cs="Arial"/>
          <w:sz w:val="24"/>
          <w:szCs w:val="24"/>
        </w:rPr>
        <w:t>.</w:t>
      </w:r>
    </w:p>
    <w:p w14:paraId="2FAF7CA2" w14:textId="77777777" w:rsidR="000A0052" w:rsidRPr="00F71301" w:rsidRDefault="000A0052" w:rsidP="000A0052">
      <w:pPr>
        <w:spacing w:before="100" w:beforeAutospacing="1" w:after="100" w:afterAutospacing="1" w:line="240" w:lineRule="auto"/>
        <w:ind w:left="360"/>
        <w:jc w:val="center"/>
        <w:rPr>
          <w:rFonts w:ascii="Arial" w:hAnsi="Arial" w:cs="Arial"/>
          <w:sz w:val="24"/>
          <w:szCs w:val="24"/>
        </w:rPr>
      </w:pPr>
      <w:r w:rsidRPr="00F71301">
        <w:rPr>
          <w:rFonts w:ascii="Arial" w:hAnsi="Arial" w:cs="Arial"/>
          <w:noProof/>
          <w:sz w:val="24"/>
          <w:szCs w:val="24"/>
          <w:lang w:eastAsia="en-GB"/>
        </w:rPr>
        <w:drawing>
          <wp:inline distT="0" distB="0" distL="0" distR="0" wp14:anchorId="20248CAF" wp14:editId="3535DFC1">
            <wp:extent cx="4009134" cy="2311400"/>
            <wp:effectExtent l="0" t="0" r="0" b="0"/>
            <wp:docPr id="2" name="Picture 2" descr="How to work with difficult stakeholders - UX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work with difficult stakeholders - UX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23753" cy="2319829"/>
                    </a:xfrm>
                    <a:prstGeom prst="rect">
                      <a:avLst/>
                    </a:prstGeom>
                    <a:noFill/>
                    <a:ln>
                      <a:noFill/>
                    </a:ln>
                  </pic:spPr>
                </pic:pic>
              </a:graphicData>
            </a:graphic>
          </wp:inline>
        </w:drawing>
      </w:r>
    </w:p>
    <w:p w14:paraId="7A4D1430" w14:textId="77777777" w:rsidR="0046135B" w:rsidRPr="00F71301" w:rsidRDefault="0046135B" w:rsidP="0046135B">
      <w:pPr>
        <w:ind w:left="720"/>
        <w:rPr>
          <w:rFonts w:ascii="Arial" w:hAnsi="Arial" w:cs="Arial"/>
          <w:i/>
          <w:sz w:val="24"/>
          <w:szCs w:val="24"/>
        </w:rPr>
      </w:pPr>
      <w:r w:rsidRPr="00F71301">
        <w:rPr>
          <w:rFonts w:ascii="Arial" w:hAnsi="Arial" w:cs="Arial"/>
          <w:i/>
          <w:sz w:val="24"/>
          <w:szCs w:val="24"/>
        </w:rPr>
        <w:t>Figure 2: ‘Power/Interest Matrix’ (</w:t>
      </w:r>
      <w:proofErr w:type="spellStart"/>
      <w:r w:rsidRPr="00F71301">
        <w:rPr>
          <w:rFonts w:ascii="Arial" w:hAnsi="Arial" w:cs="Arial"/>
          <w:i/>
          <w:sz w:val="24"/>
          <w:szCs w:val="24"/>
        </w:rPr>
        <w:t>Mendelow</w:t>
      </w:r>
      <w:proofErr w:type="spellEnd"/>
      <w:r w:rsidRPr="00F71301">
        <w:rPr>
          <w:rFonts w:ascii="Arial" w:hAnsi="Arial" w:cs="Arial"/>
          <w:i/>
          <w:sz w:val="24"/>
          <w:szCs w:val="24"/>
        </w:rPr>
        <w:t xml:space="preserve"> 1991)</w:t>
      </w:r>
    </w:p>
    <w:p w14:paraId="7A0C5E42" w14:textId="77777777" w:rsidR="0046135B" w:rsidRPr="00F71301" w:rsidRDefault="0046135B" w:rsidP="000A0052">
      <w:pPr>
        <w:spacing w:before="100" w:beforeAutospacing="1" w:after="100" w:afterAutospacing="1" w:line="240" w:lineRule="auto"/>
        <w:ind w:left="360"/>
        <w:jc w:val="center"/>
        <w:rPr>
          <w:rFonts w:ascii="Arial" w:hAnsi="Arial" w:cs="Arial"/>
          <w:sz w:val="24"/>
          <w:szCs w:val="24"/>
        </w:rPr>
      </w:pPr>
    </w:p>
    <w:p w14:paraId="47890EAD" w14:textId="77777777" w:rsidR="000A0052" w:rsidRPr="00F71301" w:rsidRDefault="000A0052" w:rsidP="00931662">
      <w:pPr>
        <w:spacing w:before="100" w:beforeAutospacing="1" w:after="100" w:afterAutospacing="1" w:line="240" w:lineRule="auto"/>
        <w:ind w:left="360"/>
        <w:jc w:val="both"/>
        <w:rPr>
          <w:rFonts w:ascii="Arial" w:hAnsi="Arial" w:cs="Arial"/>
          <w:sz w:val="24"/>
          <w:szCs w:val="24"/>
        </w:rPr>
      </w:pPr>
    </w:p>
    <w:p w14:paraId="7004D0B2" w14:textId="77777777" w:rsidR="00931662" w:rsidRPr="00F71301" w:rsidRDefault="00275F5F" w:rsidP="00931662">
      <w:pPr>
        <w:spacing w:before="100" w:beforeAutospacing="1" w:after="100" w:afterAutospacing="1" w:line="240" w:lineRule="auto"/>
        <w:ind w:left="360"/>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The principal organisations</w:t>
      </w:r>
      <w:r w:rsidR="002C4737" w:rsidRPr="00F71301">
        <w:rPr>
          <w:rFonts w:ascii="Arial" w:eastAsia="Times New Roman" w:hAnsi="Arial" w:cs="Arial"/>
          <w:sz w:val="24"/>
          <w:szCs w:val="24"/>
          <w:lang w:eastAsia="en-GB"/>
        </w:rPr>
        <w:t xml:space="preserve"> anticipated to be</w:t>
      </w:r>
      <w:r w:rsidRPr="00F71301">
        <w:rPr>
          <w:rFonts w:ascii="Arial" w:eastAsia="Times New Roman" w:hAnsi="Arial" w:cs="Arial"/>
          <w:sz w:val="24"/>
          <w:szCs w:val="24"/>
          <w:lang w:eastAsia="en-GB"/>
        </w:rPr>
        <w:t xml:space="preserve"> involved would include the Welsh Assembly Government (WAG), Digital Health and Care Wales (DHCW), Public Health Wales (PHW), Swansea Bay University Health Board (SBUHB), and</w:t>
      </w:r>
      <w:r w:rsidR="004246EC" w:rsidRPr="00F71301">
        <w:rPr>
          <w:rFonts w:ascii="Arial" w:eastAsia="Times New Roman" w:hAnsi="Arial" w:cs="Arial"/>
          <w:sz w:val="24"/>
          <w:szCs w:val="24"/>
          <w:lang w:eastAsia="en-GB"/>
        </w:rPr>
        <w:t xml:space="preserve"> historically,</w:t>
      </w:r>
      <w:r w:rsidRPr="00F71301">
        <w:rPr>
          <w:rFonts w:ascii="Arial" w:eastAsia="Times New Roman" w:hAnsi="Arial" w:cs="Arial"/>
          <w:sz w:val="24"/>
          <w:szCs w:val="24"/>
          <w:lang w:eastAsia="en-GB"/>
        </w:rPr>
        <w:t xml:space="preserve"> </w:t>
      </w:r>
      <w:proofErr w:type="spellStart"/>
      <w:r w:rsidRPr="00F71301">
        <w:rPr>
          <w:rFonts w:ascii="Arial" w:eastAsia="Times New Roman" w:hAnsi="Arial" w:cs="Arial"/>
          <w:sz w:val="24"/>
          <w:szCs w:val="24"/>
          <w:lang w:eastAsia="en-GB"/>
        </w:rPr>
        <w:t>MillSystems</w:t>
      </w:r>
      <w:proofErr w:type="spellEnd"/>
      <w:r w:rsidRPr="00F71301">
        <w:rPr>
          <w:rFonts w:ascii="Arial" w:eastAsia="Times New Roman" w:hAnsi="Arial" w:cs="Arial"/>
          <w:sz w:val="24"/>
          <w:szCs w:val="24"/>
          <w:lang w:eastAsia="en-GB"/>
        </w:rPr>
        <w:t xml:space="preserve"> Ltd. However, </w:t>
      </w:r>
      <w:r w:rsidR="006A6BC7" w:rsidRPr="00F71301">
        <w:rPr>
          <w:rFonts w:ascii="Arial" w:eastAsia="Times New Roman" w:hAnsi="Arial" w:cs="Arial"/>
          <w:sz w:val="24"/>
          <w:szCs w:val="24"/>
          <w:lang w:eastAsia="en-GB"/>
        </w:rPr>
        <w:t>since</w:t>
      </w:r>
      <w:r w:rsidRPr="00F71301">
        <w:rPr>
          <w:rFonts w:ascii="Arial" w:eastAsia="Times New Roman" w:hAnsi="Arial" w:cs="Arial"/>
          <w:sz w:val="24"/>
          <w:szCs w:val="24"/>
          <w:lang w:eastAsia="en-GB"/>
        </w:rPr>
        <w:t xml:space="preserve"> </w:t>
      </w:r>
      <w:proofErr w:type="spellStart"/>
      <w:r w:rsidRPr="00F71301">
        <w:rPr>
          <w:rFonts w:ascii="Arial" w:eastAsia="Times New Roman" w:hAnsi="Arial" w:cs="Arial"/>
          <w:sz w:val="24"/>
          <w:szCs w:val="24"/>
          <w:lang w:eastAsia="en-GB"/>
        </w:rPr>
        <w:t>MillSystems</w:t>
      </w:r>
      <w:proofErr w:type="spellEnd"/>
      <w:r w:rsidRPr="00F71301">
        <w:rPr>
          <w:rFonts w:ascii="Arial" w:eastAsia="Times New Roman" w:hAnsi="Arial" w:cs="Arial"/>
          <w:sz w:val="24"/>
          <w:szCs w:val="24"/>
          <w:lang w:eastAsia="en-GB"/>
        </w:rPr>
        <w:t xml:space="preserve"> Ltd. </w:t>
      </w:r>
      <w:r w:rsidR="00931662" w:rsidRPr="00F71301">
        <w:rPr>
          <w:rFonts w:ascii="Arial" w:eastAsia="Times New Roman" w:hAnsi="Arial" w:cs="Arial"/>
          <w:sz w:val="24"/>
          <w:szCs w:val="24"/>
          <w:lang w:eastAsia="en-GB"/>
        </w:rPr>
        <w:t>d</w:t>
      </w:r>
      <w:r w:rsidRPr="00F71301">
        <w:rPr>
          <w:rFonts w:ascii="Arial" w:eastAsia="Times New Roman" w:hAnsi="Arial" w:cs="Arial"/>
          <w:sz w:val="24"/>
          <w:szCs w:val="24"/>
          <w:lang w:eastAsia="en-GB"/>
        </w:rPr>
        <w:t>issolved into liquidation in 2023</w:t>
      </w:r>
      <w:r w:rsidR="006A6BC7" w:rsidRPr="00F71301">
        <w:rPr>
          <w:rFonts w:ascii="Arial" w:eastAsia="Times New Roman" w:hAnsi="Arial" w:cs="Arial"/>
          <w:sz w:val="24"/>
          <w:szCs w:val="24"/>
          <w:lang w:eastAsia="en-GB"/>
        </w:rPr>
        <w:t>,</w:t>
      </w:r>
      <w:r w:rsidR="00931662" w:rsidRPr="00F71301">
        <w:rPr>
          <w:rFonts w:ascii="Arial" w:eastAsia="Times New Roman" w:hAnsi="Arial" w:cs="Arial"/>
          <w:sz w:val="24"/>
          <w:szCs w:val="24"/>
          <w:lang w:eastAsia="en-GB"/>
        </w:rPr>
        <w:t xml:space="preserve"> </w:t>
      </w:r>
      <w:r w:rsidR="004246EC" w:rsidRPr="00F71301">
        <w:rPr>
          <w:rFonts w:ascii="Arial" w:eastAsia="Times New Roman" w:hAnsi="Arial" w:cs="Arial"/>
          <w:sz w:val="24"/>
          <w:szCs w:val="24"/>
          <w:lang w:eastAsia="en-GB"/>
        </w:rPr>
        <w:t>PHW</w:t>
      </w:r>
      <w:r w:rsidR="00931662" w:rsidRPr="00F71301">
        <w:rPr>
          <w:rFonts w:ascii="Arial" w:eastAsia="Times New Roman" w:hAnsi="Arial" w:cs="Arial"/>
          <w:sz w:val="24"/>
          <w:szCs w:val="24"/>
          <w:lang w:eastAsia="en-GB"/>
        </w:rPr>
        <w:t xml:space="preserve"> has been tasked with </w:t>
      </w:r>
      <w:r w:rsidR="004246EC" w:rsidRPr="00F71301">
        <w:rPr>
          <w:rFonts w:ascii="Arial" w:eastAsia="Times New Roman" w:hAnsi="Arial" w:cs="Arial"/>
          <w:sz w:val="24"/>
          <w:szCs w:val="24"/>
          <w:lang w:eastAsia="en-GB"/>
        </w:rPr>
        <w:t>developing or procuring</w:t>
      </w:r>
      <w:r w:rsidR="00931662" w:rsidRPr="00F71301">
        <w:rPr>
          <w:rFonts w:ascii="Arial" w:eastAsia="Times New Roman" w:hAnsi="Arial" w:cs="Arial"/>
          <w:sz w:val="24"/>
          <w:szCs w:val="24"/>
          <w:lang w:eastAsia="en-GB"/>
        </w:rPr>
        <w:t xml:space="preserve"> an ‘All Wales’ sexual health system. This is advantageous as each sexual health service in Wales will be able to express their ‘</w:t>
      </w:r>
      <w:proofErr w:type="spellStart"/>
      <w:r w:rsidR="00931662" w:rsidRPr="00F71301">
        <w:rPr>
          <w:rFonts w:ascii="Arial" w:eastAsia="Times New Roman" w:hAnsi="Arial" w:cs="Arial"/>
          <w:sz w:val="24"/>
          <w:szCs w:val="24"/>
          <w:lang w:eastAsia="en-GB"/>
        </w:rPr>
        <w:t>wishlist</w:t>
      </w:r>
      <w:proofErr w:type="spellEnd"/>
      <w:r w:rsidR="00931662" w:rsidRPr="00F71301">
        <w:rPr>
          <w:rFonts w:ascii="Arial" w:eastAsia="Times New Roman" w:hAnsi="Arial" w:cs="Arial"/>
          <w:sz w:val="24"/>
          <w:szCs w:val="24"/>
          <w:lang w:eastAsia="en-GB"/>
        </w:rPr>
        <w:t xml:space="preserve">’ for this new system. </w:t>
      </w:r>
    </w:p>
    <w:p w14:paraId="03C7324E" w14:textId="345D7B2C" w:rsidR="00275F5F" w:rsidRPr="00F71301" w:rsidRDefault="00275F5F" w:rsidP="00931662">
      <w:pPr>
        <w:spacing w:before="100" w:beforeAutospacing="1" w:after="100" w:afterAutospacing="1" w:line="240" w:lineRule="auto"/>
        <w:ind w:left="360"/>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Each</w:t>
      </w:r>
      <w:r w:rsidR="00931662" w:rsidRPr="00F71301">
        <w:rPr>
          <w:rFonts w:ascii="Arial" w:eastAsia="Times New Roman" w:hAnsi="Arial" w:cs="Arial"/>
          <w:sz w:val="24"/>
          <w:szCs w:val="24"/>
          <w:lang w:eastAsia="en-GB"/>
        </w:rPr>
        <w:t xml:space="preserve"> stakeholder</w:t>
      </w:r>
      <w:r w:rsidRPr="00F71301">
        <w:rPr>
          <w:rFonts w:ascii="Arial" w:eastAsia="Times New Roman" w:hAnsi="Arial" w:cs="Arial"/>
          <w:sz w:val="24"/>
          <w:szCs w:val="24"/>
          <w:lang w:eastAsia="en-GB"/>
        </w:rPr>
        <w:t xml:space="preserve"> would play a </w:t>
      </w:r>
      <w:r w:rsidR="00931662" w:rsidRPr="00F71301">
        <w:rPr>
          <w:rFonts w:ascii="Arial" w:eastAsia="Times New Roman" w:hAnsi="Arial" w:cs="Arial"/>
          <w:sz w:val="24"/>
          <w:szCs w:val="24"/>
          <w:lang w:eastAsia="en-GB"/>
        </w:rPr>
        <w:t>different</w:t>
      </w:r>
      <w:r w:rsidRPr="00F71301">
        <w:rPr>
          <w:rFonts w:ascii="Arial" w:eastAsia="Times New Roman" w:hAnsi="Arial" w:cs="Arial"/>
          <w:sz w:val="24"/>
          <w:szCs w:val="24"/>
          <w:lang w:eastAsia="en-GB"/>
        </w:rPr>
        <w:t xml:space="preserve"> role in system design, </w:t>
      </w:r>
      <w:r w:rsidR="004246EC" w:rsidRPr="00F71301">
        <w:rPr>
          <w:rFonts w:ascii="Arial" w:eastAsia="Times New Roman" w:hAnsi="Arial" w:cs="Arial"/>
          <w:sz w:val="24"/>
          <w:szCs w:val="24"/>
          <w:lang w:eastAsia="en-GB"/>
        </w:rPr>
        <w:t>policy development</w:t>
      </w:r>
      <w:r w:rsidRPr="00F71301">
        <w:rPr>
          <w:rFonts w:ascii="Arial" w:eastAsia="Times New Roman" w:hAnsi="Arial" w:cs="Arial"/>
          <w:sz w:val="24"/>
          <w:szCs w:val="24"/>
          <w:lang w:eastAsia="en-GB"/>
        </w:rPr>
        <w:t xml:space="preserve">, and operational delivery. </w:t>
      </w:r>
      <w:r w:rsidR="00146B7A" w:rsidRPr="00F71301">
        <w:rPr>
          <w:rFonts w:ascii="Arial" w:eastAsia="Times New Roman" w:hAnsi="Arial" w:cs="Arial"/>
          <w:sz w:val="24"/>
          <w:szCs w:val="24"/>
          <w:lang w:eastAsia="en-GB"/>
        </w:rPr>
        <w:t xml:space="preserve">‘High Power-High Interest’ stakeholders would include </w:t>
      </w:r>
      <w:r w:rsidRPr="00F71301">
        <w:rPr>
          <w:rFonts w:ascii="Arial" w:eastAsia="Times New Roman" w:hAnsi="Arial" w:cs="Arial"/>
          <w:sz w:val="24"/>
          <w:szCs w:val="24"/>
          <w:lang w:eastAsia="en-GB"/>
        </w:rPr>
        <w:t>WAG</w:t>
      </w:r>
      <w:r w:rsidR="00146B7A" w:rsidRPr="00F71301">
        <w:rPr>
          <w:rFonts w:ascii="Arial" w:eastAsia="Times New Roman" w:hAnsi="Arial" w:cs="Arial"/>
          <w:sz w:val="24"/>
          <w:szCs w:val="24"/>
          <w:lang w:eastAsia="en-GB"/>
        </w:rPr>
        <w:t xml:space="preserve">, DHCW and PHW. WAG </w:t>
      </w:r>
      <w:r w:rsidRPr="00F71301">
        <w:rPr>
          <w:rFonts w:ascii="Arial" w:eastAsia="Times New Roman" w:hAnsi="Arial" w:cs="Arial"/>
          <w:sz w:val="24"/>
          <w:szCs w:val="24"/>
          <w:lang w:eastAsia="en-GB"/>
        </w:rPr>
        <w:t xml:space="preserve">would provide </w:t>
      </w:r>
      <w:r w:rsidR="0060469C">
        <w:rPr>
          <w:rFonts w:ascii="Arial" w:eastAsia="Times New Roman" w:hAnsi="Arial" w:cs="Arial"/>
          <w:sz w:val="24"/>
          <w:szCs w:val="24"/>
          <w:lang w:eastAsia="en-GB"/>
        </w:rPr>
        <w:t>oversight of strategy and regulations</w:t>
      </w:r>
      <w:r w:rsidRPr="00F71301">
        <w:rPr>
          <w:rFonts w:ascii="Arial" w:eastAsia="Times New Roman" w:hAnsi="Arial" w:cs="Arial"/>
          <w:sz w:val="24"/>
          <w:szCs w:val="24"/>
          <w:lang w:eastAsia="en-GB"/>
        </w:rPr>
        <w:t xml:space="preserve">, ensuring compliance with national data protection legislation and digital interoperability standards, </w:t>
      </w:r>
      <w:r w:rsidR="00146B7A" w:rsidRPr="00F71301">
        <w:rPr>
          <w:rFonts w:ascii="Arial" w:eastAsia="Times New Roman" w:hAnsi="Arial" w:cs="Arial"/>
          <w:sz w:val="24"/>
          <w:szCs w:val="24"/>
          <w:lang w:eastAsia="en-GB"/>
        </w:rPr>
        <w:t>and</w:t>
      </w:r>
      <w:r w:rsidRPr="00F71301">
        <w:rPr>
          <w:rFonts w:ascii="Arial" w:eastAsia="Times New Roman" w:hAnsi="Arial" w:cs="Arial"/>
          <w:sz w:val="24"/>
          <w:szCs w:val="24"/>
          <w:lang w:eastAsia="en-GB"/>
        </w:rPr>
        <w:t xml:space="preserve"> DHCW </w:t>
      </w:r>
      <w:r w:rsidR="002C4737" w:rsidRPr="00F71301">
        <w:rPr>
          <w:rFonts w:ascii="Arial" w:eastAsia="Times New Roman" w:hAnsi="Arial" w:cs="Arial"/>
          <w:sz w:val="24"/>
          <w:szCs w:val="24"/>
          <w:lang w:eastAsia="en-GB"/>
        </w:rPr>
        <w:t>would be</w:t>
      </w:r>
      <w:r w:rsidRPr="00F71301">
        <w:rPr>
          <w:rFonts w:ascii="Arial" w:eastAsia="Times New Roman" w:hAnsi="Arial" w:cs="Arial"/>
          <w:sz w:val="24"/>
          <w:szCs w:val="24"/>
          <w:lang w:eastAsia="en-GB"/>
        </w:rPr>
        <w:t xml:space="preserve"> responsible for the design, implementation, and integration of the DVR within existing NHS digital </w:t>
      </w:r>
      <w:r w:rsidR="002C4737" w:rsidRPr="00F71301">
        <w:rPr>
          <w:rFonts w:ascii="Arial" w:eastAsia="Times New Roman" w:hAnsi="Arial" w:cs="Arial"/>
          <w:sz w:val="24"/>
          <w:szCs w:val="24"/>
          <w:lang w:eastAsia="en-GB"/>
        </w:rPr>
        <w:t xml:space="preserve">systems </w:t>
      </w:r>
      <w:r w:rsidR="00931662" w:rsidRPr="00F71301">
        <w:rPr>
          <w:rFonts w:ascii="Arial" w:eastAsia="Times New Roman" w:hAnsi="Arial" w:cs="Arial"/>
          <w:sz w:val="24"/>
          <w:szCs w:val="24"/>
          <w:lang w:eastAsia="en-GB"/>
        </w:rPr>
        <w:t>and/or a newly procured system</w:t>
      </w:r>
      <w:r w:rsidRPr="00F71301">
        <w:rPr>
          <w:rFonts w:ascii="Arial" w:eastAsia="Times New Roman" w:hAnsi="Arial" w:cs="Arial"/>
          <w:sz w:val="24"/>
          <w:szCs w:val="24"/>
          <w:lang w:eastAsia="en-GB"/>
        </w:rPr>
        <w:t xml:space="preserve">. PHW’s role would be </w:t>
      </w:r>
      <w:r w:rsidR="002C4737" w:rsidRPr="00F71301">
        <w:rPr>
          <w:rFonts w:ascii="Arial" w:eastAsia="Times New Roman" w:hAnsi="Arial" w:cs="Arial"/>
          <w:sz w:val="24"/>
          <w:szCs w:val="24"/>
          <w:lang w:eastAsia="en-GB"/>
        </w:rPr>
        <w:t>to ensure</w:t>
      </w:r>
      <w:r w:rsidRPr="00F71301">
        <w:rPr>
          <w:rFonts w:ascii="Arial" w:eastAsia="Times New Roman" w:hAnsi="Arial" w:cs="Arial"/>
          <w:sz w:val="24"/>
          <w:szCs w:val="24"/>
          <w:lang w:eastAsia="en-GB"/>
        </w:rPr>
        <w:t xml:space="preserve"> the DVR</w:t>
      </w:r>
      <w:r w:rsidR="002C4737" w:rsidRPr="00F71301">
        <w:rPr>
          <w:rFonts w:ascii="Arial" w:eastAsia="Times New Roman" w:hAnsi="Arial" w:cs="Arial"/>
          <w:sz w:val="24"/>
          <w:szCs w:val="24"/>
          <w:lang w:eastAsia="en-GB"/>
        </w:rPr>
        <w:t xml:space="preserve"> </w:t>
      </w:r>
      <w:r w:rsidR="0060469C">
        <w:rPr>
          <w:rFonts w:ascii="Arial" w:eastAsia="Times New Roman" w:hAnsi="Arial" w:cs="Arial"/>
          <w:sz w:val="24"/>
          <w:szCs w:val="24"/>
          <w:lang w:eastAsia="en-GB"/>
        </w:rPr>
        <w:t xml:space="preserve">can provide accurate </w:t>
      </w:r>
      <w:r w:rsidRPr="00F71301">
        <w:rPr>
          <w:rFonts w:ascii="Arial" w:eastAsia="Times New Roman" w:hAnsi="Arial" w:cs="Arial"/>
          <w:sz w:val="24"/>
          <w:szCs w:val="24"/>
          <w:lang w:eastAsia="en-GB"/>
        </w:rPr>
        <w:t xml:space="preserve">vaccination surveillance </w:t>
      </w:r>
      <w:r w:rsidR="0060469C">
        <w:rPr>
          <w:rFonts w:ascii="Arial" w:eastAsia="Times New Roman" w:hAnsi="Arial" w:cs="Arial"/>
          <w:sz w:val="24"/>
          <w:szCs w:val="24"/>
          <w:lang w:eastAsia="en-GB"/>
        </w:rPr>
        <w:t>for</w:t>
      </w:r>
      <w:r w:rsidRPr="00F71301">
        <w:rPr>
          <w:rFonts w:ascii="Arial" w:eastAsia="Times New Roman" w:hAnsi="Arial" w:cs="Arial"/>
          <w:sz w:val="24"/>
          <w:szCs w:val="24"/>
          <w:lang w:eastAsia="en-GB"/>
        </w:rPr>
        <w:t xml:space="preserve"> population health improvement strategies. </w:t>
      </w:r>
      <w:r w:rsidR="00146B7A" w:rsidRPr="00F71301">
        <w:rPr>
          <w:rFonts w:ascii="Arial" w:eastAsia="Times New Roman" w:hAnsi="Arial" w:cs="Arial"/>
          <w:sz w:val="24"/>
          <w:szCs w:val="24"/>
          <w:lang w:eastAsia="en-GB"/>
        </w:rPr>
        <w:t>‘Low Power- High Interest’ stakeholders would be those at the service delivery level and who are involved with</w:t>
      </w:r>
      <w:r w:rsidRPr="00F71301">
        <w:rPr>
          <w:rFonts w:ascii="Arial" w:eastAsia="Times New Roman" w:hAnsi="Arial" w:cs="Arial"/>
          <w:sz w:val="24"/>
          <w:szCs w:val="24"/>
          <w:lang w:eastAsia="en-GB"/>
        </w:rPr>
        <w:t xml:space="preserve"> </w:t>
      </w:r>
      <w:r w:rsidR="00A24D5C" w:rsidRPr="00F71301">
        <w:rPr>
          <w:rFonts w:ascii="Arial" w:hAnsi="Arial" w:cs="Arial"/>
          <w:sz w:val="24"/>
          <w:szCs w:val="24"/>
        </w:rPr>
        <w:t>the patient pathway</w:t>
      </w:r>
      <w:r w:rsidR="00146B7A" w:rsidRPr="00F71301">
        <w:rPr>
          <w:rFonts w:ascii="Arial" w:hAnsi="Arial" w:cs="Arial"/>
          <w:sz w:val="24"/>
          <w:szCs w:val="24"/>
        </w:rPr>
        <w:t xml:space="preserve">. This </w:t>
      </w:r>
      <w:r w:rsidR="00A24D5C" w:rsidRPr="00F71301">
        <w:rPr>
          <w:rFonts w:ascii="Arial" w:hAnsi="Arial" w:cs="Arial"/>
          <w:sz w:val="24"/>
          <w:szCs w:val="24"/>
        </w:rPr>
        <w:t>begin</w:t>
      </w:r>
      <w:r w:rsidR="00146B7A" w:rsidRPr="00F71301">
        <w:rPr>
          <w:rFonts w:ascii="Arial" w:hAnsi="Arial" w:cs="Arial"/>
          <w:sz w:val="24"/>
          <w:szCs w:val="24"/>
        </w:rPr>
        <w:t>s</w:t>
      </w:r>
      <w:r w:rsidR="00A24D5C" w:rsidRPr="00F71301">
        <w:rPr>
          <w:rFonts w:ascii="Arial" w:hAnsi="Arial" w:cs="Arial"/>
          <w:sz w:val="24"/>
          <w:szCs w:val="24"/>
        </w:rPr>
        <w:t xml:space="preserve"> with administrative staff who manage appointments and registration, followed by clinicians, nurses, and health advisers who deliver diagnosis, treatment, and counselling. </w:t>
      </w:r>
      <w:r w:rsidRPr="00F71301">
        <w:rPr>
          <w:rFonts w:ascii="Arial" w:eastAsia="Times New Roman" w:hAnsi="Arial" w:cs="Arial"/>
          <w:sz w:val="24"/>
          <w:szCs w:val="24"/>
          <w:lang w:eastAsia="en-GB"/>
        </w:rPr>
        <w:t xml:space="preserve">SBUHB and its sexual health </w:t>
      </w:r>
      <w:r w:rsidR="00931662" w:rsidRPr="00F71301">
        <w:rPr>
          <w:rFonts w:ascii="Arial" w:eastAsia="Times New Roman" w:hAnsi="Arial" w:cs="Arial"/>
          <w:sz w:val="24"/>
          <w:szCs w:val="24"/>
          <w:lang w:eastAsia="en-GB"/>
        </w:rPr>
        <w:t>staff (from clinicians to administration staff)</w:t>
      </w:r>
      <w:r w:rsidRPr="00F71301">
        <w:rPr>
          <w:rFonts w:ascii="Arial" w:eastAsia="Times New Roman" w:hAnsi="Arial" w:cs="Arial"/>
          <w:sz w:val="24"/>
          <w:szCs w:val="24"/>
          <w:lang w:eastAsia="en-GB"/>
        </w:rPr>
        <w:t xml:space="preserve"> would provide </w:t>
      </w:r>
      <w:r w:rsidR="00A24D5C" w:rsidRPr="00F71301">
        <w:rPr>
          <w:rFonts w:ascii="Arial" w:eastAsia="Times New Roman" w:hAnsi="Arial" w:cs="Arial"/>
          <w:sz w:val="24"/>
          <w:szCs w:val="24"/>
          <w:lang w:eastAsia="en-GB"/>
        </w:rPr>
        <w:t>information</w:t>
      </w:r>
      <w:r w:rsidR="00931662" w:rsidRPr="00F71301">
        <w:rPr>
          <w:rFonts w:ascii="Arial" w:eastAsia="Times New Roman" w:hAnsi="Arial" w:cs="Arial"/>
          <w:sz w:val="24"/>
          <w:szCs w:val="24"/>
          <w:lang w:eastAsia="en-GB"/>
        </w:rPr>
        <w:t xml:space="preserve"> on workflow</w:t>
      </w:r>
      <w:r w:rsidRPr="00F71301">
        <w:rPr>
          <w:rFonts w:ascii="Arial" w:eastAsia="Times New Roman" w:hAnsi="Arial" w:cs="Arial"/>
          <w:sz w:val="24"/>
          <w:szCs w:val="24"/>
          <w:lang w:eastAsia="en-GB"/>
        </w:rPr>
        <w:t xml:space="preserve">, usability, and patient confidentiality safeguards. </w:t>
      </w:r>
      <w:r w:rsidR="00146B7A" w:rsidRPr="00F71301">
        <w:rPr>
          <w:rFonts w:ascii="Arial" w:eastAsia="Times New Roman" w:hAnsi="Arial" w:cs="Arial"/>
          <w:sz w:val="24"/>
          <w:szCs w:val="24"/>
          <w:lang w:eastAsia="en-GB"/>
        </w:rPr>
        <w:t>Other ‘Low Power-High Interest’ stakeholders would be</w:t>
      </w:r>
      <w:r w:rsidR="00FC12AD" w:rsidRPr="00F71301">
        <w:rPr>
          <w:rFonts w:ascii="Arial" w:eastAsia="Times New Roman" w:hAnsi="Arial" w:cs="Arial"/>
          <w:sz w:val="24"/>
          <w:szCs w:val="24"/>
          <w:lang w:eastAsia="en-GB"/>
        </w:rPr>
        <w:t xml:space="preserve"> patients,</w:t>
      </w:r>
      <w:r w:rsidR="00146B7A" w:rsidRPr="00F71301">
        <w:rPr>
          <w:rFonts w:ascii="Arial" w:eastAsia="Times New Roman" w:hAnsi="Arial" w:cs="Arial"/>
          <w:sz w:val="24"/>
          <w:szCs w:val="24"/>
          <w:lang w:eastAsia="en-GB"/>
        </w:rPr>
        <w:t xml:space="preserve"> </w:t>
      </w:r>
      <w:r w:rsidRPr="00F71301">
        <w:rPr>
          <w:rFonts w:ascii="Arial" w:eastAsia="Times New Roman" w:hAnsi="Arial" w:cs="Arial"/>
          <w:sz w:val="24"/>
          <w:szCs w:val="24"/>
          <w:lang w:eastAsia="en-GB"/>
        </w:rPr>
        <w:t xml:space="preserve">patient advocacy groups such as the British HIV Association (BHIVA) and community organisations supporting LGBTQ+ and migrant communities </w:t>
      </w:r>
      <w:r w:rsidR="00146B7A" w:rsidRPr="00F71301">
        <w:rPr>
          <w:rFonts w:ascii="Arial" w:eastAsia="Times New Roman" w:hAnsi="Arial" w:cs="Arial"/>
          <w:sz w:val="24"/>
          <w:szCs w:val="24"/>
          <w:lang w:eastAsia="en-GB"/>
        </w:rPr>
        <w:t xml:space="preserve">who </w:t>
      </w:r>
      <w:r w:rsidRPr="00F71301">
        <w:rPr>
          <w:rFonts w:ascii="Arial" w:eastAsia="Times New Roman" w:hAnsi="Arial" w:cs="Arial"/>
          <w:sz w:val="24"/>
          <w:szCs w:val="24"/>
          <w:lang w:eastAsia="en-GB"/>
        </w:rPr>
        <w:t xml:space="preserve">would be essential to </w:t>
      </w:r>
      <w:r w:rsidR="001264EB" w:rsidRPr="00F71301">
        <w:rPr>
          <w:rFonts w:ascii="Arial" w:eastAsia="Times New Roman" w:hAnsi="Arial" w:cs="Arial"/>
          <w:sz w:val="24"/>
          <w:szCs w:val="24"/>
          <w:lang w:eastAsia="en-GB"/>
        </w:rPr>
        <w:t>ensure that the system remains accessible</w:t>
      </w:r>
      <w:r w:rsidRPr="00F71301">
        <w:rPr>
          <w:rFonts w:ascii="Arial" w:eastAsia="Times New Roman" w:hAnsi="Arial" w:cs="Arial"/>
          <w:sz w:val="24"/>
          <w:szCs w:val="24"/>
          <w:lang w:eastAsia="en-GB"/>
        </w:rPr>
        <w:t xml:space="preserve"> and sensitive to the needs of marginalised groups.</w:t>
      </w:r>
      <w:r w:rsidR="00146B7A" w:rsidRPr="00F71301">
        <w:rPr>
          <w:rFonts w:ascii="Arial" w:eastAsia="Times New Roman" w:hAnsi="Arial" w:cs="Arial"/>
          <w:sz w:val="24"/>
          <w:szCs w:val="24"/>
          <w:lang w:eastAsia="en-GB"/>
        </w:rPr>
        <w:t xml:space="preserve"> The ‘Low Power-Low Interest’ section of the </w:t>
      </w:r>
      <w:r w:rsidR="00146B7A" w:rsidRPr="00F71301">
        <w:rPr>
          <w:rFonts w:ascii="Arial" w:eastAsia="Times New Roman" w:hAnsi="Arial" w:cs="Arial"/>
          <w:sz w:val="24"/>
          <w:szCs w:val="24"/>
          <w:lang w:eastAsia="en-GB"/>
        </w:rPr>
        <w:lastRenderedPageBreak/>
        <w:t xml:space="preserve">model would include digital technology providers who would provide technical and data advice, but would require little management other than </w:t>
      </w:r>
      <w:r w:rsidR="008021DD" w:rsidRPr="00F71301">
        <w:rPr>
          <w:rFonts w:ascii="Arial" w:eastAsia="Times New Roman" w:hAnsi="Arial" w:cs="Arial"/>
          <w:sz w:val="24"/>
          <w:szCs w:val="24"/>
          <w:lang w:eastAsia="en-GB"/>
        </w:rPr>
        <w:t xml:space="preserve">standard communication. </w:t>
      </w:r>
    </w:p>
    <w:p w14:paraId="0BE194B5" w14:textId="77777777" w:rsidR="004246EC" w:rsidRPr="00F71301" w:rsidRDefault="004246EC" w:rsidP="00931662">
      <w:pPr>
        <w:spacing w:before="100" w:beforeAutospacing="1" w:after="100" w:afterAutospacing="1" w:line="240" w:lineRule="auto"/>
        <w:ind w:left="360"/>
        <w:jc w:val="both"/>
        <w:rPr>
          <w:rFonts w:ascii="Arial" w:eastAsia="Times New Roman" w:hAnsi="Arial" w:cs="Arial"/>
          <w:sz w:val="24"/>
          <w:szCs w:val="24"/>
          <w:lang w:eastAsia="en-GB"/>
        </w:rPr>
      </w:pPr>
    </w:p>
    <w:p w14:paraId="6812AA56" w14:textId="77777777" w:rsidR="00052EF9" w:rsidRPr="00F71301" w:rsidRDefault="00052EF9">
      <w:pPr>
        <w:rPr>
          <w:rFonts w:ascii="Arial" w:hAnsi="Arial" w:cs="Arial"/>
          <w:b/>
          <w:color w:val="000000" w:themeColor="text1"/>
          <w:sz w:val="24"/>
          <w:szCs w:val="24"/>
        </w:rPr>
      </w:pPr>
      <w:r w:rsidRPr="00F71301">
        <w:rPr>
          <w:rFonts w:ascii="Arial" w:hAnsi="Arial" w:cs="Arial"/>
          <w:b/>
          <w:color w:val="000000" w:themeColor="text1"/>
          <w:sz w:val="24"/>
          <w:szCs w:val="24"/>
        </w:rPr>
        <w:t xml:space="preserve">What leadership theories would be effective? </w:t>
      </w:r>
    </w:p>
    <w:p w14:paraId="2F1D8321" w14:textId="77777777" w:rsidR="00A371F8" w:rsidRPr="00F71301" w:rsidRDefault="00505035" w:rsidP="00374AA5">
      <w:pPr>
        <w:spacing w:before="100" w:beforeAutospacing="1" w:after="100" w:afterAutospacing="1" w:line="240" w:lineRule="auto"/>
        <w:ind w:left="360"/>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Effective leadership will be critical </w:t>
      </w:r>
      <w:r w:rsidR="004246EC" w:rsidRPr="00F71301">
        <w:rPr>
          <w:rFonts w:ascii="Arial" w:eastAsia="Times New Roman" w:hAnsi="Arial" w:cs="Arial"/>
          <w:sz w:val="24"/>
          <w:szCs w:val="24"/>
          <w:lang w:eastAsia="en-GB"/>
        </w:rPr>
        <w:t>for</w:t>
      </w:r>
      <w:r w:rsidRPr="00F71301">
        <w:rPr>
          <w:rFonts w:ascii="Arial" w:eastAsia="Times New Roman" w:hAnsi="Arial" w:cs="Arial"/>
          <w:sz w:val="24"/>
          <w:szCs w:val="24"/>
          <w:lang w:eastAsia="en-GB"/>
        </w:rPr>
        <w:t xml:space="preserve"> succe</w:t>
      </w:r>
      <w:r w:rsidR="004A6CBD" w:rsidRPr="00F71301">
        <w:rPr>
          <w:rFonts w:ascii="Arial" w:eastAsia="Times New Roman" w:hAnsi="Arial" w:cs="Arial"/>
          <w:sz w:val="24"/>
          <w:szCs w:val="24"/>
          <w:lang w:eastAsia="en-GB"/>
        </w:rPr>
        <w:t>ssful implementation of the DVR</w:t>
      </w:r>
      <w:r w:rsidRPr="00F71301">
        <w:rPr>
          <w:rFonts w:ascii="Arial" w:eastAsia="Times New Roman" w:hAnsi="Arial" w:cs="Arial"/>
          <w:sz w:val="24"/>
          <w:szCs w:val="24"/>
          <w:lang w:eastAsia="en-GB"/>
        </w:rPr>
        <w:t xml:space="preserve">, particularly given the number of stakeholders involved, and sensitivity surrounding sexual health data. </w:t>
      </w:r>
    </w:p>
    <w:p w14:paraId="1A3C5352" w14:textId="77777777" w:rsidR="00505035" w:rsidRPr="00F71301" w:rsidRDefault="00F843BE" w:rsidP="00374AA5">
      <w:pPr>
        <w:spacing w:before="100" w:beforeAutospacing="1" w:after="100" w:afterAutospacing="1" w:line="240" w:lineRule="auto"/>
        <w:ind w:left="360"/>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Many</w:t>
      </w:r>
      <w:r w:rsidRPr="00F71301">
        <w:rPr>
          <w:rFonts w:ascii="Arial" w:hAnsi="Arial" w:cs="Arial"/>
          <w:sz w:val="24"/>
          <w:szCs w:val="24"/>
        </w:rPr>
        <w:t xml:space="preserve"> leadership theories have been developed and studied in recent years, including ‘</w:t>
      </w:r>
      <w:r w:rsidRPr="00F71301">
        <w:rPr>
          <w:rStyle w:val="Emphasis"/>
          <w:rFonts w:ascii="Arial" w:hAnsi="Arial" w:cs="Arial"/>
          <w:i w:val="0"/>
          <w:sz w:val="24"/>
          <w:szCs w:val="24"/>
        </w:rPr>
        <w:t>Servant Leadership’</w:t>
      </w:r>
      <w:r w:rsidRPr="00F71301">
        <w:rPr>
          <w:rFonts w:ascii="Arial" w:hAnsi="Arial" w:cs="Arial"/>
          <w:sz w:val="24"/>
          <w:szCs w:val="24"/>
        </w:rPr>
        <w:t xml:space="preserve"> (</w:t>
      </w:r>
      <w:proofErr w:type="spellStart"/>
      <w:r w:rsidRPr="00F71301">
        <w:rPr>
          <w:rFonts w:ascii="Arial" w:hAnsi="Arial" w:cs="Arial"/>
          <w:sz w:val="24"/>
          <w:szCs w:val="24"/>
        </w:rPr>
        <w:t>Barbuto</w:t>
      </w:r>
      <w:proofErr w:type="spellEnd"/>
      <w:r w:rsidRPr="00F71301">
        <w:rPr>
          <w:rFonts w:ascii="Arial" w:hAnsi="Arial" w:cs="Arial"/>
          <w:sz w:val="24"/>
          <w:szCs w:val="24"/>
        </w:rPr>
        <w:t xml:space="preserve"> &amp; Wheeler 2006), ‘</w:t>
      </w:r>
      <w:r w:rsidRPr="00F71301">
        <w:rPr>
          <w:rStyle w:val="Emphasis"/>
          <w:rFonts w:ascii="Arial" w:hAnsi="Arial" w:cs="Arial"/>
          <w:i w:val="0"/>
          <w:sz w:val="24"/>
          <w:szCs w:val="24"/>
        </w:rPr>
        <w:t>Authentic Leadership’</w:t>
      </w:r>
      <w:r w:rsidRPr="00F71301">
        <w:rPr>
          <w:rFonts w:ascii="Arial" w:hAnsi="Arial" w:cs="Arial"/>
          <w:sz w:val="24"/>
          <w:szCs w:val="24"/>
        </w:rPr>
        <w:t xml:space="preserve"> (Avolio &amp; Gardner 2005), and ‘</w:t>
      </w:r>
      <w:r w:rsidRPr="00F71301">
        <w:rPr>
          <w:rStyle w:val="Emphasis"/>
          <w:rFonts w:ascii="Arial" w:hAnsi="Arial" w:cs="Arial"/>
          <w:i w:val="0"/>
          <w:sz w:val="24"/>
          <w:szCs w:val="24"/>
        </w:rPr>
        <w:t>Ethical Leadership’</w:t>
      </w:r>
      <w:r w:rsidRPr="00F71301">
        <w:rPr>
          <w:rFonts w:ascii="Arial" w:hAnsi="Arial" w:cs="Arial"/>
          <w:sz w:val="24"/>
          <w:szCs w:val="24"/>
        </w:rPr>
        <w:t xml:space="preserve"> (Brown, </w:t>
      </w:r>
      <w:proofErr w:type="spellStart"/>
      <w:r w:rsidRPr="00F71301">
        <w:rPr>
          <w:rFonts w:ascii="Arial" w:hAnsi="Arial" w:cs="Arial"/>
          <w:sz w:val="24"/>
          <w:szCs w:val="24"/>
        </w:rPr>
        <w:t>Treviño</w:t>
      </w:r>
      <w:proofErr w:type="spellEnd"/>
      <w:r w:rsidRPr="00F71301">
        <w:rPr>
          <w:rFonts w:ascii="Arial" w:hAnsi="Arial" w:cs="Arial"/>
          <w:sz w:val="24"/>
          <w:szCs w:val="24"/>
        </w:rPr>
        <w:t xml:space="preserve"> &amp; Harrison 2005). </w:t>
      </w:r>
      <w:r w:rsidR="004A6CBD" w:rsidRPr="00F71301">
        <w:rPr>
          <w:rFonts w:ascii="Arial" w:hAnsi="Arial" w:cs="Arial"/>
          <w:sz w:val="24"/>
          <w:szCs w:val="24"/>
        </w:rPr>
        <w:t>R</w:t>
      </w:r>
      <w:r w:rsidRPr="00F71301">
        <w:rPr>
          <w:rFonts w:ascii="Arial" w:hAnsi="Arial" w:cs="Arial"/>
          <w:sz w:val="24"/>
          <w:szCs w:val="24"/>
        </w:rPr>
        <w:t>ecent research indicates that these models are highly related to, and show similar behaviour and attitude outcomes to, the earlier ‘</w:t>
      </w:r>
      <w:r w:rsidRPr="00F71301">
        <w:rPr>
          <w:rStyle w:val="Emphasis"/>
          <w:rFonts w:ascii="Arial" w:hAnsi="Arial" w:cs="Arial"/>
          <w:i w:val="0"/>
          <w:sz w:val="24"/>
          <w:szCs w:val="24"/>
        </w:rPr>
        <w:t>Transformational Leadership’</w:t>
      </w:r>
      <w:r w:rsidRPr="00F71301">
        <w:rPr>
          <w:rFonts w:ascii="Arial" w:hAnsi="Arial" w:cs="Arial"/>
          <w:sz w:val="24"/>
          <w:szCs w:val="24"/>
        </w:rPr>
        <w:t xml:space="preserve"> theory (Hoch et al 2018).</w:t>
      </w:r>
      <w:r w:rsidR="00A371F8" w:rsidRPr="00F71301">
        <w:rPr>
          <w:rFonts w:ascii="Arial" w:hAnsi="Arial" w:cs="Arial"/>
          <w:sz w:val="24"/>
          <w:szCs w:val="24"/>
        </w:rPr>
        <w:t xml:space="preserve"> </w:t>
      </w:r>
      <w:r w:rsidR="00374AA5" w:rsidRPr="00F71301">
        <w:rPr>
          <w:rFonts w:ascii="Arial" w:eastAsia="Times New Roman" w:hAnsi="Arial" w:cs="Arial"/>
          <w:sz w:val="24"/>
          <w:szCs w:val="24"/>
          <w:lang w:eastAsia="en-GB"/>
        </w:rPr>
        <w:t>T</w:t>
      </w:r>
      <w:r w:rsidR="00505035" w:rsidRPr="00F71301">
        <w:rPr>
          <w:rFonts w:ascii="Arial" w:eastAsia="Times New Roman" w:hAnsi="Arial" w:cs="Arial"/>
          <w:sz w:val="24"/>
          <w:szCs w:val="24"/>
          <w:lang w:eastAsia="en-GB"/>
        </w:rPr>
        <w:t>ransformational leaders</w:t>
      </w:r>
      <w:r w:rsidR="0053550E" w:rsidRPr="00F71301">
        <w:rPr>
          <w:rFonts w:ascii="Arial" w:eastAsia="Times New Roman" w:hAnsi="Arial" w:cs="Arial"/>
          <w:sz w:val="24"/>
          <w:szCs w:val="24"/>
          <w:lang w:eastAsia="en-GB"/>
        </w:rPr>
        <w:t>hip</w:t>
      </w:r>
      <w:r w:rsidR="00A371F8" w:rsidRPr="00F71301">
        <w:rPr>
          <w:rFonts w:ascii="Arial" w:eastAsia="Times New Roman" w:hAnsi="Arial" w:cs="Arial"/>
          <w:sz w:val="24"/>
          <w:szCs w:val="24"/>
          <w:lang w:eastAsia="en-GB"/>
        </w:rPr>
        <w:t xml:space="preserve">, </w:t>
      </w:r>
      <w:r w:rsidR="0053550E" w:rsidRPr="00F71301">
        <w:rPr>
          <w:rFonts w:ascii="Arial" w:eastAsia="Times New Roman" w:hAnsi="Arial" w:cs="Arial"/>
          <w:sz w:val="24"/>
          <w:szCs w:val="24"/>
          <w:lang w:eastAsia="en-GB"/>
        </w:rPr>
        <w:t xml:space="preserve">is the process in which leaders play the part of ‘role model’, providing inspiration and encouragement, </w:t>
      </w:r>
      <w:r w:rsidR="004A6CBD" w:rsidRPr="00F71301">
        <w:rPr>
          <w:rFonts w:ascii="Arial" w:eastAsia="Times New Roman" w:hAnsi="Arial" w:cs="Arial"/>
          <w:sz w:val="24"/>
          <w:szCs w:val="24"/>
          <w:lang w:eastAsia="en-GB"/>
        </w:rPr>
        <w:t>and</w:t>
      </w:r>
      <w:r w:rsidR="0053550E" w:rsidRPr="00F71301">
        <w:rPr>
          <w:rFonts w:ascii="Arial" w:eastAsia="Times New Roman" w:hAnsi="Arial" w:cs="Arial"/>
          <w:sz w:val="24"/>
          <w:szCs w:val="24"/>
          <w:lang w:eastAsia="en-GB"/>
        </w:rPr>
        <w:t xml:space="preserve"> supporting staff to achieve shared goals (Afsar &amp; </w:t>
      </w:r>
      <w:proofErr w:type="spellStart"/>
      <w:r w:rsidR="0053550E" w:rsidRPr="00F71301">
        <w:rPr>
          <w:rFonts w:ascii="Arial" w:eastAsia="Times New Roman" w:hAnsi="Arial" w:cs="Arial"/>
          <w:sz w:val="24"/>
          <w:szCs w:val="24"/>
          <w:lang w:eastAsia="en-GB"/>
        </w:rPr>
        <w:t>Umrani</w:t>
      </w:r>
      <w:proofErr w:type="spellEnd"/>
      <w:r w:rsidR="0053550E" w:rsidRPr="00F71301">
        <w:rPr>
          <w:rFonts w:ascii="Arial" w:eastAsia="Times New Roman" w:hAnsi="Arial" w:cs="Arial"/>
          <w:sz w:val="24"/>
          <w:szCs w:val="24"/>
          <w:lang w:eastAsia="en-GB"/>
        </w:rPr>
        <w:t xml:space="preserve"> 2020).</w:t>
      </w:r>
      <w:r w:rsidR="00505035" w:rsidRPr="00F71301">
        <w:rPr>
          <w:rFonts w:ascii="Arial" w:eastAsia="Times New Roman" w:hAnsi="Arial" w:cs="Arial"/>
          <w:sz w:val="24"/>
          <w:szCs w:val="24"/>
          <w:lang w:eastAsia="en-GB"/>
        </w:rPr>
        <w:t xml:space="preserve"> </w:t>
      </w:r>
      <w:r w:rsidR="004A6CBD" w:rsidRPr="00F71301">
        <w:rPr>
          <w:rFonts w:ascii="Arial" w:eastAsia="Times New Roman" w:hAnsi="Arial" w:cs="Arial"/>
          <w:sz w:val="24"/>
          <w:szCs w:val="24"/>
          <w:lang w:eastAsia="en-GB"/>
        </w:rPr>
        <w:t>This approach could</w:t>
      </w:r>
      <w:r w:rsidR="00BE0BEF" w:rsidRPr="00F71301">
        <w:rPr>
          <w:rFonts w:ascii="Arial" w:eastAsia="Times New Roman" w:hAnsi="Arial" w:cs="Arial"/>
          <w:sz w:val="24"/>
          <w:szCs w:val="24"/>
          <w:lang w:eastAsia="en-GB"/>
        </w:rPr>
        <w:t xml:space="preserve"> work well within this project </w:t>
      </w:r>
      <w:r w:rsidR="004A6CBD" w:rsidRPr="00F71301">
        <w:rPr>
          <w:rFonts w:ascii="Arial" w:eastAsia="Times New Roman" w:hAnsi="Arial" w:cs="Arial"/>
          <w:sz w:val="24"/>
          <w:szCs w:val="24"/>
          <w:lang w:eastAsia="en-GB"/>
        </w:rPr>
        <w:t>by</w:t>
      </w:r>
      <w:r w:rsidR="00505035" w:rsidRPr="00F71301">
        <w:rPr>
          <w:rFonts w:ascii="Arial" w:eastAsia="Times New Roman" w:hAnsi="Arial" w:cs="Arial"/>
          <w:sz w:val="24"/>
          <w:szCs w:val="24"/>
          <w:lang w:eastAsia="en-GB"/>
        </w:rPr>
        <w:t xml:space="preserve"> </w:t>
      </w:r>
      <w:r w:rsidR="004A6CBD" w:rsidRPr="00F71301">
        <w:rPr>
          <w:rFonts w:ascii="Arial" w:eastAsia="Times New Roman" w:hAnsi="Arial" w:cs="Arial"/>
          <w:sz w:val="24"/>
          <w:szCs w:val="24"/>
          <w:lang w:eastAsia="en-GB"/>
        </w:rPr>
        <w:t xml:space="preserve">motivating staff and communicating how the system will </w:t>
      </w:r>
      <w:r w:rsidR="00505035" w:rsidRPr="00F71301">
        <w:rPr>
          <w:rFonts w:ascii="Arial" w:eastAsia="Times New Roman" w:hAnsi="Arial" w:cs="Arial"/>
          <w:sz w:val="24"/>
          <w:szCs w:val="24"/>
          <w:lang w:eastAsia="en-GB"/>
        </w:rPr>
        <w:t>enhance patient care, reduce workload, and promote health equity. Manage</w:t>
      </w:r>
      <w:r w:rsidR="004A6CBD" w:rsidRPr="00F71301">
        <w:rPr>
          <w:rFonts w:ascii="Arial" w:eastAsia="Times New Roman" w:hAnsi="Arial" w:cs="Arial"/>
          <w:sz w:val="24"/>
          <w:szCs w:val="24"/>
          <w:lang w:eastAsia="en-GB"/>
        </w:rPr>
        <w:t>rs</w:t>
      </w:r>
      <w:r w:rsidR="00505035" w:rsidRPr="00F71301">
        <w:rPr>
          <w:rFonts w:ascii="Arial" w:eastAsia="Times New Roman" w:hAnsi="Arial" w:cs="Arial"/>
          <w:sz w:val="24"/>
          <w:szCs w:val="24"/>
          <w:lang w:eastAsia="en-GB"/>
        </w:rPr>
        <w:t xml:space="preserve"> and senior clinicians at SBUHB could use transformational strategies to develop trust, transparency, and a shared purpose</w:t>
      </w:r>
      <w:r w:rsidR="004A6CBD" w:rsidRPr="00F71301">
        <w:rPr>
          <w:rFonts w:ascii="Arial" w:eastAsia="Times New Roman" w:hAnsi="Arial" w:cs="Arial"/>
          <w:sz w:val="24"/>
          <w:szCs w:val="24"/>
          <w:lang w:eastAsia="en-GB"/>
        </w:rPr>
        <w:t>.</w:t>
      </w:r>
      <w:r w:rsidR="00505035" w:rsidRPr="00F71301">
        <w:rPr>
          <w:rFonts w:ascii="Arial" w:eastAsia="Times New Roman" w:hAnsi="Arial" w:cs="Arial"/>
          <w:sz w:val="24"/>
          <w:szCs w:val="24"/>
          <w:lang w:eastAsia="en-GB"/>
        </w:rPr>
        <w:t xml:space="preserve"> </w:t>
      </w:r>
      <w:r w:rsidR="00FD03C5" w:rsidRPr="00F71301">
        <w:rPr>
          <w:rFonts w:ascii="Arial" w:eastAsia="Times New Roman" w:hAnsi="Arial" w:cs="Arial"/>
          <w:sz w:val="24"/>
          <w:szCs w:val="24"/>
          <w:lang w:eastAsia="en-GB"/>
        </w:rPr>
        <w:t xml:space="preserve">However, over dependence on a </w:t>
      </w:r>
      <w:r w:rsidR="004A6CBD" w:rsidRPr="00F71301">
        <w:rPr>
          <w:rFonts w:ascii="Arial" w:eastAsia="Times New Roman" w:hAnsi="Arial" w:cs="Arial"/>
          <w:sz w:val="24"/>
          <w:szCs w:val="24"/>
          <w:lang w:eastAsia="en-GB"/>
        </w:rPr>
        <w:t xml:space="preserve">single </w:t>
      </w:r>
      <w:r w:rsidR="00FD03C5" w:rsidRPr="00F71301">
        <w:rPr>
          <w:rFonts w:ascii="Arial" w:eastAsia="Times New Roman" w:hAnsi="Arial" w:cs="Arial"/>
          <w:sz w:val="24"/>
          <w:szCs w:val="24"/>
          <w:lang w:eastAsia="en-GB"/>
        </w:rPr>
        <w:t xml:space="preserve">leader </w:t>
      </w:r>
      <w:r w:rsidR="004A6CBD" w:rsidRPr="00F71301">
        <w:rPr>
          <w:rFonts w:ascii="Arial" w:eastAsia="Times New Roman" w:hAnsi="Arial" w:cs="Arial"/>
          <w:sz w:val="24"/>
          <w:szCs w:val="24"/>
          <w:lang w:eastAsia="en-GB"/>
        </w:rPr>
        <w:t>may reduce</w:t>
      </w:r>
      <w:r w:rsidR="00FD03C5" w:rsidRPr="00F71301">
        <w:rPr>
          <w:rFonts w:ascii="Arial" w:eastAsia="Times New Roman" w:hAnsi="Arial" w:cs="Arial"/>
          <w:sz w:val="24"/>
          <w:szCs w:val="24"/>
          <w:lang w:eastAsia="en-GB"/>
        </w:rPr>
        <w:t xml:space="preserve"> critical thinking from other stakeholders </w:t>
      </w:r>
      <w:r w:rsidR="00E2058E" w:rsidRPr="00F71301">
        <w:rPr>
          <w:rFonts w:ascii="Arial" w:eastAsia="Times New Roman" w:hAnsi="Arial" w:cs="Arial"/>
          <w:sz w:val="24"/>
          <w:szCs w:val="24"/>
          <w:lang w:eastAsia="en-GB"/>
        </w:rPr>
        <w:t>(Guo et al 2024)</w:t>
      </w:r>
      <w:r w:rsidR="00FD03C5" w:rsidRPr="00F71301">
        <w:rPr>
          <w:rFonts w:ascii="Arial" w:eastAsia="Times New Roman" w:hAnsi="Arial" w:cs="Arial"/>
          <w:sz w:val="24"/>
          <w:szCs w:val="24"/>
          <w:lang w:eastAsia="en-GB"/>
        </w:rPr>
        <w:t xml:space="preserve">. Additionally, the boundaries between </w:t>
      </w:r>
      <w:r w:rsidR="001264EB" w:rsidRPr="00F71301">
        <w:rPr>
          <w:rFonts w:ascii="Arial" w:eastAsia="Times New Roman" w:hAnsi="Arial" w:cs="Arial"/>
          <w:sz w:val="24"/>
          <w:szCs w:val="24"/>
          <w:lang w:eastAsia="en-GB"/>
        </w:rPr>
        <w:t>being ‘inspiring’</w:t>
      </w:r>
      <w:r w:rsidR="00FD03C5" w:rsidRPr="00F71301">
        <w:rPr>
          <w:rFonts w:ascii="Arial" w:eastAsia="Times New Roman" w:hAnsi="Arial" w:cs="Arial"/>
          <w:sz w:val="24"/>
          <w:szCs w:val="24"/>
          <w:lang w:eastAsia="en-GB"/>
        </w:rPr>
        <w:t xml:space="preserve"> and</w:t>
      </w:r>
      <w:r w:rsidR="001264EB" w:rsidRPr="00F71301">
        <w:rPr>
          <w:rFonts w:ascii="Arial" w:eastAsia="Times New Roman" w:hAnsi="Arial" w:cs="Arial"/>
          <w:sz w:val="24"/>
          <w:szCs w:val="24"/>
          <w:lang w:eastAsia="en-GB"/>
        </w:rPr>
        <w:t xml:space="preserve"> being ‘manipulating’</w:t>
      </w:r>
      <w:r w:rsidR="00FD03C5" w:rsidRPr="00F71301">
        <w:rPr>
          <w:rFonts w:ascii="Arial" w:eastAsia="Times New Roman" w:hAnsi="Arial" w:cs="Arial"/>
          <w:sz w:val="24"/>
          <w:szCs w:val="24"/>
          <w:lang w:eastAsia="en-GB"/>
        </w:rPr>
        <w:t xml:space="preserve"> can become blurred</w:t>
      </w:r>
      <w:r w:rsidR="001264EB" w:rsidRPr="00F71301">
        <w:rPr>
          <w:rFonts w:ascii="Arial" w:eastAsia="Times New Roman" w:hAnsi="Arial" w:cs="Arial"/>
          <w:sz w:val="24"/>
          <w:szCs w:val="24"/>
          <w:lang w:eastAsia="en-GB"/>
        </w:rPr>
        <w:t>,</w:t>
      </w:r>
      <w:r w:rsidR="00FD03C5" w:rsidRPr="00F71301">
        <w:rPr>
          <w:rFonts w:ascii="Arial" w:eastAsia="Times New Roman" w:hAnsi="Arial" w:cs="Arial"/>
          <w:sz w:val="24"/>
          <w:szCs w:val="24"/>
          <w:lang w:eastAsia="en-GB"/>
        </w:rPr>
        <w:t xml:space="preserve"> with the leader potentially unintentionally prioritising their own </w:t>
      </w:r>
      <w:r w:rsidR="001264EB" w:rsidRPr="00F71301">
        <w:rPr>
          <w:rFonts w:ascii="Arial" w:eastAsia="Times New Roman" w:hAnsi="Arial" w:cs="Arial"/>
          <w:sz w:val="24"/>
          <w:szCs w:val="24"/>
          <w:lang w:eastAsia="en-GB"/>
        </w:rPr>
        <w:t>agenda</w:t>
      </w:r>
      <w:r w:rsidR="00FD03C5" w:rsidRPr="00F71301">
        <w:rPr>
          <w:rFonts w:ascii="Arial" w:eastAsia="Times New Roman" w:hAnsi="Arial" w:cs="Arial"/>
          <w:sz w:val="24"/>
          <w:szCs w:val="24"/>
          <w:lang w:eastAsia="en-GB"/>
        </w:rPr>
        <w:t xml:space="preserve"> over the consideration of others in the team </w:t>
      </w:r>
      <w:r w:rsidR="00E2058E" w:rsidRPr="00F71301">
        <w:rPr>
          <w:rFonts w:ascii="Arial" w:eastAsia="Times New Roman" w:hAnsi="Arial" w:cs="Arial"/>
          <w:sz w:val="24"/>
          <w:szCs w:val="24"/>
          <w:lang w:eastAsia="en-GB"/>
        </w:rPr>
        <w:t>(Guo et al 2024)</w:t>
      </w:r>
      <w:r w:rsidR="00FD03C5" w:rsidRPr="00F71301">
        <w:rPr>
          <w:rFonts w:ascii="Arial" w:eastAsia="Times New Roman" w:hAnsi="Arial" w:cs="Arial"/>
          <w:sz w:val="24"/>
          <w:szCs w:val="24"/>
          <w:lang w:eastAsia="en-GB"/>
        </w:rPr>
        <w:t xml:space="preserve">. </w:t>
      </w:r>
    </w:p>
    <w:p w14:paraId="17552B76" w14:textId="77777777" w:rsidR="00900F2D" w:rsidRPr="00F71301" w:rsidRDefault="004A6CBD" w:rsidP="009D116A">
      <w:pPr>
        <w:spacing w:before="100" w:beforeAutospacing="1" w:after="100" w:afterAutospacing="1" w:line="240" w:lineRule="auto"/>
        <w:ind w:left="360"/>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An alternative approach is </w:t>
      </w:r>
      <w:r w:rsidR="00EC5EFB" w:rsidRPr="00F71301">
        <w:rPr>
          <w:rFonts w:ascii="Arial" w:eastAsia="Times New Roman" w:hAnsi="Arial" w:cs="Arial"/>
          <w:sz w:val="24"/>
          <w:szCs w:val="24"/>
          <w:lang w:eastAsia="en-GB"/>
        </w:rPr>
        <w:t>‘D</w:t>
      </w:r>
      <w:r w:rsidR="00EC5EFB" w:rsidRPr="00F71301">
        <w:rPr>
          <w:rFonts w:ascii="Arial" w:eastAsia="Times New Roman" w:hAnsi="Arial" w:cs="Arial"/>
          <w:bCs/>
          <w:sz w:val="24"/>
          <w:szCs w:val="24"/>
          <w:lang w:eastAsia="en-GB"/>
        </w:rPr>
        <w:t>istributed (shared) Leadership’</w:t>
      </w:r>
      <w:r w:rsidR="00EC5EFB" w:rsidRPr="00F71301">
        <w:rPr>
          <w:rFonts w:ascii="Arial" w:eastAsia="Times New Roman" w:hAnsi="Arial" w:cs="Arial"/>
          <w:sz w:val="24"/>
          <w:szCs w:val="24"/>
          <w:lang w:eastAsia="en-GB"/>
        </w:rPr>
        <w:t xml:space="preserve"> theory</w:t>
      </w:r>
      <w:r w:rsidRPr="00F71301">
        <w:rPr>
          <w:rFonts w:ascii="Arial" w:eastAsia="Times New Roman" w:hAnsi="Arial" w:cs="Arial"/>
          <w:sz w:val="24"/>
          <w:szCs w:val="24"/>
          <w:lang w:eastAsia="en-GB"/>
        </w:rPr>
        <w:t>.</w:t>
      </w:r>
      <w:r w:rsidR="00EC5EFB" w:rsidRPr="00F71301">
        <w:rPr>
          <w:rFonts w:ascii="Arial" w:eastAsia="Times New Roman" w:hAnsi="Arial" w:cs="Arial"/>
          <w:sz w:val="24"/>
          <w:szCs w:val="24"/>
          <w:lang w:eastAsia="en-GB"/>
        </w:rPr>
        <w:t xml:space="preserve"> </w:t>
      </w:r>
      <w:r w:rsidR="00900F2D" w:rsidRPr="00F71301">
        <w:rPr>
          <w:rFonts w:ascii="Arial" w:eastAsia="Times New Roman" w:hAnsi="Arial" w:cs="Arial"/>
          <w:sz w:val="24"/>
          <w:szCs w:val="24"/>
          <w:lang w:eastAsia="en-GB"/>
        </w:rPr>
        <w:t xml:space="preserve">Although the idea of shared leadership is ancient, </w:t>
      </w:r>
      <w:r w:rsidRPr="00F71301">
        <w:rPr>
          <w:rFonts w:ascii="Arial" w:eastAsia="Times New Roman" w:hAnsi="Arial" w:cs="Arial"/>
          <w:sz w:val="24"/>
          <w:szCs w:val="24"/>
          <w:lang w:eastAsia="en-GB"/>
        </w:rPr>
        <w:t>it</w:t>
      </w:r>
      <w:r w:rsidR="00900F2D" w:rsidRPr="00F71301">
        <w:rPr>
          <w:rFonts w:ascii="Arial" w:eastAsia="Times New Roman" w:hAnsi="Arial" w:cs="Arial"/>
          <w:sz w:val="24"/>
          <w:szCs w:val="24"/>
          <w:lang w:eastAsia="en-GB"/>
        </w:rPr>
        <w:t xml:space="preserve"> became a more popular theory in the early 2000’s (Bolden 2011). The theory encourages a shift from having an individual leader to the theory of leadership as a collective process (</w:t>
      </w:r>
      <w:proofErr w:type="spellStart"/>
      <w:r w:rsidR="00900F2D" w:rsidRPr="00F71301">
        <w:rPr>
          <w:rFonts w:ascii="Arial" w:eastAsia="Times New Roman" w:hAnsi="Arial" w:cs="Arial"/>
          <w:sz w:val="24"/>
          <w:szCs w:val="24"/>
          <w:lang w:eastAsia="en-GB"/>
        </w:rPr>
        <w:t>Uhl</w:t>
      </w:r>
      <w:proofErr w:type="spellEnd"/>
      <w:r w:rsidR="00900F2D" w:rsidRPr="00F71301">
        <w:rPr>
          <w:rFonts w:ascii="Arial" w:eastAsia="Times New Roman" w:hAnsi="Arial" w:cs="Arial"/>
          <w:sz w:val="24"/>
          <w:szCs w:val="24"/>
          <w:lang w:eastAsia="en-GB"/>
        </w:rPr>
        <w:t xml:space="preserve">-Bien 2006). </w:t>
      </w:r>
      <w:r w:rsidR="00EC5EFB" w:rsidRPr="00F71301">
        <w:rPr>
          <w:rFonts w:ascii="Arial" w:eastAsia="Times New Roman" w:hAnsi="Arial" w:cs="Arial"/>
          <w:sz w:val="24"/>
          <w:szCs w:val="24"/>
          <w:lang w:eastAsia="en-GB"/>
        </w:rPr>
        <w:t>As the project consists of multiple organisations, distributed leadership would enable responsibility and decision-making to be shared between professionals and organisations</w:t>
      </w:r>
      <w:r w:rsidR="00725122" w:rsidRPr="00F71301">
        <w:rPr>
          <w:rFonts w:ascii="Arial" w:eastAsia="Times New Roman" w:hAnsi="Arial" w:cs="Arial"/>
          <w:sz w:val="24"/>
          <w:szCs w:val="24"/>
          <w:lang w:eastAsia="en-GB"/>
        </w:rPr>
        <w:t xml:space="preserve">, with representatives from each organisation </w:t>
      </w:r>
      <w:r w:rsidR="00EC5EFB" w:rsidRPr="00F71301">
        <w:rPr>
          <w:rFonts w:ascii="Arial" w:eastAsia="Times New Roman" w:hAnsi="Arial" w:cs="Arial"/>
          <w:sz w:val="24"/>
          <w:szCs w:val="24"/>
          <w:lang w:eastAsia="en-GB"/>
        </w:rPr>
        <w:t>contribut</w:t>
      </w:r>
      <w:r w:rsidR="00725122" w:rsidRPr="00F71301">
        <w:rPr>
          <w:rFonts w:ascii="Arial" w:eastAsia="Times New Roman" w:hAnsi="Arial" w:cs="Arial"/>
          <w:sz w:val="24"/>
          <w:szCs w:val="24"/>
          <w:lang w:eastAsia="en-GB"/>
        </w:rPr>
        <w:t>ing</w:t>
      </w:r>
      <w:r w:rsidR="00EC5EFB" w:rsidRPr="00F71301">
        <w:rPr>
          <w:rFonts w:ascii="Arial" w:eastAsia="Times New Roman" w:hAnsi="Arial" w:cs="Arial"/>
          <w:sz w:val="24"/>
          <w:szCs w:val="24"/>
          <w:lang w:eastAsia="en-GB"/>
        </w:rPr>
        <w:t xml:space="preserve"> exper</w:t>
      </w:r>
      <w:r w:rsidR="0061203B" w:rsidRPr="00F71301">
        <w:rPr>
          <w:rFonts w:ascii="Arial" w:eastAsia="Times New Roman" w:hAnsi="Arial" w:cs="Arial"/>
          <w:sz w:val="24"/>
          <w:szCs w:val="24"/>
          <w:lang w:eastAsia="en-GB"/>
        </w:rPr>
        <w:t>tise to ensure the DVR’s safety and usability.</w:t>
      </w:r>
      <w:r w:rsidR="00EC5EFB" w:rsidRPr="00F71301">
        <w:rPr>
          <w:rFonts w:ascii="Arial" w:eastAsia="Times New Roman" w:hAnsi="Arial" w:cs="Arial"/>
          <w:sz w:val="24"/>
          <w:szCs w:val="24"/>
          <w:lang w:eastAsia="en-GB"/>
        </w:rPr>
        <w:t xml:space="preserve"> This aligns with the NHS’s emphasis on systems leadership, which promotes </w:t>
      </w:r>
      <w:r w:rsidRPr="00F71301">
        <w:rPr>
          <w:rFonts w:ascii="Arial" w:eastAsia="Times New Roman" w:hAnsi="Arial" w:cs="Arial"/>
          <w:sz w:val="24"/>
          <w:szCs w:val="24"/>
          <w:lang w:eastAsia="en-GB"/>
        </w:rPr>
        <w:t xml:space="preserve">cross-organisational </w:t>
      </w:r>
      <w:r w:rsidR="00EC5EFB" w:rsidRPr="00F71301">
        <w:rPr>
          <w:rFonts w:ascii="Arial" w:eastAsia="Times New Roman" w:hAnsi="Arial" w:cs="Arial"/>
          <w:sz w:val="24"/>
          <w:szCs w:val="24"/>
          <w:lang w:eastAsia="en-GB"/>
        </w:rPr>
        <w:t xml:space="preserve">collaboration </w:t>
      </w:r>
      <w:r w:rsidRPr="00F71301">
        <w:rPr>
          <w:rFonts w:ascii="Arial" w:eastAsia="Times New Roman" w:hAnsi="Arial" w:cs="Arial"/>
          <w:sz w:val="24"/>
          <w:szCs w:val="24"/>
          <w:lang w:eastAsia="en-GB"/>
        </w:rPr>
        <w:t xml:space="preserve">to </w:t>
      </w:r>
      <w:r w:rsidR="00EC5EFB" w:rsidRPr="00F71301">
        <w:rPr>
          <w:rFonts w:ascii="Arial" w:eastAsia="Times New Roman" w:hAnsi="Arial" w:cs="Arial"/>
          <w:sz w:val="24"/>
          <w:szCs w:val="24"/>
          <w:lang w:eastAsia="en-GB"/>
        </w:rPr>
        <w:t>achieve</w:t>
      </w:r>
      <w:r w:rsidR="0061203B" w:rsidRPr="00F71301">
        <w:rPr>
          <w:rFonts w:ascii="Arial" w:eastAsia="Times New Roman" w:hAnsi="Arial" w:cs="Arial"/>
          <w:sz w:val="24"/>
          <w:szCs w:val="24"/>
          <w:lang w:eastAsia="en-GB"/>
        </w:rPr>
        <w:t xml:space="preserve"> </w:t>
      </w:r>
      <w:r w:rsidRPr="00F71301">
        <w:rPr>
          <w:rFonts w:ascii="Arial" w:eastAsia="Times New Roman" w:hAnsi="Arial" w:cs="Arial"/>
          <w:sz w:val="24"/>
          <w:szCs w:val="24"/>
          <w:lang w:eastAsia="en-GB"/>
        </w:rPr>
        <w:t>shared</w:t>
      </w:r>
      <w:r w:rsidR="00EC5EFB" w:rsidRPr="00F71301">
        <w:rPr>
          <w:rFonts w:ascii="Arial" w:eastAsia="Times New Roman" w:hAnsi="Arial" w:cs="Arial"/>
          <w:sz w:val="24"/>
          <w:szCs w:val="24"/>
          <w:lang w:eastAsia="en-GB"/>
        </w:rPr>
        <w:t xml:space="preserve"> goals</w:t>
      </w:r>
      <w:r w:rsidR="00EA1349" w:rsidRPr="00F71301">
        <w:rPr>
          <w:rFonts w:ascii="Arial" w:eastAsia="Times New Roman" w:hAnsi="Arial" w:cs="Arial"/>
          <w:sz w:val="24"/>
          <w:szCs w:val="24"/>
          <w:lang w:eastAsia="en-GB"/>
        </w:rPr>
        <w:t xml:space="preserve"> (DHSC 2022)</w:t>
      </w:r>
      <w:r w:rsidR="0061203B" w:rsidRPr="00F71301">
        <w:rPr>
          <w:rFonts w:ascii="Arial" w:eastAsia="Times New Roman" w:hAnsi="Arial" w:cs="Arial"/>
          <w:sz w:val="24"/>
          <w:szCs w:val="24"/>
          <w:lang w:eastAsia="en-GB"/>
        </w:rPr>
        <w:t>.</w:t>
      </w:r>
      <w:r w:rsidR="00900F2D" w:rsidRPr="00F71301">
        <w:rPr>
          <w:rFonts w:ascii="Arial" w:eastAsia="Times New Roman" w:hAnsi="Arial" w:cs="Arial"/>
          <w:color w:val="FF0000"/>
          <w:sz w:val="24"/>
          <w:szCs w:val="24"/>
          <w:lang w:eastAsia="en-GB"/>
        </w:rPr>
        <w:t xml:space="preserve"> </w:t>
      </w:r>
      <w:r w:rsidR="00900F2D" w:rsidRPr="00F71301">
        <w:rPr>
          <w:rFonts w:ascii="Arial" w:eastAsia="Times New Roman" w:hAnsi="Arial" w:cs="Arial"/>
          <w:sz w:val="24"/>
          <w:szCs w:val="24"/>
          <w:lang w:eastAsia="en-GB"/>
        </w:rPr>
        <w:t xml:space="preserve">However, </w:t>
      </w:r>
      <w:r w:rsidR="00A8462D" w:rsidRPr="00F71301">
        <w:rPr>
          <w:rFonts w:ascii="Arial" w:eastAsia="Times New Roman" w:hAnsi="Arial" w:cs="Arial"/>
          <w:sz w:val="24"/>
          <w:szCs w:val="24"/>
          <w:lang w:eastAsia="en-GB"/>
        </w:rPr>
        <w:t xml:space="preserve">distributing leadership amongst stakeholders could lead to ambiguity in accountability, </w:t>
      </w:r>
      <w:r w:rsidRPr="00F71301">
        <w:rPr>
          <w:rFonts w:ascii="Arial" w:eastAsia="Times New Roman" w:hAnsi="Arial" w:cs="Arial"/>
          <w:sz w:val="24"/>
          <w:szCs w:val="24"/>
          <w:lang w:eastAsia="en-GB"/>
        </w:rPr>
        <w:t>where it is unclear who is responsible for specific decisions</w:t>
      </w:r>
      <w:r w:rsidR="00A8462D" w:rsidRPr="00F71301">
        <w:rPr>
          <w:rFonts w:ascii="Arial" w:eastAsia="Times New Roman" w:hAnsi="Arial" w:cs="Arial"/>
          <w:sz w:val="24"/>
          <w:szCs w:val="24"/>
          <w:lang w:eastAsia="en-GB"/>
        </w:rPr>
        <w:t xml:space="preserve">. </w:t>
      </w:r>
      <w:r w:rsidR="00F63D5D" w:rsidRPr="00F71301">
        <w:rPr>
          <w:rFonts w:ascii="Arial" w:eastAsia="Times New Roman" w:hAnsi="Arial" w:cs="Arial"/>
          <w:sz w:val="24"/>
          <w:szCs w:val="24"/>
          <w:lang w:eastAsia="en-GB"/>
        </w:rPr>
        <w:t>It may also create inconsistency if some stakeholders have less experience or commitment than others</w:t>
      </w:r>
      <w:r w:rsidR="00A8462D" w:rsidRPr="00F71301">
        <w:rPr>
          <w:rFonts w:ascii="Arial" w:eastAsia="Times New Roman" w:hAnsi="Arial" w:cs="Arial"/>
          <w:sz w:val="24"/>
          <w:szCs w:val="24"/>
          <w:lang w:eastAsia="en-GB"/>
        </w:rPr>
        <w:t xml:space="preserve"> </w:t>
      </w:r>
      <w:r w:rsidR="00650B21" w:rsidRPr="00F71301">
        <w:rPr>
          <w:rFonts w:ascii="Arial" w:eastAsia="Times New Roman" w:hAnsi="Arial" w:cs="Arial"/>
          <w:sz w:val="24"/>
          <w:szCs w:val="24"/>
          <w:lang w:eastAsia="en-GB"/>
        </w:rPr>
        <w:t>(Harris 2013).</w:t>
      </w:r>
    </w:p>
    <w:p w14:paraId="397109F6" w14:textId="77777777" w:rsidR="00EC2803" w:rsidRPr="00F71301" w:rsidRDefault="00EC2803" w:rsidP="00EC2803">
      <w:pPr>
        <w:spacing w:before="100" w:beforeAutospacing="1" w:after="100" w:afterAutospacing="1" w:line="240" w:lineRule="auto"/>
        <w:ind w:left="360"/>
        <w:jc w:val="center"/>
        <w:rPr>
          <w:rFonts w:ascii="Arial" w:eastAsia="Times New Roman" w:hAnsi="Arial" w:cs="Arial"/>
          <w:sz w:val="24"/>
          <w:szCs w:val="24"/>
          <w:lang w:eastAsia="en-GB"/>
        </w:rPr>
      </w:pPr>
      <w:r w:rsidRPr="00F71301">
        <w:rPr>
          <w:rFonts w:ascii="Arial" w:hAnsi="Arial" w:cs="Arial"/>
          <w:noProof/>
          <w:sz w:val="24"/>
          <w:szCs w:val="24"/>
          <w:lang w:eastAsia="en-GB"/>
        </w:rPr>
        <w:lastRenderedPageBreak/>
        <w:drawing>
          <wp:inline distT="0" distB="0" distL="0" distR="0" wp14:anchorId="6ED5C235" wp14:editId="198855F4">
            <wp:extent cx="2467610" cy="21717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097EFC5" w14:textId="77777777" w:rsidR="0046135B" w:rsidRPr="00F71301" w:rsidRDefault="0046135B" w:rsidP="0046135B">
      <w:pPr>
        <w:spacing w:before="100" w:beforeAutospacing="1" w:after="100" w:afterAutospacing="1" w:line="240" w:lineRule="auto"/>
        <w:ind w:left="720"/>
        <w:jc w:val="both"/>
        <w:rPr>
          <w:rFonts w:ascii="Arial" w:eastAsia="Times New Roman" w:hAnsi="Arial" w:cs="Arial"/>
          <w:i/>
          <w:sz w:val="24"/>
          <w:szCs w:val="24"/>
          <w:lang w:eastAsia="en-GB"/>
        </w:rPr>
      </w:pPr>
      <w:r w:rsidRPr="00F71301">
        <w:rPr>
          <w:rFonts w:ascii="Arial" w:eastAsia="Times New Roman" w:hAnsi="Arial" w:cs="Arial"/>
          <w:i/>
          <w:sz w:val="24"/>
          <w:szCs w:val="24"/>
          <w:lang w:eastAsia="en-GB"/>
        </w:rPr>
        <w:t>Figure 3: Distributed Leadership Theory</w:t>
      </w:r>
    </w:p>
    <w:p w14:paraId="753F09A2" w14:textId="6EE6F30D" w:rsidR="00445603" w:rsidRPr="00F71301" w:rsidRDefault="00325C1B" w:rsidP="00445603">
      <w:pPr>
        <w:pStyle w:val="NormalWeb"/>
        <w:ind w:left="360"/>
        <w:jc w:val="both"/>
        <w:rPr>
          <w:rFonts w:ascii="Arial" w:hAnsi="Arial" w:cs="Arial"/>
        </w:rPr>
      </w:pPr>
      <w:r w:rsidRPr="00F71301">
        <w:rPr>
          <w:rFonts w:ascii="Arial" w:hAnsi="Arial" w:cs="Arial"/>
        </w:rPr>
        <w:t>Another</w:t>
      </w:r>
      <w:r w:rsidR="00581154" w:rsidRPr="00F71301">
        <w:rPr>
          <w:rFonts w:ascii="Arial" w:hAnsi="Arial" w:cs="Arial"/>
        </w:rPr>
        <w:t xml:space="preserve"> </w:t>
      </w:r>
      <w:r w:rsidR="00F63D5D" w:rsidRPr="00F71301">
        <w:rPr>
          <w:rFonts w:ascii="Arial" w:hAnsi="Arial" w:cs="Arial"/>
        </w:rPr>
        <w:t>relevant</w:t>
      </w:r>
      <w:r w:rsidRPr="00F71301">
        <w:rPr>
          <w:rFonts w:ascii="Arial" w:hAnsi="Arial" w:cs="Arial"/>
        </w:rPr>
        <w:t xml:space="preserve"> theory is ‘Situational Leadership’</w:t>
      </w:r>
      <w:r w:rsidR="00F63D5D" w:rsidRPr="00F71301">
        <w:rPr>
          <w:rFonts w:ascii="Arial" w:hAnsi="Arial" w:cs="Arial"/>
        </w:rPr>
        <w:t>, which</w:t>
      </w:r>
      <w:r w:rsidRPr="00F71301">
        <w:rPr>
          <w:rFonts w:ascii="Arial" w:hAnsi="Arial" w:cs="Arial"/>
        </w:rPr>
        <w:t xml:space="preserve"> was first introduced by Hersey &amp; Blanchard i</w:t>
      </w:r>
      <w:r w:rsidR="00144596" w:rsidRPr="00F71301">
        <w:rPr>
          <w:rFonts w:ascii="Arial" w:hAnsi="Arial" w:cs="Arial"/>
        </w:rPr>
        <w:t>n 1969</w:t>
      </w:r>
      <w:r w:rsidRPr="00F71301">
        <w:rPr>
          <w:rFonts w:ascii="Arial" w:hAnsi="Arial" w:cs="Arial"/>
        </w:rPr>
        <w:t>. It proposed that there is no ‘best’ single leadership style, but that leaders should adapt their leadership approach based on the competence and motivation of team members</w:t>
      </w:r>
      <w:r w:rsidR="00445603" w:rsidRPr="00F71301">
        <w:rPr>
          <w:rFonts w:ascii="Arial" w:hAnsi="Arial" w:cs="Arial"/>
        </w:rPr>
        <w:t xml:space="preserve"> (Khan &amp; Nawaz 2016)</w:t>
      </w:r>
      <w:r w:rsidRPr="00F71301">
        <w:rPr>
          <w:rFonts w:ascii="Arial" w:hAnsi="Arial" w:cs="Arial"/>
        </w:rPr>
        <w:t>. Leaders could use more directive or supportive behaviours depending on the situation, giving more guidance when a team member is inexperienced, and then giving more autonomy and the team members’ confidence or capability increases</w:t>
      </w:r>
      <w:r w:rsidR="00144596" w:rsidRPr="00F71301">
        <w:rPr>
          <w:rFonts w:ascii="Arial" w:hAnsi="Arial" w:cs="Arial"/>
        </w:rPr>
        <w:t xml:space="preserve"> (Wang et al 2024)</w:t>
      </w:r>
      <w:r w:rsidRPr="00F71301">
        <w:rPr>
          <w:rFonts w:ascii="Arial" w:hAnsi="Arial" w:cs="Arial"/>
        </w:rPr>
        <w:t xml:space="preserve">. In the context of a digital transformation such as the introduction of a DVR, this theory could be effective as the project involves a range of professionals across multiple organisations with varying levels of knowledge. </w:t>
      </w:r>
      <w:r w:rsidR="00445603" w:rsidRPr="00F71301">
        <w:rPr>
          <w:rFonts w:ascii="Arial" w:hAnsi="Arial" w:cs="Arial"/>
        </w:rPr>
        <w:t xml:space="preserve">However, a limitation of this approach is that accurately assessing the competence and motivation of team members across a complex, multi-agency project can be challenging. </w:t>
      </w:r>
      <w:r w:rsidR="00907AB5" w:rsidRPr="00F71301">
        <w:rPr>
          <w:rFonts w:ascii="Arial" w:hAnsi="Arial" w:cs="Arial"/>
        </w:rPr>
        <w:t>T</w:t>
      </w:r>
      <w:r w:rsidR="00445603" w:rsidRPr="00F71301">
        <w:rPr>
          <w:rFonts w:ascii="Arial" w:hAnsi="Arial" w:cs="Arial"/>
        </w:rPr>
        <w:t>he model</w:t>
      </w:r>
      <w:r w:rsidR="00907AB5" w:rsidRPr="00F71301">
        <w:rPr>
          <w:rFonts w:ascii="Arial" w:hAnsi="Arial" w:cs="Arial"/>
        </w:rPr>
        <w:t xml:space="preserve"> also</w:t>
      </w:r>
      <w:r w:rsidR="00445603" w:rsidRPr="00F71301">
        <w:rPr>
          <w:rFonts w:ascii="Arial" w:hAnsi="Arial" w:cs="Arial"/>
        </w:rPr>
        <w:t xml:space="preserve"> primarily focuses on leader–follower relationships and does not fully account for potential power imbalances between stakeholders.</w:t>
      </w:r>
    </w:p>
    <w:p w14:paraId="0E618EFB" w14:textId="77777777" w:rsidR="009F1CB6" w:rsidRPr="00F71301" w:rsidRDefault="009F1CB6" w:rsidP="009F1CB6">
      <w:pPr>
        <w:pStyle w:val="NormalWeb"/>
        <w:ind w:left="360"/>
        <w:jc w:val="center"/>
        <w:rPr>
          <w:rFonts w:ascii="Arial" w:hAnsi="Arial" w:cs="Arial"/>
        </w:rPr>
      </w:pPr>
      <w:r w:rsidRPr="00F71301">
        <w:rPr>
          <w:rFonts w:ascii="Arial" w:hAnsi="Arial" w:cs="Arial"/>
          <w:noProof/>
        </w:rPr>
        <w:drawing>
          <wp:inline distT="0" distB="0" distL="0" distR="0" wp14:anchorId="1E563E4B" wp14:editId="6DA0961D">
            <wp:extent cx="2870200" cy="2870200"/>
            <wp:effectExtent l="0" t="0" r="6350" b="6350"/>
            <wp:docPr id="3" name="Picture 3"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70200" cy="2870200"/>
                    </a:xfrm>
                    <a:prstGeom prst="rect">
                      <a:avLst/>
                    </a:prstGeom>
                    <a:noFill/>
                    <a:ln>
                      <a:noFill/>
                    </a:ln>
                  </pic:spPr>
                </pic:pic>
              </a:graphicData>
            </a:graphic>
          </wp:inline>
        </w:drawing>
      </w:r>
    </w:p>
    <w:p w14:paraId="4FB6E1DD" w14:textId="77777777" w:rsidR="0046135B" w:rsidRPr="00F71301" w:rsidRDefault="0046135B" w:rsidP="0046135B">
      <w:pPr>
        <w:pStyle w:val="NormalWeb"/>
        <w:ind w:left="720"/>
        <w:jc w:val="both"/>
        <w:rPr>
          <w:rFonts w:ascii="Arial" w:hAnsi="Arial" w:cs="Arial"/>
          <w:i/>
        </w:rPr>
      </w:pPr>
      <w:r w:rsidRPr="00F71301">
        <w:rPr>
          <w:rFonts w:ascii="Arial" w:hAnsi="Arial" w:cs="Arial"/>
          <w:i/>
        </w:rPr>
        <w:t>Figure 4: Situational Leadership Theory Model (Wang et al 2024)</w:t>
      </w:r>
    </w:p>
    <w:p w14:paraId="3603BB58" w14:textId="77777777" w:rsidR="0046135B" w:rsidRPr="00F71301" w:rsidRDefault="0046135B" w:rsidP="009F1CB6">
      <w:pPr>
        <w:pStyle w:val="NormalWeb"/>
        <w:ind w:left="360"/>
        <w:jc w:val="center"/>
        <w:rPr>
          <w:rFonts w:ascii="Arial" w:hAnsi="Arial" w:cs="Arial"/>
        </w:rPr>
      </w:pPr>
    </w:p>
    <w:p w14:paraId="4836F390" w14:textId="38DC4A8E" w:rsidR="00581154" w:rsidRPr="00F71301" w:rsidRDefault="00581154" w:rsidP="004C07F3">
      <w:pPr>
        <w:pStyle w:val="NormalWeb"/>
        <w:ind w:left="360"/>
        <w:jc w:val="both"/>
        <w:rPr>
          <w:rFonts w:ascii="Arial" w:hAnsi="Arial" w:cs="Arial"/>
        </w:rPr>
      </w:pPr>
      <w:r w:rsidRPr="00F71301">
        <w:rPr>
          <w:rFonts w:ascii="Arial" w:hAnsi="Arial" w:cs="Arial"/>
        </w:rPr>
        <w:t xml:space="preserve">While Distributed and Situational Leadership </w:t>
      </w:r>
      <w:r w:rsidR="00DC1D6C">
        <w:rPr>
          <w:rFonts w:ascii="Arial" w:hAnsi="Arial" w:cs="Arial"/>
        </w:rPr>
        <w:t>have</w:t>
      </w:r>
      <w:r w:rsidRPr="00F71301">
        <w:rPr>
          <w:rFonts w:ascii="Arial" w:hAnsi="Arial" w:cs="Arial"/>
        </w:rPr>
        <w:t xml:space="preserve"> valuable perspectives for managing multi-agency projects, the unique challenges of the DVR implementation project, such as the sensitivity of sexual health data and the need for stakeholder trust makes </w:t>
      </w:r>
      <w:r w:rsidRPr="00F71301">
        <w:rPr>
          <w:rStyle w:val="Strong"/>
          <w:rFonts w:ascii="Arial" w:hAnsi="Arial" w:cs="Arial"/>
          <w:b w:val="0"/>
        </w:rPr>
        <w:t>Transformational Leadership</w:t>
      </w:r>
      <w:r w:rsidRPr="00F71301">
        <w:rPr>
          <w:rFonts w:ascii="Arial" w:hAnsi="Arial" w:cs="Arial"/>
        </w:rPr>
        <w:t xml:space="preserve"> the most suitable approach. This theory emphasises inspiring and empowering stakeholders toward the shared goal of improving patient care, reducing workload, and promoting health equality.</w:t>
      </w:r>
      <w:r w:rsidR="00DA537B" w:rsidRPr="00F71301">
        <w:rPr>
          <w:rFonts w:ascii="Arial" w:hAnsi="Arial" w:cs="Arial"/>
        </w:rPr>
        <w:t xml:space="preserve"> </w:t>
      </w:r>
      <w:r w:rsidR="005307B7" w:rsidRPr="00F71301">
        <w:rPr>
          <w:rFonts w:ascii="Arial" w:hAnsi="Arial" w:cs="Arial"/>
        </w:rPr>
        <w:t>These goals in turn lead to improved population health and reduced costs, therefore, achieving all objectives of the ‘Quintuple Aim’ (</w:t>
      </w:r>
      <w:proofErr w:type="spellStart"/>
      <w:r w:rsidR="005307B7" w:rsidRPr="00F71301">
        <w:rPr>
          <w:rFonts w:ascii="Arial" w:hAnsi="Arial" w:cs="Arial"/>
        </w:rPr>
        <w:t>Nundy</w:t>
      </w:r>
      <w:proofErr w:type="spellEnd"/>
      <w:r w:rsidR="005307B7" w:rsidRPr="00F71301">
        <w:rPr>
          <w:rFonts w:ascii="Arial" w:hAnsi="Arial" w:cs="Arial"/>
        </w:rPr>
        <w:t xml:space="preserve"> et al 2022). </w:t>
      </w:r>
      <w:r w:rsidR="00DA537B" w:rsidRPr="00F71301">
        <w:rPr>
          <w:rFonts w:ascii="Arial" w:hAnsi="Arial" w:cs="Arial"/>
        </w:rPr>
        <w:t xml:space="preserve">Researchers </w:t>
      </w:r>
      <w:r w:rsidR="0006160E" w:rsidRPr="00F71301">
        <w:rPr>
          <w:rFonts w:ascii="Arial" w:hAnsi="Arial" w:cs="Arial"/>
        </w:rPr>
        <w:t>have linked</w:t>
      </w:r>
      <w:r w:rsidR="00DA537B" w:rsidRPr="00F71301">
        <w:rPr>
          <w:rFonts w:ascii="Arial" w:hAnsi="Arial" w:cs="Arial"/>
        </w:rPr>
        <w:t xml:space="preserve"> a lack of leadership with poor patient outcomes, whereas leadership styles such as Transformational Leadership </w:t>
      </w:r>
      <w:r w:rsidR="0006160E" w:rsidRPr="00F71301">
        <w:rPr>
          <w:rFonts w:ascii="Arial" w:hAnsi="Arial" w:cs="Arial"/>
        </w:rPr>
        <w:t>have been</w:t>
      </w:r>
      <w:r w:rsidR="00DA537B" w:rsidRPr="00F71301">
        <w:rPr>
          <w:rFonts w:ascii="Arial" w:hAnsi="Arial" w:cs="Arial"/>
        </w:rPr>
        <w:t xml:space="preserve"> associated with better patient outcomes (</w:t>
      </w:r>
      <w:r w:rsidR="00C14853" w:rsidRPr="00F71301">
        <w:rPr>
          <w:rFonts w:ascii="Arial" w:hAnsi="Arial" w:cs="Arial"/>
        </w:rPr>
        <w:t>Cummings et al 2010). Healthcare errors are the leading cause of mortality and morbidity in patients (</w:t>
      </w:r>
      <w:proofErr w:type="spellStart"/>
      <w:r w:rsidR="00C14853" w:rsidRPr="00F71301">
        <w:rPr>
          <w:rFonts w:ascii="Arial" w:hAnsi="Arial" w:cs="Arial"/>
        </w:rPr>
        <w:t>Ystaas</w:t>
      </w:r>
      <w:proofErr w:type="spellEnd"/>
      <w:r w:rsidR="00C14853" w:rsidRPr="00F71301">
        <w:rPr>
          <w:rFonts w:ascii="Arial" w:hAnsi="Arial" w:cs="Arial"/>
        </w:rPr>
        <w:t xml:space="preserve"> et al 2023), thus effective leadership that reduce these errors are key. </w:t>
      </w:r>
      <w:r w:rsidRPr="00F71301">
        <w:rPr>
          <w:rFonts w:ascii="Arial" w:hAnsi="Arial" w:cs="Arial"/>
        </w:rPr>
        <w:t xml:space="preserve">Although potential risks such as overdependence on the leader exist, this can be mitigated through reflective practice and inclusive decision-making. </w:t>
      </w:r>
      <w:r w:rsidR="005307B7" w:rsidRPr="00F71301">
        <w:rPr>
          <w:rFonts w:ascii="Arial" w:hAnsi="Arial" w:cs="Arial"/>
        </w:rPr>
        <w:t>M</w:t>
      </w:r>
      <w:r w:rsidR="00C14853" w:rsidRPr="00F71301">
        <w:rPr>
          <w:rFonts w:ascii="Arial" w:hAnsi="Arial" w:cs="Arial"/>
        </w:rPr>
        <w:t xml:space="preserve">anagers who demonstrate </w:t>
      </w:r>
      <w:r w:rsidRPr="00F71301">
        <w:rPr>
          <w:rFonts w:ascii="Arial" w:hAnsi="Arial" w:cs="Arial"/>
        </w:rPr>
        <w:t xml:space="preserve">transformational leadership </w:t>
      </w:r>
      <w:r w:rsidR="0006160E" w:rsidRPr="00F71301">
        <w:rPr>
          <w:rFonts w:ascii="Arial" w:hAnsi="Arial" w:cs="Arial"/>
        </w:rPr>
        <w:t>can</w:t>
      </w:r>
      <w:r w:rsidR="00C14853" w:rsidRPr="00F71301">
        <w:rPr>
          <w:rFonts w:ascii="Arial" w:hAnsi="Arial" w:cs="Arial"/>
        </w:rPr>
        <w:t xml:space="preserve"> influence staff satisfaction, reduce the risk of burnout</w:t>
      </w:r>
      <w:r w:rsidR="0006160E" w:rsidRPr="00F71301">
        <w:rPr>
          <w:rFonts w:ascii="Arial" w:hAnsi="Arial" w:cs="Arial"/>
        </w:rPr>
        <w:t xml:space="preserve"> (</w:t>
      </w:r>
      <w:proofErr w:type="spellStart"/>
      <w:r w:rsidR="0006160E" w:rsidRPr="00F71301">
        <w:rPr>
          <w:rFonts w:ascii="Arial" w:hAnsi="Arial" w:cs="Arial"/>
        </w:rPr>
        <w:t>Ystaas</w:t>
      </w:r>
      <w:proofErr w:type="spellEnd"/>
      <w:r w:rsidR="0006160E" w:rsidRPr="00F71301">
        <w:rPr>
          <w:rFonts w:ascii="Arial" w:hAnsi="Arial" w:cs="Arial"/>
        </w:rPr>
        <w:t xml:space="preserve"> et al 2023)</w:t>
      </w:r>
      <w:r w:rsidR="00C14853" w:rsidRPr="00F71301">
        <w:rPr>
          <w:rFonts w:ascii="Arial" w:hAnsi="Arial" w:cs="Arial"/>
        </w:rPr>
        <w:t xml:space="preserve"> (and by default reduce the risk of errors) by creating a supportive work environment</w:t>
      </w:r>
      <w:r w:rsidR="0006160E" w:rsidRPr="00F71301">
        <w:rPr>
          <w:rFonts w:ascii="Arial" w:hAnsi="Arial" w:cs="Arial"/>
        </w:rPr>
        <w:t xml:space="preserve"> in which to introduce a DVR</w:t>
      </w:r>
      <w:r w:rsidR="00C14853" w:rsidRPr="00F71301">
        <w:rPr>
          <w:rFonts w:ascii="Arial" w:hAnsi="Arial" w:cs="Arial"/>
        </w:rPr>
        <w:t>.</w:t>
      </w:r>
    </w:p>
    <w:p w14:paraId="7F2AB7EC" w14:textId="77777777" w:rsidR="009E2D56" w:rsidRPr="00F71301" w:rsidRDefault="009E2D56">
      <w:pPr>
        <w:rPr>
          <w:rFonts w:ascii="Arial" w:hAnsi="Arial" w:cs="Arial"/>
          <w:b/>
          <w:color w:val="000000" w:themeColor="text1"/>
          <w:sz w:val="24"/>
          <w:szCs w:val="24"/>
        </w:rPr>
      </w:pPr>
    </w:p>
    <w:p w14:paraId="24DEC60F" w14:textId="77777777" w:rsidR="00052EF9" w:rsidRPr="00F71301" w:rsidRDefault="00052EF9">
      <w:pPr>
        <w:rPr>
          <w:rFonts w:ascii="Arial" w:hAnsi="Arial" w:cs="Arial"/>
          <w:b/>
          <w:color w:val="000000" w:themeColor="text1"/>
          <w:sz w:val="24"/>
          <w:szCs w:val="24"/>
        </w:rPr>
      </w:pPr>
      <w:r w:rsidRPr="00F71301">
        <w:rPr>
          <w:rFonts w:ascii="Arial" w:hAnsi="Arial" w:cs="Arial"/>
          <w:b/>
          <w:color w:val="000000" w:themeColor="text1"/>
          <w:sz w:val="24"/>
          <w:szCs w:val="24"/>
        </w:rPr>
        <w:t>Part 3</w:t>
      </w:r>
    </w:p>
    <w:p w14:paraId="1160E187" w14:textId="77777777" w:rsidR="00395558" w:rsidRPr="00F71301" w:rsidRDefault="00A90689">
      <w:pPr>
        <w:rPr>
          <w:rFonts w:ascii="Arial" w:hAnsi="Arial" w:cs="Arial"/>
          <w:b/>
          <w:color w:val="000000" w:themeColor="text1"/>
          <w:sz w:val="24"/>
          <w:szCs w:val="24"/>
        </w:rPr>
      </w:pPr>
      <w:r w:rsidRPr="00F71301">
        <w:rPr>
          <w:rFonts w:ascii="Arial" w:hAnsi="Arial" w:cs="Arial"/>
          <w:b/>
          <w:color w:val="000000" w:themeColor="text1"/>
          <w:sz w:val="24"/>
          <w:szCs w:val="24"/>
        </w:rPr>
        <w:t>Evaluation of the digital transformation</w:t>
      </w:r>
    </w:p>
    <w:p w14:paraId="4CB8B4BC" w14:textId="77777777" w:rsidR="00A92A62" w:rsidRPr="00F71301" w:rsidRDefault="00F63D5D" w:rsidP="00FB5041">
      <w:pPr>
        <w:jc w:val="both"/>
        <w:rPr>
          <w:rFonts w:ascii="Arial" w:hAnsi="Arial" w:cs="Arial"/>
          <w:sz w:val="24"/>
          <w:szCs w:val="24"/>
        </w:rPr>
      </w:pPr>
      <w:r w:rsidRPr="00F71301">
        <w:rPr>
          <w:rFonts w:ascii="Arial" w:hAnsi="Arial" w:cs="Arial"/>
          <w:sz w:val="24"/>
          <w:szCs w:val="24"/>
        </w:rPr>
        <w:t>E</w:t>
      </w:r>
      <w:r w:rsidR="00D5452F" w:rsidRPr="00F71301">
        <w:rPr>
          <w:rFonts w:ascii="Arial" w:hAnsi="Arial" w:cs="Arial"/>
          <w:sz w:val="24"/>
          <w:szCs w:val="24"/>
        </w:rPr>
        <w:t xml:space="preserve">valuation is </w:t>
      </w:r>
      <w:r w:rsidRPr="00F71301">
        <w:rPr>
          <w:rFonts w:ascii="Arial" w:hAnsi="Arial" w:cs="Arial"/>
          <w:sz w:val="24"/>
          <w:szCs w:val="24"/>
        </w:rPr>
        <w:t>essential</w:t>
      </w:r>
      <w:r w:rsidR="009E2D56" w:rsidRPr="00F71301">
        <w:rPr>
          <w:rFonts w:ascii="Arial" w:hAnsi="Arial" w:cs="Arial"/>
          <w:sz w:val="24"/>
          <w:szCs w:val="24"/>
        </w:rPr>
        <w:t xml:space="preserve"> for any new initiative</w:t>
      </w:r>
      <w:r w:rsidR="00D5452F" w:rsidRPr="00F71301">
        <w:rPr>
          <w:rFonts w:ascii="Arial" w:hAnsi="Arial" w:cs="Arial"/>
          <w:sz w:val="24"/>
          <w:szCs w:val="24"/>
        </w:rPr>
        <w:t xml:space="preserve"> to measure quality</w:t>
      </w:r>
      <w:r w:rsidR="00504FF4" w:rsidRPr="00F71301">
        <w:rPr>
          <w:rFonts w:ascii="Arial" w:hAnsi="Arial" w:cs="Arial"/>
          <w:sz w:val="24"/>
          <w:szCs w:val="24"/>
        </w:rPr>
        <w:t xml:space="preserve">, </w:t>
      </w:r>
      <w:r w:rsidR="00D5452F" w:rsidRPr="00F71301">
        <w:rPr>
          <w:rFonts w:ascii="Arial" w:hAnsi="Arial" w:cs="Arial"/>
          <w:sz w:val="24"/>
          <w:szCs w:val="24"/>
        </w:rPr>
        <w:t xml:space="preserve">impact </w:t>
      </w:r>
      <w:r w:rsidR="00504FF4" w:rsidRPr="00F71301">
        <w:rPr>
          <w:rFonts w:ascii="Arial" w:hAnsi="Arial" w:cs="Arial"/>
          <w:sz w:val="24"/>
          <w:szCs w:val="24"/>
        </w:rPr>
        <w:t>and</w:t>
      </w:r>
      <w:r w:rsidR="00D5452F" w:rsidRPr="00F71301">
        <w:rPr>
          <w:rFonts w:ascii="Arial" w:hAnsi="Arial" w:cs="Arial"/>
          <w:sz w:val="24"/>
          <w:szCs w:val="24"/>
        </w:rPr>
        <w:t xml:space="preserve"> whether </w:t>
      </w:r>
      <w:r w:rsidR="00504FF4" w:rsidRPr="00F71301">
        <w:rPr>
          <w:rFonts w:ascii="Arial" w:hAnsi="Arial" w:cs="Arial"/>
          <w:sz w:val="24"/>
          <w:szCs w:val="24"/>
        </w:rPr>
        <w:t>intended outcomes are achieved</w:t>
      </w:r>
      <w:r w:rsidR="00D5452F" w:rsidRPr="00F71301">
        <w:rPr>
          <w:rFonts w:ascii="Arial" w:hAnsi="Arial" w:cs="Arial"/>
          <w:sz w:val="24"/>
          <w:szCs w:val="24"/>
        </w:rPr>
        <w:t xml:space="preserve">. </w:t>
      </w:r>
      <w:r w:rsidR="00504FF4" w:rsidRPr="00F71301">
        <w:rPr>
          <w:rFonts w:ascii="Arial" w:hAnsi="Arial" w:cs="Arial"/>
          <w:sz w:val="24"/>
          <w:szCs w:val="24"/>
        </w:rPr>
        <w:t>Applying</w:t>
      </w:r>
      <w:r w:rsidR="00D5452F" w:rsidRPr="00F71301">
        <w:rPr>
          <w:rFonts w:ascii="Arial" w:hAnsi="Arial" w:cs="Arial"/>
          <w:sz w:val="24"/>
          <w:szCs w:val="24"/>
        </w:rPr>
        <w:t xml:space="preserve"> a structured methodology</w:t>
      </w:r>
      <w:r w:rsidR="00504FF4" w:rsidRPr="00F71301">
        <w:rPr>
          <w:rFonts w:ascii="Arial" w:hAnsi="Arial" w:cs="Arial"/>
          <w:sz w:val="24"/>
          <w:szCs w:val="24"/>
        </w:rPr>
        <w:t xml:space="preserve"> </w:t>
      </w:r>
      <w:r w:rsidR="00D5452F" w:rsidRPr="00F71301">
        <w:rPr>
          <w:rFonts w:ascii="Arial" w:hAnsi="Arial" w:cs="Arial"/>
          <w:sz w:val="24"/>
          <w:szCs w:val="24"/>
        </w:rPr>
        <w:t>ensure</w:t>
      </w:r>
      <w:r w:rsidR="00504FF4" w:rsidRPr="00F71301">
        <w:rPr>
          <w:rFonts w:ascii="Arial" w:hAnsi="Arial" w:cs="Arial"/>
          <w:sz w:val="24"/>
          <w:szCs w:val="24"/>
        </w:rPr>
        <w:t>s</w:t>
      </w:r>
      <w:r w:rsidR="00D5452F" w:rsidRPr="00F71301">
        <w:rPr>
          <w:rFonts w:ascii="Arial" w:hAnsi="Arial" w:cs="Arial"/>
          <w:sz w:val="24"/>
          <w:szCs w:val="24"/>
        </w:rPr>
        <w:t xml:space="preserve"> a clear determination of the project’s value (Adams &amp; Neville 2020). </w:t>
      </w:r>
    </w:p>
    <w:p w14:paraId="64FA6F14" w14:textId="77777777" w:rsidR="009D211F" w:rsidRPr="00F71301" w:rsidRDefault="00504FF4" w:rsidP="00FB5041">
      <w:pPr>
        <w:jc w:val="both"/>
        <w:rPr>
          <w:rFonts w:ascii="Arial" w:hAnsi="Arial" w:cs="Arial"/>
          <w:sz w:val="24"/>
          <w:szCs w:val="24"/>
        </w:rPr>
      </w:pPr>
      <w:r w:rsidRPr="00F71301">
        <w:rPr>
          <w:rFonts w:ascii="Arial" w:hAnsi="Arial" w:cs="Arial"/>
          <w:sz w:val="24"/>
          <w:szCs w:val="24"/>
        </w:rPr>
        <w:t>S</w:t>
      </w:r>
      <w:r w:rsidR="00E91F0E" w:rsidRPr="00F71301">
        <w:rPr>
          <w:rFonts w:ascii="Arial" w:hAnsi="Arial" w:cs="Arial"/>
          <w:sz w:val="24"/>
          <w:szCs w:val="24"/>
        </w:rPr>
        <w:t xml:space="preserve">everal </w:t>
      </w:r>
      <w:r w:rsidR="00B248FB" w:rsidRPr="00F71301">
        <w:rPr>
          <w:rFonts w:ascii="Arial" w:hAnsi="Arial" w:cs="Arial"/>
          <w:sz w:val="24"/>
          <w:szCs w:val="24"/>
        </w:rPr>
        <w:t>models</w:t>
      </w:r>
      <w:r w:rsidRPr="00F71301">
        <w:rPr>
          <w:rFonts w:ascii="Arial" w:hAnsi="Arial" w:cs="Arial"/>
          <w:sz w:val="24"/>
          <w:szCs w:val="24"/>
        </w:rPr>
        <w:t xml:space="preserve"> exist for structured evaluation</w:t>
      </w:r>
      <w:r w:rsidR="00E91F0E" w:rsidRPr="00F71301">
        <w:rPr>
          <w:rFonts w:ascii="Arial" w:hAnsi="Arial" w:cs="Arial"/>
          <w:sz w:val="24"/>
          <w:szCs w:val="24"/>
        </w:rPr>
        <w:t xml:space="preserve">. </w:t>
      </w:r>
      <w:r w:rsidR="00B248FB" w:rsidRPr="00F71301">
        <w:rPr>
          <w:rFonts w:ascii="Arial" w:hAnsi="Arial" w:cs="Arial"/>
          <w:sz w:val="24"/>
          <w:szCs w:val="24"/>
        </w:rPr>
        <w:t xml:space="preserve"> </w:t>
      </w:r>
      <w:r w:rsidR="00C30151" w:rsidRPr="00F71301">
        <w:rPr>
          <w:rFonts w:ascii="Arial" w:hAnsi="Arial" w:cs="Arial"/>
          <w:sz w:val="24"/>
          <w:szCs w:val="24"/>
        </w:rPr>
        <w:t>The ‘</w:t>
      </w:r>
      <w:r w:rsidR="009D211F" w:rsidRPr="00F71301">
        <w:rPr>
          <w:rFonts w:ascii="Arial" w:hAnsi="Arial" w:cs="Arial"/>
          <w:sz w:val="24"/>
          <w:szCs w:val="24"/>
        </w:rPr>
        <w:t>Model for Improvement</w:t>
      </w:r>
      <w:r w:rsidR="00C30151" w:rsidRPr="00F71301">
        <w:rPr>
          <w:rFonts w:ascii="Arial" w:hAnsi="Arial" w:cs="Arial"/>
          <w:sz w:val="24"/>
          <w:szCs w:val="24"/>
        </w:rPr>
        <w:t>’</w:t>
      </w:r>
      <w:r w:rsidR="0046064B" w:rsidRPr="00F71301">
        <w:rPr>
          <w:rFonts w:ascii="Arial" w:hAnsi="Arial" w:cs="Arial"/>
          <w:sz w:val="24"/>
          <w:szCs w:val="24"/>
        </w:rPr>
        <w:t xml:space="preserve"> (</w:t>
      </w:r>
      <w:r w:rsidR="00C30151" w:rsidRPr="00F71301">
        <w:rPr>
          <w:rFonts w:ascii="Arial" w:hAnsi="Arial" w:cs="Arial"/>
          <w:sz w:val="24"/>
          <w:szCs w:val="24"/>
        </w:rPr>
        <w:t>Improvement Cymru</w:t>
      </w:r>
      <w:r w:rsidR="0046064B" w:rsidRPr="00F71301">
        <w:rPr>
          <w:rFonts w:ascii="Arial" w:hAnsi="Arial" w:cs="Arial"/>
          <w:sz w:val="24"/>
          <w:szCs w:val="24"/>
        </w:rPr>
        <w:t xml:space="preserve"> 2023)</w:t>
      </w:r>
      <w:r w:rsidR="00FC12AD" w:rsidRPr="00F71301">
        <w:rPr>
          <w:rFonts w:ascii="Arial" w:hAnsi="Arial" w:cs="Arial"/>
          <w:sz w:val="24"/>
          <w:szCs w:val="24"/>
        </w:rPr>
        <w:t xml:space="preserve"> </w:t>
      </w:r>
      <w:r w:rsidR="009D211F" w:rsidRPr="00F71301">
        <w:rPr>
          <w:rFonts w:ascii="Arial" w:hAnsi="Arial" w:cs="Arial"/>
          <w:sz w:val="24"/>
          <w:szCs w:val="24"/>
        </w:rPr>
        <w:t>is</w:t>
      </w:r>
      <w:r w:rsidRPr="00F71301">
        <w:rPr>
          <w:rFonts w:ascii="Arial" w:hAnsi="Arial" w:cs="Arial"/>
          <w:sz w:val="24"/>
          <w:szCs w:val="24"/>
        </w:rPr>
        <w:t xml:space="preserve"> </w:t>
      </w:r>
      <w:r w:rsidR="009D211F" w:rsidRPr="00F71301">
        <w:rPr>
          <w:rFonts w:ascii="Arial" w:hAnsi="Arial" w:cs="Arial"/>
          <w:sz w:val="24"/>
          <w:szCs w:val="24"/>
        </w:rPr>
        <w:t xml:space="preserve">widely used </w:t>
      </w:r>
      <w:r w:rsidRPr="00F71301">
        <w:rPr>
          <w:rFonts w:ascii="Arial" w:hAnsi="Arial" w:cs="Arial"/>
          <w:sz w:val="24"/>
          <w:szCs w:val="24"/>
        </w:rPr>
        <w:t>in healthcare quality improvement and is suitable for assessing DVR implementation.</w:t>
      </w:r>
      <w:r w:rsidR="009D211F" w:rsidRPr="00F71301">
        <w:rPr>
          <w:rFonts w:ascii="Arial" w:hAnsi="Arial" w:cs="Arial"/>
          <w:sz w:val="24"/>
          <w:szCs w:val="24"/>
        </w:rPr>
        <w:t xml:space="preserve"> </w:t>
      </w:r>
      <w:r w:rsidRPr="00F71301">
        <w:rPr>
          <w:rFonts w:ascii="Arial" w:hAnsi="Arial" w:cs="Arial"/>
          <w:sz w:val="24"/>
          <w:szCs w:val="24"/>
        </w:rPr>
        <w:t>It</w:t>
      </w:r>
      <w:r w:rsidR="009D211F" w:rsidRPr="00F71301">
        <w:rPr>
          <w:rFonts w:ascii="Arial" w:hAnsi="Arial" w:cs="Arial"/>
          <w:sz w:val="24"/>
          <w:szCs w:val="24"/>
        </w:rPr>
        <w:t xml:space="preserve"> consists of two components:</w:t>
      </w:r>
    </w:p>
    <w:p w14:paraId="768449D9" w14:textId="77777777" w:rsidR="009D211F" w:rsidRPr="00F71301" w:rsidRDefault="009D211F" w:rsidP="009D211F">
      <w:pPr>
        <w:pStyle w:val="ListParagraph"/>
        <w:numPr>
          <w:ilvl w:val="0"/>
          <w:numId w:val="3"/>
        </w:numPr>
        <w:rPr>
          <w:rFonts w:ascii="Arial" w:hAnsi="Arial" w:cs="Arial"/>
          <w:sz w:val="24"/>
          <w:szCs w:val="24"/>
        </w:rPr>
      </w:pPr>
      <w:r w:rsidRPr="00F71301">
        <w:rPr>
          <w:rFonts w:ascii="Arial" w:hAnsi="Arial" w:cs="Arial"/>
          <w:sz w:val="24"/>
          <w:szCs w:val="24"/>
        </w:rPr>
        <w:t>Three guiding questions:</w:t>
      </w:r>
    </w:p>
    <w:p w14:paraId="4C120623" w14:textId="50A2A645" w:rsidR="009D211F" w:rsidRPr="00F71301" w:rsidRDefault="009D211F" w:rsidP="009D211F">
      <w:pPr>
        <w:pStyle w:val="ListParagraph"/>
        <w:numPr>
          <w:ilvl w:val="0"/>
          <w:numId w:val="4"/>
        </w:numPr>
        <w:rPr>
          <w:rFonts w:ascii="Arial" w:hAnsi="Arial" w:cs="Arial"/>
          <w:sz w:val="24"/>
          <w:szCs w:val="24"/>
        </w:rPr>
      </w:pPr>
      <w:r w:rsidRPr="00F71301">
        <w:rPr>
          <w:rFonts w:ascii="Arial" w:hAnsi="Arial" w:cs="Arial"/>
          <w:sz w:val="24"/>
          <w:szCs w:val="24"/>
        </w:rPr>
        <w:t>What are we trying to accomplish</w:t>
      </w:r>
      <w:r w:rsidR="00B56BBA">
        <w:rPr>
          <w:rFonts w:ascii="Arial" w:hAnsi="Arial" w:cs="Arial"/>
          <w:sz w:val="24"/>
          <w:szCs w:val="24"/>
        </w:rPr>
        <w:t>?</w:t>
      </w:r>
    </w:p>
    <w:p w14:paraId="6A8253BD" w14:textId="5E8EDDE9" w:rsidR="009D211F" w:rsidRPr="00F71301" w:rsidRDefault="009D211F" w:rsidP="009D211F">
      <w:pPr>
        <w:pStyle w:val="ListParagraph"/>
        <w:numPr>
          <w:ilvl w:val="0"/>
          <w:numId w:val="4"/>
        </w:numPr>
        <w:rPr>
          <w:rFonts w:ascii="Arial" w:hAnsi="Arial" w:cs="Arial"/>
          <w:sz w:val="24"/>
          <w:szCs w:val="24"/>
        </w:rPr>
      </w:pPr>
      <w:r w:rsidRPr="00F71301">
        <w:rPr>
          <w:rFonts w:ascii="Arial" w:hAnsi="Arial" w:cs="Arial"/>
          <w:sz w:val="24"/>
          <w:szCs w:val="24"/>
        </w:rPr>
        <w:t>How will we know that a change is an improvement?</w:t>
      </w:r>
    </w:p>
    <w:p w14:paraId="5E8F951F" w14:textId="1E08C423" w:rsidR="009E2D56" w:rsidRPr="00B56BBA" w:rsidRDefault="009D211F" w:rsidP="00811C00">
      <w:pPr>
        <w:pStyle w:val="ListParagraph"/>
        <w:numPr>
          <w:ilvl w:val="0"/>
          <w:numId w:val="4"/>
        </w:numPr>
        <w:ind w:left="1080"/>
        <w:rPr>
          <w:rFonts w:ascii="Arial" w:hAnsi="Arial" w:cs="Arial"/>
          <w:i/>
          <w:sz w:val="24"/>
          <w:szCs w:val="24"/>
        </w:rPr>
      </w:pPr>
      <w:r w:rsidRPr="00B56BBA">
        <w:rPr>
          <w:rFonts w:ascii="Arial" w:hAnsi="Arial" w:cs="Arial"/>
          <w:sz w:val="24"/>
          <w:szCs w:val="24"/>
        </w:rPr>
        <w:t>What changes can we make that will result in an improvement</w:t>
      </w:r>
      <w:r w:rsidR="00B56BBA">
        <w:rPr>
          <w:rFonts w:ascii="Arial" w:hAnsi="Arial" w:cs="Arial"/>
          <w:sz w:val="24"/>
          <w:szCs w:val="24"/>
        </w:rPr>
        <w:t>?</w:t>
      </w:r>
    </w:p>
    <w:p w14:paraId="4558B00F" w14:textId="77777777" w:rsidR="009E2D56" w:rsidRPr="00F71301" w:rsidRDefault="009E2D56" w:rsidP="006374CA">
      <w:pPr>
        <w:pStyle w:val="ListParagraph"/>
        <w:ind w:left="1080"/>
        <w:rPr>
          <w:rFonts w:ascii="Arial" w:hAnsi="Arial" w:cs="Arial"/>
          <w:i/>
          <w:sz w:val="24"/>
          <w:szCs w:val="24"/>
        </w:rPr>
      </w:pPr>
    </w:p>
    <w:p w14:paraId="76671B91" w14:textId="77777777" w:rsidR="009E2D56" w:rsidRPr="00F71301" w:rsidRDefault="009E2D56" w:rsidP="006374CA">
      <w:pPr>
        <w:pStyle w:val="ListParagraph"/>
        <w:ind w:left="1080"/>
        <w:rPr>
          <w:rFonts w:ascii="Arial" w:hAnsi="Arial" w:cs="Arial"/>
          <w:i/>
          <w:sz w:val="24"/>
          <w:szCs w:val="24"/>
        </w:rPr>
      </w:pPr>
    </w:p>
    <w:p w14:paraId="6C998DFF" w14:textId="77777777" w:rsidR="00C30151" w:rsidRPr="00F71301" w:rsidRDefault="00C30151" w:rsidP="00C30151">
      <w:pPr>
        <w:jc w:val="center"/>
        <w:rPr>
          <w:rFonts w:ascii="Arial" w:hAnsi="Arial" w:cs="Arial"/>
          <w:sz w:val="24"/>
          <w:szCs w:val="24"/>
        </w:rPr>
      </w:pPr>
      <w:r w:rsidRPr="00F71301">
        <w:rPr>
          <w:rFonts w:ascii="Arial" w:hAnsi="Arial" w:cs="Arial"/>
          <w:noProof/>
          <w:sz w:val="24"/>
          <w:szCs w:val="24"/>
          <w:lang w:eastAsia="en-GB"/>
        </w:rPr>
        <w:lastRenderedPageBreak/>
        <w:drawing>
          <wp:inline distT="0" distB="0" distL="0" distR="0" wp14:anchorId="44ABD2B1" wp14:editId="0EBEA965">
            <wp:extent cx="4199860" cy="2799907"/>
            <wp:effectExtent l="0" t="0" r="0" b="635"/>
            <wp:docPr id="6" name="Picture 6" descr="QIST model for improvement - HEI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IST model for improvement - HEIW"/>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59748" cy="2839832"/>
                    </a:xfrm>
                    <a:prstGeom prst="rect">
                      <a:avLst/>
                    </a:prstGeom>
                    <a:noFill/>
                    <a:ln>
                      <a:noFill/>
                    </a:ln>
                  </pic:spPr>
                </pic:pic>
              </a:graphicData>
            </a:graphic>
          </wp:inline>
        </w:drawing>
      </w:r>
    </w:p>
    <w:p w14:paraId="59E96772" w14:textId="77777777" w:rsidR="0046135B" w:rsidRPr="00F71301" w:rsidRDefault="0046135B" w:rsidP="0046135B">
      <w:pPr>
        <w:pStyle w:val="ListParagraph"/>
        <w:ind w:left="1080"/>
        <w:rPr>
          <w:rFonts w:ascii="Arial" w:hAnsi="Arial" w:cs="Arial"/>
          <w:i/>
          <w:sz w:val="24"/>
          <w:szCs w:val="24"/>
        </w:rPr>
      </w:pPr>
      <w:r w:rsidRPr="00F71301">
        <w:rPr>
          <w:rFonts w:ascii="Arial" w:hAnsi="Arial" w:cs="Arial"/>
          <w:i/>
          <w:sz w:val="24"/>
          <w:szCs w:val="24"/>
        </w:rPr>
        <w:t>Figure 5: Illustration of the Model for Improvement (Improvement Cymru 2023)</w:t>
      </w:r>
    </w:p>
    <w:p w14:paraId="6A326B56" w14:textId="77777777" w:rsidR="0046135B" w:rsidRPr="00F71301" w:rsidRDefault="0046135B" w:rsidP="00C30151">
      <w:pPr>
        <w:jc w:val="center"/>
        <w:rPr>
          <w:rFonts w:ascii="Arial" w:hAnsi="Arial" w:cs="Arial"/>
          <w:sz w:val="24"/>
          <w:szCs w:val="24"/>
        </w:rPr>
      </w:pPr>
    </w:p>
    <w:p w14:paraId="2B4CA3CD" w14:textId="77777777" w:rsidR="009D211F" w:rsidRPr="00F71301" w:rsidRDefault="009D211F" w:rsidP="009D211F">
      <w:pPr>
        <w:pStyle w:val="ListParagraph"/>
        <w:numPr>
          <w:ilvl w:val="0"/>
          <w:numId w:val="3"/>
        </w:numPr>
        <w:rPr>
          <w:rFonts w:ascii="Arial" w:hAnsi="Arial" w:cs="Arial"/>
          <w:sz w:val="24"/>
          <w:szCs w:val="24"/>
        </w:rPr>
      </w:pPr>
      <w:r w:rsidRPr="00F71301">
        <w:rPr>
          <w:rFonts w:ascii="Arial" w:hAnsi="Arial" w:cs="Arial"/>
          <w:sz w:val="24"/>
          <w:szCs w:val="24"/>
        </w:rPr>
        <w:t>Plan- Do- Study- Act (PDSA) Cycle (Denning 1983)</w:t>
      </w:r>
    </w:p>
    <w:p w14:paraId="3634B5FB" w14:textId="77777777" w:rsidR="0046064B" w:rsidRPr="00F71301" w:rsidRDefault="0046064B" w:rsidP="0046064B">
      <w:pPr>
        <w:jc w:val="both"/>
        <w:rPr>
          <w:rFonts w:ascii="Arial" w:hAnsi="Arial" w:cs="Arial"/>
          <w:sz w:val="24"/>
          <w:szCs w:val="24"/>
        </w:rPr>
      </w:pPr>
      <w:r w:rsidRPr="00F71301">
        <w:rPr>
          <w:rFonts w:ascii="Arial" w:hAnsi="Arial" w:cs="Arial"/>
          <w:sz w:val="24"/>
          <w:szCs w:val="24"/>
        </w:rPr>
        <w:t>The PDSA cycle allows the project manager to plan ideas, put the ideas into action, study the impact of the idea and then learn from and act on the findings (</w:t>
      </w:r>
      <w:r w:rsidR="00C30151" w:rsidRPr="00F71301">
        <w:rPr>
          <w:rFonts w:ascii="Arial" w:hAnsi="Arial" w:cs="Arial"/>
          <w:sz w:val="24"/>
          <w:szCs w:val="24"/>
        </w:rPr>
        <w:t>Improvement Cymru</w:t>
      </w:r>
      <w:r w:rsidRPr="00F71301">
        <w:rPr>
          <w:rFonts w:ascii="Arial" w:hAnsi="Arial" w:cs="Arial"/>
          <w:sz w:val="24"/>
          <w:szCs w:val="24"/>
        </w:rPr>
        <w:t xml:space="preserve"> 2023). According to </w:t>
      </w:r>
      <w:proofErr w:type="spellStart"/>
      <w:r w:rsidRPr="00F71301">
        <w:rPr>
          <w:rFonts w:ascii="Arial" w:hAnsi="Arial" w:cs="Arial"/>
          <w:sz w:val="24"/>
          <w:szCs w:val="24"/>
        </w:rPr>
        <w:t>Varkey</w:t>
      </w:r>
      <w:proofErr w:type="spellEnd"/>
      <w:r w:rsidRPr="00F71301">
        <w:rPr>
          <w:rFonts w:ascii="Arial" w:hAnsi="Arial" w:cs="Arial"/>
          <w:sz w:val="24"/>
          <w:szCs w:val="24"/>
        </w:rPr>
        <w:t xml:space="preserve"> et al (2007), </w:t>
      </w:r>
      <w:r w:rsidR="00504FF4" w:rsidRPr="00F71301">
        <w:rPr>
          <w:rFonts w:ascii="Arial" w:hAnsi="Arial" w:cs="Arial"/>
          <w:sz w:val="24"/>
          <w:szCs w:val="24"/>
        </w:rPr>
        <w:t>when fully applied, significant improvements in healthcare outcomes have been reported</w:t>
      </w:r>
      <w:r w:rsidRPr="00F71301">
        <w:rPr>
          <w:rFonts w:ascii="Arial" w:hAnsi="Arial" w:cs="Arial"/>
          <w:sz w:val="24"/>
          <w:szCs w:val="24"/>
        </w:rPr>
        <w:t xml:space="preserve">.  </w:t>
      </w:r>
    </w:p>
    <w:p w14:paraId="1F36351A" w14:textId="77777777" w:rsidR="009E2D56" w:rsidRPr="00F71301" w:rsidRDefault="009E2D56" w:rsidP="0046064B">
      <w:pPr>
        <w:ind w:left="720"/>
        <w:rPr>
          <w:rFonts w:ascii="Arial" w:hAnsi="Arial" w:cs="Arial"/>
          <w:i/>
          <w:sz w:val="24"/>
          <w:szCs w:val="24"/>
        </w:rPr>
      </w:pPr>
    </w:p>
    <w:p w14:paraId="7D9FF4E4" w14:textId="77777777" w:rsidR="0046064B" w:rsidRPr="00F71301" w:rsidRDefault="0046064B" w:rsidP="0046064B">
      <w:pPr>
        <w:jc w:val="center"/>
        <w:rPr>
          <w:rFonts w:ascii="Arial" w:hAnsi="Arial" w:cs="Arial"/>
          <w:sz w:val="24"/>
          <w:szCs w:val="24"/>
        </w:rPr>
      </w:pPr>
      <w:r w:rsidRPr="00F71301">
        <w:rPr>
          <w:rFonts w:ascii="Arial" w:hAnsi="Arial" w:cs="Arial"/>
          <w:noProof/>
          <w:sz w:val="24"/>
          <w:szCs w:val="24"/>
          <w:lang w:eastAsia="en-GB"/>
        </w:rPr>
        <w:drawing>
          <wp:inline distT="0" distB="0" distL="0" distR="0" wp14:anchorId="43753A0B" wp14:editId="0340943D">
            <wp:extent cx="3455581" cy="2606610"/>
            <wp:effectExtent l="0" t="0" r="0" b="3810"/>
            <wp:docPr id="5" name="Picture 5" descr="Pdsa Cycl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dsa Cycle Templat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94217" cy="2711186"/>
                    </a:xfrm>
                    <a:prstGeom prst="rect">
                      <a:avLst/>
                    </a:prstGeom>
                    <a:noFill/>
                    <a:ln>
                      <a:noFill/>
                    </a:ln>
                  </pic:spPr>
                </pic:pic>
              </a:graphicData>
            </a:graphic>
          </wp:inline>
        </w:drawing>
      </w:r>
    </w:p>
    <w:p w14:paraId="7C82D5D8" w14:textId="77777777" w:rsidR="0046135B" w:rsidRPr="00F71301" w:rsidRDefault="0046135B" w:rsidP="0046135B">
      <w:pPr>
        <w:ind w:left="720"/>
        <w:rPr>
          <w:rFonts w:ascii="Arial" w:hAnsi="Arial" w:cs="Arial"/>
          <w:i/>
          <w:sz w:val="24"/>
          <w:szCs w:val="24"/>
        </w:rPr>
      </w:pPr>
      <w:r w:rsidRPr="00F71301">
        <w:rPr>
          <w:rFonts w:ascii="Arial" w:hAnsi="Arial" w:cs="Arial"/>
          <w:i/>
          <w:sz w:val="24"/>
          <w:szCs w:val="24"/>
        </w:rPr>
        <w:t>Figure 6: ‘The PDSA Cycle’ (Deming 1986)</w:t>
      </w:r>
    </w:p>
    <w:p w14:paraId="4252CBF6" w14:textId="77777777" w:rsidR="00250EA0" w:rsidRPr="00F71301" w:rsidRDefault="00250EA0" w:rsidP="00250EA0">
      <w:pPr>
        <w:rPr>
          <w:rFonts w:ascii="Arial" w:hAnsi="Arial" w:cs="Arial"/>
          <w:b/>
          <w:sz w:val="24"/>
          <w:szCs w:val="24"/>
        </w:rPr>
      </w:pPr>
      <w:r w:rsidRPr="00F71301">
        <w:rPr>
          <w:rFonts w:ascii="Arial" w:hAnsi="Arial" w:cs="Arial"/>
          <w:b/>
          <w:sz w:val="24"/>
          <w:szCs w:val="24"/>
        </w:rPr>
        <w:t>What are we trying to accomplish?</w:t>
      </w:r>
    </w:p>
    <w:p w14:paraId="7D676605" w14:textId="77777777" w:rsidR="00D5452F" w:rsidRPr="00F71301" w:rsidRDefault="00250EA0" w:rsidP="00FB5041">
      <w:pPr>
        <w:jc w:val="both"/>
        <w:rPr>
          <w:rFonts w:ascii="Arial" w:hAnsi="Arial" w:cs="Arial"/>
          <w:sz w:val="24"/>
          <w:szCs w:val="24"/>
        </w:rPr>
      </w:pPr>
      <w:r w:rsidRPr="00F71301">
        <w:rPr>
          <w:rFonts w:ascii="Arial" w:hAnsi="Arial" w:cs="Arial"/>
          <w:sz w:val="24"/>
          <w:szCs w:val="24"/>
        </w:rPr>
        <w:t>The five goals of the ‘Quintuple Aim’ (</w:t>
      </w:r>
      <w:proofErr w:type="spellStart"/>
      <w:r w:rsidRPr="00F71301">
        <w:rPr>
          <w:rFonts w:ascii="Arial" w:hAnsi="Arial" w:cs="Arial"/>
          <w:sz w:val="24"/>
          <w:szCs w:val="24"/>
        </w:rPr>
        <w:t>Nundy</w:t>
      </w:r>
      <w:proofErr w:type="spellEnd"/>
      <w:r w:rsidRPr="00F71301">
        <w:rPr>
          <w:rFonts w:ascii="Arial" w:hAnsi="Arial" w:cs="Arial"/>
          <w:sz w:val="24"/>
          <w:szCs w:val="24"/>
        </w:rPr>
        <w:t xml:space="preserve"> et al 2022) provide a basis for answering the first question of the Model for Improvement. These goals ensure that the objectives </w:t>
      </w:r>
      <w:r w:rsidRPr="00F71301">
        <w:rPr>
          <w:rFonts w:ascii="Arial" w:hAnsi="Arial" w:cs="Arial"/>
          <w:sz w:val="24"/>
          <w:szCs w:val="24"/>
        </w:rPr>
        <w:lastRenderedPageBreak/>
        <w:t xml:space="preserve">of the digital transformation (implementation of a DVR) are holistic, addressing the current clinical risks (documentation errors, duplicate doses, missed doses </w:t>
      </w:r>
      <w:r w:rsidR="00AD72EB" w:rsidRPr="00F71301">
        <w:rPr>
          <w:rFonts w:ascii="Arial" w:hAnsi="Arial" w:cs="Arial"/>
          <w:sz w:val="24"/>
          <w:szCs w:val="24"/>
        </w:rPr>
        <w:t>and clinician wellbeing</w:t>
      </w:r>
      <w:r w:rsidRPr="00F71301">
        <w:rPr>
          <w:rFonts w:ascii="Arial" w:hAnsi="Arial" w:cs="Arial"/>
          <w:sz w:val="24"/>
          <w:szCs w:val="24"/>
        </w:rPr>
        <w:t>) and equitable care.</w:t>
      </w:r>
    </w:p>
    <w:p w14:paraId="02C1BCDD" w14:textId="77777777" w:rsidR="00250EA0" w:rsidRPr="00F71301" w:rsidRDefault="00250EA0">
      <w:pPr>
        <w:rPr>
          <w:rFonts w:ascii="Arial" w:hAnsi="Arial" w:cs="Arial"/>
          <w:b/>
          <w:sz w:val="24"/>
          <w:szCs w:val="24"/>
        </w:rPr>
      </w:pPr>
      <w:r w:rsidRPr="00F71301">
        <w:rPr>
          <w:rFonts w:ascii="Arial" w:hAnsi="Arial" w:cs="Arial"/>
          <w:b/>
          <w:sz w:val="24"/>
          <w:szCs w:val="24"/>
        </w:rPr>
        <w:t>How will we know that a change is an improvement?</w:t>
      </w:r>
    </w:p>
    <w:p w14:paraId="5D772541" w14:textId="77777777" w:rsidR="00250EA0" w:rsidRPr="00F71301" w:rsidRDefault="00504FF4" w:rsidP="00FB5041">
      <w:pPr>
        <w:jc w:val="both"/>
        <w:rPr>
          <w:rFonts w:ascii="Arial" w:hAnsi="Arial" w:cs="Arial"/>
          <w:sz w:val="24"/>
          <w:szCs w:val="24"/>
        </w:rPr>
      </w:pPr>
      <w:r w:rsidRPr="00F71301">
        <w:rPr>
          <w:rFonts w:ascii="Arial" w:hAnsi="Arial" w:cs="Arial"/>
          <w:sz w:val="24"/>
          <w:szCs w:val="24"/>
        </w:rPr>
        <w:t>D</w:t>
      </w:r>
      <w:r w:rsidR="00250EA0" w:rsidRPr="00F71301">
        <w:rPr>
          <w:rFonts w:ascii="Arial" w:hAnsi="Arial" w:cs="Arial"/>
          <w:sz w:val="24"/>
          <w:szCs w:val="24"/>
        </w:rPr>
        <w:t xml:space="preserve">ata should be collected before and after </w:t>
      </w:r>
      <w:r w:rsidRPr="00F71301">
        <w:rPr>
          <w:rFonts w:ascii="Arial" w:hAnsi="Arial" w:cs="Arial"/>
          <w:sz w:val="24"/>
          <w:szCs w:val="24"/>
        </w:rPr>
        <w:t xml:space="preserve">DVR </w:t>
      </w:r>
      <w:r w:rsidR="00250EA0" w:rsidRPr="00F71301">
        <w:rPr>
          <w:rFonts w:ascii="Arial" w:hAnsi="Arial" w:cs="Arial"/>
          <w:sz w:val="24"/>
          <w:szCs w:val="24"/>
        </w:rPr>
        <w:t xml:space="preserve">implementation to </w:t>
      </w:r>
      <w:r w:rsidRPr="00F71301">
        <w:rPr>
          <w:rFonts w:ascii="Arial" w:hAnsi="Arial" w:cs="Arial"/>
          <w:sz w:val="24"/>
          <w:szCs w:val="24"/>
        </w:rPr>
        <w:t>assess the impact</w:t>
      </w:r>
      <w:r w:rsidR="00250EA0" w:rsidRPr="00F71301">
        <w:rPr>
          <w:rFonts w:ascii="Arial" w:hAnsi="Arial" w:cs="Arial"/>
          <w:sz w:val="24"/>
          <w:szCs w:val="24"/>
        </w:rPr>
        <w:t xml:space="preserve">. The evaluation </w:t>
      </w:r>
      <w:r w:rsidRPr="00F71301">
        <w:rPr>
          <w:rFonts w:ascii="Arial" w:hAnsi="Arial" w:cs="Arial"/>
          <w:sz w:val="24"/>
          <w:szCs w:val="24"/>
        </w:rPr>
        <w:t xml:space="preserve">should include </w:t>
      </w:r>
      <w:r w:rsidR="00250EA0" w:rsidRPr="00F71301">
        <w:rPr>
          <w:rFonts w:ascii="Arial" w:hAnsi="Arial" w:cs="Arial"/>
          <w:sz w:val="24"/>
          <w:szCs w:val="24"/>
        </w:rPr>
        <w:t xml:space="preserve">patient and staff experiences, </w:t>
      </w:r>
      <w:r w:rsidRPr="00F71301">
        <w:rPr>
          <w:rFonts w:ascii="Arial" w:hAnsi="Arial" w:cs="Arial"/>
          <w:sz w:val="24"/>
          <w:szCs w:val="24"/>
        </w:rPr>
        <w:t>system efficiency</w:t>
      </w:r>
      <w:r w:rsidR="00250EA0" w:rsidRPr="00F71301">
        <w:rPr>
          <w:rFonts w:ascii="Arial" w:hAnsi="Arial" w:cs="Arial"/>
          <w:sz w:val="24"/>
          <w:szCs w:val="24"/>
        </w:rPr>
        <w:t>, and health outcomes</w:t>
      </w:r>
      <w:r w:rsidRPr="00F71301">
        <w:rPr>
          <w:rFonts w:ascii="Arial" w:hAnsi="Arial" w:cs="Arial"/>
          <w:sz w:val="24"/>
          <w:szCs w:val="24"/>
        </w:rPr>
        <w:t>.</w:t>
      </w:r>
      <w:r w:rsidR="00250EA0" w:rsidRPr="00F71301">
        <w:rPr>
          <w:rFonts w:ascii="Arial" w:hAnsi="Arial" w:cs="Arial"/>
          <w:sz w:val="24"/>
          <w:szCs w:val="24"/>
        </w:rPr>
        <w:t xml:space="preserve"> </w:t>
      </w:r>
      <w:r w:rsidRPr="00F71301">
        <w:rPr>
          <w:rFonts w:ascii="Arial" w:hAnsi="Arial" w:cs="Arial"/>
          <w:sz w:val="24"/>
          <w:szCs w:val="24"/>
        </w:rPr>
        <w:t>Key i</w:t>
      </w:r>
      <w:r w:rsidR="00C60221" w:rsidRPr="00F71301">
        <w:rPr>
          <w:rFonts w:ascii="Arial" w:hAnsi="Arial" w:cs="Arial"/>
          <w:sz w:val="24"/>
          <w:szCs w:val="24"/>
        </w:rPr>
        <w:t>ndicators must</w:t>
      </w:r>
      <w:r w:rsidR="00250EA0" w:rsidRPr="00F71301">
        <w:rPr>
          <w:rFonts w:ascii="Arial" w:hAnsi="Arial" w:cs="Arial"/>
          <w:sz w:val="24"/>
          <w:szCs w:val="24"/>
        </w:rPr>
        <w:t xml:space="preserve"> include vaccination completi</w:t>
      </w:r>
      <w:r w:rsidRPr="00F71301">
        <w:rPr>
          <w:rFonts w:ascii="Arial" w:hAnsi="Arial" w:cs="Arial"/>
          <w:sz w:val="24"/>
          <w:szCs w:val="24"/>
        </w:rPr>
        <w:t>on rates, duplicate</w:t>
      </w:r>
      <w:r w:rsidR="00C60221" w:rsidRPr="00F71301">
        <w:rPr>
          <w:rFonts w:ascii="Arial" w:hAnsi="Arial" w:cs="Arial"/>
          <w:sz w:val="24"/>
          <w:szCs w:val="24"/>
        </w:rPr>
        <w:t xml:space="preserve"> doses</w:t>
      </w:r>
      <w:r w:rsidRPr="00F71301">
        <w:rPr>
          <w:rFonts w:ascii="Arial" w:hAnsi="Arial" w:cs="Arial"/>
          <w:sz w:val="24"/>
          <w:szCs w:val="24"/>
        </w:rPr>
        <w:t xml:space="preserve">, </w:t>
      </w:r>
      <w:r w:rsidR="00250EA0" w:rsidRPr="00F71301">
        <w:rPr>
          <w:rFonts w:ascii="Arial" w:hAnsi="Arial" w:cs="Arial"/>
          <w:sz w:val="24"/>
          <w:szCs w:val="24"/>
        </w:rPr>
        <w:t>documentation errors</w:t>
      </w:r>
      <w:r w:rsidRPr="00F71301">
        <w:rPr>
          <w:rFonts w:ascii="Arial" w:hAnsi="Arial" w:cs="Arial"/>
          <w:sz w:val="24"/>
          <w:szCs w:val="24"/>
        </w:rPr>
        <w:t>, staff workload, staff satisfaction, burnout and</w:t>
      </w:r>
      <w:r w:rsidR="00250EA0" w:rsidRPr="00F71301">
        <w:rPr>
          <w:rFonts w:ascii="Arial" w:hAnsi="Arial" w:cs="Arial"/>
          <w:sz w:val="24"/>
          <w:szCs w:val="24"/>
        </w:rPr>
        <w:t xml:space="preserve"> accessibility </w:t>
      </w:r>
      <w:r w:rsidRPr="00F71301">
        <w:rPr>
          <w:rFonts w:ascii="Arial" w:hAnsi="Arial" w:cs="Arial"/>
          <w:sz w:val="24"/>
          <w:szCs w:val="24"/>
        </w:rPr>
        <w:t>for</w:t>
      </w:r>
      <w:r w:rsidR="00250EA0" w:rsidRPr="00F71301">
        <w:rPr>
          <w:rFonts w:ascii="Arial" w:hAnsi="Arial" w:cs="Arial"/>
          <w:sz w:val="24"/>
          <w:szCs w:val="24"/>
        </w:rPr>
        <w:t xml:space="preserve"> </w:t>
      </w:r>
      <w:r w:rsidR="00C60221" w:rsidRPr="00F71301">
        <w:rPr>
          <w:rFonts w:ascii="Arial" w:hAnsi="Arial" w:cs="Arial"/>
          <w:sz w:val="24"/>
          <w:szCs w:val="24"/>
        </w:rPr>
        <w:t>‘</w:t>
      </w:r>
      <w:r w:rsidR="00250EA0" w:rsidRPr="00F71301">
        <w:rPr>
          <w:rFonts w:ascii="Arial" w:hAnsi="Arial" w:cs="Arial"/>
          <w:sz w:val="24"/>
          <w:szCs w:val="24"/>
        </w:rPr>
        <w:t>high-risk</w:t>
      </w:r>
      <w:r w:rsidR="00C60221" w:rsidRPr="00F71301">
        <w:rPr>
          <w:rFonts w:ascii="Arial" w:hAnsi="Arial" w:cs="Arial"/>
          <w:sz w:val="24"/>
          <w:szCs w:val="24"/>
        </w:rPr>
        <w:t>’</w:t>
      </w:r>
      <w:r w:rsidR="00250EA0" w:rsidRPr="00F71301">
        <w:rPr>
          <w:rFonts w:ascii="Arial" w:hAnsi="Arial" w:cs="Arial"/>
          <w:sz w:val="24"/>
          <w:szCs w:val="24"/>
        </w:rPr>
        <w:t xml:space="preserve"> groups</w:t>
      </w:r>
      <w:r w:rsidR="00C60221" w:rsidRPr="00F71301">
        <w:rPr>
          <w:rFonts w:ascii="Arial" w:hAnsi="Arial" w:cs="Arial"/>
          <w:sz w:val="24"/>
          <w:szCs w:val="24"/>
        </w:rPr>
        <w:t>, s</w:t>
      </w:r>
      <w:r w:rsidR="00250EA0" w:rsidRPr="00F71301">
        <w:rPr>
          <w:rFonts w:ascii="Arial" w:hAnsi="Arial" w:cs="Arial"/>
          <w:sz w:val="24"/>
          <w:szCs w:val="24"/>
        </w:rPr>
        <w:t>uch as men who have sex with men (MSM), migrants, and people living with HIV</w:t>
      </w:r>
      <w:r w:rsidRPr="00F71301">
        <w:rPr>
          <w:rFonts w:ascii="Arial" w:hAnsi="Arial" w:cs="Arial"/>
          <w:sz w:val="24"/>
          <w:szCs w:val="24"/>
        </w:rPr>
        <w:t>.</w:t>
      </w:r>
    </w:p>
    <w:p w14:paraId="3EDD0695" w14:textId="77777777" w:rsidR="00615D47" w:rsidRPr="00F71301" w:rsidRDefault="009E2D56" w:rsidP="005F76EF">
      <w:pPr>
        <w:pStyle w:val="NormalWeb"/>
        <w:jc w:val="both"/>
        <w:rPr>
          <w:rFonts w:ascii="Arial" w:hAnsi="Arial" w:cs="Arial"/>
        </w:rPr>
      </w:pPr>
      <w:r w:rsidRPr="00F71301">
        <w:rPr>
          <w:rFonts w:ascii="Arial" w:hAnsi="Arial" w:cs="Arial"/>
        </w:rPr>
        <w:t>To capture this information, the</w:t>
      </w:r>
      <w:r w:rsidR="00C60221" w:rsidRPr="00F71301">
        <w:rPr>
          <w:rFonts w:ascii="Arial" w:hAnsi="Arial" w:cs="Arial"/>
        </w:rPr>
        <w:t xml:space="preserve"> evaluation</w:t>
      </w:r>
      <w:r w:rsidR="00615D47" w:rsidRPr="00F71301">
        <w:rPr>
          <w:rFonts w:ascii="Arial" w:hAnsi="Arial" w:cs="Arial"/>
        </w:rPr>
        <w:t xml:space="preserve"> of the implementation of a DVR in sexual health </w:t>
      </w:r>
      <w:r w:rsidR="00C60221" w:rsidRPr="00F71301">
        <w:rPr>
          <w:rFonts w:ascii="Arial" w:hAnsi="Arial" w:cs="Arial"/>
        </w:rPr>
        <w:t xml:space="preserve">requires both quantitative and qualitative data. </w:t>
      </w:r>
      <w:r w:rsidR="00615D47" w:rsidRPr="00F71301">
        <w:rPr>
          <w:rFonts w:ascii="Arial" w:hAnsi="Arial" w:cs="Arial"/>
        </w:rPr>
        <w:t xml:space="preserve">Utilising a ‘mixed methods’ approach will allow for a thorough analysis of the project. </w:t>
      </w:r>
    </w:p>
    <w:p w14:paraId="4052560D" w14:textId="77777777" w:rsidR="00615D47" w:rsidRPr="00F71301" w:rsidRDefault="00615D47" w:rsidP="00615D47">
      <w:pPr>
        <w:pStyle w:val="NormalWeb"/>
        <w:jc w:val="center"/>
        <w:rPr>
          <w:rFonts w:ascii="Arial" w:hAnsi="Arial" w:cs="Arial"/>
          <w:color w:val="FF0000"/>
        </w:rPr>
      </w:pPr>
      <w:r w:rsidRPr="00F71301">
        <w:rPr>
          <w:rFonts w:ascii="Arial" w:hAnsi="Arial" w:cs="Arial"/>
          <w:noProof/>
        </w:rPr>
        <w:drawing>
          <wp:inline distT="0" distB="0" distL="0" distR="0" wp14:anchorId="5F838C46" wp14:editId="54A94866">
            <wp:extent cx="4295553" cy="2637331"/>
            <wp:effectExtent l="0" t="0" r="0" b="0"/>
            <wp:docPr id="7" name="Picture 7" descr="graphic file with name jkms-38-e291-abf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 file with name jkms-38-e291-abf001.jpg"/>
                    <pic:cNvPicPr>
                      <a:picLocks noChangeAspect="1" noChangeArrowheads="1"/>
                    </pic:cNvPicPr>
                  </pic:nvPicPr>
                  <pic:blipFill rotWithShape="1">
                    <a:blip r:embed="rId19">
                      <a:extLst>
                        <a:ext uri="{28A0092B-C50C-407E-A947-70E740481C1C}">
                          <a14:useLocalDpi xmlns:a14="http://schemas.microsoft.com/office/drawing/2010/main" val="0"/>
                        </a:ext>
                      </a:extLst>
                    </a:blip>
                    <a:srcRect t="2964" r="11098"/>
                    <a:stretch/>
                  </pic:blipFill>
                  <pic:spPr bwMode="auto">
                    <a:xfrm>
                      <a:off x="0" y="0"/>
                      <a:ext cx="4358549" cy="2676009"/>
                    </a:xfrm>
                    <a:prstGeom prst="rect">
                      <a:avLst/>
                    </a:prstGeom>
                    <a:noFill/>
                    <a:ln>
                      <a:noFill/>
                    </a:ln>
                    <a:extLst>
                      <a:ext uri="{53640926-AAD7-44D8-BBD7-CCE9431645EC}">
                        <a14:shadowObscured xmlns:a14="http://schemas.microsoft.com/office/drawing/2010/main"/>
                      </a:ext>
                    </a:extLst>
                  </pic:spPr>
                </pic:pic>
              </a:graphicData>
            </a:graphic>
          </wp:inline>
        </w:drawing>
      </w:r>
    </w:p>
    <w:p w14:paraId="31BBF4FC" w14:textId="77777777" w:rsidR="0046135B" w:rsidRPr="00F71301" w:rsidRDefault="0046135B" w:rsidP="0046135B">
      <w:pPr>
        <w:pStyle w:val="NormalWeb"/>
        <w:ind w:left="720"/>
        <w:rPr>
          <w:rFonts w:ascii="Arial" w:hAnsi="Arial" w:cs="Arial"/>
          <w:i/>
        </w:rPr>
      </w:pPr>
      <w:r w:rsidRPr="00F71301">
        <w:rPr>
          <w:rFonts w:ascii="Arial" w:hAnsi="Arial" w:cs="Arial"/>
          <w:i/>
        </w:rPr>
        <w:t>Figure 7: Types of research (</w:t>
      </w:r>
      <w:proofErr w:type="spellStart"/>
      <w:r w:rsidRPr="00F71301">
        <w:rPr>
          <w:rFonts w:ascii="Arial" w:hAnsi="Arial" w:cs="Arial"/>
          <w:i/>
        </w:rPr>
        <w:t>Barroga</w:t>
      </w:r>
      <w:proofErr w:type="spellEnd"/>
      <w:r w:rsidRPr="00F71301">
        <w:rPr>
          <w:rFonts w:ascii="Arial" w:hAnsi="Arial" w:cs="Arial"/>
          <w:i/>
        </w:rPr>
        <w:t xml:space="preserve"> et al 2023)</w:t>
      </w:r>
    </w:p>
    <w:p w14:paraId="12B22D3C" w14:textId="77777777" w:rsidR="00C60221" w:rsidRPr="00F71301" w:rsidRDefault="00C60221" w:rsidP="00D14836">
      <w:pPr>
        <w:pStyle w:val="NormalWeb"/>
        <w:jc w:val="both"/>
        <w:rPr>
          <w:rFonts w:ascii="Arial" w:hAnsi="Arial" w:cs="Arial"/>
        </w:rPr>
      </w:pPr>
      <w:r w:rsidRPr="00F71301">
        <w:rPr>
          <w:rFonts w:ascii="Arial" w:hAnsi="Arial" w:cs="Arial"/>
        </w:rPr>
        <w:t>Quantitativ</w:t>
      </w:r>
      <w:r w:rsidR="009E2D56" w:rsidRPr="00F71301">
        <w:rPr>
          <w:rFonts w:ascii="Arial" w:hAnsi="Arial" w:cs="Arial"/>
        </w:rPr>
        <w:t xml:space="preserve">e measures may include </w:t>
      </w:r>
      <w:r w:rsidRPr="00F71301">
        <w:rPr>
          <w:rFonts w:ascii="Arial" w:hAnsi="Arial" w:cs="Arial"/>
        </w:rPr>
        <w:t>vaccination</w:t>
      </w:r>
      <w:r w:rsidR="009E2D56" w:rsidRPr="00F71301">
        <w:rPr>
          <w:rFonts w:ascii="Arial" w:hAnsi="Arial" w:cs="Arial"/>
        </w:rPr>
        <w:t xml:space="preserve"> numbers</w:t>
      </w:r>
      <w:r w:rsidR="001B5AF2" w:rsidRPr="00F71301">
        <w:rPr>
          <w:rFonts w:ascii="Arial" w:hAnsi="Arial" w:cs="Arial"/>
        </w:rPr>
        <w:t>,</w:t>
      </w:r>
      <w:r w:rsidRPr="00F71301">
        <w:rPr>
          <w:rFonts w:ascii="Arial" w:hAnsi="Arial" w:cs="Arial"/>
        </w:rPr>
        <w:t xml:space="preserve"> data entry time, and administrative costs</w:t>
      </w:r>
      <w:r w:rsidR="009E2D56" w:rsidRPr="00F71301">
        <w:rPr>
          <w:rFonts w:ascii="Arial" w:hAnsi="Arial" w:cs="Arial"/>
        </w:rPr>
        <w:t xml:space="preserve">, </w:t>
      </w:r>
      <w:r w:rsidRPr="00F71301">
        <w:rPr>
          <w:rFonts w:ascii="Arial" w:hAnsi="Arial" w:cs="Arial"/>
        </w:rPr>
        <w:t>enabl</w:t>
      </w:r>
      <w:r w:rsidR="001B5AF2" w:rsidRPr="00F71301">
        <w:rPr>
          <w:rFonts w:ascii="Arial" w:hAnsi="Arial" w:cs="Arial"/>
        </w:rPr>
        <w:t>ing</w:t>
      </w:r>
      <w:r w:rsidRPr="00F71301">
        <w:rPr>
          <w:rFonts w:ascii="Arial" w:hAnsi="Arial" w:cs="Arial"/>
        </w:rPr>
        <w:t xml:space="preserve"> statistical analysis to identify significant changes, while </w:t>
      </w:r>
      <w:r w:rsidR="009E2D56" w:rsidRPr="00F71301">
        <w:rPr>
          <w:rFonts w:ascii="Arial" w:hAnsi="Arial" w:cs="Arial"/>
        </w:rPr>
        <w:t xml:space="preserve">analysis of </w:t>
      </w:r>
      <w:r w:rsidRPr="00F71301">
        <w:rPr>
          <w:rFonts w:ascii="Arial" w:hAnsi="Arial" w:cs="Arial"/>
        </w:rPr>
        <w:t xml:space="preserve">cost–benefit can </w:t>
      </w:r>
      <w:r w:rsidR="009E2D56" w:rsidRPr="00F71301">
        <w:rPr>
          <w:rFonts w:ascii="Arial" w:hAnsi="Arial" w:cs="Arial"/>
        </w:rPr>
        <w:t>evaluate the</w:t>
      </w:r>
      <w:r w:rsidRPr="00F71301">
        <w:rPr>
          <w:rFonts w:ascii="Arial" w:hAnsi="Arial" w:cs="Arial"/>
        </w:rPr>
        <w:t xml:space="preserve"> financial impacts of </w:t>
      </w:r>
      <w:r w:rsidR="009E2D56" w:rsidRPr="00F71301">
        <w:rPr>
          <w:rFonts w:ascii="Arial" w:hAnsi="Arial" w:cs="Arial"/>
        </w:rPr>
        <w:t>any improved efficiencies</w:t>
      </w:r>
      <w:r w:rsidRPr="00F71301">
        <w:rPr>
          <w:rFonts w:ascii="Arial" w:hAnsi="Arial" w:cs="Arial"/>
        </w:rPr>
        <w:t>.</w:t>
      </w:r>
      <w:r w:rsidR="00D14836" w:rsidRPr="00F71301">
        <w:rPr>
          <w:rFonts w:ascii="Arial" w:hAnsi="Arial" w:cs="Arial"/>
        </w:rPr>
        <w:t xml:space="preserve"> </w:t>
      </w:r>
      <w:r w:rsidR="001B5AF2" w:rsidRPr="00F71301">
        <w:rPr>
          <w:rFonts w:ascii="Arial" w:hAnsi="Arial" w:cs="Arial"/>
        </w:rPr>
        <w:t>Statistical analysis is necessary t</w:t>
      </w:r>
      <w:r w:rsidR="00D14836" w:rsidRPr="00F71301">
        <w:rPr>
          <w:rFonts w:ascii="Arial" w:hAnsi="Arial" w:cs="Arial"/>
        </w:rPr>
        <w:t>o make q</w:t>
      </w:r>
      <w:r w:rsidR="001B5AF2" w:rsidRPr="00F71301">
        <w:rPr>
          <w:rFonts w:ascii="Arial" w:hAnsi="Arial" w:cs="Arial"/>
        </w:rPr>
        <w:t xml:space="preserve">uantitative conclusions </w:t>
      </w:r>
      <w:r w:rsidR="00D14836" w:rsidRPr="00F71301">
        <w:rPr>
          <w:rFonts w:ascii="Arial" w:hAnsi="Arial" w:cs="Arial"/>
        </w:rPr>
        <w:t>(</w:t>
      </w:r>
      <w:proofErr w:type="spellStart"/>
      <w:r w:rsidR="00D14836" w:rsidRPr="00F71301">
        <w:rPr>
          <w:rFonts w:ascii="Arial" w:hAnsi="Arial" w:cs="Arial"/>
        </w:rPr>
        <w:t>Vandever</w:t>
      </w:r>
      <w:proofErr w:type="spellEnd"/>
      <w:r w:rsidR="00D14836" w:rsidRPr="00F71301">
        <w:rPr>
          <w:rFonts w:ascii="Arial" w:hAnsi="Arial" w:cs="Arial"/>
        </w:rPr>
        <w:t xml:space="preserve"> 2020). When using categorical data such as vaccine compliance before and after implementation of the DVR, the ‘chi-square’ test would be the most appropriate tool to use. This allows the researcher to assess if there is a significant association between variables (</w:t>
      </w:r>
      <w:proofErr w:type="spellStart"/>
      <w:r w:rsidR="00D14836" w:rsidRPr="00F71301">
        <w:rPr>
          <w:rFonts w:ascii="Arial" w:hAnsi="Arial" w:cs="Arial"/>
        </w:rPr>
        <w:t>Vandever</w:t>
      </w:r>
      <w:proofErr w:type="spellEnd"/>
      <w:r w:rsidR="00D14836" w:rsidRPr="00F71301">
        <w:rPr>
          <w:rFonts w:ascii="Arial" w:hAnsi="Arial" w:cs="Arial"/>
        </w:rPr>
        <w:t xml:space="preserve"> 2020) such as age group, vaccine completion rates etc. </w:t>
      </w:r>
      <w:r w:rsidR="001B5AF2" w:rsidRPr="00F71301">
        <w:rPr>
          <w:rFonts w:ascii="Arial" w:hAnsi="Arial" w:cs="Arial"/>
        </w:rPr>
        <w:t>C</w:t>
      </w:r>
      <w:r w:rsidR="00D14836" w:rsidRPr="00F71301">
        <w:rPr>
          <w:rFonts w:ascii="Arial" w:hAnsi="Arial" w:cs="Arial"/>
        </w:rPr>
        <w:t>ontinuous variables such as average time saved per patient</w:t>
      </w:r>
      <w:r w:rsidR="001B5AF2" w:rsidRPr="00F71301">
        <w:rPr>
          <w:rFonts w:ascii="Arial" w:hAnsi="Arial" w:cs="Arial"/>
        </w:rPr>
        <w:t>, or user satisfaction scores, can be evaluated using a</w:t>
      </w:r>
      <w:r w:rsidR="00D14836" w:rsidRPr="00F71301">
        <w:rPr>
          <w:rFonts w:ascii="Arial" w:hAnsi="Arial" w:cs="Arial"/>
        </w:rPr>
        <w:t xml:space="preserve"> ‘t-test’ (for two groups) or  ‘Analysis of Variance’ (ANOVA) (for three or more groups)</w:t>
      </w:r>
      <w:r w:rsidR="001B5AF2" w:rsidRPr="00F71301">
        <w:rPr>
          <w:rFonts w:ascii="Arial" w:hAnsi="Arial" w:cs="Arial"/>
        </w:rPr>
        <w:t xml:space="preserve"> </w:t>
      </w:r>
      <w:r w:rsidR="00D14836" w:rsidRPr="00F71301">
        <w:rPr>
          <w:rFonts w:ascii="Arial" w:hAnsi="Arial" w:cs="Arial"/>
        </w:rPr>
        <w:t>(</w:t>
      </w:r>
      <w:proofErr w:type="spellStart"/>
      <w:r w:rsidR="00D14836" w:rsidRPr="00F71301">
        <w:rPr>
          <w:rFonts w:ascii="Arial" w:hAnsi="Arial" w:cs="Arial"/>
        </w:rPr>
        <w:t>Vandever</w:t>
      </w:r>
      <w:proofErr w:type="spellEnd"/>
      <w:r w:rsidR="00D14836" w:rsidRPr="00F71301">
        <w:rPr>
          <w:rFonts w:ascii="Arial" w:hAnsi="Arial" w:cs="Arial"/>
        </w:rPr>
        <w:t xml:space="preserve"> 2020).</w:t>
      </w:r>
      <w:r w:rsidR="00BB7B34" w:rsidRPr="00F71301">
        <w:rPr>
          <w:rFonts w:ascii="Arial" w:hAnsi="Arial" w:cs="Arial"/>
        </w:rPr>
        <w:t xml:space="preserve"> </w:t>
      </w:r>
      <w:r w:rsidR="001B5AF2" w:rsidRPr="00F71301">
        <w:rPr>
          <w:rFonts w:ascii="Arial" w:hAnsi="Arial" w:cs="Arial"/>
        </w:rPr>
        <w:t>Statistical software such as</w:t>
      </w:r>
      <w:r w:rsidR="00BB7B34" w:rsidRPr="00F71301">
        <w:rPr>
          <w:rFonts w:ascii="Arial" w:hAnsi="Arial" w:cs="Arial"/>
        </w:rPr>
        <w:t xml:space="preserve"> ‘Statistical Package for the Social Sciences’ (SPSS) now exist</w:t>
      </w:r>
      <w:r w:rsidR="001B5AF2" w:rsidRPr="00F71301">
        <w:rPr>
          <w:rFonts w:ascii="Arial" w:hAnsi="Arial" w:cs="Arial"/>
        </w:rPr>
        <w:t>s</w:t>
      </w:r>
      <w:r w:rsidR="00BB7B34" w:rsidRPr="00F71301">
        <w:rPr>
          <w:rFonts w:ascii="Arial" w:hAnsi="Arial" w:cs="Arial"/>
        </w:rPr>
        <w:t xml:space="preserve"> </w:t>
      </w:r>
      <w:r w:rsidR="001B5AF2" w:rsidRPr="00F71301">
        <w:rPr>
          <w:rFonts w:ascii="Arial" w:hAnsi="Arial" w:cs="Arial"/>
        </w:rPr>
        <w:t xml:space="preserve">to facilitate analysis </w:t>
      </w:r>
      <w:r w:rsidR="00BB7B34" w:rsidRPr="00F71301">
        <w:rPr>
          <w:rFonts w:ascii="Arial" w:hAnsi="Arial" w:cs="Arial"/>
        </w:rPr>
        <w:t>(</w:t>
      </w:r>
      <w:proofErr w:type="spellStart"/>
      <w:r w:rsidR="00BB7B34" w:rsidRPr="00F71301">
        <w:rPr>
          <w:rFonts w:ascii="Arial" w:hAnsi="Arial" w:cs="Arial"/>
        </w:rPr>
        <w:t>QuestionPro</w:t>
      </w:r>
      <w:proofErr w:type="spellEnd"/>
      <w:r w:rsidR="00BB7B34" w:rsidRPr="00F71301">
        <w:rPr>
          <w:rFonts w:ascii="Arial" w:hAnsi="Arial" w:cs="Arial"/>
        </w:rPr>
        <w:t xml:space="preserve"> 2025).</w:t>
      </w:r>
    </w:p>
    <w:p w14:paraId="587E076D" w14:textId="77777777" w:rsidR="00BB7B34" w:rsidRPr="00F71301" w:rsidRDefault="00C60221" w:rsidP="00BD2D48">
      <w:pPr>
        <w:pStyle w:val="NormalWeb"/>
        <w:jc w:val="both"/>
        <w:rPr>
          <w:rFonts w:ascii="Arial" w:hAnsi="Arial" w:cs="Arial"/>
        </w:rPr>
      </w:pPr>
      <w:r w:rsidRPr="00F71301">
        <w:rPr>
          <w:rFonts w:ascii="Arial" w:hAnsi="Arial" w:cs="Arial"/>
        </w:rPr>
        <w:lastRenderedPageBreak/>
        <w:t>Qualitative data add</w:t>
      </w:r>
      <w:r w:rsidR="00047668" w:rsidRPr="00F71301">
        <w:rPr>
          <w:rFonts w:ascii="Arial" w:hAnsi="Arial" w:cs="Arial"/>
        </w:rPr>
        <w:t>s</w:t>
      </w:r>
      <w:r w:rsidRPr="00F71301">
        <w:rPr>
          <w:rFonts w:ascii="Arial" w:hAnsi="Arial" w:cs="Arial"/>
        </w:rPr>
        <w:t xml:space="preserve"> depth </w:t>
      </w:r>
      <w:r w:rsidR="009E2D56" w:rsidRPr="00F71301">
        <w:rPr>
          <w:rFonts w:ascii="Arial" w:hAnsi="Arial" w:cs="Arial"/>
        </w:rPr>
        <w:t xml:space="preserve">to the evaluation </w:t>
      </w:r>
      <w:r w:rsidR="00AC2D94" w:rsidRPr="00F71301">
        <w:rPr>
          <w:rFonts w:ascii="Arial" w:hAnsi="Arial" w:cs="Arial"/>
        </w:rPr>
        <w:t xml:space="preserve">of the </w:t>
      </w:r>
      <w:r w:rsidR="00047668" w:rsidRPr="00F71301">
        <w:rPr>
          <w:rFonts w:ascii="Arial" w:hAnsi="Arial" w:cs="Arial"/>
        </w:rPr>
        <w:t>DVR</w:t>
      </w:r>
      <w:r w:rsidR="00AC2D94" w:rsidRPr="00F71301">
        <w:rPr>
          <w:rFonts w:ascii="Arial" w:hAnsi="Arial" w:cs="Arial"/>
        </w:rPr>
        <w:t xml:space="preserve"> project </w:t>
      </w:r>
      <w:r w:rsidRPr="00F71301">
        <w:rPr>
          <w:rFonts w:ascii="Arial" w:hAnsi="Arial" w:cs="Arial"/>
        </w:rPr>
        <w:t>by exploring</w:t>
      </w:r>
      <w:r w:rsidR="006B1F7E" w:rsidRPr="00F71301">
        <w:rPr>
          <w:rFonts w:ascii="Arial" w:hAnsi="Arial" w:cs="Arial"/>
        </w:rPr>
        <w:t xml:space="preserve"> </w:t>
      </w:r>
      <w:r w:rsidR="009E2D56" w:rsidRPr="00F71301">
        <w:rPr>
          <w:rFonts w:ascii="Arial" w:hAnsi="Arial" w:cs="Arial"/>
        </w:rPr>
        <w:t>lived</w:t>
      </w:r>
      <w:r w:rsidRPr="00F71301">
        <w:rPr>
          <w:rFonts w:ascii="Arial" w:hAnsi="Arial" w:cs="Arial"/>
        </w:rPr>
        <w:t xml:space="preserve"> experie</w:t>
      </w:r>
      <w:r w:rsidR="006B1F7E" w:rsidRPr="00F71301">
        <w:rPr>
          <w:rFonts w:ascii="Arial" w:hAnsi="Arial" w:cs="Arial"/>
        </w:rPr>
        <w:t>nces of clinic staff and patients</w:t>
      </w:r>
      <w:r w:rsidR="005F76EF" w:rsidRPr="00F71301">
        <w:rPr>
          <w:rFonts w:ascii="Arial" w:hAnsi="Arial" w:cs="Arial"/>
        </w:rPr>
        <w:t xml:space="preserve"> (Finn et al 2022)</w:t>
      </w:r>
      <w:r w:rsidR="006B1F7E" w:rsidRPr="00F71301">
        <w:rPr>
          <w:rFonts w:ascii="Arial" w:hAnsi="Arial" w:cs="Arial"/>
        </w:rPr>
        <w:t>.</w:t>
      </w:r>
      <w:r w:rsidRPr="00F71301">
        <w:rPr>
          <w:rFonts w:ascii="Arial" w:hAnsi="Arial" w:cs="Arial"/>
        </w:rPr>
        <w:t xml:space="preserve"> </w:t>
      </w:r>
      <w:r w:rsidR="00047668" w:rsidRPr="00F71301">
        <w:rPr>
          <w:rFonts w:ascii="Arial" w:hAnsi="Arial" w:cs="Arial"/>
        </w:rPr>
        <w:t>S</w:t>
      </w:r>
      <w:r w:rsidRPr="00F71301">
        <w:rPr>
          <w:rFonts w:ascii="Arial" w:hAnsi="Arial" w:cs="Arial"/>
        </w:rPr>
        <w:t xml:space="preserve">emi-structured interviews or focus groups with </w:t>
      </w:r>
      <w:r w:rsidR="00047668" w:rsidRPr="00F71301">
        <w:rPr>
          <w:rFonts w:ascii="Arial" w:hAnsi="Arial" w:cs="Arial"/>
        </w:rPr>
        <w:t>key stakeholders</w:t>
      </w:r>
      <w:r w:rsidR="006B1F7E" w:rsidRPr="00F71301">
        <w:rPr>
          <w:rFonts w:ascii="Arial" w:hAnsi="Arial" w:cs="Arial"/>
        </w:rPr>
        <w:t xml:space="preserve"> could be utilised to</w:t>
      </w:r>
      <w:r w:rsidRPr="00F71301">
        <w:rPr>
          <w:rFonts w:ascii="Arial" w:hAnsi="Arial" w:cs="Arial"/>
        </w:rPr>
        <w:t xml:space="preserve"> examine usability, confidentiality, digital literacy, and </w:t>
      </w:r>
      <w:r w:rsidR="006B1F7E" w:rsidRPr="00F71301">
        <w:rPr>
          <w:rFonts w:ascii="Arial" w:hAnsi="Arial" w:cs="Arial"/>
        </w:rPr>
        <w:t xml:space="preserve">any </w:t>
      </w:r>
      <w:r w:rsidR="00047668" w:rsidRPr="00F71301">
        <w:rPr>
          <w:rFonts w:ascii="Arial" w:hAnsi="Arial" w:cs="Arial"/>
        </w:rPr>
        <w:t>workflow impact</w:t>
      </w:r>
      <w:r w:rsidRPr="00F71301">
        <w:rPr>
          <w:rFonts w:ascii="Arial" w:hAnsi="Arial" w:cs="Arial"/>
        </w:rPr>
        <w:t xml:space="preserve">. </w:t>
      </w:r>
      <w:r w:rsidR="00AC2D94" w:rsidRPr="00F71301">
        <w:rPr>
          <w:rFonts w:ascii="Arial" w:hAnsi="Arial" w:cs="Arial"/>
        </w:rPr>
        <w:t xml:space="preserve">These insights can reveal any barriers to the adoption of the digital change and accessibility/usability issues. </w:t>
      </w:r>
      <w:r w:rsidR="00F07E86" w:rsidRPr="00F71301">
        <w:rPr>
          <w:rFonts w:ascii="Arial" w:hAnsi="Arial" w:cs="Arial"/>
        </w:rPr>
        <w:t xml:space="preserve">Qualitative research can produce vast amounts of data which may include transcribed recordings of interviews, verbatim notes or notes of observational research. </w:t>
      </w:r>
      <w:r w:rsidR="00C94795" w:rsidRPr="00F71301">
        <w:rPr>
          <w:rFonts w:ascii="Arial" w:hAnsi="Arial" w:cs="Arial"/>
        </w:rPr>
        <w:t>Whilst m</w:t>
      </w:r>
      <w:r w:rsidR="00F07E86" w:rsidRPr="00F71301">
        <w:rPr>
          <w:rFonts w:ascii="Arial" w:hAnsi="Arial" w:cs="Arial"/>
        </w:rPr>
        <w:t xml:space="preserve">anual paper based analysis can give the researcher a deep understanding of the data, </w:t>
      </w:r>
      <w:r w:rsidR="00C94795" w:rsidRPr="00F71301">
        <w:rPr>
          <w:rFonts w:ascii="Arial" w:hAnsi="Arial" w:cs="Arial"/>
        </w:rPr>
        <w:t>it</w:t>
      </w:r>
      <w:r w:rsidR="00F07E86" w:rsidRPr="00F71301">
        <w:rPr>
          <w:rFonts w:ascii="Arial" w:hAnsi="Arial" w:cs="Arial"/>
        </w:rPr>
        <w:t xml:space="preserve"> is a long and laborious task (Pope, </w:t>
      </w:r>
      <w:proofErr w:type="spellStart"/>
      <w:r w:rsidR="00F07E86" w:rsidRPr="00F71301">
        <w:rPr>
          <w:rFonts w:ascii="Arial" w:hAnsi="Arial" w:cs="Arial"/>
        </w:rPr>
        <w:t>Ziebland</w:t>
      </w:r>
      <w:proofErr w:type="spellEnd"/>
      <w:r w:rsidR="00F07E86" w:rsidRPr="00F71301">
        <w:rPr>
          <w:rFonts w:ascii="Arial" w:hAnsi="Arial" w:cs="Arial"/>
        </w:rPr>
        <w:t xml:space="preserve"> &amp; Mays 2000). Several software packages now exist for qualitative data analysis, with the most widely used being </w:t>
      </w:r>
      <w:r w:rsidR="00AC2D94" w:rsidRPr="00F71301">
        <w:rPr>
          <w:rFonts w:ascii="Arial" w:hAnsi="Arial" w:cs="Arial"/>
        </w:rPr>
        <w:t>‘</w:t>
      </w:r>
      <w:proofErr w:type="spellStart"/>
      <w:r w:rsidR="00F07E86" w:rsidRPr="00F71301">
        <w:rPr>
          <w:rFonts w:ascii="Arial" w:hAnsi="Arial" w:cs="Arial"/>
        </w:rPr>
        <w:t>ATLAS.ti</w:t>
      </w:r>
      <w:proofErr w:type="spellEnd"/>
      <w:r w:rsidR="00AC2D94" w:rsidRPr="00F71301">
        <w:rPr>
          <w:rFonts w:ascii="Arial" w:hAnsi="Arial" w:cs="Arial"/>
        </w:rPr>
        <w:t>’, ‘DELVE’, and other new AI generated tools (Software World 2025)</w:t>
      </w:r>
      <w:r w:rsidR="00F07E86" w:rsidRPr="00F71301">
        <w:rPr>
          <w:rFonts w:ascii="Arial" w:hAnsi="Arial" w:cs="Arial"/>
        </w:rPr>
        <w:t xml:space="preserve">. </w:t>
      </w:r>
    </w:p>
    <w:p w14:paraId="75EFB603" w14:textId="77777777" w:rsidR="002764B4" w:rsidRPr="00F71301" w:rsidRDefault="002764B4" w:rsidP="00BD2D48">
      <w:pPr>
        <w:pStyle w:val="NormalWeb"/>
        <w:jc w:val="both"/>
        <w:rPr>
          <w:rFonts w:ascii="Arial" w:hAnsi="Arial" w:cs="Arial"/>
          <w:b/>
        </w:rPr>
      </w:pPr>
      <w:r w:rsidRPr="00F71301">
        <w:rPr>
          <w:rFonts w:ascii="Arial" w:hAnsi="Arial" w:cs="Arial"/>
          <w:b/>
        </w:rPr>
        <w:t>What changes can we make that will result in an improvement?</w:t>
      </w:r>
    </w:p>
    <w:p w14:paraId="082693FE" w14:textId="77777777" w:rsidR="00C60221" w:rsidRPr="00F71301" w:rsidRDefault="005F76EF" w:rsidP="00BD2D48">
      <w:pPr>
        <w:pStyle w:val="NormalWeb"/>
        <w:jc w:val="both"/>
        <w:rPr>
          <w:rFonts w:ascii="Arial" w:hAnsi="Arial" w:cs="Arial"/>
        </w:rPr>
      </w:pPr>
      <w:r w:rsidRPr="00F71301">
        <w:rPr>
          <w:rFonts w:ascii="Arial" w:hAnsi="Arial" w:cs="Arial"/>
        </w:rPr>
        <w:t>Combining qualitative and quantitative date allows for a complete view of the research questions (those posed by the ‘Quintuple Aim’), and t</w:t>
      </w:r>
      <w:r w:rsidR="00C60221" w:rsidRPr="00F71301">
        <w:rPr>
          <w:rFonts w:ascii="Arial" w:hAnsi="Arial" w:cs="Arial"/>
        </w:rPr>
        <w:t>riangulati</w:t>
      </w:r>
      <w:r w:rsidRPr="00F71301">
        <w:rPr>
          <w:rFonts w:ascii="Arial" w:hAnsi="Arial" w:cs="Arial"/>
        </w:rPr>
        <w:t>on of</w:t>
      </w:r>
      <w:r w:rsidR="00C60221" w:rsidRPr="00F71301">
        <w:rPr>
          <w:rFonts w:ascii="Arial" w:hAnsi="Arial" w:cs="Arial"/>
        </w:rPr>
        <w:t xml:space="preserve"> both data types strengthens validity</w:t>
      </w:r>
      <w:r w:rsidRPr="00F71301">
        <w:rPr>
          <w:rFonts w:ascii="Arial" w:hAnsi="Arial" w:cs="Arial"/>
        </w:rPr>
        <w:t xml:space="preserve"> (</w:t>
      </w:r>
      <w:proofErr w:type="spellStart"/>
      <w:r w:rsidRPr="00F71301">
        <w:rPr>
          <w:rFonts w:ascii="Arial" w:hAnsi="Arial" w:cs="Arial"/>
        </w:rPr>
        <w:t>Barroga</w:t>
      </w:r>
      <w:proofErr w:type="spellEnd"/>
      <w:r w:rsidRPr="00F71301">
        <w:rPr>
          <w:rFonts w:ascii="Arial" w:hAnsi="Arial" w:cs="Arial"/>
        </w:rPr>
        <w:t xml:space="preserve"> et al 2023). </w:t>
      </w:r>
      <w:r w:rsidR="00C94795" w:rsidRPr="00F71301">
        <w:rPr>
          <w:rFonts w:ascii="Arial" w:hAnsi="Arial" w:cs="Arial"/>
        </w:rPr>
        <w:t xml:space="preserve"> Quantitative improvements, such as increased vaccination rates, can be interpreted alongside qualitative insights about workflow or usability. </w:t>
      </w:r>
      <w:r w:rsidRPr="00F71301">
        <w:rPr>
          <w:rFonts w:ascii="Arial" w:hAnsi="Arial" w:cs="Arial"/>
        </w:rPr>
        <w:t>This</w:t>
      </w:r>
      <w:r w:rsidR="00C60221" w:rsidRPr="00F71301">
        <w:rPr>
          <w:rFonts w:ascii="Arial" w:hAnsi="Arial" w:cs="Arial"/>
        </w:rPr>
        <w:t xml:space="preserve"> </w:t>
      </w:r>
      <w:r w:rsidR="00C94795" w:rsidRPr="00F71301">
        <w:rPr>
          <w:rFonts w:ascii="Arial" w:hAnsi="Arial" w:cs="Arial"/>
        </w:rPr>
        <w:t xml:space="preserve">analysis can identify barriers such as training needs, and </w:t>
      </w:r>
      <w:r w:rsidR="00C60221" w:rsidRPr="00F71301">
        <w:rPr>
          <w:rFonts w:ascii="Arial" w:hAnsi="Arial" w:cs="Arial"/>
        </w:rPr>
        <w:t>offer</w:t>
      </w:r>
      <w:r w:rsidRPr="00F71301">
        <w:rPr>
          <w:rFonts w:ascii="Arial" w:hAnsi="Arial" w:cs="Arial"/>
        </w:rPr>
        <w:t xml:space="preserve">s </w:t>
      </w:r>
      <w:r w:rsidR="00C60221" w:rsidRPr="00F71301">
        <w:rPr>
          <w:rFonts w:ascii="Arial" w:hAnsi="Arial" w:cs="Arial"/>
        </w:rPr>
        <w:t xml:space="preserve">a balanced view of the DVR’s impact on </w:t>
      </w:r>
      <w:r w:rsidRPr="00F71301">
        <w:rPr>
          <w:rFonts w:ascii="Arial" w:hAnsi="Arial" w:cs="Arial"/>
        </w:rPr>
        <w:t xml:space="preserve">vaccine </w:t>
      </w:r>
      <w:r w:rsidR="00C60221" w:rsidRPr="00F71301">
        <w:rPr>
          <w:rFonts w:ascii="Arial" w:hAnsi="Arial" w:cs="Arial"/>
        </w:rPr>
        <w:t xml:space="preserve">outcomes, staff experience, and service quality. </w:t>
      </w:r>
    </w:p>
    <w:p w14:paraId="4B083756" w14:textId="77777777" w:rsidR="001B6960" w:rsidRPr="00F71301" w:rsidRDefault="001B6960" w:rsidP="00BD2D48">
      <w:pPr>
        <w:pStyle w:val="NormalWeb"/>
        <w:jc w:val="both"/>
        <w:rPr>
          <w:rFonts w:ascii="Arial" w:hAnsi="Arial" w:cs="Arial"/>
        </w:rPr>
      </w:pPr>
      <w:r w:rsidRPr="00F71301">
        <w:rPr>
          <w:rFonts w:ascii="Arial" w:hAnsi="Arial" w:cs="Arial"/>
        </w:rPr>
        <w:t xml:space="preserve">Combining both data types will allow the project team to determine whether the DVR implementation </w:t>
      </w:r>
      <w:r w:rsidR="00C94795" w:rsidRPr="00F71301">
        <w:rPr>
          <w:rFonts w:ascii="Arial" w:hAnsi="Arial" w:cs="Arial"/>
        </w:rPr>
        <w:t>meets the</w:t>
      </w:r>
      <w:r w:rsidRPr="00F71301">
        <w:rPr>
          <w:rFonts w:ascii="Arial" w:hAnsi="Arial" w:cs="Arial"/>
        </w:rPr>
        <w:t xml:space="preserve"> objectives of improving vaccination coverage, efficiency, data quality, and user experience. </w:t>
      </w:r>
      <w:r w:rsidR="00C94795" w:rsidRPr="00F71301">
        <w:rPr>
          <w:rFonts w:ascii="Arial" w:hAnsi="Arial" w:cs="Arial"/>
        </w:rPr>
        <w:t>Findings can inform</w:t>
      </w:r>
      <w:r w:rsidRPr="00F71301">
        <w:rPr>
          <w:rFonts w:ascii="Arial" w:hAnsi="Arial" w:cs="Arial"/>
        </w:rPr>
        <w:t xml:space="preserve"> further refinement or wider rollout, possibly to other Health Boards.</w:t>
      </w:r>
    </w:p>
    <w:p w14:paraId="153FC3B3" w14:textId="77777777" w:rsidR="00052EF9" w:rsidRPr="00F71301" w:rsidRDefault="00052EF9">
      <w:pPr>
        <w:rPr>
          <w:rFonts w:ascii="Arial" w:hAnsi="Arial" w:cs="Arial"/>
          <w:b/>
          <w:color w:val="000000" w:themeColor="text1"/>
          <w:sz w:val="24"/>
          <w:szCs w:val="24"/>
        </w:rPr>
      </w:pPr>
      <w:r w:rsidRPr="00F71301">
        <w:rPr>
          <w:rFonts w:ascii="Arial" w:hAnsi="Arial" w:cs="Arial"/>
          <w:b/>
          <w:color w:val="000000" w:themeColor="text1"/>
          <w:sz w:val="24"/>
          <w:szCs w:val="24"/>
        </w:rPr>
        <w:t>Part 4</w:t>
      </w:r>
    </w:p>
    <w:p w14:paraId="4A435B41" w14:textId="77777777" w:rsidR="00DA1EC2" w:rsidRPr="00F71301" w:rsidRDefault="00DA1EC2">
      <w:pPr>
        <w:rPr>
          <w:rFonts w:ascii="Arial" w:hAnsi="Arial" w:cs="Arial"/>
          <w:b/>
          <w:color w:val="000000" w:themeColor="text1"/>
          <w:sz w:val="24"/>
          <w:szCs w:val="24"/>
        </w:rPr>
      </w:pPr>
      <w:r w:rsidRPr="00F71301">
        <w:rPr>
          <w:rFonts w:ascii="Arial" w:hAnsi="Arial" w:cs="Arial"/>
          <w:b/>
          <w:color w:val="000000" w:themeColor="text1"/>
          <w:sz w:val="24"/>
          <w:szCs w:val="24"/>
        </w:rPr>
        <w:t>Soft syste</w:t>
      </w:r>
      <w:r w:rsidR="007555D4" w:rsidRPr="00F71301">
        <w:rPr>
          <w:rFonts w:ascii="Arial" w:hAnsi="Arial" w:cs="Arial"/>
          <w:b/>
          <w:color w:val="000000" w:themeColor="text1"/>
          <w:sz w:val="24"/>
          <w:szCs w:val="24"/>
        </w:rPr>
        <w:t>ms methodology and rich picture</w:t>
      </w:r>
    </w:p>
    <w:p w14:paraId="1510B36B" w14:textId="2F064570" w:rsidR="00425408" w:rsidRPr="00F71301" w:rsidRDefault="00423BE3" w:rsidP="00001535">
      <w:pPr>
        <w:jc w:val="both"/>
        <w:rPr>
          <w:rFonts w:ascii="Arial" w:hAnsi="Arial" w:cs="Arial"/>
          <w:color w:val="000000" w:themeColor="text1"/>
          <w:sz w:val="24"/>
          <w:szCs w:val="24"/>
        </w:rPr>
      </w:pPr>
      <w:r w:rsidRPr="00F71301">
        <w:rPr>
          <w:rFonts w:ascii="Arial" w:hAnsi="Arial" w:cs="Arial"/>
          <w:color w:val="000000" w:themeColor="text1"/>
          <w:sz w:val="24"/>
          <w:szCs w:val="24"/>
        </w:rPr>
        <w:t>Despite huge investments, it is recognised that efforts to improve quality in healthcare often fails to achieve desired outcomes</w:t>
      </w:r>
      <w:r w:rsidR="00DC1D6C">
        <w:rPr>
          <w:rFonts w:ascii="Arial" w:hAnsi="Arial" w:cs="Arial"/>
          <w:color w:val="000000" w:themeColor="text1"/>
          <w:sz w:val="24"/>
          <w:szCs w:val="24"/>
        </w:rPr>
        <w:t xml:space="preserve">. This is, in part, </w:t>
      </w:r>
      <w:r w:rsidR="00001535" w:rsidRPr="00F71301">
        <w:rPr>
          <w:rFonts w:ascii="Arial" w:hAnsi="Arial" w:cs="Arial"/>
          <w:color w:val="000000" w:themeColor="text1"/>
          <w:sz w:val="24"/>
          <w:szCs w:val="24"/>
        </w:rPr>
        <w:t xml:space="preserve">due to complex environments with multiple stakeholders having different perspectives </w:t>
      </w:r>
      <w:r w:rsidRPr="00F71301">
        <w:rPr>
          <w:rFonts w:ascii="Arial" w:hAnsi="Arial" w:cs="Arial"/>
          <w:color w:val="000000" w:themeColor="text1"/>
          <w:sz w:val="24"/>
          <w:szCs w:val="24"/>
        </w:rPr>
        <w:t>(</w:t>
      </w:r>
      <w:proofErr w:type="spellStart"/>
      <w:r w:rsidRPr="00F71301">
        <w:rPr>
          <w:rFonts w:ascii="Arial" w:hAnsi="Arial" w:cs="Arial"/>
          <w:color w:val="000000" w:themeColor="text1"/>
          <w:sz w:val="24"/>
          <w:szCs w:val="24"/>
        </w:rPr>
        <w:t>Augustsson</w:t>
      </w:r>
      <w:proofErr w:type="spellEnd"/>
      <w:r w:rsidRPr="00F71301">
        <w:rPr>
          <w:rFonts w:ascii="Arial" w:hAnsi="Arial" w:cs="Arial"/>
          <w:color w:val="000000" w:themeColor="text1"/>
          <w:sz w:val="24"/>
          <w:szCs w:val="24"/>
        </w:rPr>
        <w:t xml:space="preserve">, </w:t>
      </w:r>
      <w:proofErr w:type="spellStart"/>
      <w:r w:rsidRPr="00F71301">
        <w:rPr>
          <w:rFonts w:ascii="Arial" w:hAnsi="Arial" w:cs="Arial"/>
          <w:color w:val="000000" w:themeColor="text1"/>
          <w:sz w:val="24"/>
          <w:szCs w:val="24"/>
        </w:rPr>
        <w:t>Churruca</w:t>
      </w:r>
      <w:proofErr w:type="spellEnd"/>
      <w:r w:rsidRPr="00F71301">
        <w:rPr>
          <w:rFonts w:ascii="Arial" w:hAnsi="Arial" w:cs="Arial"/>
          <w:color w:val="000000" w:themeColor="text1"/>
          <w:sz w:val="24"/>
          <w:szCs w:val="24"/>
        </w:rPr>
        <w:t xml:space="preserve"> &amp; Braithwaite 2020). ‘Soft Systems Methodology’ (S</w:t>
      </w:r>
      <w:r w:rsidR="00001535" w:rsidRPr="00F71301">
        <w:rPr>
          <w:rFonts w:ascii="Arial" w:hAnsi="Arial" w:cs="Arial"/>
          <w:color w:val="000000" w:themeColor="text1"/>
          <w:sz w:val="24"/>
          <w:szCs w:val="24"/>
        </w:rPr>
        <w:t xml:space="preserve">SM) </w:t>
      </w:r>
      <w:r w:rsidR="0036563F" w:rsidRPr="00F71301">
        <w:rPr>
          <w:rFonts w:ascii="Arial" w:hAnsi="Arial" w:cs="Arial"/>
          <w:color w:val="000000" w:themeColor="text1"/>
          <w:sz w:val="24"/>
          <w:szCs w:val="24"/>
        </w:rPr>
        <w:t>is described as a learning process that engages relevant stakeholders in an inquiry into a problem situation, with the aim of developing a model of activity to learn about the problem and develop actions to improve or correct the problem (</w:t>
      </w:r>
      <w:proofErr w:type="spellStart"/>
      <w:r w:rsidR="0036563F" w:rsidRPr="00F71301">
        <w:rPr>
          <w:rFonts w:ascii="Arial" w:hAnsi="Arial" w:cs="Arial"/>
          <w:color w:val="000000" w:themeColor="text1"/>
          <w:sz w:val="24"/>
          <w:szCs w:val="24"/>
        </w:rPr>
        <w:t>Checkland</w:t>
      </w:r>
      <w:proofErr w:type="spellEnd"/>
      <w:r w:rsidR="0036563F" w:rsidRPr="00F71301">
        <w:rPr>
          <w:rFonts w:ascii="Arial" w:hAnsi="Arial" w:cs="Arial"/>
          <w:color w:val="000000" w:themeColor="text1"/>
          <w:sz w:val="24"/>
          <w:szCs w:val="24"/>
        </w:rPr>
        <w:t xml:space="preserve"> 2000). </w:t>
      </w:r>
    </w:p>
    <w:p w14:paraId="3CBFCB71" w14:textId="77777777" w:rsidR="00425408" w:rsidRPr="00F71301" w:rsidRDefault="00425408" w:rsidP="00551E9B">
      <w:pPr>
        <w:pStyle w:val="NormalWeb"/>
        <w:jc w:val="both"/>
        <w:rPr>
          <w:rFonts w:ascii="Arial" w:hAnsi="Arial" w:cs="Arial"/>
          <w:vanish/>
        </w:rPr>
      </w:pPr>
      <w:r w:rsidRPr="00F71301">
        <w:rPr>
          <w:rFonts w:ascii="Arial" w:hAnsi="Arial" w:cs="Arial"/>
        </w:rPr>
        <w:t>The methodology employed in this project does not follow a ‘pure’ Soft Systems Methodology (SSM) approach. Instead, it incorporates elements of SSM that are suited to mapping complex problem situations</w:t>
      </w:r>
      <w:r w:rsidR="00B208C9" w:rsidRPr="00F71301">
        <w:rPr>
          <w:rFonts w:ascii="Arial" w:hAnsi="Arial" w:cs="Arial"/>
        </w:rPr>
        <w:t xml:space="preserve"> (Burge 2015)</w:t>
      </w:r>
      <w:r w:rsidRPr="00F71301">
        <w:rPr>
          <w:rFonts w:ascii="Arial" w:hAnsi="Arial" w:cs="Arial"/>
        </w:rPr>
        <w:t xml:space="preserve">. These tools support a participatory approach, making them ideal for a project that involves stakeholders from diverse professional backgrounds. Key components drawn from SSM include </w:t>
      </w:r>
      <w:r w:rsidR="00001535" w:rsidRPr="00F71301">
        <w:rPr>
          <w:rFonts w:ascii="Arial" w:hAnsi="Arial" w:cs="Arial"/>
        </w:rPr>
        <w:t>‘C</w:t>
      </w:r>
      <w:r w:rsidRPr="00F71301">
        <w:rPr>
          <w:rFonts w:ascii="Arial" w:hAnsi="Arial" w:cs="Arial"/>
          <w:bCs/>
        </w:rPr>
        <w:t>ATWOE</w:t>
      </w:r>
      <w:r w:rsidRPr="00F71301">
        <w:rPr>
          <w:rFonts w:ascii="Arial" w:hAnsi="Arial" w:cs="Arial"/>
          <w:b/>
          <w:bCs/>
        </w:rPr>
        <w:t>’</w:t>
      </w:r>
      <w:r w:rsidRPr="00F71301">
        <w:rPr>
          <w:rFonts w:ascii="Arial" w:hAnsi="Arial" w:cs="Arial"/>
        </w:rPr>
        <w:t xml:space="preserve">- a structured checklist of the project’s critical elements, the development of a root definition to clarify the system’s purpose, and the creation of a rich picture to visually </w:t>
      </w:r>
      <w:r w:rsidR="00001535" w:rsidRPr="00F71301">
        <w:rPr>
          <w:rFonts w:ascii="Arial" w:hAnsi="Arial" w:cs="Arial"/>
        </w:rPr>
        <w:t>capture stakeholder relationships and problem complexity</w:t>
      </w:r>
      <w:r w:rsidR="00B208C9" w:rsidRPr="00F71301">
        <w:rPr>
          <w:rFonts w:ascii="Arial" w:hAnsi="Arial" w:cs="Arial"/>
        </w:rPr>
        <w:t xml:space="preserve"> (</w:t>
      </w:r>
      <w:proofErr w:type="spellStart"/>
      <w:r w:rsidR="00B208C9" w:rsidRPr="00F71301">
        <w:rPr>
          <w:rFonts w:ascii="Arial" w:hAnsi="Arial" w:cs="Arial"/>
        </w:rPr>
        <w:t>Checkland</w:t>
      </w:r>
      <w:proofErr w:type="spellEnd"/>
      <w:r w:rsidR="00B208C9" w:rsidRPr="00F71301">
        <w:rPr>
          <w:rFonts w:ascii="Arial" w:hAnsi="Arial" w:cs="Arial"/>
        </w:rPr>
        <w:t xml:space="preserve"> 1999; </w:t>
      </w:r>
      <w:proofErr w:type="spellStart"/>
      <w:r w:rsidR="00B208C9" w:rsidRPr="00F71301">
        <w:rPr>
          <w:rFonts w:ascii="Arial" w:hAnsi="Arial" w:cs="Arial"/>
        </w:rPr>
        <w:t>Checkland</w:t>
      </w:r>
      <w:proofErr w:type="spellEnd"/>
      <w:r w:rsidR="00B208C9" w:rsidRPr="00F71301">
        <w:rPr>
          <w:rFonts w:ascii="Arial" w:hAnsi="Arial" w:cs="Arial"/>
        </w:rPr>
        <w:t xml:space="preserve"> &amp; Scholes 1990; </w:t>
      </w:r>
      <w:proofErr w:type="spellStart"/>
      <w:r w:rsidR="00B208C9" w:rsidRPr="00F71301">
        <w:rPr>
          <w:rFonts w:ascii="Arial" w:hAnsi="Arial" w:cs="Arial"/>
        </w:rPr>
        <w:t>Checkland</w:t>
      </w:r>
      <w:proofErr w:type="spellEnd"/>
      <w:r w:rsidR="00B208C9" w:rsidRPr="00F71301">
        <w:rPr>
          <w:rFonts w:ascii="Arial" w:hAnsi="Arial" w:cs="Arial"/>
        </w:rPr>
        <w:t xml:space="preserve"> &amp; </w:t>
      </w:r>
      <w:proofErr w:type="spellStart"/>
      <w:r w:rsidR="00B208C9" w:rsidRPr="00F71301">
        <w:rPr>
          <w:rFonts w:ascii="Arial" w:hAnsi="Arial" w:cs="Arial"/>
        </w:rPr>
        <w:t>Poulter</w:t>
      </w:r>
      <w:proofErr w:type="spellEnd"/>
      <w:r w:rsidR="00B208C9" w:rsidRPr="00F71301">
        <w:rPr>
          <w:rFonts w:ascii="Arial" w:hAnsi="Arial" w:cs="Arial"/>
        </w:rPr>
        <w:t xml:space="preserve"> 2006)</w:t>
      </w:r>
      <w:r w:rsidRPr="00F71301">
        <w:rPr>
          <w:rFonts w:ascii="Arial" w:hAnsi="Arial" w:cs="Arial"/>
        </w:rPr>
        <w:t xml:space="preserve">. </w:t>
      </w:r>
      <w:r w:rsidRPr="00F71301">
        <w:rPr>
          <w:rFonts w:ascii="Arial" w:hAnsi="Arial" w:cs="Arial"/>
          <w:vanish/>
        </w:rPr>
        <w:t>Bottom of Form</w:t>
      </w:r>
    </w:p>
    <w:p w14:paraId="24EC710A" w14:textId="77777777" w:rsidR="00425408" w:rsidRPr="00F71301" w:rsidRDefault="00425408">
      <w:pPr>
        <w:rPr>
          <w:rFonts w:ascii="Arial" w:hAnsi="Arial" w:cs="Arial"/>
          <w:color w:val="000000" w:themeColor="text1"/>
          <w:sz w:val="24"/>
          <w:szCs w:val="24"/>
        </w:rPr>
      </w:pPr>
    </w:p>
    <w:p w14:paraId="1DB94EF2" w14:textId="77777777" w:rsidR="00AF14A5" w:rsidRPr="00F71301" w:rsidRDefault="00AF14A5">
      <w:pPr>
        <w:rPr>
          <w:rFonts w:ascii="Arial" w:hAnsi="Arial" w:cs="Arial"/>
          <w:b/>
          <w:color w:val="000000" w:themeColor="text1"/>
          <w:sz w:val="24"/>
          <w:szCs w:val="24"/>
        </w:rPr>
      </w:pPr>
    </w:p>
    <w:p w14:paraId="69166A3C" w14:textId="77777777" w:rsidR="00B248FB" w:rsidRPr="00F71301" w:rsidRDefault="00B248FB">
      <w:pPr>
        <w:rPr>
          <w:rFonts w:ascii="Arial" w:hAnsi="Arial" w:cs="Arial"/>
          <w:b/>
          <w:color w:val="000000" w:themeColor="text1"/>
          <w:sz w:val="24"/>
          <w:szCs w:val="24"/>
        </w:rPr>
      </w:pPr>
      <w:r w:rsidRPr="00F71301">
        <w:rPr>
          <w:rFonts w:ascii="Arial" w:hAnsi="Arial" w:cs="Arial"/>
          <w:b/>
          <w:color w:val="000000" w:themeColor="text1"/>
          <w:sz w:val="24"/>
          <w:szCs w:val="24"/>
        </w:rPr>
        <w:lastRenderedPageBreak/>
        <w:t>Step 1: Rich Picture</w:t>
      </w:r>
    </w:p>
    <w:p w14:paraId="1BF67536" w14:textId="77777777" w:rsidR="000834B6" w:rsidRPr="00F71301" w:rsidRDefault="000834B6">
      <w:pPr>
        <w:rPr>
          <w:rFonts w:ascii="Arial" w:hAnsi="Arial" w:cs="Arial"/>
          <w:b/>
          <w:color w:val="000000" w:themeColor="text1"/>
          <w:sz w:val="24"/>
          <w:szCs w:val="24"/>
        </w:rPr>
      </w:pPr>
    </w:p>
    <w:p w14:paraId="58FB644B" w14:textId="77777777" w:rsidR="000834B6" w:rsidRPr="00F71301" w:rsidRDefault="000834B6">
      <w:pPr>
        <w:rPr>
          <w:rFonts w:ascii="Arial" w:hAnsi="Arial" w:cs="Arial"/>
          <w:b/>
          <w:color w:val="000000" w:themeColor="text1"/>
          <w:sz w:val="24"/>
          <w:szCs w:val="24"/>
        </w:rPr>
      </w:pPr>
    </w:p>
    <w:p w14:paraId="3F437C9E" w14:textId="77777777" w:rsidR="000834B6" w:rsidRPr="00F71301" w:rsidRDefault="00231B5B">
      <w:pPr>
        <w:rPr>
          <w:rFonts w:ascii="Arial" w:hAnsi="Arial" w:cs="Arial"/>
          <w:b/>
          <w:color w:val="000000" w:themeColor="text1"/>
          <w:sz w:val="24"/>
          <w:szCs w:val="24"/>
        </w:rPr>
      </w:pPr>
      <w:r w:rsidRPr="00F71301">
        <w:rPr>
          <w:rFonts w:ascii="Arial" w:hAnsi="Arial" w:cs="Arial"/>
          <w:b/>
          <w:noProof/>
          <w:color w:val="000000" w:themeColor="text1"/>
          <w:sz w:val="24"/>
          <w:szCs w:val="24"/>
          <w:lang w:eastAsia="en-GB"/>
        </w:rPr>
        <w:drawing>
          <wp:inline distT="0" distB="0" distL="0" distR="0" wp14:anchorId="7D4B6245" wp14:editId="5005DC83">
            <wp:extent cx="7085965" cy="5433410"/>
            <wp:effectExtent l="26353" t="11747" r="26987" b="2698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147"/>
                    <a:stretch/>
                  </pic:blipFill>
                  <pic:spPr bwMode="auto">
                    <a:xfrm rot="16200000">
                      <a:off x="0" y="0"/>
                      <a:ext cx="7155301" cy="5486575"/>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1B109E68" w14:textId="77777777" w:rsidR="00AF14A5" w:rsidRPr="00F71301" w:rsidRDefault="00AF14A5" w:rsidP="00AF14A5">
      <w:pPr>
        <w:ind w:left="720"/>
        <w:rPr>
          <w:rFonts w:ascii="Arial" w:hAnsi="Arial" w:cs="Arial"/>
          <w:i/>
          <w:color w:val="000000" w:themeColor="text1"/>
          <w:sz w:val="24"/>
          <w:szCs w:val="24"/>
        </w:rPr>
      </w:pPr>
      <w:r w:rsidRPr="00F71301">
        <w:rPr>
          <w:rFonts w:ascii="Arial" w:hAnsi="Arial" w:cs="Arial"/>
          <w:i/>
          <w:color w:val="000000" w:themeColor="text1"/>
          <w:sz w:val="24"/>
          <w:szCs w:val="24"/>
        </w:rPr>
        <w:t>Figure 8: Rich picture of current situation in Sexual Health services</w:t>
      </w:r>
    </w:p>
    <w:p w14:paraId="6799A98F" w14:textId="77777777" w:rsidR="00AF14A5" w:rsidRPr="00F71301" w:rsidRDefault="00AF14A5">
      <w:pPr>
        <w:rPr>
          <w:rFonts w:ascii="Arial" w:hAnsi="Arial" w:cs="Arial"/>
          <w:b/>
          <w:color w:val="000000" w:themeColor="text1"/>
          <w:sz w:val="24"/>
          <w:szCs w:val="24"/>
        </w:rPr>
      </w:pPr>
    </w:p>
    <w:p w14:paraId="0D0AD27B" w14:textId="77777777" w:rsidR="00AF14A5" w:rsidRPr="00F71301" w:rsidRDefault="00AF14A5">
      <w:pPr>
        <w:rPr>
          <w:rFonts w:ascii="Arial" w:hAnsi="Arial" w:cs="Arial"/>
          <w:b/>
          <w:color w:val="000000" w:themeColor="text1"/>
          <w:sz w:val="24"/>
          <w:szCs w:val="24"/>
        </w:rPr>
      </w:pPr>
    </w:p>
    <w:p w14:paraId="73397200" w14:textId="77777777" w:rsidR="00E466E3" w:rsidRPr="00F71301" w:rsidRDefault="00E91F0E">
      <w:pPr>
        <w:rPr>
          <w:rFonts w:ascii="Arial" w:hAnsi="Arial" w:cs="Arial"/>
          <w:b/>
          <w:color w:val="000000" w:themeColor="text1"/>
          <w:sz w:val="24"/>
          <w:szCs w:val="24"/>
        </w:rPr>
      </w:pPr>
      <w:r w:rsidRPr="00F71301">
        <w:rPr>
          <w:rFonts w:ascii="Arial" w:hAnsi="Arial" w:cs="Arial"/>
          <w:b/>
          <w:color w:val="000000" w:themeColor="text1"/>
          <w:sz w:val="24"/>
          <w:szCs w:val="24"/>
        </w:rPr>
        <w:t>Step2: CATWOE</w:t>
      </w:r>
    </w:p>
    <w:p w14:paraId="7DD7687A" w14:textId="77777777" w:rsidR="00E466E3" w:rsidRPr="00F71301" w:rsidRDefault="00E466E3" w:rsidP="00E466E3">
      <w:pPr>
        <w:jc w:val="both"/>
        <w:rPr>
          <w:rFonts w:ascii="Arial" w:hAnsi="Arial" w:cs="Arial"/>
          <w:b/>
          <w:color w:val="000000" w:themeColor="text1"/>
          <w:sz w:val="24"/>
          <w:szCs w:val="24"/>
        </w:rPr>
      </w:pPr>
      <w:r w:rsidRPr="00F71301">
        <w:rPr>
          <w:rFonts w:ascii="Arial" w:hAnsi="Arial" w:cs="Arial"/>
          <w:noProof/>
          <w:sz w:val="24"/>
          <w:szCs w:val="24"/>
          <w:lang w:eastAsia="en-GB"/>
        </w:rPr>
        <mc:AlternateContent>
          <mc:Choice Requires="wps">
            <w:drawing>
              <wp:inline distT="0" distB="0" distL="0" distR="0" wp14:anchorId="0BE979B7" wp14:editId="16EF1915">
                <wp:extent cx="304800" cy="304800"/>
                <wp:effectExtent l="0" t="0" r="0" b="0"/>
                <wp:docPr id="8" name="AutoShape 1" descr="CATWOE Analysis: Your Guide to Developing a Problem-Solving Framework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42AB07F" id="AutoShape 1" o:spid="_x0000_s1026" alt="CATWOE Analysis: Your Guide to Developing a Problem-Solving Framework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" filled="f" stroked="f">
                <o:lock v:ext="edit" aspectratio="t"/>
                <w10:anchorlock/>
              </v:rect>
            </w:pict>
          </mc:Fallback>
        </mc:AlternateContent>
      </w:r>
      <w:r w:rsidRPr="00F71301">
        <w:rPr>
          <w:rFonts w:ascii="Arial" w:hAnsi="Arial" w:cs="Arial"/>
          <w:b/>
          <w:noProof/>
          <w:color w:val="000000" w:themeColor="text1"/>
          <w:sz w:val="24"/>
          <w:szCs w:val="24"/>
          <w:lang w:eastAsia="en-GB"/>
        </w:rPr>
        <w:drawing>
          <wp:inline distT="0" distB="0" distL="0" distR="0" wp14:anchorId="6DA1E58F" wp14:editId="76F0A238">
            <wp:extent cx="5748867" cy="184785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65508" cy="1853199"/>
                    </a:xfrm>
                    <a:prstGeom prst="rect">
                      <a:avLst/>
                    </a:prstGeom>
                    <a:noFill/>
                  </pic:spPr>
                </pic:pic>
              </a:graphicData>
            </a:graphic>
          </wp:inline>
        </w:drawing>
      </w:r>
    </w:p>
    <w:p w14:paraId="4BD00189" w14:textId="77777777" w:rsidR="0046135B" w:rsidRPr="00F71301" w:rsidRDefault="0046135B" w:rsidP="0046135B">
      <w:pPr>
        <w:ind w:left="720"/>
        <w:rPr>
          <w:rFonts w:ascii="Arial" w:hAnsi="Arial" w:cs="Arial"/>
          <w:i/>
          <w:color w:val="000000" w:themeColor="text1"/>
          <w:sz w:val="24"/>
          <w:szCs w:val="24"/>
        </w:rPr>
      </w:pPr>
      <w:r w:rsidRPr="00F71301">
        <w:rPr>
          <w:rFonts w:ascii="Arial" w:hAnsi="Arial" w:cs="Arial"/>
          <w:i/>
          <w:color w:val="000000" w:themeColor="text1"/>
          <w:sz w:val="24"/>
          <w:szCs w:val="24"/>
        </w:rPr>
        <w:t>Fig.</w:t>
      </w:r>
      <w:r w:rsidR="00AF14A5" w:rsidRPr="00F71301">
        <w:rPr>
          <w:rFonts w:ascii="Arial" w:hAnsi="Arial" w:cs="Arial"/>
          <w:i/>
          <w:color w:val="000000" w:themeColor="text1"/>
          <w:sz w:val="24"/>
          <w:szCs w:val="24"/>
        </w:rPr>
        <w:t>9</w:t>
      </w:r>
      <w:r w:rsidRPr="00F71301">
        <w:rPr>
          <w:rFonts w:ascii="Arial" w:hAnsi="Arial" w:cs="Arial"/>
          <w:i/>
          <w:color w:val="000000" w:themeColor="text1"/>
          <w:sz w:val="24"/>
          <w:szCs w:val="24"/>
        </w:rPr>
        <w:t>. CATWOE Analysis Infographic (</w:t>
      </w:r>
      <w:proofErr w:type="spellStart"/>
      <w:r w:rsidRPr="00F71301">
        <w:rPr>
          <w:rFonts w:ascii="Arial" w:hAnsi="Arial" w:cs="Arial"/>
          <w:i/>
          <w:color w:val="000000" w:themeColor="text1"/>
          <w:sz w:val="24"/>
          <w:szCs w:val="24"/>
        </w:rPr>
        <w:t>Creately</w:t>
      </w:r>
      <w:proofErr w:type="spellEnd"/>
      <w:r w:rsidRPr="00F71301">
        <w:rPr>
          <w:rFonts w:ascii="Arial" w:hAnsi="Arial" w:cs="Arial"/>
          <w:i/>
          <w:color w:val="000000" w:themeColor="text1"/>
          <w:sz w:val="24"/>
          <w:szCs w:val="24"/>
        </w:rPr>
        <w:t xml:space="preserve"> 2024)</w:t>
      </w:r>
    </w:p>
    <w:p w14:paraId="05D7D04C" w14:textId="77777777" w:rsidR="0046135B" w:rsidRPr="00F71301" w:rsidRDefault="0046135B" w:rsidP="00E466E3">
      <w:pPr>
        <w:jc w:val="both"/>
        <w:rPr>
          <w:rFonts w:ascii="Arial" w:hAnsi="Arial" w:cs="Arial"/>
          <w:b/>
          <w:color w:val="000000" w:themeColor="text1"/>
          <w:sz w:val="24"/>
          <w:szCs w:val="24"/>
        </w:rPr>
      </w:pPr>
    </w:p>
    <w:p w14:paraId="435E99D3" w14:textId="77777777" w:rsidR="00E91F0E" w:rsidRPr="00F71301" w:rsidRDefault="00B208C9" w:rsidP="0046135B">
      <w:pPr>
        <w:pStyle w:val="NormalWeb"/>
        <w:jc w:val="both"/>
        <w:rPr>
          <w:rFonts w:ascii="Arial" w:hAnsi="Arial" w:cs="Arial"/>
        </w:rPr>
      </w:pPr>
      <w:r w:rsidRPr="00F71301">
        <w:rPr>
          <w:rFonts w:ascii="Arial" w:hAnsi="Arial" w:cs="Arial"/>
        </w:rPr>
        <w:t xml:space="preserve">The rich picture captures the </w:t>
      </w:r>
      <w:r w:rsidRPr="00F71301">
        <w:rPr>
          <w:rStyle w:val="Strong"/>
          <w:rFonts w:ascii="Arial" w:hAnsi="Arial" w:cs="Arial"/>
          <w:b w:val="0"/>
        </w:rPr>
        <w:t>complexity of</w:t>
      </w:r>
      <w:r w:rsidR="0046135B" w:rsidRPr="00F71301">
        <w:rPr>
          <w:rStyle w:val="Strong"/>
          <w:rFonts w:ascii="Arial" w:hAnsi="Arial" w:cs="Arial"/>
          <w:b w:val="0"/>
        </w:rPr>
        <w:t xml:space="preserve"> the current problem situation in sexual health services, and factors associated with</w:t>
      </w:r>
      <w:r w:rsidRPr="00F71301">
        <w:rPr>
          <w:rStyle w:val="Strong"/>
          <w:rFonts w:ascii="Arial" w:hAnsi="Arial" w:cs="Arial"/>
          <w:b w:val="0"/>
        </w:rPr>
        <w:t xml:space="preserve"> implementing a DVR</w:t>
      </w:r>
      <w:r w:rsidR="0046135B" w:rsidRPr="00F71301">
        <w:rPr>
          <w:rStyle w:val="Strong"/>
          <w:rFonts w:ascii="Arial" w:hAnsi="Arial" w:cs="Arial"/>
          <w:b w:val="0"/>
        </w:rPr>
        <w:t>.</w:t>
      </w:r>
      <w:r w:rsidR="00E91F0E" w:rsidRPr="00F71301">
        <w:rPr>
          <w:rFonts w:ascii="Arial" w:hAnsi="Arial" w:cs="Arial"/>
        </w:rPr>
        <w:t xml:space="preserve"> Using the CATWOE framework</w:t>
      </w:r>
      <w:r w:rsidR="0046135B" w:rsidRPr="00F71301">
        <w:rPr>
          <w:rFonts w:ascii="Arial" w:hAnsi="Arial" w:cs="Arial"/>
        </w:rPr>
        <w:t>, elements of the rich picture can be thoroughly analysed to assess organisational, human, socio-technical and cultural factors that affect the current problem situation within sexual health services.</w:t>
      </w:r>
      <w:r w:rsidR="00FE74E5" w:rsidRPr="00F71301">
        <w:rPr>
          <w:rFonts w:ascii="Arial" w:hAnsi="Arial" w:cs="Arial"/>
        </w:rPr>
        <w:t xml:space="preserve"> </w:t>
      </w:r>
    </w:p>
    <w:p w14:paraId="1F3FFF8F" w14:textId="77777777" w:rsidR="00551E9B" w:rsidRPr="00F71301" w:rsidRDefault="00551E9B" w:rsidP="00B208C9">
      <w:pPr>
        <w:pStyle w:val="NormalWeb"/>
        <w:rPr>
          <w:rFonts w:ascii="Arial" w:hAnsi="Arial" w:cs="Arial"/>
          <w:b/>
        </w:rPr>
      </w:pPr>
      <w:r w:rsidRPr="00F71301">
        <w:rPr>
          <w:rFonts w:ascii="Arial" w:hAnsi="Arial" w:cs="Arial"/>
          <w:b/>
        </w:rPr>
        <w:t>Organisational Factors</w:t>
      </w:r>
    </w:p>
    <w:p w14:paraId="753BC47F" w14:textId="77777777" w:rsidR="00AE188E" w:rsidRPr="00F71301" w:rsidRDefault="00001535" w:rsidP="00AE188E">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DVR implementation is a significant organisational transformation</w:t>
      </w:r>
      <w:r w:rsidR="00AE188E" w:rsidRPr="00F71301">
        <w:rPr>
          <w:rFonts w:ascii="Arial" w:eastAsia="Times New Roman" w:hAnsi="Arial" w:cs="Arial"/>
          <w:sz w:val="24"/>
          <w:szCs w:val="24"/>
          <w:lang w:eastAsia="en-GB"/>
        </w:rPr>
        <w:t xml:space="preserve"> (Cao et al 2025). It requires alignment with existing SBUHB policies, and coordination between various ‘</w:t>
      </w:r>
      <w:r w:rsidR="00AE188E" w:rsidRPr="00F71301">
        <w:rPr>
          <w:rFonts w:ascii="Arial" w:eastAsia="Times New Roman" w:hAnsi="Arial" w:cs="Arial"/>
          <w:bCs/>
          <w:sz w:val="24"/>
          <w:szCs w:val="24"/>
          <w:lang w:eastAsia="en-GB"/>
        </w:rPr>
        <w:t>actors</w:t>
      </w:r>
      <w:r w:rsidR="00AE188E" w:rsidRPr="00F71301">
        <w:rPr>
          <w:rFonts w:ascii="Arial" w:eastAsia="Times New Roman" w:hAnsi="Arial" w:cs="Arial"/>
          <w:sz w:val="24"/>
          <w:szCs w:val="24"/>
          <w:lang w:eastAsia="en-GB"/>
        </w:rPr>
        <w:t>’ such as clinical leads, IT/digital specialists and administrative teams. The organisation must ensure that governance structures are in place to manage the security of data and interoperability with other health information systems currently in use.</w:t>
      </w:r>
    </w:p>
    <w:p w14:paraId="10EE3B25" w14:textId="77777777" w:rsidR="00AE188E" w:rsidRPr="00F71301" w:rsidRDefault="00AE188E" w:rsidP="00AE188E">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The ‘</w:t>
      </w:r>
      <w:r w:rsidRPr="00F71301">
        <w:rPr>
          <w:rFonts w:ascii="Arial" w:eastAsia="Times New Roman" w:hAnsi="Arial" w:cs="Arial"/>
          <w:bCs/>
          <w:sz w:val="24"/>
          <w:szCs w:val="24"/>
          <w:lang w:eastAsia="en-GB"/>
        </w:rPr>
        <w:t xml:space="preserve">owners’ of the project would be the </w:t>
      </w:r>
      <w:r w:rsidRPr="00F71301">
        <w:rPr>
          <w:rFonts w:ascii="Arial" w:eastAsia="Times New Roman" w:hAnsi="Arial" w:cs="Arial"/>
          <w:sz w:val="24"/>
          <w:szCs w:val="24"/>
          <w:lang w:eastAsia="en-GB"/>
        </w:rPr>
        <w:t>senior managers and digital tr</w:t>
      </w:r>
      <w:r w:rsidR="00001535" w:rsidRPr="00F71301">
        <w:rPr>
          <w:rFonts w:ascii="Arial" w:eastAsia="Times New Roman" w:hAnsi="Arial" w:cs="Arial"/>
          <w:sz w:val="24"/>
          <w:szCs w:val="24"/>
          <w:lang w:eastAsia="en-GB"/>
        </w:rPr>
        <w:t>ansformation leads within SBUHB</w:t>
      </w:r>
      <w:r w:rsidRPr="00F71301">
        <w:rPr>
          <w:rFonts w:ascii="Arial" w:eastAsia="Times New Roman" w:hAnsi="Arial" w:cs="Arial"/>
          <w:sz w:val="24"/>
          <w:szCs w:val="24"/>
          <w:lang w:eastAsia="en-GB"/>
        </w:rPr>
        <w:t xml:space="preserve"> </w:t>
      </w:r>
      <w:r w:rsidR="00001535" w:rsidRPr="00F71301">
        <w:rPr>
          <w:rFonts w:ascii="Arial" w:eastAsia="Times New Roman" w:hAnsi="Arial" w:cs="Arial"/>
          <w:sz w:val="24"/>
          <w:szCs w:val="24"/>
          <w:lang w:eastAsia="en-GB"/>
        </w:rPr>
        <w:t>who</w:t>
      </w:r>
      <w:r w:rsidRPr="00F71301">
        <w:rPr>
          <w:rFonts w:ascii="Arial" w:eastAsia="Times New Roman" w:hAnsi="Arial" w:cs="Arial"/>
          <w:sz w:val="24"/>
          <w:szCs w:val="24"/>
          <w:lang w:eastAsia="en-GB"/>
        </w:rPr>
        <w:t xml:space="preserve"> lead the project and allocat</w:t>
      </w:r>
      <w:r w:rsidR="00001535" w:rsidRPr="00F71301">
        <w:rPr>
          <w:rFonts w:ascii="Arial" w:eastAsia="Times New Roman" w:hAnsi="Arial" w:cs="Arial"/>
          <w:sz w:val="24"/>
          <w:szCs w:val="24"/>
          <w:lang w:eastAsia="en-GB"/>
        </w:rPr>
        <w:t>e</w:t>
      </w:r>
      <w:r w:rsidRPr="00F71301">
        <w:rPr>
          <w:rFonts w:ascii="Arial" w:eastAsia="Times New Roman" w:hAnsi="Arial" w:cs="Arial"/>
          <w:sz w:val="24"/>
          <w:szCs w:val="24"/>
          <w:lang w:eastAsia="en-GB"/>
        </w:rPr>
        <w:t xml:space="preserve"> resources. Their leadership determines whether the change is prioritised, is adequately funded and is developed in line with </w:t>
      </w:r>
      <w:r w:rsidR="00001535" w:rsidRPr="00F71301">
        <w:rPr>
          <w:rFonts w:ascii="Arial" w:eastAsia="Times New Roman" w:hAnsi="Arial" w:cs="Arial"/>
          <w:sz w:val="24"/>
          <w:szCs w:val="24"/>
          <w:lang w:eastAsia="en-GB"/>
        </w:rPr>
        <w:t>national</w:t>
      </w:r>
      <w:r w:rsidRPr="00F71301">
        <w:rPr>
          <w:rFonts w:ascii="Arial" w:eastAsia="Times New Roman" w:hAnsi="Arial" w:cs="Arial"/>
          <w:sz w:val="24"/>
          <w:szCs w:val="24"/>
          <w:lang w:eastAsia="en-GB"/>
        </w:rPr>
        <w:t xml:space="preserve"> digital health goals and strategies. The</w:t>
      </w:r>
      <w:r w:rsidR="00001535" w:rsidRPr="00F71301">
        <w:rPr>
          <w:rFonts w:ascii="Arial" w:eastAsia="Times New Roman" w:hAnsi="Arial" w:cs="Arial"/>
          <w:sz w:val="24"/>
          <w:szCs w:val="24"/>
          <w:lang w:eastAsia="en-GB"/>
        </w:rPr>
        <w:t>ir</w:t>
      </w:r>
      <w:r w:rsidRPr="00F71301">
        <w:rPr>
          <w:rFonts w:ascii="Arial" w:eastAsia="Times New Roman" w:hAnsi="Arial" w:cs="Arial"/>
          <w:sz w:val="24"/>
          <w:szCs w:val="24"/>
          <w:lang w:eastAsia="en-GB"/>
        </w:rPr>
        <w:t xml:space="preserve"> support </w:t>
      </w:r>
      <w:r w:rsidR="00001535" w:rsidRPr="00F71301">
        <w:rPr>
          <w:rFonts w:ascii="Arial" w:eastAsia="Times New Roman" w:hAnsi="Arial" w:cs="Arial"/>
          <w:sz w:val="24"/>
          <w:szCs w:val="24"/>
          <w:lang w:eastAsia="en-GB"/>
        </w:rPr>
        <w:t xml:space="preserve">and motivation </w:t>
      </w:r>
      <w:r w:rsidRPr="00F71301">
        <w:rPr>
          <w:rFonts w:ascii="Arial" w:eastAsia="Times New Roman" w:hAnsi="Arial" w:cs="Arial"/>
          <w:sz w:val="24"/>
          <w:szCs w:val="24"/>
          <w:lang w:eastAsia="en-GB"/>
        </w:rPr>
        <w:t>also influence</w:t>
      </w:r>
      <w:r w:rsidR="00001535" w:rsidRPr="00F71301">
        <w:rPr>
          <w:rFonts w:ascii="Arial" w:eastAsia="Times New Roman" w:hAnsi="Arial" w:cs="Arial"/>
          <w:sz w:val="24"/>
          <w:szCs w:val="24"/>
          <w:lang w:eastAsia="en-GB"/>
        </w:rPr>
        <w:t>s</w:t>
      </w:r>
      <w:r w:rsidRPr="00F71301">
        <w:rPr>
          <w:rFonts w:ascii="Arial" w:eastAsia="Times New Roman" w:hAnsi="Arial" w:cs="Arial"/>
          <w:sz w:val="24"/>
          <w:szCs w:val="24"/>
          <w:lang w:eastAsia="en-GB"/>
        </w:rPr>
        <w:t xml:space="preserve"> staff engagement and willingness to adopt new systems. </w:t>
      </w:r>
      <w:r w:rsidR="001B09EA" w:rsidRPr="00F71301">
        <w:rPr>
          <w:rFonts w:ascii="Arial" w:eastAsia="Times New Roman" w:hAnsi="Arial" w:cs="Arial"/>
          <w:sz w:val="24"/>
          <w:szCs w:val="24"/>
          <w:lang w:eastAsia="en-GB"/>
        </w:rPr>
        <w:t>Organisational culture and adaptability, particularly among those using the system daily can significantly impact project success</w:t>
      </w:r>
      <w:r w:rsidRPr="00F71301">
        <w:rPr>
          <w:rFonts w:ascii="Arial" w:eastAsia="Times New Roman" w:hAnsi="Arial" w:cs="Arial"/>
          <w:sz w:val="24"/>
          <w:szCs w:val="24"/>
          <w:lang w:eastAsia="en-GB"/>
        </w:rPr>
        <w:t xml:space="preserve"> (</w:t>
      </w:r>
      <w:proofErr w:type="spellStart"/>
      <w:r w:rsidRPr="00F71301">
        <w:rPr>
          <w:rFonts w:ascii="Arial" w:eastAsia="Times New Roman" w:hAnsi="Arial" w:cs="Arial"/>
          <w:sz w:val="24"/>
          <w:szCs w:val="24"/>
          <w:lang w:eastAsia="en-GB"/>
        </w:rPr>
        <w:t>Kulichyova</w:t>
      </w:r>
      <w:proofErr w:type="spellEnd"/>
      <w:r w:rsidRPr="00F71301">
        <w:rPr>
          <w:rFonts w:ascii="Arial" w:eastAsia="Times New Roman" w:hAnsi="Arial" w:cs="Arial"/>
          <w:sz w:val="24"/>
          <w:szCs w:val="24"/>
          <w:lang w:eastAsia="en-GB"/>
        </w:rPr>
        <w:t xml:space="preserve"> et al 2025).</w:t>
      </w:r>
    </w:p>
    <w:p w14:paraId="1E5FA96D" w14:textId="77777777" w:rsidR="00AE188E" w:rsidRPr="00F71301" w:rsidRDefault="00AE188E" w:rsidP="00AE188E">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With regards to the CATWOE aspect of ‘</w:t>
      </w:r>
      <w:r w:rsidRPr="00F71301">
        <w:rPr>
          <w:rFonts w:ascii="Arial" w:eastAsia="Times New Roman" w:hAnsi="Arial" w:cs="Arial"/>
          <w:bCs/>
          <w:sz w:val="24"/>
          <w:szCs w:val="24"/>
          <w:lang w:eastAsia="en-GB"/>
        </w:rPr>
        <w:t xml:space="preserve">environmental constraints’, </w:t>
      </w:r>
      <w:r w:rsidR="001B09EA" w:rsidRPr="00F71301">
        <w:rPr>
          <w:rFonts w:ascii="Arial" w:eastAsia="Times New Roman" w:hAnsi="Arial" w:cs="Arial"/>
          <w:bCs/>
          <w:sz w:val="24"/>
          <w:szCs w:val="24"/>
          <w:lang w:eastAsia="en-GB"/>
        </w:rPr>
        <w:t xml:space="preserve"> </w:t>
      </w:r>
      <w:r w:rsidRPr="00F71301">
        <w:rPr>
          <w:rFonts w:ascii="Arial" w:eastAsia="Times New Roman" w:hAnsi="Arial" w:cs="Arial"/>
          <w:sz w:val="24"/>
          <w:szCs w:val="24"/>
          <w:lang w:eastAsia="en-GB"/>
        </w:rPr>
        <w:t xml:space="preserve">NHS policy requirements, data standardisation requirements, data protection regulations, and financial limitations shape how the DVR is designed and rolled out. These external pressures can either drive innovation or </w:t>
      </w:r>
      <w:r w:rsidR="001B09EA" w:rsidRPr="00F71301">
        <w:rPr>
          <w:rFonts w:ascii="Arial" w:eastAsia="Times New Roman" w:hAnsi="Arial" w:cs="Arial"/>
          <w:sz w:val="24"/>
          <w:szCs w:val="24"/>
          <w:lang w:eastAsia="en-GB"/>
        </w:rPr>
        <w:t>create</w:t>
      </w:r>
      <w:r w:rsidRPr="00F71301">
        <w:rPr>
          <w:rFonts w:ascii="Arial" w:eastAsia="Times New Roman" w:hAnsi="Arial" w:cs="Arial"/>
          <w:sz w:val="24"/>
          <w:szCs w:val="24"/>
          <w:lang w:eastAsia="en-GB"/>
        </w:rPr>
        <w:t xml:space="preserve"> barriers if the overall organisation lacks flexibility or readiness for change (Horvath &amp; Szabo 2019).</w:t>
      </w:r>
    </w:p>
    <w:p w14:paraId="56F369CD" w14:textId="77777777" w:rsidR="00A8253F" w:rsidRDefault="00A8253F" w:rsidP="00551E9B">
      <w:pPr>
        <w:pStyle w:val="NormalWeb"/>
        <w:rPr>
          <w:rFonts w:ascii="Arial" w:hAnsi="Arial" w:cs="Arial"/>
          <w:b/>
        </w:rPr>
      </w:pPr>
    </w:p>
    <w:p w14:paraId="532EC7F2" w14:textId="77777777" w:rsidR="00551E9B" w:rsidRPr="00F71301" w:rsidRDefault="00551E9B" w:rsidP="00551E9B">
      <w:pPr>
        <w:pStyle w:val="NormalWeb"/>
        <w:rPr>
          <w:rFonts w:ascii="Arial" w:hAnsi="Arial" w:cs="Arial"/>
          <w:b/>
        </w:rPr>
      </w:pPr>
      <w:r w:rsidRPr="00F71301">
        <w:rPr>
          <w:rFonts w:ascii="Arial" w:hAnsi="Arial" w:cs="Arial"/>
          <w:b/>
        </w:rPr>
        <w:lastRenderedPageBreak/>
        <w:t>Human Factors</w:t>
      </w:r>
    </w:p>
    <w:p w14:paraId="44B96D06" w14:textId="77777777" w:rsidR="008967AC" w:rsidRPr="00F71301" w:rsidRDefault="00F636B2" w:rsidP="008967A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R</w:t>
      </w:r>
      <w:r w:rsidR="008967AC" w:rsidRPr="00F71301">
        <w:rPr>
          <w:rFonts w:ascii="Arial" w:eastAsia="Times New Roman" w:hAnsi="Arial" w:cs="Arial"/>
          <w:sz w:val="24"/>
          <w:szCs w:val="24"/>
          <w:lang w:eastAsia="en-GB"/>
        </w:rPr>
        <w:t xml:space="preserve">esearch has shown </w:t>
      </w:r>
      <w:r w:rsidRPr="00F71301">
        <w:rPr>
          <w:rFonts w:ascii="Arial" w:eastAsia="Times New Roman" w:hAnsi="Arial" w:cs="Arial"/>
          <w:sz w:val="24"/>
          <w:szCs w:val="24"/>
          <w:lang w:eastAsia="en-GB"/>
        </w:rPr>
        <w:t>that human factors</w:t>
      </w:r>
      <w:r w:rsidR="008967AC" w:rsidRPr="00F71301">
        <w:rPr>
          <w:rFonts w:ascii="Arial" w:eastAsia="Times New Roman" w:hAnsi="Arial" w:cs="Arial"/>
          <w:sz w:val="24"/>
          <w:szCs w:val="24"/>
          <w:lang w:eastAsia="en-GB"/>
        </w:rPr>
        <w:t xml:space="preserve"> such as resistance to change, user frustration with the digital product and low adoption rates to be of high importance </w:t>
      </w:r>
      <w:r w:rsidRPr="00F71301">
        <w:rPr>
          <w:rFonts w:ascii="Arial" w:eastAsia="Times New Roman" w:hAnsi="Arial" w:cs="Arial"/>
          <w:sz w:val="24"/>
          <w:szCs w:val="24"/>
          <w:lang w:eastAsia="en-GB"/>
        </w:rPr>
        <w:t xml:space="preserve">in digital transformation </w:t>
      </w:r>
      <w:r w:rsidR="008967AC" w:rsidRPr="00F71301">
        <w:rPr>
          <w:rFonts w:ascii="Arial" w:eastAsia="Times New Roman" w:hAnsi="Arial" w:cs="Arial"/>
          <w:sz w:val="24"/>
          <w:szCs w:val="24"/>
          <w:lang w:eastAsia="en-GB"/>
        </w:rPr>
        <w:t>(</w:t>
      </w:r>
      <w:proofErr w:type="spellStart"/>
      <w:r w:rsidR="008967AC" w:rsidRPr="00F71301">
        <w:rPr>
          <w:rFonts w:ascii="Arial" w:eastAsia="Times New Roman" w:hAnsi="Arial" w:cs="Arial"/>
          <w:sz w:val="24"/>
          <w:szCs w:val="24"/>
          <w:lang w:eastAsia="en-GB"/>
        </w:rPr>
        <w:t>Lykourentzou</w:t>
      </w:r>
      <w:proofErr w:type="spellEnd"/>
      <w:r w:rsidR="008967AC" w:rsidRPr="00F71301">
        <w:rPr>
          <w:rFonts w:ascii="Arial" w:eastAsia="Times New Roman" w:hAnsi="Arial" w:cs="Arial"/>
          <w:sz w:val="24"/>
          <w:szCs w:val="24"/>
          <w:lang w:eastAsia="en-GB"/>
        </w:rPr>
        <w:t xml:space="preserve"> et al 2025). As a result, ‘human-centric’ approaches to digital transformation is encouraged, with a focus on digital literacy and employee contributions (</w:t>
      </w:r>
      <w:proofErr w:type="spellStart"/>
      <w:r w:rsidR="008967AC" w:rsidRPr="00F71301">
        <w:rPr>
          <w:rFonts w:ascii="Arial" w:eastAsia="Times New Roman" w:hAnsi="Arial" w:cs="Arial"/>
          <w:sz w:val="24"/>
          <w:szCs w:val="24"/>
          <w:lang w:eastAsia="en-GB"/>
        </w:rPr>
        <w:t>Strohmeier</w:t>
      </w:r>
      <w:proofErr w:type="spellEnd"/>
      <w:r w:rsidR="008967AC" w:rsidRPr="00F71301">
        <w:rPr>
          <w:rFonts w:ascii="Arial" w:eastAsia="Times New Roman" w:hAnsi="Arial" w:cs="Arial"/>
          <w:sz w:val="24"/>
          <w:szCs w:val="24"/>
          <w:lang w:eastAsia="en-GB"/>
        </w:rPr>
        <w:t xml:space="preserve"> 2020). Within the CATWOE framework, </w:t>
      </w:r>
      <w:r w:rsidR="008967AC" w:rsidRPr="00F71301">
        <w:rPr>
          <w:rFonts w:ascii="Arial" w:eastAsia="Times New Roman" w:hAnsi="Arial" w:cs="Arial"/>
          <w:bCs/>
          <w:sz w:val="24"/>
          <w:szCs w:val="24"/>
          <w:lang w:eastAsia="en-GB"/>
        </w:rPr>
        <w:t>customers</w:t>
      </w:r>
      <w:r w:rsidR="008967AC" w:rsidRPr="00F71301">
        <w:rPr>
          <w:rFonts w:ascii="Arial" w:eastAsia="Times New Roman" w:hAnsi="Arial" w:cs="Arial"/>
          <w:sz w:val="24"/>
          <w:szCs w:val="24"/>
          <w:lang w:eastAsia="en-GB"/>
        </w:rPr>
        <w:t xml:space="preserve"> and </w:t>
      </w:r>
      <w:r w:rsidR="008967AC" w:rsidRPr="00F71301">
        <w:rPr>
          <w:rFonts w:ascii="Arial" w:eastAsia="Times New Roman" w:hAnsi="Arial" w:cs="Arial"/>
          <w:bCs/>
          <w:sz w:val="24"/>
          <w:szCs w:val="24"/>
          <w:lang w:eastAsia="en-GB"/>
        </w:rPr>
        <w:t>actors</w:t>
      </w:r>
      <w:r w:rsidR="008967AC" w:rsidRPr="00F71301">
        <w:rPr>
          <w:rFonts w:ascii="Arial" w:eastAsia="Times New Roman" w:hAnsi="Arial" w:cs="Arial"/>
          <w:sz w:val="24"/>
          <w:szCs w:val="24"/>
          <w:lang w:eastAsia="en-GB"/>
        </w:rPr>
        <w:t xml:space="preserve"> highlight the roles and needs of individuals directly involved in or affected by the DVR system. The ‘</w:t>
      </w:r>
      <w:r w:rsidR="008967AC" w:rsidRPr="00F71301">
        <w:rPr>
          <w:rFonts w:ascii="Arial" w:eastAsia="Times New Roman" w:hAnsi="Arial" w:cs="Arial"/>
          <w:bCs/>
          <w:sz w:val="24"/>
          <w:szCs w:val="24"/>
          <w:lang w:eastAsia="en-GB"/>
        </w:rPr>
        <w:t xml:space="preserve">customers’ are the </w:t>
      </w:r>
      <w:r w:rsidR="008967AC" w:rsidRPr="00F71301">
        <w:rPr>
          <w:rFonts w:ascii="Arial" w:eastAsia="Times New Roman" w:hAnsi="Arial" w:cs="Arial"/>
          <w:sz w:val="24"/>
          <w:szCs w:val="24"/>
          <w:lang w:eastAsia="en-GB"/>
        </w:rPr>
        <w:t>patients accessing sexual health services who require accurate, accessible, and confidential records. A DVR can improve continuity of care, prevent unnecessary repeat vaccinations, and promote empowerment through access to their own health information.</w:t>
      </w:r>
    </w:p>
    <w:p w14:paraId="18985E6B" w14:textId="4F03F484" w:rsidR="008967AC" w:rsidRPr="00F71301" w:rsidRDefault="008967AC" w:rsidP="008967A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‘Actors’ </w:t>
      </w:r>
      <w:r w:rsidR="00F636B2" w:rsidRPr="00F71301">
        <w:rPr>
          <w:rFonts w:ascii="Arial" w:eastAsia="Times New Roman" w:hAnsi="Arial" w:cs="Arial"/>
          <w:sz w:val="24"/>
          <w:szCs w:val="24"/>
          <w:lang w:eastAsia="en-GB"/>
        </w:rPr>
        <w:t>include</w:t>
      </w:r>
      <w:r w:rsidRPr="00F71301">
        <w:rPr>
          <w:rFonts w:ascii="Arial" w:eastAsia="Times New Roman" w:hAnsi="Arial" w:cs="Arial"/>
          <w:sz w:val="24"/>
          <w:szCs w:val="24"/>
          <w:lang w:eastAsia="en-GB"/>
        </w:rPr>
        <w:t xml:space="preserve"> clinicians, nurses, and administrative staff</w:t>
      </w:r>
      <w:r w:rsidR="00F636B2" w:rsidRPr="00F71301">
        <w:rPr>
          <w:rFonts w:ascii="Arial" w:eastAsia="Times New Roman" w:hAnsi="Arial" w:cs="Arial"/>
          <w:sz w:val="24"/>
          <w:szCs w:val="24"/>
          <w:lang w:eastAsia="en-GB"/>
        </w:rPr>
        <w:t xml:space="preserve"> whose</w:t>
      </w:r>
      <w:r w:rsidRPr="00F71301">
        <w:rPr>
          <w:rFonts w:ascii="Arial" w:eastAsia="Times New Roman" w:hAnsi="Arial" w:cs="Arial"/>
          <w:sz w:val="24"/>
          <w:szCs w:val="24"/>
          <w:lang w:eastAsia="en-GB"/>
        </w:rPr>
        <w:t xml:space="preserve"> digital literacy, workload pressures, and confidence in the system</w:t>
      </w:r>
      <w:r w:rsidR="00F636B2" w:rsidRPr="00F71301">
        <w:rPr>
          <w:rFonts w:ascii="Arial" w:eastAsia="Times New Roman" w:hAnsi="Arial" w:cs="Arial"/>
          <w:sz w:val="24"/>
          <w:szCs w:val="24"/>
          <w:lang w:eastAsia="en-GB"/>
        </w:rPr>
        <w:t xml:space="preserve"> influence adoption</w:t>
      </w:r>
      <w:r w:rsidRPr="00F71301">
        <w:rPr>
          <w:rFonts w:ascii="Arial" w:eastAsia="Times New Roman" w:hAnsi="Arial" w:cs="Arial"/>
          <w:sz w:val="24"/>
          <w:szCs w:val="24"/>
          <w:lang w:eastAsia="en-GB"/>
        </w:rPr>
        <w:t>. Resistance may arise if the system is appears time-consuming, or deviates from routine clinical workflows</w:t>
      </w:r>
      <w:r w:rsidR="00DC1D6C">
        <w:rPr>
          <w:rFonts w:ascii="Arial" w:eastAsia="Times New Roman" w:hAnsi="Arial" w:cs="Arial"/>
          <w:sz w:val="24"/>
          <w:szCs w:val="24"/>
          <w:lang w:eastAsia="en-GB"/>
        </w:rPr>
        <w:t xml:space="preserve"> </w:t>
      </w:r>
      <w:r w:rsidR="00DC1D6C">
        <w:rPr>
          <w:rFonts w:ascii="Arial" w:hAnsi="Arial" w:cs="Arial"/>
          <w:sz w:val="24"/>
          <w:szCs w:val="24"/>
        </w:rPr>
        <w:t>(</w:t>
      </w:r>
      <w:r w:rsidR="00DC1D6C">
        <w:rPr>
          <w:rFonts w:ascii="Arial" w:hAnsi="Arial" w:cs="Arial"/>
          <w:sz w:val="24"/>
          <w:szCs w:val="24"/>
        </w:rPr>
        <w:t xml:space="preserve">Van de </w:t>
      </w:r>
      <w:proofErr w:type="spellStart"/>
      <w:r w:rsidR="00DC1D6C">
        <w:rPr>
          <w:rFonts w:ascii="Arial" w:hAnsi="Arial" w:cs="Arial"/>
          <w:sz w:val="24"/>
          <w:szCs w:val="24"/>
        </w:rPr>
        <w:t>Ven</w:t>
      </w:r>
      <w:proofErr w:type="spellEnd"/>
      <w:r w:rsidR="00DC1D6C">
        <w:rPr>
          <w:rFonts w:ascii="Arial" w:hAnsi="Arial" w:cs="Arial"/>
          <w:sz w:val="24"/>
          <w:szCs w:val="24"/>
        </w:rPr>
        <w:t xml:space="preserve"> &amp;</w:t>
      </w:r>
      <w:r w:rsidR="00DC1D6C">
        <w:rPr>
          <w:rFonts w:ascii="Arial" w:hAnsi="Arial" w:cs="Arial"/>
          <w:sz w:val="24"/>
          <w:szCs w:val="24"/>
        </w:rPr>
        <w:t xml:space="preserve"> </w:t>
      </w:r>
      <w:proofErr w:type="spellStart"/>
      <w:r w:rsidR="00DC1D6C">
        <w:rPr>
          <w:rFonts w:ascii="Arial" w:hAnsi="Arial" w:cs="Arial"/>
          <w:sz w:val="24"/>
          <w:szCs w:val="24"/>
        </w:rPr>
        <w:t>Hargrave</w:t>
      </w:r>
      <w:proofErr w:type="spellEnd"/>
      <w:r w:rsidR="00DC1D6C">
        <w:rPr>
          <w:rFonts w:ascii="Arial" w:hAnsi="Arial" w:cs="Arial"/>
          <w:sz w:val="24"/>
          <w:szCs w:val="24"/>
        </w:rPr>
        <w:t xml:space="preserve"> 2004)</w:t>
      </w:r>
      <w:r w:rsidRPr="00F71301">
        <w:rPr>
          <w:rFonts w:ascii="Arial" w:eastAsia="Times New Roman" w:hAnsi="Arial" w:cs="Arial"/>
          <w:sz w:val="24"/>
          <w:szCs w:val="24"/>
          <w:lang w:eastAsia="en-GB"/>
        </w:rPr>
        <w:t xml:space="preserve">. Therefore, effective digital </w:t>
      </w:r>
      <w:r w:rsidRPr="00F71301">
        <w:rPr>
          <w:rFonts w:ascii="Arial" w:eastAsia="Times New Roman" w:hAnsi="Arial" w:cs="Arial"/>
          <w:bCs/>
          <w:sz w:val="24"/>
          <w:szCs w:val="24"/>
          <w:lang w:eastAsia="en-GB"/>
        </w:rPr>
        <w:t>transformation</w:t>
      </w:r>
      <w:r w:rsidRPr="00F71301">
        <w:rPr>
          <w:rFonts w:ascii="Arial" w:eastAsia="Times New Roman" w:hAnsi="Arial" w:cs="Arial"/>
          <w:sz w:val="24"/>
          <w:szCs w:val="24"/>
          <w:lang w:eastAsia="en-GB"/>
        </w:rPr>
        <w:t xml:space="preserve"> depends on engaging these ‘actors’ early in the process, providing training, and ensuring that the new system supports daily clinical practice.</w:t>
      </w:r>
    </w:p>
    <w:p w14:paraId="286ADD2E" w14:textId="77777777" w:rsidR="008967AC" w:rsidRPr="00F71301" w:rsidRDefault="008967AC" w:rsidP="008967A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Within the human factors, the ‘</w:t>
      </w:r>
      <w:r w:rsidRPr="00F71301">
        <w:rPr>
          <w:rFonts w:ascii="Arial" w:eastAsia="Times New Roman" w:hAnsi="Arial" w:cs="Arial"/>
          <w:bCs/>
          <w:sz w:val="24"/>
          <w:szCs w:val="24"/>
          <w:lang w:eastAsia="en-GB"/>
        </w:rPr>
        <w:t>owners</w:t>
      </w:r>
      <w:r w:rsidR="00451816" w:rsidRPr="00F71301">
        <w:rPr>
          <w:rFonts w:ascii="Arial" w:eastAsia="Times New Roman" w:hAnsi="Arial" w:cs="Arial"/>
          <w:sz w:val="24"/>
          <w:szCs w:val="24"/>
          <w:lang w:eastAsia="en-GB"/>
        </w:rPr>
        <w:t xml:space="preserve">’ (leaders of the project) </w:t>
      </w:r>
      <w:r w:rsidRPr="00F71301">
        <w:rPr>
          <w:rFonts w:ascii="Arial" w:eastAsia="Times New Roman" w:hAnsi="Arial" w:cs="Arial"/>
          <w:sz w:val="24"/>
          <w:szCs w:val="24"/>
          <w:lang w:eastAsia="en-GB"/>
        </w:rPr>
        <w:t>must recognise the</w:t>
      </w:r>
      <w:r w:rsidR="00451816" w:rsidRPr="00F71301">
        <w:rPr>
          <w:rFonts w:ascii="Arial" w:eastAsia="Times New Roman" w:hAnsi="Arial" w:cs="Arial"/>
          <w:sz w:val="24"/>
          <w:szCs w:val="24"/>
          <w:lang w:eastAsia="en-GB"/>
        </w:rPr>
        <w:t>se complex</w:t>
      </w:r>
      <w:r w:rsidRPr="00F71301">
        <w:rPr>
          <w:rFonts w:ascii="Arial" w:eastAsia="Times New Roman" w:hAnsi="Arial" w:cs="Arial"/>
          <w:sz w:val="24"/>
          <w:szCs w:val="24"/>
          <w:lang w:eastAsia="en-GB"/>
        </w:rPr>
        <w:t xml:space="preserve"> aspects of change. </w:t>
      </w:r>
      <w:r w:rsidR="00451816" w:rsidRPr="00F71301">
        <w:rPr>
          <w:rFonts w:ascii="Arial" w:eastAsia="Times New Roman" w:hAnsi="Arial" w:cs="Arial"/>
          <w:sz w:val="24"/>
          <w:szCs w:val="24"/>
          <w:lang w:eastAsia="en-GB"/>
        </w:rPr>
        <w:t>Providing t</w:t>
      </w:r>
      <w:r w:rsidRPr="00F71301">
        <w:rPr>
          <w:rFonts w:ascii="Arial" w:eastAsia="Times New Roman" w:hAnsi="Arial" w:cs="Arial"/>
          <w:sz w:val="24"/>
          <w:szCs w:val="24"/>
          <w:lang w:eastAsia="en-GB"/>
        </w:rPr>
        <w:t>ransparent</w:t>
      </w:r>
      <w:r w:rsidR="00451816" w:rsidRPr="00F71301">
        <w:rPr>
          <w:rFonts w:ascii="Arial" w:eastAsia="Times New Roman" w:hAnsi="Arial" w:cs="Arial"/>
          <w:sz w:val="24"/>
          <w:szCs w:val="24"/>
          <w:lang w:eastAsia="en-GB"/>
        </w:rPr>
        <w:t xml:space="preserve"> methods of</w:t>
      </w:r>
      <w:r w:rsidRPr="00F71301">
        <w:rPr>
          <w:rFonts w:ascii="Arial" w:eastAsia="Times New Roman" w:hAnsi="Arial" w:cs="Arial"/>
          <w:sz w:val="24"/>
          <w:szCs w:val="24"/>
          <w:lang w:eastAsia="en-GB"/>
        </w:rPr>
        <w:t xml:space="preserve"> communication, reassurance regarding data security, and opportunities for feedback can help </w:t>
      </w:r>
      <w:r w:rsidR="00451816" w:rsidRPr="00F71301">
        <w:rPr>
          <w:rFonts w:ascii="Arial" w:eastAsia="Times New Roman" w:hAnsi="Arial" w:cs="Arial"/>
          <w:sz w:val="24"/>
          <w:szCs w:val="24"/>
          <w:lang w:eastAsia="en-GB"/>
        </w:rPr>
        <w:t>allay anxiety and improve acceptance of change</w:t>
      </w:r>
      <w:r w:rsidRPr="00F71301">
        <w:rPr>
          <w:rFonts w:ascii="Arial" w:eastAsia="Times New Roman" w:hAnsi="Arial" w:cs="Arial"/>
          <w:sz w:val="24"/>
          <w:szCs w:val="24"/>
          <w:lang w:eastAsia="en-GB"/>
        </w:rPr>
        <w:t>.</w:t>
      </w:r>
    </w:p>
    <w:p w14:paraId="26B3EAEE" w14:textId="77777777" w:rsidR="00551E9B" w:rsidRPr="00F71301" w:rsidRDefault="00551E9B" w:rsidP="00551E9B">
      <w:pPr>
        <w:pStyle w:val="NormalWeb"/>
        <w:rPr>
          <w:rFonts w:ascii="Arial" w:hAnsi="Arial" w:cs="Arial"/>
          <w:b/>
        </w:rPr>
      </w:pPr>
      <w:r w:rsidRPr="00F71301">
        <w:rPr>
          <w:rFonts w:ascii="Arial" w:hAnsi="Arial" w:cs="Arial"/>
          <w:b/>
        </w:rPr>
        <w:t>Socio-technical Factors</w:t>
      </w:r>
    </w:p>
    <w:p w14:paraId="5F486F4C" w14:textId="77777777" w:rsidR="00BF1A83" w:rsidRPr="00F71301" w:rsidRDefault="00BF1A83" w:rsidP="00BF1A83">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DVR </w:t>
      </w:r>
      <w:r w:rsidR="00F636B2" w:rsidRPr="00F71301">
        <w:rPr>
          <w:rFonts w:ascii="Arial" w:eastAsia="Times New Roman" w:hAnsi="Arial" w:cs="Arial"/>
          <w:sz w:val="24"/>
          <w:szCs w:val="24"/>
          <w:lang w:eastAsia="en-GB"/>
        </w:rPr>
        <w:t>implementation</w:t>
      </w:r>
      <w:r w:rsidRPr="00F71301">
        <w:rPr>
          <w:rFonts w:ascii="Arial" w:eastAsia="Times New Roman" w:hAnsi="Arial" w:cs="Arial"/>
          <w:sz w:val="24"/>
          <w:szCs w:val="24"/>
          <w:lang w:eastAsia="en-GB"/>
        </w:rPr>
        <w:t xml:space="preserve"> is a </w:t>
      </w:r>
      <w:r w:rsidRPr="00F71301">
        <w:rPr>
          <w:rFonts w:ascii="Arial" w:eastAsia="Times New Roman" w:hAnsi="Arial" w:cs="Arial"/>
          <w:bCs/>
          <w:sz w:val="24"/>
          <w:szCs w:val="24"/>
          <w:lang w:eastAsia="en-GB"/>
        </w:rPr>
        <w:t>socio-technical</w:t>
      </w:r>
      <w:r w:rsidRPr="00F71301">
        <w:rPr>
          <w:rFonts w:ascii="Arial" w:eastAsia="Times New Roman" w:hAnsi="Arial" w:cs="Arial"/>
          <w:sz w:val="24"/>
          <w:szCs w:val="24"/>
          <w:lang w:eastAsia="en-GB"/>
        </w:rPr>
        <w:t xml:space="preserve"> change, where human and technical systems must work together well (</w:t>
      </w:r>
      <w:proofErr w:type="spellStart"/>
      <w:r w:rsidRPr="00F71301">
        <w:rPr>
          <w:rFonts w:ascii="Arial" w:eastAsia="Times New Roman" w:hAnsi="Arial" w:cs="Arial"/>
          <w:sz w:val="24"/>
          <w:szCs w:val="24"/>
          <w:lang w:eastAsia="en-GB"/>
        </w:rPr>
        <w:t>Iden</w:t>
      </w:r>
      <w:proofErr w:type="spellEnd"/>
      <w:r w:rsidRPr="00F71301">
        <w:rPr>
          <w:rFonts w:ascii="Arial" w:eastAsia="Times New Roman" w:hAnsi="Arial" w:cs="Arial"/>
          <w:sz w:val="24"/>
          <w:szCs w:val="24"/>
          <w:lang w:eastAsia="en-GB"/>
        </w:rPr>
        <w:t xml:space="preserve"> &amp; </w:t>
      </w:r>
      <w:proofErr w:type="spellStart"/>
      <w:r w:rsidRPr="00F71301">
        <w:rPr>
          <w:rFonts w:ascii="Arial" w:eastAsia="Times New Roman" w:hAnsi="Arial" w:cs="Arial"/>
          <w:sz w:val="24"/>
          <w:szCs w:val="24"/>
          <w:lang w:eastAsia="en-GB"/>
        </w:rPr>
        <w:t>Bygstad</w:t>
      </w:r>
      <w:proofErr w:type="spellEnd"/>
      <w:r w:rsidRPr="00F71301">
        <w:rPr>
          <w:rFonts w:ascii="Arial" w:eastAsia="Times New Roman" w:hAnsi="Arial" w:cs="Arial"/>
          <w:sz w:val="24"/>
          <w:szCs w:val="24"/>
          <w:lang w:eastAsia="en-GB"/>
        </w:rPr>
        <w:t xml:space="preserve"> 2025). Transforming from the current fragmented system of documenting vaccines to a stream-lined digital system requires attention to both the technical/digital aspects as well as the social aspects of its use (</w:t>
      </w:r>
      <w:proofErr w:type="spellStart"/>
      <w:r w:rsidRPr="00F71301">
        <w:rPr>
          <w:rFonts w:ascii="Arial" w:eastAsia="Times New Roman" w:hAnsi="Arial" w:cs="Arial"/>
          <w:sz w:val="24"/>
          <w:szCs w:val="24"/>
          <w:lang w:eastAsia="en-GB"/>
        </w:rPr>
        <w:t>Iden</w:t>
      </w:r>
      <w:proofErr w:type="spellEnd"/>
      <w:r w:rsidRPr="00F71301">
        <w:rPr>
          <w:rFonts w:ascii="Arial" w:eastAsia="Times New Roman" w:hAnsi="Arial" w:cs="Arial"/>
          <w:sz w:val="24"/>
          <w:szCs w:val="24"/>
          <w:lang w:eastAsia="en-GB"/>
        </w:rPr>
        <w:t xml:space="preserve"> &amp; </w:t>
      </w:r>
      <w:proofErr w:type="spellStart"/>
      <w:r w:rsidRPr="00F71301">
        <w:rPr>
          <w:rFonts w:ascii="Arial" w:eastAsia="Times New Roman" w:hAnsi="Arial" w:cs="Arial"/>
          <w:sz w:val="24"/>
          <w:szCs w:val="24"/>
          <w:lang w:eastAsia="en-GB"/>
        </w:rPr>
        <w:t>Bygstad</w:t>
      </w:r>
      <w:proofErr w:type="spellEnd"/>
      <w:r w:rsidRPr="00F71301">
        <w:rPr>
          <w:rFonts w:ascii="Arial" w:eastAsia="Times New Roman" w:hAnsi="Arial" w:cs="Arial"/>
          <w:sz w:val="24"/>
          <w:szCs w:val="24"/>
          <w:lang w:eastAsia="en-GB"/>
        </w:rPr>
        <w:t xml:space="preserve"> 2025).</w:t>
      </w:r>
    </w:p>
    <w:p w14:paraId="78E29158" w14:textId="77777777" w:rsidR="00BF1A83" w:rsidRPr="00F71301" w:rsidRDefault="00BF1A83" w:rsidP="00BF1A83">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The ‘</w:t>
      </w:r>
      <w:r w:rsidRPr="00F71301">
        <w:rPr>
          <w:rFonts w:ascii="Arial" w:eastAsia="Times New Roman" w:hAnsi="Arial" w:cs="Arial"/>
          <w:bCs/>
          <w:sz w:val="24"/>
          <w:szCs w:val="24"/>
          <w:lang w:eastAsia="en-GB"/>
        </w:rPr>
        <w:t>actors</w:t>
      </w:r>
      <w:r w:rsidRPr="00F71301">
        <w:rPr>
          <w:rFonts w:ascii="Arial" w:eastAsia="Times New Roman" w:hAnsi="Arial" w:cs="Arial"/>
          <w:sz w:val="24"/>
          <w:szCs w:val="24"/>
          <w:lang w:eastAsia="en-GB"/>
        </w:rPr>
        <w:t>’, (IT staff, system developers, clinicians and administrative staff) must collaborate to ensure the DVR is compatible with existing electronic health record systems and meets user needs.</w:t>
      </w:r>
      <w:r w:rsidR="00C13771" w:rsidRPr="00F71301">
        <w:rPr>
          <w:rFonts w:ascii="Arial" w:eastAsia="Times New Roman" w:hAnsi="Arial" w:cs="Arial"/>
          <w:sz w:val="24"/>
          <w:szCs w:val="24"/>
          <w:lang w:eastAsia="en-GB"/>
        </w:rPr>
        <w:t xml:space="preserve"> Poor design or interoperability issues</w:t>
      </w:r>
      <w:r w:rsidRPr="00F71301">
        <w:rPr>
          <w:rFonts w:ascii="Arial" w:eastAsia="Times New Roman" w:hAnsi="Arial" w:cs="Arial"/>
          <w:sz w:val="24"/>
          <w:szCs w:val="24"/>
          <w:lang w:eastAsia="en-GB"/>
        </w:rPr>
        <w:t xml:space="preserve"> could have clinical implications, such as repeat or missed vaccine doses, and lead to duplication of work, data loss, or user frustration.</w:t>
      </w:r>
    </w:p>
    <w:p w14:paraId="26EEDBE6" w14:textId="77777777" w:rsidR="00BF1A83" w:rsidRPr="00F71301" w:rsidRDefault="00BF1A83" w:rsidP="00BF1A83">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bCs/>
          <w:sz w:val="24"/>
          <w:szCs w:val="24"/>
          <w:lang w:eastAsia="en-GB"/>
        </w:rPr>
        <w:t>Environmental constraints</w:t>
      </w:r>
      <w:r w:rsidRPr="00F71301">
        <w:rPr>
          <w:rFonts w:ascii="Arial" w:eastAsia="Times New Roman" w:hAnsi="Arial" w:cs="Arial"/>
          <w:sz w:val="24"/>
          <w:szCs w:val="24"/>
          <w:lang w:eastAsia="en-GB"/>
        </w:rPr>
        <w:t xml:space="preserve"> also play a significant role in the socio-technical dimension. Differences in IT hardware across clinics, limited budgets, and governance policies can create difficulties with</w:t>
      </w:r>
      <w:r w:rsidR="00C13771" w:rsidRPr="00F71301">
        <w:rPr>
          <w:rFonts w:ascii="Arial" w:eastAsia="Times New Roman" w:hAnsi="Arial" w:cs="Arial"/>
          <w:sz w:val="24"/>
          <w:szCs w:val="24"/>
          <w:lang w:eastAsia="en-GB"/>
        </w:rPr>
        <w:t xml:space="preserve"> </w:t>
      </w:r>
      <w:r w:rsidRPr="00F71301">
        <w:rPr>
          <w:rFonts w:ascii="Arial" w:eastAsia="Times New Roman" w:hAnsi="Arial" w:cs="Arial"/>
          <w:sz w:val="24"/>
          <w:szCs w:val="24"/>
          <w:lang w:eastAsia="en-GB"/>
        </w:rPr>
        <w:t xml:space="preserve">standardisation. </w:t>
      </w:r>
      <w:r w:rsidR="00C13771" w:rsidRPr="00F71301">
        <w:rPr>
          <w:rFonts w:ascii="Arial" w:eastAsia="Times New Roman" w:hAnsi="Arial" w:cs="Arial"/>
          <w:sz w:val="24"/>
          <w:szCs w:val="24"/>
          <w:lang w:eastAsia="en-GB"/>
        </w:rPr>
        <w:t>Achieving balance between human and digital systems requires design informed by clinical workflows and user experience.</w:t>
      </w:r>
    </w:p>
    <w:p w14:paraId="3476D501" w14:textId="7318ACAB" w:rsidR="00BF1A83" w:rsidRDefault="00BF1A83" w:rsidP="00BF1A83">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The ‘</w:t>
      </w:r>
      <w:r w:rsidRPr="00F71301">
        <w:rPr>
          <w:rFonts w:ascii="Arial" w:eastAsia="Times New Roman" w:hAnsi="Arial" w:cs="Arial"/>
          <w:bCs/>
          <w:sz w:val="24"/>
          <w:szCs w:val="24"/>
          <w:lang w:eastAsia="en-GB"/>
        </w:rPr>
        <w:t>owners’ of the project</w:t>
      </w:r>
      <w:r w:rsidRPr="00F71301">
        <w:rPr>
          <w:rFonts w:ascii="Arial" w:eastAsia="Times New Roman" w:hAnsi="Arial" w:cs="Arial"/>
          <w:sz w:val="24"/>
          <w:szCs w:val="24"/>
          <w:lang w:eastAsia="en-GB"/>
        </w:rPr>
        <w:t xml:space="preserve"> must continuously oversee the project to ensure that the new technology meets the ‘Quintuple Aim’ by </w:t>
      </w:r>
      <w:r w:rsidR="00DD4D29">
        <w:rPr>
          <w:rFonts w:ascii="Arial" w:eastAsia="Times New Roman" w:hAnsi="Arial" w:cs="Arial"/>
          <w:sz w:val="24"/>
          <w:szCs w:val="24"/>
          <w:lang w:eastAsia="en-GB"/>
        </w:rPr>
        <w:t>improving</w:t>
      </w:r>
      <w:r w:rsidRPr="00F71301">
        <w:rPr>
          <w:rFonts w:ascii="Arial" w:eastAsia="Times New Roman" w:hAnsi="Arial" w:cs="Arial"/>
          <w:sz w:val="24"/>
          <w:szCs w:val="24"/>
          <w:lang w:eastAsia="en-GB"/>
        </w:rPr>
        <w:t xml:space="preserve"> clinical effectiveness and patient safety rather than becoming an administrative burden.</w:t>
      </w:r>
    </w:p>
    <w:p w14:paraId="4DD66805" w14:textId="77777777" w:rsidR="00A8253F" w:rsidRPr="00F71301" w:rsidRDefault="00A8253F" w:rsidP="00BF1A83">
      <w:pPr>
        <w:spacing w:before="100" w:beforeAutospacing="1" w:after="100" w:afterAutospacing="1" w:line="240" w:lineRule="auto"/>
        <w:jc w:val="both"/>
        <w:rPr>
          <w:rFonts w:ascii="Arial" w:eastAsia="Times New Roman" w:hAnsi="Arial" w:cs="Arial"/>
          <w:sz w:val="24"/>
          <w:szCs w:val="24"/>
          <w:lang w:eastAsia="en-GB"/>
        </w:rPr>
      </w:pPr>
    </w:p>
    <w:p w14:paraId="35616DCB" w14:textId="77777777" w:rsidR="00551E9B" w:rsidRPr="00F71301" w:rsidRDefault="00551E9B" w:rsidP="00551E9B">
      <w:pPr>
        <w:pStyle w:val="NormalWeb"/>
        <w:rPr>
          <w:rFonts w:ascii="Arial" w:hAnsi="Arial" w:cs="Arial"/>
          <w:b/>
        </w:rPr>
      </w:pPr>
      <w:r w:rsidRPr="00F71301">
        <w:rPr>
          <w:rFonts w:ascii="Arial" w:hAnsi="Arial" w:cs="Arial"/>
          <w:b/>
        </w:rPr>
        <w:lastRenderedPageBreak/>
        <w:t>Cultural Factors</w:t>
      </w:r>
    </w:p>
    <w:p w14:paraId="75BDE6C0" w14:textId="77777777" w:rsidR="007F681C" w:rsidRPr="00F71301" w:rsidRDefault="007F681C" w:rsidP="007F681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The ‘</w:t>
      </w:r>
      <w:r w:rsidRPr="00F71301">
        <w:rPr>
          <w:rFonts w:ascii="Arial" w:eastAsia="Times New Roman" w:hAnsi="Arial" w:cs="Arial"/>
          <w:bCs/>
          <w:sz w:val="24"/>
          <w:szCs w:val="24"/>
          <w:lang w:eastAsia="en-GB"/>
        </w:rPr>
        <w:t>worldview</w:t>
      </w:r>
      <w:r w:rsidRPr="00F71301">
        <w:rPr>
          <w:rFonts w:ascii="Arial" w:eastAsia="Times New Roman" w:hAnsi="Arial" w:cs="Arial"/>
          <w:b/>
          <w:bCs/>
          <w:sz w:val="24"/>
          <w:szCs w:val="24"/>
          <w:lang w:eastAsia="en-GB"/>
        </w:rPr>
        <w:t>’</w:t>
      </w:r>
      <w:r w:rsidRPr="00F71301">
        <w:rPr>
          <w:rFonts w:ascii="Arial" w:eastAsia="Times New Roman" w:hAnsi="Arial" w:cs="Arial"/>
          <w:sz w:val="24"/>
          <w:szCs w:val="24"/>
          <w:lang w:eastAsia="en-GB"/>
        </w:rPr>
        <w:t xml:space="preserve"> within the CATWOE framework is particularly relevant when discussing cultural factors of a digital transformation. </w:t>
      </w:r>
      <w:r w:rsidRPr="00F71301">
        <w:rPr>
          <w:rFonts w:ascii="Arial" w:hAnsi="Arial" w:cs="Arial"/>
          <w:sz w:val="24"/>
          <w:szCs w:val="24"/>
        </w:rPr>
        <w:t xml:space="preserve">Cultural factors shape </w:t>
      </w:r>
      <w:r w:rsidR="00C13771" w:rsidRPr="00F71301">
        <w:rPr>
          <w:rFonts w:ascii="Arial" w:hAnsi="Arial" w:cs="Arial"/>
          <w:sz w:val="24"/>
          <w:szCs w:val="24"/>
        </w:rPr>
        <w:t>how</w:t>
      </w:r>
      <w:r w:rsidRPr="00F71301">
        <w:rPr>
          <w:rFonts w:ascii="Arial" w:hAnsi="Arial" w:cs="Arial"/>
          <w:sz w:val="24"/>
          <w:szCs w:val="24"/>
        </w:rPr>
        <w:t xml:space="preserve"> individuals and organisations perceive and adapt to change, directly affecting digital transformation </w:t>
      </w:r>
      <w:r w:rsidR="00C13771" w:rsidRPr="00F71301">
        <w:rPr>
          <w:rFonts w:ascii="Arial" w:hAnsi="Arial" w:cs="Arial"/>
          <w:sz w:val="24"/>
          <w:szCs w:val="24"/>
        </w:rPr>
        <w:t>success</w:t>
      </w:r>
      <w:r w:rsidRPr="00F71301">
        <w:rPr>
          <w:rFonts w:ascii="Arial" w:hAnsi="Arial" w:cs="Arial"/>
          <w:sz w:val="24"/>
          <w:szCs w:val="24"/>
        </w:rPr>
        <w:t xml:space="preserve"> (Cao et al 2025)</w:t>
      </w:r>
      <w:r w:rsidRPr="00F71301">
        <w:rPr>
          <w:rFonts w:ascii="Arial" w:eastAsia="Times New Roman" w:hAnsi="Arial" w:cs="Arial"/>
          <w:sz w:val="24"/>
          <w:szCs w:val="24"/>
          <w:lang w:eastAsia="en-GB"/>
        </w:rPr>
        <w:t xml:space="preserve">. Confidentiality and sensitivity are paramount in sexual health settings, therefore, attitudes towards digitalisation can vary. Some clinicians </w:t>
      </w:r>
      <w:r w:rsidR="00C13771" w:rsidRPr="00F71301">
        <w:rPr>
          <w:rFonts w:ascii="Arial" w:eastAsia="Times New Roman" w:hAnsi="Arial" w:cs="Arial"/>
          <w:sz w:val="24"/>
          <w:szCs w:val="24"/>
          <w:lang w:eastAsia="en-GB"/>
        </w:rPr>
        <w:t>perceive</w:t>
      </w:r>
      <w:r w:rsidRPr="00F71301">
        <w:rPr>
          <w:rFonts w:ascii="Arial" w:eastAsia="Times New Roman" w:hAnsi="Arial" w:cs="Arial"/>
          <w:sz w:val="24"/>
          <w:szCs w:val="24"/>
          <w:lang w:eastAsia="en-GB"/>
        </w:rPr>
        <w:t xml:space="preserve"> electronic systems as a risk </w:t>
      </w:r>
      <w:r w:rsidR="00C13771" w:rsidRPr="00F71301">
        <w:rPr>
          <w:rFonts w:ascii="Arial" w:eastAsia="Times New Roman" w:hAnsi="Arial" w:cs="Arial"/>
          <w:sz w:val="24"/>
          <w:szCs w:val="24"/>
          <w:lang w:eastAsia="en-GB"/>
        </w:rPr>
        <w:t>to</w:t>
      </w:r>
      <w:r w:rsidRPr="00F71301">
        <w:rPr>
          <w:rFonts w:ascii="Arial" w:eastAsia="Times New Roman" w:hAnsi="Arial" w:cs="Arial"/>
          <w:sz w:val="24"/>
          <w:szCs w:val="24"/>
          <w:lang w:eastAsia="en-GB"/>
        </w:rPr>
        <w:t xml:space="preserve"> privacy and security of data, while others see them as essential for modern, efficient care. </w:t>
      </w:r>
    </w:p>
    <w:p w14:paraId="114A4412" w14:textId="77777777" w:rsidR="007F681C" w:rsidRPr="00F71301" w:rsidRDefault="00C13771" w:rsidP="007F681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P</w:t>
      </w:r>
      <w:r w:rsidR="007F681C" w:rsidRPr="00F71301">
        <w:rPr>
          <w:rFonts w:ascii="Arial" w:eastAsia="Times New Roman" w:hAnsi="Arial" w:cs="Arial"/>
          <w:sz w:val="24"/>
          <w:szCs w:val="24"/>
          <w:lang w:eastAsia="en-GB"/>
        </w:rPr>
        <w:t>roject</w:t>
      </w:r>
      <w:r w:rsidRPr="00F71301">
        <w:rPr>
          <w:rFonts w:ascii="Arial" w:eastAsia="Times New Roman" w:hAnsi="Arial" w:cs="Arial"/>
          <w:sz w:val="24"/>
          <w:szCs w:val="24"/>
          <w:lang w:eastAsia="en-GB"/>
        </w:rPr>
        <w:t xml:space="preserve"> ‘owners’</w:t>
      </w:r>
      <w:r w:rsidR="007F681C" w:rsidRPr="00F71301">
        <w:rPr>
          <w:rFonts w:ascii="Arial" w:eastAsia="Times New Roman" w:hAnsi="Arial" w:cs="Arial"/>
          <w:sz w:val="24"/>
          <w:szCs w:val="24"/>
          <w:lang w:eastAsia="en-GB"/>
        </w:rPr>
        <w:t xml:space="preserve"> </w:t>
      </w:r>
      <w:r w:rsidRPr="00F71301">
        <w:rPr>
          <w:rFonts w:ascii="Arial" w:eastAsia="Times New Roman" w:hAnsi="Arial" w:cs="Arial"/>
          <w:sz w:val="24"/>
          <w:szCs w:val="24"/>
          <w:lang w:eastAsia="en-GB"/>
        </w:rPr>
        <w:t>must</w:t>
      </w:r>
      <w:r w:rsidR="007F681C" w:rsidRPr="00F71301">
        <w:rPr>
          <w:rFonts w:ascii="Arial" w:eastAsia="Times New Roman" w:hAnsi="Arial" w:cs="Arial"/>
          <w:sz w:val="24"/>
          <w:szCs w:val="24"/>
          <w:lang w:eastAsia="en-GB"/>
        </w:rPr>
        <w:t xml:space="preserve"> demonstrate visible leadership to develop a culture of trust in digital systems. Strict oversight </w:t>
      </w:r>
      <w:r w:rsidRPr="00F71301">
        <w:rPr>
          <w:rFonts w:ascii="Arial" w:eastAsia="Times New Roman" w:hAnsi="Arial" w:cs="Arial"/>
          <w:sz w:val="24"/>
          <w:szCs w:val="24"/>
          <w:lang w:eastAsia="en-GB"/>
        </w:rPr>
        <w:t xml:space="preserve">and adherence </w:t>
      </w:r>
      <w:r w:rsidR="007F681C" w:rsidRPr="00F71301">
        <w:rPr>
          <w:rFonts w:ascii="Arial" w:eastAsia="Times New Roman" w:hAnsi="Arial" w:cs="Arial"/>
          <w:sz w:val="24"/>
          <w:szCs w:val="24"/>
          <w:lang w:eastAsia="en-GB"/>
        </w:rPr>
        <w:t xml:space="preserve">to governance and standardisation processes can further </w:t>
      </w:r>
      <w:r w:rsidRPr="00F71301">
        <w:rPr>
          <w:rFonts w:ascii="Arial" w:eastAsia="Times New Roman" w:hAnsi="Arial" w:cs="Arial"/>
          <w:sz w:val="24"/>
          <w:szCs w:val="24"/>
          <w:lang w:eastAsia="en-GB"/>
        </w:rPr>
        <w:t>enhance confidence</w:t>
      </w:r>
      <w:r w:rsidR="007F681C" w:rsidRPr="00F71301">
        <w:rPr>
          <w:rFonts w:ascii="Arial" w:eastAsia="Times New Roman" w:hAnsi="Arial" w:cs="Arial"/>
          <w:sz w:val="24"/>
          <w:szCs w:val="24"/>
          <w:lang w:eastAsia="en-GB"/>
        </w:rPr>
        <w:t xml:space="preserve"> in the project. The ‘</w:t>
      </w:r>
      <w:r w:rsidR="007F681C" w:rsidRPr="00F71301">
        <w:rPr>
          <w:rFonts w:ascii="Arial" w:eastAsia="Times New Roman" w:hAnsi="Arial" w:cs="Arial"/>
          <w:bCs/>
          <w:sz w:val="24"/>
          <w:szCs w:val="24"/>
          <w:lang w:eastAsia="en-GB"/>
        </w:rPr>
        <w:t>owners’</w:t>
      </w:r>
      <w:r w:rsidR="007F681C" w:rsidRPr="00F71301">
        <w:rPr>
          <w:rFonts w:ascii="Arial" w:eastAsia="Times New Roman" w:hAnsi="Arial" w:cs="Arial"/>
          <w:sz w:val="24"/>
          <w:szCs w:val="24"/>
          <w:lang w:eastAsia="en-GB"/>
        </w:rPr>
        <w:t xml:space="preserve"> and ‘</w:t>
      </w:r>
      <w:r w:rsidR="007F681C" w:rsidRPr="00F71301">
        <w:rPr>
          <w:rFonts w:ascii="Arial" w:eastAsia="Times New Roman" w:hAnsi="Arial" w:cs="Arial"/>
          <w:bCs/>
          <w:sz w:val="24"/>
          <w:szCs w:val="24"/>
          <w:lang w:eastAsia="en-GB"/>
        </w:rPr>
        <w:t>actors’ within the rich picture</w:t>
      </w:r>
      <w:r w:rsidR="007F681C" w:rsidRPr="00F71301">
        <w:rPr>
          <w:rFonts w:ascii="Arial" w:eastAsia="Times New Roman" w:hAnsi="Arial" w:cs="Arial"/>
          <w:sz w:val="24"/>
          <w:szCs w:val="24"/>
          <w:lang w:eastAsia="en-GB"/>
        </w:rPr>
        <w:t xml:space="preserve"> must demonstrate positive attitudes and provide a supportive environment if digital change is to be seen as an opportunity to improve services rather than something that has been imposed. </w:t>
      </w:r>
    </w:p>
    <w:p w14:paraId="692224CD" w14:textId="77777777" w:rsidR="007F681C" w:rsidRPr="00F71301" w:rsidRDefault="007F681C" w:rsidP="007F681C">
      <w:pPr>
        <w:spacing w:before="100" w:beforeAutospacing="1" w:after="100" w:afterAutospacing="1" w:line="240" w:lineRule="auto"/>
        <w:jc w:val="both"/>
        <w:rPr>
          <w:rFonts w:ascii="Arial" w:eastAsia="Times New Roman" w:hAnsi="Arial" w:cs="Arial"/>
          <w:sz w:val="24"/>
          <w:szCs w:val="24"/>
          <w:lang w:eastAsia="en-GB"/>
        </w:rPr>
      </w:pPr>
      <w:r w:rsidRPr="00F71301">
        <w:rPr>
          <w:rFonts w:ascii="Arial" w:eastAsia="Times New Roman" w:hAnsi="Arial" w:cs="Arial"/>
          <w:sz w:val="24"/>
          <w:szCs w:val="24"/>
          <w:lang w:eastAsia="en-GB"/>
        </w:rPr>
        <w:t>Patients</w:t>
      </w:r>
      <w:r w:rsidR="00C13771" w:rsidRPr="00F71301">
        <w:rPr>
          <w:rFonts w:ascii="Arial" w:eastAsia="Times New Roman" w:hAnsi="Arial" w:cs="Arial"/>
          <w:sz w:val="24"/>
          <w:szCs w:val="24"/>
          <w:lang w:eastAsia="en-GB"/>
        </w:rPr>
        <w:t xml:space="preserve">, as </w:t>
      </w:r>
      <w:r w:rsidRPr="00F71301">
        <w:rPr>
          <w:rFonts w:ascii="Arial" w:eastAsia="Times New Roman" w:hAnsi="Arial" w:cs="Arial"/>
          <w:sz w:val="24"/>
          <w:szCs w:val="24"/>
          <w:lang w:eastAsia="en-GB"/>
        </w:rPr>
        <w:t>‘customer</w:t>
      </w:r>
      <w:r w:rsidR="00C13771" w:rsidRPr="00F71301">
        <w:rPr>
          <w:rFonts w:ascii="Arial" w:eastAsia="Times New Roman" w:hAnsi="Arial" w:cs="Arial"/>
          <w:sz w:val="24"/>
          <w:szCs w:val="24"/>
          <w:lang w:eastAsia="en-GB"/>
        </w:rPr>
        <w:t>s</w:t>
      </w:r>
      <w:r w:rsidRPr="00F71301">
        <w:rPr>
          <w:rFonts w:ascii="Arial" w:eastAsia="Times New Roman" w:hAnsi="Arial" w:cs="Arial"/>
          <w:sz w:val="24"/>
          <w:szCs w:val="24"/>
          <w:lang w:eastAsia="en-GB"/>
        </w:rPr>
        <w:t xml:space="preserve">’ </w:t>
      </w:r>
      <w:r w:rsidR="00C13771" w:rsidRPr="00F71301">
        <w:rPr>
          <w:rFonts w:ascii="Arial" w:eastAsia="Times New Roman" w:hAnsi="Arial" w:cs="Arial"/>
          <w:sz w:val="24"/>
          <w:szCs w:val="24"/>
          <w:lang w:eastAsia="en-GB"/>
        </w:rPr>
        <w:t>in CATWOE,</w:t>
      </w:r>
      <w:r w:rsidRPr="00F71301">
        <w:rPr>
          <w:rFonts w:ascii="Arial" w:eastAsia="Times New Roman" w:hAnsi="Arial" w:cs="Arial"/>
          <w:sz w:val="24"/>
          <w:szCs w:val="24"/>
          <w:lang w:eastAsia="en-GB"/>
        </w:rPr>
        <w:t xml:space="preserve"> increasing</w:t>
      </w:r>
      <w:r w:rsidR="00C13771" w:rsidRPr="00F71301">
        <w:rPr>
          <w:rFonts w:ascii="Arial" w:eastAsia="Times New Roman" w:hAnsi="Arial" w:cs="Arial"/>
          <w:sz w:val="24"/>
          <w:szCs w:val="24"/>
          <w:lang w:eastAsia="en-GB"/>
        </w:rPr>
        <w:t>ly</w:t>
      </w:r>
      <w:r w:rsidRPr="00F71301">
        <w:rPr>
          <w:rFonts w:ascii="Arial" w:eastAsia="Times New Roman" w:hAnsi="Arial" w:cs="Arial"/>
          <w:sz w:val="24"/>
          <w:szCs w:val="24"/>
          <w:lang w:eastAsia="en-GB"/>
        </w:rPr>
        <w:t xml:space="preserve"> expect</w:t>
      </w:r>
      <w:r w:rsidR="00C13771" w:rsidRPr="00F71301">
        <w:rPr>
          <w:rFonts w:ascii="Arial" w:eastAsia="Times New Roman" w:hAnsi="Arial" w:cs="Arial"/>
          <w:sz w:val="24"/>
          <w:szCs w:val="24"/>
          <w:lang w:eastAsia="en-GB"/>
        </w:rPr>
        <w:t xml:space="preserve"> </w:t>
      </w:r>
      <w:r w:rsidRPr="00F71301">
        <w:rPr>
          <w:rFonts w:ascii="Arial" w:eastAsia="Times New Roman" w:hAnsi="Arial" w:cs="Arial"/>
          <w:sz w:val="24"/>
          <w:szCs w:val="24"/>
          <w:lang w:eastAsia="en-GB"/>
        </w:rPr>
        <w:t>timely access to care and their own records (Coulter et al 2024). Aligning services with these expectations will ensure that sexual health services are providing transparent and accessible care.</w:t>
      </w:r>
    </w:p>
    <w:p w14:paraId="5DEACA80" w14:textId="6EC2E563" w:rsidR="00B208C9" w:rsidRDefault="00AF14A5" w:rsidP="00B208C9">
      <w:pPr>
        <w:pStyle w:val="NormalWeb"/>
        <w:rPr>
          <w:rFonts w:ascii="Arial" w:hAnsi="Arial" w:cs="Arial"/>
          <w:b/>
        </w:rPr>
      </w:pPr>
      <w:r w:rsidRPr="00F71301">
        <w:rPr>
          <w:rFonts w:ascii="Arial" w:hAnsi="Arial" w:cs="Arial"/>
          <w:b/>
        </w:rPr>
        <w:t>Conclusion</w:t>
      </w:r>
    </w:p>
    <w:p w14:paraId="6498D78F" w14:textId="77777777" w:rsidR="00F41EA5" w:rsidRPr="00F41EA5" w:rsidRDefault="00F41EA5" w:rsidP="00F41EA5">
      <w:pPr>
        <w:jc w:val="both"/>
        <w:rPr>
          <w:rFonts w:ascii="Arial" w:hAnsi="Arial" w:cs="Arial"/>
          <w:sz w:val="24"/>
          <w:szCs w:val="24"/>
        </w:rPr>
      </w:pPr>
      <w:r w:rsidRPr="00F41EA5">
        <w:rPr>
          <w:rFonts w:ascii="Arial" w:hAnsi="Arial" w:cs="Arial"/>
          <w:sz w:val="24"/>
          <w:szCs w:val="24"/>
        </w:rPr>
        <w:t>The implementation of a Digital Vaccination Record (DVR) within sexual health services is a critical digital transformation that addresses inefficient workflows and leads to improved patient outcomes. In the current system, missed or duplicate doses is common, and because of this, patient care is compromised. In addition, poor workflows may lead to clinician burnout, and overall population health may be affected.  The introduction of a secure, interoperable, and patient-accessible DVR offers a solution to these issues in alignment with national digital health strategies and equitable care delivery.</w:t>
      </w:r>
    </w:p>
    <w:p w14:paraId="569277FE" w14:textId="77777777" w:rsidR="00F41EA5" w:rsidRPr="00F41EA5" w:rsidRDefault="00F41EA5" w:rsidP="00F41EA5">
      <w:pPr>
        <w:jc w:val="both"/>
        <w:rPr>
          <w:rFonts w:ascii="Arial" w:hAnsi="Arial" w:cs="Arial"/>
          <w:sz w:val="24"/>
          <w:szCs w:val="24"/>
        </w:rPr>
      </w:pPr>
      <w:r w:rsidRPr="00F41EA5">
        <w:rPr>
          <w:rFonts w:ascii="Arial" w:hAnsi="Arial" w:cs="Arial"/>
          <w:sz w:val="24"/>
          <w:szCs w:val="24"/>
        </w:rPr>
        <w:t>The DVR’s contribution to the ‘Quintuple Aim’ (</w:t>
      </w:r>
      <w:proofErr w:type="spellStart"/>
      <w:r w:rsidRPr="00F41EA5">
        <w:rPr>
          <w:rFonts w:ascii="Arial" w:hAnsi="Arial" w:cs="Arial"/>
          <w:sz w:val="24"/>
          <w:szCs w:val="24"/>
        </w:rPr>
        <w:t>Nundy</w:t>
      </w:r>
      <w:proofErr w:type="spellEnd"/>
      <w:r w:rsidRPr="00F41EA5">
        <w:rPr>
          <w:rFonts w:ascii="Arial" w:hAnsi="Arial" w:cs="Arial"/>
          <w:sz w:val="24"/>
          <w:szCs w:val="24"/>
        </w:rPr>
        <w:t xml:space="preserve"> et al 2022) is evident. One aim of the DVR is to enhance patient experience through accessible records and timely reminders, promoting trust in the service. The overall population health benefits will come from real-time monitoring of vaccine uptake. This will enable targeted interventions for high-risk groups such as men who have sex with men (MSM) and individuals living with HIV. Reducing unnecessary repeat doses of vaccine and streamlining administrative processes will lead to the cost-saving aspect of the Quintuple Aim, while workforce wellbeing will improve through streamlined workflows and reduction of documentation-related stress. Most significantly, a DVR will improve health equity by ensuring continuity of care for vulnerable populations.</w:t>
      </w:r>
    </w:p>
    <w:p w14:paraId="4C122C74" w14:textId="48C43F9C" w:rsidR="00F41EA5" w:rsidRPr="00F41EA5" w:rsidRDefault="00F41EA5" w:rsidP="00F41EA5">
      <w:pPr>
        <w:jc w:val="both"/>
        <w:rPr>
          <w:rFonts w:ascii="Arial" w:hAnsi="Arial" w:cs="Arial"/>
          <w:sz w:val="24"/>
          <w:szCs w:val="24"/>
        </w:rPr>
      </w:pPr>
      <w:r w:rsidRPr="00F41EA5">
        <w:rPr>
          <w:rFonts w:ascii="Arial" w:hAnsi="Arial" w:cs="Arial"/>
          <w:sz w:val="24"/>
          <w:szCs w:val="24"/>
        </w:rPr>
        <w:t xml:space="preserve">Using the </w:t>
      </w:r>
      <w:proofErr w:type="spellStart"/>
      <w:r w:rsidRPr="00F41EA5">
        <w:rPr>
          <w:rFonts w:ascii="Arial" w:hAnsi="Arial" w:cs="Arial"/>
          <w:sz w:val="24"/>
          <w:szCs w:val="24"/>
        </w:rPr>
        <w:t>Donabedian</w:t>
      </w:r>
      <w:proofErr w:type="spellEnd"/>
      <w:r w:rsidRPr="00F41EA5">
        <w:rPr>
          <w:rFonts w:ascii="Arial" w:hAnsi="Arial" w:cs="Arial"/>
          <w:sz w:val="24"/>
          <w:szCs w:val="24"/>
        </w:rPr>
        <w:t xml:space="preserve"> model demonstrates the improvements achievable through the introduction of a DVR (</w:t>
      </w:r>
      <w:proofErr w:type="spellStart"/>
      <w:r w:rsidRPr="00F41EA5">
        <w:rPr>
          <w:rFonts w:ascii="Arial" w:hAnsi="Arial" w:cs="Arial"/>
          <w:sz w:val="24"/>
          <w:szCs w:val="24"/>
        </w:rPr>
        <w:t>Donabedian</w:t>
      </w:r>
      <w:proofErr w:type="spellEnd"/>
      <w:r w:rsidR="008C7C1E">
        <w:rPr>
          <w:rFonts w:ascii="Arial" w:hAnsi="Arial" w:cs="Arial"/>
          <w:sz w:val="24"/>
          <w:szCs w:val="24"/>
        </w:rPr>
        <w:t xml:space="preserve"> </w:t>
      </w:r>
      <w:r w:rsidRPr="00F41EA5">
        <w:rPr>
          <w:rFonts w:ascii="Arial" w:hAnsi="Arial" w:cs="Arial"/>
          <w:sz w:val="24"/>
          <w:szCs w:val="24"/>
        </w:rPr>
        <w:t>1988). These improvements include higher vaccination coverage, reduced incidence of preventable infections, and improved satisfaction among both patients and providers, as evidenced by the existing CYPRIS childhood immunisation system and WIS adult immunisation system (DHCW 2024).</w:t>
      </w:r>
    </w:p>
    <w:p w14:paraId="70404E88" w14:textId="74524174" w:rsidR="00F41EA5" w:rsidRDefault="00F41EA5" w:rsidP="00F41EA5">
      <w:pPr>
        <w:jc w:val="both"/>
        <w:rPr>
          <w:rFonts w:ascii="Arial" w:hAnsi="Arial" w:cs="Arial"/>
          <w:sz w:val="24"/>
          <w:szCs w:val="24"/>
        </w:rPr>
      </w:pPr>
      <w:r w:rsidRPr="00F41EA5">
        <w:rPr>
          <w:rFonts w:ascii="Arial" w:hAnsi="Arial" w:cs="Arial"/>
          <w:sz w:val="24"/>
          <w:szCs w:val="24"/>
        </w:rPr>
        <w:lastRenderedPageBreak/>
        <w:t xml:space="preserve">In the present day, digital health is integral to service transformation. Inefficient workflows, high costs and inequitable care would persist if services fail to modernise. Overall, whilst providing an operational improvement, the introduction of a DVR will offer a trustworthy, confidential and empowering element to the health of patients. A DVR will allow sexual health services to optimise vaccination delivery, improve staff wellbeing, and ensure patient-centred, inclusive care. </w:t>
      </w:r>
    </w:p>
    <w:p w14:paraId="12A5EDF6" w14:textId="77777777" w:rsidR="00F41EA5" w:rsidRPr="00F41EA5" w:rsidRDefault="00F41EA5" w:rsidP="00F41EA5">
      <w:pPr>
        <w:jc w:val="both"/>
        <w:rPr>
          <w:rFonts w:ascii="Arial" w:hAnsi="Arial" w:cs="Arial"/>
          <w:sz w:val="24"/>
          <w:szCs w:val="24"/>
        </w:rPr>
      </w:pPr>
    </w:p>
    <w:p w14:paraId="1B6123BB" w14:textId="77777777" w:rsidR="001778F0" w:rsidRPr="00F71301" w:rsidRDefault="000834B6">
      <w:pPr>
        <w:rPr>
          <w:rFonts w:ascii="Arial" w:hAnsi="Arial" w:cs="Arial"/>
          <w:b/>
          <w:color w:val="000000" w:themeColor="text1"/>
          <w:sz w:val="24"/>
          <w:szCs w:val="24"/>
        </w:rPr>
      </w:pPr>
      <w:r w:rsidRPr="00F71301">
        <w:rPr>
          <w:rFonts w:ascii="Arial" w:hAnsi="Arial" w:cs="Arial"/>
          <w:b/>
          <w:color w:val="000000" w:themeColor="text1"/>
          <w:sz w:val="24"/>
          <w:szCs w:val="24"/>
        </w:rPr>
        <w:t>R</w:t>
      </w:r>
      <w:r w:rsidR="001778F0" w:rsidRPr="00F71301">
        <w:rPr>
          <w:rFonts w:ascii="Arial" w:hAnsi="Arial" w:cs="Arial"/>
          <w:b/>
          <w:color w:val="000000" w:themeColor="text1"/>
          <w:sz w:val="24"/>
          <w:szCs w:val="24"/>
        </w:rPr>
        <w:t>eferences</w:t>
      </w:r>
    </w:p>
    <w:p w14:paraId="78A48DB4" w14:textId="77777777" w:rsidR="00D5452F" w:rsidRPr="00F71301" w:rsidRDefault="00D5452F" w:rsidP="00D5452F">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Adams, J. and Neville, S. (2020) “Program Evaluation for Health Professionals: What It Is, What It Isn’t and How to Do It,” </w:t>
      </w:r>
      <w:r w:rsidRPr="00F71301">
        <w:rPr>
          <w:rFonts w:ascii="Arial" w:eastAsia="Times New Roman" w:hAnsi="Arial" w:cs="Arial"/>
          <w:i/>
          <w:iCs/>
          <w:sz w:val="24"/>
          <w:szCs w:val="24"/>
          <w:lang w:eastAsia="en-GB"/>
        </w:rPr>
        <w:t>International Journal of Qualitative Methods</w:t>
      </w:r>
      <w:r w:rsidRPr="00F71301">
        <w:rPr>
          <w:rFonts w:ascii="Arial" w:eastAsia="Times New Roman" w:hAnsi="Arial" w:cs="Arial"/>
          <w:sz w:val="24"/>
          <w:szCs w:val="24"/>
          <w:lang w:eastAsia="en-GB"/>
        </w:rPr>
        <w:t xml:space="preserve">, 19. Available at: </w:t>
      </w:r>
      <w:hyperlink r:id="rId22" w:history="1">
        <w:r w:rsidRPr="00F71301">
          <w:rPr>
            <w:rStyle w:val="Hyperlink"/>
            <w:rFonts w:ascii="Arial" w:eastAsia="Times New Roman" w:hAnsi="Arial" w:cs="Arial"/>
            <w:sz w:val="24"/>
            <w:szCs w:val="24"/>
            <w:lang w:eastAsia="en-GB"/>
          </w:rPr>
          <w:t>https://doi.org/10.1177/1609406920964345</w:t>
        </w:r>
      </w:hyperlink>
      <w:r w:rsidRPr="00F71301">
        <w:rPr>
          <w:rFonts w:ascii="Arial" w:eastAsia="Times New Roman" w:hAnsi="Arial" w:cs="Arial"/>
          <w:sz w:val="24"/>
          <w:szCs w:val="24"/>
          <w:lang w:eastAsia="en-GB"/>
        </w:rPr>
        <w:t>.</w:t>
      </w:r>
    </w:p>
    <w:p w14:paraId="5BDD2B40" w14:textId="77777777" w:rsidR="00D5452F" w:rsidRPr="00F71301" w:rsidRDefault="00D5452F" w:rsidP="008035B6">
      <w:pPr>
        <w:spacing w:after="0" w:line="240" w:lineRule="auto"/>
        <w:rPr>
          <w:rFonts w:ascii="Arial" w:eastAsia="Times New Roman" w:hAnsi="Arial" w:cs="Arial"/>
          <w:sz w:val="24"/>
          <w:szCs w:val="24"/>
          <w:lang w:eastAsia="en-GB"/>
        </w:rPr>
      </w:pPr>
    </w:p>
    <w:p w14:paraId="4ED10FA4" w14:textId="77777777" w:rsidR="008035B6" w:rsidRPr="00F71301" w:rsidRDefault="008035B6" w:rsidP="008035B6">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Afsar, B. and </w:t>
      </w:r>
      <w:proofErr w:type="spellStart"/>
      <w:r w:rsidRPr="00F71301">
        <w:rPr>
          <w:rFonts w:ascii="Arial" w:eastAsia="Times New Roman" w:hAnsi="Arial" w:cs="Arial"/>
          <w:sz w:val="24"/>
          <w:szCs w:val="24"/>
          <w:lang w:eastAsia="en-GB"/>
        </w:rPr>
        <w:t>Umrani</w:t>
      </w:r>
      <w:proofErr w:type="spellEnd"/>
      <w:r w:rsidRPr="00F71301">
        <w:rPr>
          <w:rFonts w:ascii="Arial" w:eastAsia="Times New Roman" w:hAnsi="Arial" w:cs="Arial"/>
          <w:sz w:val="24"/>
          <w:szCs w:val="24"/>
          <w:lang w:eastAsia="en-GB"/>
        </w:rPr>
        <w:t xml:space="preserve">, W.A. (2020) “Transformational leadership and innovative work </w:t>
      </w:r>
      <w:proofErr w:type="spellStart"/>
      <w:r w:rsidRPr="00F71301">
        <w:rPr>
          <w:rFonts w:ascii="Arial" w:eastAsia="Times New Roman" w:hAnsi="Arial" w:cs="Arial"/>
          <w:sz w:val="24"/>
          <w:szCs w:val="24"/>
          <w:lang w:eastAsia="en-GB"/>
        </w:rPr>
        <w:t>behavior</w:t>
      </w:r>
      <w:proofErr w:type="spellEnd"/>
      <w:r w:rsidRPr="00F71301">
        <w:rPr>
          <w:rFonts w:ascii="Arial" w:eastAsia="Times New Roman" w:hAnsi="Arial" w:cs="Arial"/>
          <w:sz w:val="24"/>
          <w:szCs w:val="24"/>
          <w:lang w:eastAsia="en-GB"/>
        </w:rPr>
        <w:t xml:space="preserve">: The role of motivation to learn, task complexity and innovation climate,” </w:t>
      </w:r>
      <w:r w:rsidRPr="00F71301">
        <w:rPr>
          <w:rFonts w:ascii="Arial" w:eastAsia="Times New Roman" w:hAnsi="Arial" w:cs="Arial"/>
          <w:i/>
          <w:iCs/>
          <w:sz w:val="24"/>
          <w:szCs w:val="24"/>
          <w:lang w:eastAsia="en-GB"/>
        </w:rPr>
        <w:t>European Journal of Innovation Management</w:t>
      </w:r>
      <w:r w:rsidRPr="00F71301">
        <w:rPr>
          <w:rFonts w:ascii="Arial" w:eastAsia="Times New Roman" w:hAnsi="Arial" w:cs="Arial"/>
          <w:sz w:val="24"/>
          <w:szCs w:val="24"/>
          <w:lang w:eastAsia="en-GB"/>
        </w:rPr>
        <w:t xml:space="preserve">, 23(3), pp. 402–428. Available at: </w:t>
      </w:r>
      <w:hyperlink r:id="rId23" w:history="1">
        <w:r w:rsidRPr="00F71301">
          <w:rPr>
            <w:rStyle w:val="Hyperlink"/>
            <w:rFonts w:ascii="Arial" w:eastAsia="Times New Roman" w:hAnsi="Arial" w:cs="Arial"/>
            <w:sz w:val="24"/>
            <w:szCs w:val="24"/>
            <w:lang w:eastAsia="en-GB"/>
          </w:rPr>
          <w:t>https://doi.org/10.1108/EJIM-12-2018-0257</w:t>
        </w:r>
      </w:hyperlink>
      <w:r w:rsidRPr="00F71301">
        <w:rPr>
          <w:rFonts w:ascii="Arial" w:eastAsia="Times New Roman" w:hAnsi="Arial" w:cs="Arial"/>
          <w:sz w:val="24"/>
          <w:szCs w:val="24"/>
          <w:lang w:eastAsia="en-GB"/>
        </w:rPr>
        <w:t>.</w:t>
      </w:r>
    </w:p>
    <w:p w14:paraId="4551D4CE" w14:textId="77777777" w:rsidR="00F843BE" w:rsidRPr="00F71301" w:rsidRDefault="00F843BE" w:rsidP="008035B6">
      <w:pPr>
        <w:spacing w:after="0" w:line="240" w:lineRule="auto"/>
        <w:rPr>
          <w:rFonts w:ascii="Arial" w:eastAsia="Times New Roman" w:hAnsi="Arial" w:cs="Arial"/>
          <w:sz w:val="24"/>
          <w:szCs w:val="24"/>
          <w:lang w:eastAsia="en-GB"/>
        </w:rPr>
      </w:pPr>
    </w:p>
    <w:p w14:paraId="6F5DAE96" w14:textId="77777777" w:rsidR="007555D4" w:rsidRPr="00F71301" w:rsidRDefault="007555D4" w:rsidP="007555D4">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Alomar, D.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(2024) “The Impact of Patient Access to Electronic Health Records on Health Care Engagement: Systematic Review,” </w:t>
      </w:r>
      <w:r w:rsidRPr="00F71301">
        <w:rPr>
          <w:rFonts w:ascii="Arial" w:eastAsia="Times New Roman" w:hAnsi="Arial" w:cs="Arial"/>
          <w:i/>
          <w:iCs/>
          <w:sz w:val="24"/>
          <w:szCs w:val="24"/>
          <w:lang w:eastAsia="en-GB"/>
        </w:rPr>
        <w:t>Journal of Medical Internet Research</w:t>
      </w:r>
      <w:r w:rsidRPr="00F71301">
        <w:rPr>
          <w:rFonts w:ascii="Arial" w:eastAsia="Times New Roman" w:hAnsi="Arial" w:cs="Arial"/>
          <w:sz w:val="24"/>
          <w:szCs w:val="24"/>
          <w:lang w:eastAsia="en-GB"/>
        </w:rPr>
        <w:t xml:space="preserve">, 26, p. e56473. Available at: </w:t>
      </w:r>
      <w:hyperlink r:id="rId24" w:history="1">
        <w:r w:rsidRPr="00F71301">
          <w:rPr>
            <w:rStyle w:val="Hyperlink"/>
            <w:rFonts w:ascii="Arial" w:eastAsia="Times New Roman" w:hAnsi="Arial" w:cs="Arial"/>
            <w:sz w:val="24"/>
            <w:szCs w:val="24"/>
            <w:lang w:eastAsia="en-GB"/>
          </w:rPr>
          <w:t>https://doi.org/10.2196/56473</w:t>
        </w:r>
      </w:hyperlink>
      <w:r w:rsidRPr="00F71301">
        <w:rPr>
          <w:rFonts w:ascii="Arial" w:eastAsia="Times New Roman" w:hAnsi="Arial" w:cs="Arial"/>
          <w:sz w:val="24"/>
          <w:szCs w:val="24"/>
          <w:lang w:eastAsia="en-GB"/>
        </w:rPr>
        <w:t>.</w:t>
      </w:r>
    </w:p>
    <w:p w14:paraId="77FFA2D4" w14:textId="77777777" w:rsidR="007555D4" w:rsidRPr="00F71301" w:rsidRDefault="007555D4" w:rsidP="007555D4">
      <w:pPr>
        <w:spacing w:after="0" w:line="240" w:lineRule="auto"/>
        <w:rPr>
          <w:rFonts w:ascii="Arial" w:eastAsia="Times New Roman" w:hAnsi="Arial" w:cs="Arial"/>
          <w:sz w:val="24"/>
          <w:szCs w:val="24"/>
          <w:lang w:eastAsia="en-GB"/>
        </w:rPr>
      </w:pPr>
    </w:p>
    <w:p w14:paraId="2516A66A" w14:textId="77777777" w:rsidR="007555D4" w:rsidRPr="00F71301" w:rsidRDefault="007555D4" w:rsidP="007555D4">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Augustsson</w:t>
      </w:r>
      <w:proofErr w:type="spellEnd"/>
      <w:r w:rsidRPr="00F71301">
        <w:rPr>
          <w:rFonts w:ascii="Arial" w:eastAsia="Times New Roman" w:hAnsi="Arial" w:cs="Arial"/>
          <w:sz w:val="24"/>
          <w:szCs w:val="24"/>
          <w:lang w:eastAsia="en-GB"/>
        </w:rPr>
        <w:t xml:space="preserve">, H., </w:t>
      </w:r>
      <w:proofErr w:type="spellStart"/>
      <w:r w:rsidRPr="00F71301">
        <w:rPr>
          <w:rFonts w:ascii="Arial" w:eastAsia="Times New Roman" w:hAnsi="Arial" w:cs="Arial"/>
          <w:sz w:val="24"/>
          <w:szCs w:val="24"/>
          <w:lang w:eastAsia="en-GB"/>
        </w:rPr>
        <w:t>Churruca</w:t>
      </w:r>
      <w:proofErr w:type="spellEnd"/>
      <w:r w:rsidRPr="00F71301">
        <w:rPr>
          <w:rFonts w:ascii="Arial" w:eastAsia="Times New Roman" w:hAnsi="Arial" w:cs="Arial"/>
          <w:sz w:val="24"/>
          <w:szCs w:val="24"/>
          <w:lang w:eastAsia="en-GB"/>
        </w:rPr>
        <w:t xml:space="preserve">, K. and Braithwaite, J. (2020) “Change and improvement 50 years in the making: a scoping review of the use of soft systems methodology in healthcare,” </w:t>
      </w:r>
      <w:r w:rsidRPr="00F71301">
        <w:rPr>
          <w:rFonts w:ascii="Arial" w:eastAsia="Times New Roman" w:hAnsi="Arial" w:cs="Arial"/>
          <w:i/>
          <w:iCs/>
          <w:sz w:val="24"/>
          <w:szCs w:val="24"/>
          <w:lang w:eastAsia="en-GB"/>
        </w:rPr>
        <w:t>BMC Health Services Research</w:t>
      </w:r>
      <w:r w:rsidRPr="00F71301">
        <w:rPr>
          <w:rFonts w:ascii="Arial" w:eastAsia="Times New Roman" w:hAnsi="Arial" w:cs="Arial"/>
          <w:sz w:val="24"/>
          <w:szCs w:val="24"/>
          <w:lang w:eastAsia="en-GB"/>
        </w:rPr>
        <w:t xml:space="preserve">, 20(1), p. 1063. Available at: </w:t>
      </w:r>
      <w:hyperlink r:id="rId25" w:history="1">
        <w:r w:rsidRPr="00F71301">
          <w:rPr>
            <w:rStyle w:val="Hyperlink"/>
            <w:rFonts w:ascii="Arial" w:eastAsia="Times New Roman" w:hAnsi="Arial" w:cs="Arial"/>
            <w:sz w:val="24"/>
            <w:szCs w:val="24"/>
            <w:lang w:eastAsia="en-GB"/>
          </w:rPr>
          <w:t>https://doi.org/10.1186/s12913-020-05929-5</w:t>
        </w:r>
      </w:hyperlink>
      <w:r w:rsidRPr="00F71301">
        <w:rPr>
          <w:rFonts w:ascii="Arial" w:eastAsia="Times New Roman" w:hAnsi="Arial" w:cs="Arial"/>
          <w:sz w:val="24"/>
          <w:szCs w:val="24"/>
          <w:lang w:eastAsia="en-GB"/>
        </w:rPr>
        <w:t>.</w:t>
      </w:r>
    </w:p>
    <w:p w14:paraId="70FAECAC" w14:textId="77777777" w:rsidR="007555D4" w:rsidRPr="00F71301" w:rsidRDefault="007555D4" w:rsidP="007555D4">
      <w:pPr>
        <w:spacing w:after="0" w:line="240" w:lineRule="auto"/>
        <w:rPr>
          <w:rFonts w:ascii="Arial" w:eastAsia="Times New Roman" w:hAnsi="Arial" w:cs="Arial"/>
          <w:sz w:val="24"/>
          <w:szCs w:val="24"/>
          <w:lang w:eastAsia="en-GB"/>
        </w:rPr>
      </w:pPr>
    </w:p>
    <w:p w14:paraId="65567D37" w14:textId="77777777" w:rsidR="008035B6" w:rsidRPr="00F71301" w:rsidRDefault="008035B6" w:rsidP="008035B6">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Avolio, B.J., Walumbwa, F.O. and Weber, T.J. (2009) “Leadership: Current Theories, Research, and Future Directions,” </w:t>
      </w:r>
      <w:r w:rsidRPr="00F71301">
        <w:rPr>
          <w:rFonts w:ascii="Arial" w:eastAsia="Times New Roman" w:hAnsi="Arial" w:cs="Arial"/>
          <w:i/>
          <w:iCs/>
          <w:sz w:val="24"/>
          <w:szCs w:val="24"/>
          <w:lang w:eastAsia="en-GB"/>
        </w:rPr>
        <w:t>Annual Review of Psychology</w:t>
      </w:r>
      <w:r w:rsidRPr="00F71301">
        <w:rPr>
          <w:rFonts w:ascii="Arial" w:eastAsia="Times New Roman" w:hAnsi="Arial" w:cs="Arial"/>
          <w:sz w:val="24"/>
          <w:szCs w:val="24"/>
          <w:lang w:eastAsia="en-GB"/>
        </w:rPr>
        <w:t xml:space="preserve">, 60(1), pp. 421–449. Available at: </w:t>
      </w:r>
      <w:hyperlink r:id="rId26" w:history="1">
        <w:r w:rsidRPr="00F71301">
          <w:rPr>
            <w:rStyle w:val="Hyperlink"/>
            <w:rFonts w:ascii="Arial" w:eastAsia="Times New Roman" w:hAnsi="Arial" w:cs="Arial"/>
            <w:sz w:val="24"/>
            <w:szCs w:val="24"/>
            <w:lang w:eastAsia="en-GB"/>
          </w:rPr>
          <w:t>https://doi.org/10.1146/annurev.psych.60.110707.163621</w:t>
        </w:r>
      </w:hyperlink>
      <w:r w:rsidRPr="00F71301">
        <w:rPr>
          <w:rFonts w:ascii="Arial" w:eastAsia="Times New Roman" w:hAnsi="Arial" w:cs="Arial"/>
          <w:sz w:val="24"/>
          <w:szCs w:val="24"/>
          <w:lang w:eastAsia="en-GB"/>
        </w:rPr>
        <w:t>.</w:t>
      </w:r>
    </w:p>
    <w:p w14:paraId="420E9533" w14:textId="77777777" w:rsidR="008035B6" w:rsidRPr="00F71301" w:rsidRDefault="008035B6" w:rsidP="00D674A7">
      <w:pPr>
        <w:spacing w:after="0" w:line="240" w:lineRule="auto"/>
        <w:rPr>
          <w:rFonts w:ascii="Arial" w:eastAsia="Times New Roman" w:hAnsi="Arial" w:cs="Arial"/>
          <w:sz w:val="24"/>
          <w:szCs w:val="24"/>
          <w:lang w:eastAsia="en-GB"/>
        </w:rPr>
      </w:pPr>
    </w:p>
    <w:p w14:paraId="447EA6C9" w14:textId="77777777" w:rsidR="008035B6" w:rsidRPr="00F71301" w:rsidRDefault="008035B6" w:rsidP="008035B6">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Barbuto</w:t>
      </w:r>
      <w:proofErr w:type="spellEnd"/>
      <w:r w:rsidRPr="00F71301">
        <w:rPr>
          <w:rFonts w:ascii="Arial" w:eastAsia="Times New Roman" w:hAnsi="Arial" w:cs="Arial"/>
          <w:sz w:val="24"/>
          <w:szCs w:val="24"/>
          <w:lang w:eastAsia="en-GB"/>
        </w:rPr>
        <w:t xml:space="preserve">, J.E. and Wheeler, D.W. (2006) “Scale Development and Construct Clarification of Servant Leadership,” </w:t>
      </w:r>
      <w:r w:rsidRPr="00F71301">
        <w:rPr>
          <w:rFonts w:ascii="Arial" w:eastAsia="Times New Roman" w:hAnsi="Arial" w:cs="Arial"/>
          <w:i/>
          <w:iCs/>
          <w:sz w:val="24"/>
          <w:szCs w:val="24"/>
          <w:lang w:eastAsia="en-GB"/>
        </w:rPr>
        <w:t>Group &amp; Organization Management</w:t>
      </w:r>
      <w:r w:rsidRPr="00F71301">
        <w:rPr>
          <w:rFonts w:ascii="Arial" w:eastAsia="Times New Roman" w:hAnsi="Arial" w:cs="Arial"/>
          <w:sz w:val="24"/>
          <w:szCs w:val="24"/>
          <w:lang w:eastAsia="en-GB"/>
        </w:rPr>
        <w:t xml:space="preserve">, 31(3), pp. 300–326. Available at: </w:t>
      </w:r>
      <w:hyperlink r:id="rId27" w:history="1">
        <w:r w:rsidRPr="00F71301">
          <w:rPr>
            <w:rStyle w:val="Hyperlink"/>
            <w:rFonts w:ascii="Arial" w:eastAsia="Times New Roman" w:hAnsi="Arial" w:cs="Arial"/>
            <w:sz w:val="24"/>
            <w:szCs w:val="24"/>
            <w:lang w:eastAsia="en-GB"/>
          </w:rPr>
          <w:t>https://doi.org/10.1177/1059601106287091</w:t>
        </w:r>
      </w:hyperlink>
      <w:r w:rsidRPr="00F71301">
        <w:rPr>
          <w:rFonts w:ascii="Arial" w:eastAsia="Times New Roman" w:hAnsi="Arial" w:cs="Arial"/>
          <w:sz w:val="24"/>
          <w:szCs w:val="24"/>
          <w:lang w:eastAsia="en-GB"/>
        </w:rPr>
        <w:t>.</w:t>
      </w:r>
    </w:p>
    <w:p w14:paraId="49D13E04" w14:textId="77777777" w:rsidR="005F76EF" w:rsidRPr="00F71301" w:rsidRDefault="005F76EF" w:rsidP="008035B6">
      <w:pPr>
        <w:spacing w:after="0" w:line="240" w:lineRule="auto"/>
        <w:rPr>
          <w:rFonts w:ascii="Arial" w:eastAsia="Times New Roman" w:hAnsi="Arial" w:cs="Arial"/>
          <w:sz w:val="24"/>
          <w:szCs w:val="24"/>
          <w:lang w:eastAsia="en-GB"/>
        </w:rPr>
      </w:pPr>
    </w:p>
    <w:p w14:paraId="7B4506DA" w14:textId="77777777" w:rsidR="005F76EF" w:rsidRPr="00F71301" w:rsidRDefault="005F76EF" w:rsidP="005F76EF">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Barroga</w:t>
      </w:r>
      <w:proofErr w:type="spellEnd"/>
      <w:r w:rsidRPr="00F71301">
        <w:rPr>
          <w:rFonts w:ascii="Arial" w:eastAsia="Times New Roman" w:hAnsi="Arial" w:cs="Arial"/>
          <w:sz w:val="24"/>
          <w:szCs w:val="24"/>
          <w:lang w:eastAsia="en-GB"/>
        </w:rPr>
        <w:t xml:space="preserve">, E.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(2023) “Conducting and Writing Quantitative and Qualitative Research,” </w:t>
      </w:r>
      <w:r w:rsidRPr="00F71301">
        <w:rPr>
          <w:rFonts w:ascii="Arial" w:eastAsia="Times New Roman" w:hAnsi="Arial" w:cs="Arial"/>
          <w:i/>
          <w:iCs/>
          <w:sz w:val="24"/>
          <w:szCs w:val="24"/>
          <w:lang w:eastAsia="en-GB"/>
        </w:rPr>
        <w:t>Journal of Korean Medical Science</w:t>
      </w:r>
      <w:r w:rsidRPr="00F71301">
        <w:rPr>
          <w:rFonts w:ascii="Arial" w:eastAsia="Times New Roman" w:hAnsi="Arial" w:cs="Arial"/>
          <w:sz w:val="24"/>
          <w:szCs w:val="24"/>
          <w:lang w:eastAsia="en-GB"/>
        </w:rPr>
        <w:t xml:space="preserve">, 38(37), p. e291. Available at: </w:t>
      </w:r>
      <w:hyperlink r:id="rId28" w:history="1">
        <w:r w:rsidRPr="00F71301">
          <w:rPr>
            <w:rStyle w:val="Hyperlink"/>
            <w:rFonts w:ascii="Arial" w:eastAsia="Times New Roman" w:hAnsi="Arial" w:cs="Arial"/>
            <w:sz w:val="24"/>
            <w:szCs w:val="24"/>
            <w:lang w:eastAsia="en-GB"/>
          </w:rPr>
          <w:t>https://doi.org/10.3346/JKMS.2023.38.E291</w:t>
        </w:r>
      </w:hyperlink>
      <w:r w:rsidRPr="00F71301">
        <w:rPr>
          <w:rFonts w:ascii="Arial" w:eastAsia="Times New Roman" w:hAnsi="Arial" w:cs="Arial"/>
          <w:sz w:val="24"/>
          <w:szCs w:val="24"/>
          <w:lang w:eastAsia="en-GB"/>
        </w:rPr>
        <w:t>.</w:t>
      </w:r>
    </w:p>
    <w:p w14:paraId="2224CC83" w14:textId="77777777" w:rsidR="00D674A7" w:rsidRPr="00F71301" w:rsidRDefault="00D674A7" w:rsidP="00BD4FA7">
      <w:pPr>
        <w:spacing w:after="0" w:line="240" w:lineRule="auto"/>
        <w:rPr>
          <w:rFonts w:ascii="Arial" w:eastAsia="Times New Roman" w:hAnsi="Arial" w:cs="Arial"/>
          <w:sz w:val="24"/>
          <w:szCs w:val="24"/>
          <w:lang w:eastAsia="en-GB"/>
        </w:rPr>
      </w:pPr>
    </w:p>
    <w:p w14:paraId="78C6860B" w14:textId="77777777" w:rsidR="00BD4FA7" w:rsidRPr="00F71301" w:rsidRDefault="00BD4FA7" w:rsidP="00BD4FA7">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Berwick, D. and Fox, D.M. (2016) “‘Evaluating the Quality of Medical Care’: Donabedian’s Classic Article 50 Years Later,” </w:t>
      </w:r>
      <w:r w:rsidRPr="00F71301">
        <w:rPr>
          <w:rFonts w:ascii="Arial" w:eastAsia="Times New Roman" w:hAnsi="Arial" w:cs="Arial"/>
          <w:i/>
          <w:iCs/>
          <w:sz w:val="24"/>
          <w:szCs w:val="24"/>
          <w:lang w:eastAsia="en-GB"/>
        </w:rPr>
        <w:t>The Milbank Quarterly</w:t>
      </w:r>
      <w:r w:rsidRPr="00F71301">
        <w:rPr>
          <w:rFonts w:ascii="Arial" w:eastAsia="Times New Roman" w:hAnsi="Arial" w:cs="Arial"/>
          <w:sz w:val="24"/>
          <w:szCs w:val="24"/>
          <w:lang w:eastAsia="en-GB"/>
        </w:rPr>
        <w:t xml:space="preserve">, 94(2), pp. 237–241. Available at: </w:t>
      </w:r>
      <w:hyperlink r:id="rId29" w:history="1">
        <w:r w:rsidRPr="00F71301">
          <w:rPr>
            <w:rStyle w:val="Hyperlink"/>
            <w:rFonts w:ascii="Arial" w:eastAsia="Times New Roman" w:hAnsi="Arial" w:cs="Arial"/>
            <w:sz w:val="24"/>
            <w:szCs w:val="24"/>
            <w:lang w:eastAsia="en-GB"/>
          </w:rPr>
          <w:t>https://doi.org/10.1111/1468-0009.12189</w:t>
        </w:r>
      </w:hyperlink>
      <w:r w:rsidRPr="00F71301">
        <w:rPr>
          <w:rFonts w:ascii="Arial" w:eastAsia="Times New Roman" w:hAnsi="Arial" w:cs="Arial"/>
          <w:sz w:val="24"/>
          <w:szCs w:val="24"/>
          <w:lang w:eastAsia="en-GB"/>
        </w:rPr>
        <w:t>.</w:t>
      </w:r>
    </w:p>
    <w:p w14:paraId="731146A2" w14:textId="77777777" w:rsidR="00BD4FA7" w:rsidRPr="00F71301" w:rsidRDefault="00BD4FA7" w:rsidP="00BD4FA7">
      <w:pPr>
        <w:spacing w:after="0" w:line="240" w:lineRule="auto"/>
        <w:rPr>
          <w:rFonts w:ascii="Arial" w:eastAsia="Times New Roman" w:hAnsi="Arial" w:cs="Arial"/>
          <w:sz w:val="24"/>
          <w:szCs w:val="24"/>
          <w:lang w:eastAsia="en-GB"/>
        </w:rPr>
      </w:pPr>
    </w:p>
    <w:p w14:paraId="78CFB1C1" w14:textId="77777777" w:rsidR="00FF3433" w:rsidRPr="00F71301" w:rsidRDefault="00FF3433" w:rsidP="00FF3433">
      <w:pPr>
        <w:spacing w:after="0" w:line="240" w:lineRule="auto"/>
        <w:rPr>
          <w:rFonts w:ascii="Arial" w:hAnsi="Arial" w:cs="Arial"/>
          <w:sz w:val="24"/>
          <w:szCs w:val="24"/>
        </w:rPr>
      </w:pPr>
      <w:r w:rsidRPr="00F71301">
        <w:rPr>
          <w:rFonts w:ascii="Arial" w:hAnsi="Arial" w:cs="Arial"/>
          <w:sz w:val="24"/>
          <w:szCs w:val="24"/>
        </w:rPr>
        <w:t xml:space="preserve">BHIVA (2015) “Patient confidentiality in sexual health services” Available at: </w:t>
      </w:r>
      <w:hyperlink r:id="rId30" w:history="1">
        <w:r w:rsidRPr="00F71301">
          <w:rPr>
            <w:rFonts w:ascii="Arial" w:hAnsi="Arial" w:cs="Arial"/>
            <w:color w:val="0000FF"/>
            <w:sz w:val="24"/>
            <w:szCs w:val="24"/>
            <w:u w:val="single"/>
          </w:rPr>
          <w:t>Update-for-disemmination-STI-confidentiality-Final-100915.pdf</w:t>
        </w:r>
      </w:hyperlink>
      <w:r w:rsidRPr="00F71301">
        <w:rPr>
          <w:rFonts w:ascii="Arial" w:hAnsi="Arial" w:cs="Arial"/>
          <w:color w:val="0000FF"/>
          <w:sz w:val="24"/>
          <w:szCs w:val="24"/>
          <w:u w:val="single"/>
        </w:rPr>
        <w:t xml:space="preserve"> </w:t>
      </w:r>
      <w:r w:rsidRPr="00F71301">
        <w:rPr>
          <w:rFonts w:ascii="Arial" w:hAnsi="Arial" w:cs="Arial"/>
          <w:sz w:val="24"/>
          <w:szCs w:val="24"/>
        </w:rPr>
        <w:t>accessed 19.10.25</w:t>
      </w:r>
    </w:p>
    <w:p w14:paraId="52E33186" w14:textId="77777777" w:rsidR="00D22EB9" w:rsidRPr="00F71301" w:rsidRDefault="00D22EB9" w:rsidP="00FF3433">
      <w:pPr>
        <w:spacing w:after="0" w:line="240" w:lineRule="auto"/>
        <w:rPr>
          <w:rFonts w:ascii="Arial" w:hAnsi="Arial" w:cs="Arial"/>
          <w:sz w:val="24"/>
          <w:szCs w:val="24"/>
        </w:rPr>
      </w:pPr>
    </w:p>
    <w:p w14:paraId="70EFB79F" w14:textId="77777777" w:rsidR="00D22EB9" w:rsidRPr="00F71301" w:rsidRDefault="00D22EB9" w:rsidP="00D22EB9">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Bolden, R. (2011) “Distributed Leadership in Organizations: A Review of Theory and Research,” </w:t>
      </w:r>
      <w:r w:rsidRPr="00F71301">
        <w:rPr>
          <w:rFonts w:ascii="Arial" w:eastAsia="Times New Roman" w:hAnsi="Arial" w:cs="Arial"/>
          <w:i/>
          <w:iCs/>
          <w:sz w:val="24"/>
          <w:szCs w:val="24"/>
          <w:lang w:eastAsia="en-GB"/>
        </w:rPr>
        <w:t>International Journal of Management Reviews</w:t>
      </w:r>
      <w:r w:rsidRPr="00F71301">
        <w:rPr>
          <w:rFonts w:ascii="Arial" w:eastAsia="Times New Roman" w:hAnsi="Arial" w:cs="Arial"/>
          <w:sz w:val="24"/>
          <w:szCs w:val="24"/>
          <w:lang w:eastAsia="en-GB"/>
        </w:rPr>
        <w:t xml:space="preserve">, 13(3), pp. 251–269. Available at: </w:t>
      </w:r>
      <w:hyperlink r:id="rId31" w:history="1">
        <w:r w:rsidRPr="00F71301">
          <w:rPr>
            <w:rStyle w:val="Hyperlink"/>
            <w:rFonts w:ascii="Arial" w:eastAsia="Times New Roman" w:hAnsi="Arial" w:cs="Arial"/>
            <w:sz w:val="24"/>
            <w:szCs w:val="24"/>
            <w:lang w:eastAsia="en-GB"/>
          </w:rPr>
          <w:t>https://doi.org/10.1111/j.1468-2370.2011.00306.x</w:t>
        </w:r>
      </w:hyperlink>
      <w:r w:rsidRPr="00F71301">
        <w:rPr>
          <w:rFonts w:ascii="Arial" w:eastAsia="Times New Roman" w:hAnsi="Arial" w:cs="Arial"/>
          <w:sz w:val="24"/>
          <w:szCs w:val="24"/>
          <w:lang w:eastAsia="en-GB"/>
        </w:rPr>
        <w:t>.</w:t>
      </w:r>
    </w:p>
    <w:p w14:paraId="376435B7" w14:textId="77777777" w:rsidR="008035B6" w:rsidRPr="00F71301" w:rsidRDefault="008035B6" w:rsidP="00FF3433">
      <w:pPr>
        <w:spacing w:after="0" w:line="240" w:lineRule="auto"/>
        <w:rPr>
          <w:rFonts w:ascii="Arial" w:hAnsi="Arial" w:cs="Arial"/>
          <w:sz w:val="24"/>
          <w:szCs w:val="24"/>
        </w:rPr>
      </w:pPr>
    </w:p>
    <w:p w14:paraId="1A6D7723" w14:textId="77777777" w:rsidR="008035B6" w:rsidRPr="00F71301" w:rsidRDefault="008035B6" w:rsidP="008035B6">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Brown, M.E., </w:t>
      </w:r>
      <w:proofErr w:type="spellStart"/>
      <w:r w:rsidRPr="00F71301">
        <w:rPr>
          <w:rFonts w:ascii="Arial" w:eastAsia="Times New Roman" w:hAnsi="Arial" w:cs="Arial"/>
          <w:sz w:val="24"/>
          <w:szCs w:val="24"/>
          <w:lang w:eastAsia="en-GB"/>
        </w:rPr>
        <w:t>Treviño</w:t>
      </w:r>
      <w:proofErr w:type="spellEnd"/>
      <w:r w:rsidRPr="00F71301">
        <w:rPr>
          <w:rFonts w:ascii="Arial" w:eastAsia="Times New Roman" w:hAnsi="Arial" w:cs="Arial"/>
          <w:sz w:val="24"/>
          <w:szCs w:val="24"/>
          <w:lang w:eastAsia="en-GB"/>
        </w:rPr>
        <w:t xml:space="preserve">, L.K. and Harrison, D.A. (2005) “Ethical leadership: A social learning perspective for construct development and testing,” </w:t>
      </w:r>
      <w:r w:rsidRPr="00F71301">
        <w:rPr>
          <w:rFonts w:ascii="Arial" w:eastAsia="Times New Roman" w:hAnsi="Arial" w:cs="Arial"/>
          <w:i/>
          <w:iCs/>
          <w:sz w:val="24"/>
          <w:szCs w:val="24"/>
          <w:lang w:eastAsia="en-GB"/>
        </w:rPr>
        <w:t xml:space="preserve">Organizational </w:t>
      </w:r>
      <w:proofErr w:type="spellStart"/>
      <w:r w:rsidRPr="00F71301">
        <w:rPr>
          <w:rFonts w:ascii="Arial" w:eastAsia="Times New Roman" w:hAnsi="Arial" w:cs="Arial"/>
          <w:i/>
          <w:iCs/>
          <w:sz w:val="24"/>
          <w:szCs w:val="24"/>
          <w:lang w:eastAsia="en-GB"/>
        </w:rPr>
        <w:t>Behavior</w:t>
      </w:r>
      <w:proofErr w:type="spellEnd"/>
      <w:r w:rsidRPr="00F71301">
        <w:rPr>
          <w:rFonts w:ascii="Arial" w:eastAsia="Times New Roman" w:hAnsi="Arial" w:cs="Arial"/>
          <w:i/>
          <w:iCs/>
          <w:sz w:val="24"/>
          <w:szCs w:val="24"/>
          <w:lang w:eastAsia="en-GB"/>
        </w:rPr>
        <w:t xml:space="preserve"> and Human Decision Processes</w:t>
      </w:r>
      <w:r w:rsidRPr="00F71301">
        <w:rPr>
          <w:rFonts w:ascii="Arial" w:eastAsia="Times New Roman" w:hAnsi="Arial" w:cs="Arial"/>
          <w:sz w:val="24"/>
          <w:szCs w:val="24"/>
          <w:lang w:eastAsia="en-GB"/>
        </w:rPr>
        <w:t xml:space="preserve">, 97(2), pp. 117–134. Available at: </w:t>
      </w:r>
      <w:hyperlink r:id="rId32" w:history="1">
        <w:r w:rsidRPr="00F71301">
          <w:rPr>
            <w:rStyle w:val="Hyperlink"/>
            <w:rFonts w:ascii="Arial" w:eastAsia="Times New Roman" w:hAnsi="Arial" w:cs="Arial"/>
            <w:sz w:val="24"/>
            <w:szCs w:val="24"/>
            <w:lang w:eastAsia="en-GB"/>
          </w:rPr>
          <w:t>https://doi.org/10.1016/j.obhdp.2005.03.002</w:t>
        </w:r>
      </w:hyperlink>
      <w:r w:rsidRPr="00F71301">
        <w:rPr>
          <w:rFonts w:ascii="Arial" w:eastAsia="Times New Roman" w:hAnsi="Arial" w:cs="Arial"/>
          <w:sz w:val="24"/>
          <w:szCs w:val="24"/>
          <w:lang w:eastAsia="en-GB"/>
        </w:rPr>
        <w:t>.</w:t>
      </w:r>
    </w:p>
    <w:p w14:paraId="74804264" w14:textId="77777777" w:rsidR="00123359" w:rsidRPr="00F71301" w:rsidRDefault="00123359" w:rsidP="008035B6">
      <w:pPr>
        <w:spacing w:after="0" w:line="240" w:lineRule="auto"/>
        <w:rPr>
          <w:rFonts w:ascii="Arial" w:eastAsia="Times New Roman" w:hAnsi="Arial" w:cs="Arial"/>
          <w:sz w:val="24"/>
          <w:szCs w:val="24"/>
          <w:lang w:eastAsia="en-GB"/>
        </w:rPr>
      </w:pPr>
    </w:p>
    <w:p w14:paraId="777FFDDF" w14:textId="77777777" w:rsidR="00123359" w:rsidRPr="00F71301" w:rsidRDefault="00123359" w:rsidP="008035B6">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Burge (2015)</w:t>
      </w:r>
    </w:p>
    <w:p w14:paraId="043B447C" w14:textId="77777777" w:rsidR="007F681C" w:rsidRPr="00F71301" w:rsidRDefault="007F681C" w:rsidP="008035B6">
      <w:pPr>
        <w:spacing w:after="0" w:line="240" w:lineRule="auto"/>
        <w:rPr>
          <w:rFonts w:ascii="Arial" w:eastAsia="Times New Roman" w:hAnsi="Arial" w:cs="Arial"/>
          <w:sz w:val="24"/>
          <w:szCs w:val="24"/>
          <w:lang w:eastAsia="en-GB"/>
        </w:rPr>
      </w:pPr>
    </w:p>
    <w:p w14:paraId="70BEEEE2" w14:textId="77777777" w:rsidR="007F681C" w:rsidRPr="00F71301" w:rsidRDefault="007F681C" w:rsidP="007F681C">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Cao, G., Duan, Y. and Edwards, J.S. (2025) “Organizational culture, digital transformation, and product innovation,” </w:t>
      </w:r>
      <w:r w:rsidRPr="00F71301">
        <w:rPr>
          <w:rFonts w:ascii="Arial" w:eastAsia="Times New Roman" w:hAnsi="Arial" w:cs="Arial"/>
          <w:i/>
          <w:iCs/>
          <w:sz w:val="24"/>
          <w:szCs w:val="24"/>
          <w:lang w:eastAsia="en-GB"/>
        </w:rPr>
        <w:t>Information &amp; Management</w:t>
      </w:r>
      <w:r w:rsidRPr="00F71301">
        <w:rPr>
          <w:rFonts w:ascii="Arial" w:eastAsia="Times New Roman" w:hAnsi="Arial" w:cs="Arial"/>
          <w:sz w:val="24"/>
          <w:szCs w:val="24"/>
          <w:lang w:eastAsia="en-GB"/>
        </w:rPr>
        <w:t xml:space="preserve">, 62(4), p. 104135. Available at: </w:t>
      </w:r>
      <w:hyperlink r:id="rId33" w:history="1">
        <w:r w:rsidRPr="00F71301">
          <w:rPr>
            <w:rStyle w:val="Hyperlink"/>
            <w:rFonts w:ascii="Arial" w:eastAsia="Times New Roman" w:hAnsi="Arial" w:cs="Arial"/>
            <w:sz w:val="24"/>
            <w:szCs w:val="24"/>
            <w:lang w:eastAsia="en-GB"/>
          </w:rPr>
          <w:t>https://doi.org/10.1016/j.im.2025.104135</w:t>
        </w:r>
      </w:hyperlink>
      <w:r w:rsidRPr="00F71301">
        <w:rPr>
          <w:rFonts w:ascii="Arial" w:eastAsia="Times New Roman" w:hAnsi="Arial" w:cs="Arial"/>
          <w:sz w:val="24"/>
          <w:szCs w:val="24"/>
          <w:lang w:eastAsia="en-GB"/>
        </w:rPr>
        <w:t>.</w:t>
      </w:r>
    </w:p>
    <w:p w14:paraId="67DF49E3" w14:textId="77777777" w:rsidR="007F681C" w:rsidRPr="00F71301" w:rsidRDefault="007F681C" w:rsidP="008035B6">
      <w:pPr>
        <w:spacing w:after="0" w:line="240" w:lineRule="auto"/>
        <w:rPr>
          <w:rFonts w:ascii="Arial" w:eastAsia="Times New Roman" w:hAnsi="Arial" w:cs="Arial"/>
          <w:sz w:val="24"/>
          <w:szCs w:val="24"/>
          <w:lang w:eastAsia="en-GB"/>
        </w:rPr>
      </w:pPr>
    </w:p>
    <w:p w14:paraId="7C2277FB" w14:textId="77777777" w:rsidR="00123359" w:rsidRPr="00F71301" w:rsidRDefault="00123359" w:rsidP="008035B6">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Checkland</w:t>
      </w:r>
      <w:proofErr w:type="spellEnd"/>
      <w:r w:rsidRPr="00F71301">
        <w:rPr>
          <w:rFonts w:ascii="Arial" w:eastAsia="Times New Roman" w:hAnsi="Arial" w:cs="Arial"/>
          <w:sz w:val="24"/>
          <w:szCs w:val="24"/>
          <w:lang w:eastAsia="en-GB"/>
        </w:rPr>
        <w:t>, P.B (1999) “Systems thinking, systems practice”. (New edition, including a 30 year retrospective). Chichester: Wiley</w:t>
      </w:r>
    </w:p>
    <w:p w14:paraId="5161D550" w14:textId="77777777" w:rsidR="00123359" w:rsidRPr="00F71301" w:rsidRDefault="00123359" w:rsidP="008035B6">
      <w:pPr>
        <w:spacing w:after="0" w:line="240" w:lineRule="auto"/>
        <w:rPr>
          <w:rFonts w:ascii="Arial" w:eastAsia="Times New Roman" w:hAnsi="Arial" w:cs="Arial"/>
          <w:sz w:val="24"/>
          <w:szCs w:val="24"/>
          <w:lang w:eastAsia="en-GB"/>
        </w:rPr>
      </w:pPr>
    </w:p>
    <w:p w14:paraId="31414517" w14:textId="77777777" w:rsidR="00123359" w:rsidRPr="00F71301" w:rsidRDefault="00123359" w:rsidP="008035B6">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Checkland</w:t>
      </w:r>
      <w:proofErr w:type="spellEnd"/>
      <w:r w:rsidRPr="00F71301">
        <w:rPr>
          <w:rFonts w:ascii="Arial" w:eastAsia="Times New Roman" w:hAnsi="Arial" w:cs="Arial"/>
          <w:sz w:val="24"/>
          <w:szCs w:val="24"/>
          <w:lang w:eastAsia="en-GB"/>
        </w:rPr>
        <w:t xml:space="preserve">, P.B &amp; </w:t>
      </w:r>
      <w:proofErr w:type="spellStart"/>
      <w:r w:rsidRPr="00F71301">
        <w:rPr>
          <w:rFonts w:ascii="Arial" w:eastAsia="Times New Roman" w:hAnsi="Arial" w:cs="Arial"/>
          <w:sz w:val="24"/>
          <w:szCs w:val="24"/>
          <w:lang w:eastAsia="en-GB"/>
        </w:rPr>
        <w:t>Poulter</w:t>
      </w:r>
      <w:proofErr w:type="spellEnd"/>
      <w:r w:rsidRPr="00F71301">
        <w:rPr>
          <w:rFonts w:ascii="Arial" w:eastAsia="Times New Roman" w:hAnsi="Arial" w:cs="Arial"/>
          <w:sz w:val="24"/>
          <w:szCs w:val="24"/>
          <w:lang w:eastAsia="en-GB"/>
        </w:rPr>
        <w:t>, J (2006) “Learning for action: A short definitive account of soft systems methodology and its use for practitioners, teachers and students”. Chichester: Wiley</w:t>
      </w:r>
    </w:p>
    <w:p w14:paraId="300453D4" w14:textId="77777777" w:rsidR="007F681C" w:rsidRPr="00F71301" w:rsidRDefault="007F681C" w:rsidP="008035B6">
      <w:pPr>
        <w:spacing w:after="0" w:line="240" w:lineRule="auto"/>
        <w:rPr>
          <w:rFonts w:ascii="Arial" w:eastAsia="Times New Roman" w:hAnsi="Arial" w:cs="Arial"/>
          <w:sz w:val="24"/>
          <w:szCs w:val="24"/>
          <w:lang w:eastAsia="en-GB"/>
        </w:rPr>
      </w:pPr>
    </w:p>
    <w:p w14:paraId="3110C901" w14:textId="77777777" w:rsidR="00123359" w:rsidRPr="00F71301" w:rsidRDefault="00123359" w:rsidP="008035B6">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Checkland</w:t>
      </w:r>
      <w:proofErr w:type="spellEnd"/>
      <w:r w:rsidRPr="00F71301">
        <w:rPr>
          <w:rFonts w:ascii="Arial" w:eastAsia="Times New Roman" w:hAnsi="Arial" w:cs="Arial"/>
          <w:sz w:val="24"/>
          <w:szCs w:val="24"/>
          <w:lang w:eastAsia="en-GB"/>
        </w:rPr>
        <w:t xml:space="preserve">, P.B &amp; Scholes, P (1990) “Soft systems methodology in action”. Chichester: Wiley </w:t>
      </w:r>
    </w:p>
    <w:p w14:paraId="6BFBEECC" w14:textId="77777777" w:rsidR="007F681C" w:rsidRPr="00F71301" w:rsidRDefault="007F681C" w:rsidP="008035B6">
      <w:pPr>
        <w:spacing w:after="0" w:line="240" w:lineRule="auto"/>
        <w:rPr>
          <w:rFonts w:ascii="Arial" w:eastAsia="Times New Roman" w:hAnsi="Arial" w:cs="Arial"/>
          <w:sz w:val="24"/>
          <w:szCs w:val="24"/>
          <w:lang w:eastAsia="en-GB"/>
        </w:rPr>
      </w:pPr>
    </w:p>
    <w:p w14:paraId="3B04F43B" w14:textId="77777777" w:rsidR="007F681C" w:rsidRPr="00F71301" w:rsidRDefault="007F681C" w:rsidP="007F681C">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Coulter, A.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(2024) “Patients need access to their medical records—now,” </w:t>
      </w:r>
      <w:r w:rsidRPr="00F71301">
        <w:rPr>
          <w:rFonts w:ascii="Arial" w:eastAsia="Times New Roman" w:hAnsi="Arial" w:cs="Arial"/>
          <w:i/>
          <w:iCs/>
          <w:sz w:val="24"/>
          <w:szCs w:val="24"/>
          <w:lang w:eastAsia="en-GB"/>
        </w:rPr>
        <w:t>BMJ</w:t>
      </w:r>
      <w:r w:rsidRPr="00F71301">
        <w:rPr>
          <w:rFonts w:ascii="Arial" w:eastAsia="Times New Roman" w:hAnsi="Arial" w:cs="Arial"/>
          <w:sz w:val="24"/>
          <w:szCs w:val="24"/>
          <w:lang w:eastAsia="en-GB"/>
        </w:rPr>
        <w:t xml:space="preserve">, p. q1385. Available at: </w:t>
      </w:r>
      <w:hyperlink r:id="rId34" w:history="1">
        <w:r w:rsidRPr="00F71301">
          <w:rPr>
            <w:rStyle w:val="Hyperlink"/>
            <w:rFonts w:ascii="Arial" w:eastAsia="Times New Roman" w:hAnsi="Arial" w:cs="Arial"/>
            <w:sz w:val="24"/>
            <w:szCs w:val="24"/>
            <w:lang w:eastAsia="en-GB"/>
          </w:rPr>
          <w:t>https://doi.org/10.1136/bmj.q1385</w:t>
        </w:r>
      </w:hyperlink>
      <w:r w:rsidRPr="00F71301">
        <w:rPr>
          <w:rFonts w:ascii="Arial" w:eastAsia="Times New Roman" w:hAnsi="Arial" w:cs="Arial"/>
          <w:sz w:val="24"/>
          <w:szCs w:val="24"/>
          <w:lang w:eastAsia="en-GB"/>
        </w:rPr>
        <w:t>.</w:t>
      </w:r>
    </w:p>
    <w:p w14:paraId="481A5978" w14:textId="77777777" w:rsidR="00E91F0E" w:rsidRPr="00F71301" w:rsidRDefault="00E91F0E" w:rsidP="008035B6">
      <w:pPr>
        <w:spacing w:after="0" w:line="240" w:lineRule="auto"/>
        <w:rPr>
          <w:rFonts w:ascii="Arial" w:eastAsia="Times New Roman" w:hAnsi="Arial" w:cs="Arial"/>
          <w:sz w:val="24"/>
          <w:szCs w:val="24"/>
          <w:lang w:eastAsia="en-GB"/>
        </w:rPr>
      </w:pPr>
    </w:p>
    <w:p w14:paraId="35E728DC" w14:textId="77777777" w:rsidR="00E91F0E" w:rsidRPr="00F71301" w:rsidRDefault="00E91F0E" w:rsidP="008035B6">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Creately</w:t>
      </w:r>
      <w:proofErr w:type="spellEnd"/>
      <w:r w:rsidRPr="00F71301">
        <w:rPr>
          <w:rFonts w:ascii="Arial" w:eastAsia="Times New Roman" w:hAnsi="Arial" w:cs="Arial"/>
          <w:sz w:val="24"/>
          <w:szCs w:val="24"/>
          <w:lang w:eastAsia="en-GB"/>
        </w:rPr>
        <w:t xml:space="preserve"> (2024) “CATWOE Analysis: Your Guide to Developing a Problem-Solving Framework”. Available at: </w:t>
      </w:r>
      <w:hyperlink r:id="rId35" w:history="1">
        <w:r w:rsidRPr="00F71301">
          <w:rPr>
            <w:rFonts w:ascii="Arial" w:hAnsi="Arial" w:cs="Arial"/>
            <w:color w:val="0000FF"/>
            <w:sz w:val="24"/>
            <w:szCs w:val="24"/>
            <w:u w:val="single"/>
          </w:rPr>
          <w:t xml:space="preserve">CATWOE Analysis: Your Guide to Developing a Problem-Solving Framework | </w:t>
        </w:r>
        <w:proofErr w:type="spellStart"/>
        <w:r w:rsidRPr="00F71301">
          <w:rPr>
            <w:rFonts w:ascii="Arial" w:hAnsi="Arial" w:cs="Arial"/>
            <w:color w:val="0000FF"/>
            <w:sz w:val="24"/>
            <w:szCs w:val="24"/>
            <w:u w:val="single"/>
          </w:rPr>
          <w:t>Creately</w:t>
        </w:r>
        <w:proofErr w:type="spellEnd"/>
      </w:hyperlink>
      <w:r w:rsidRPr="00F71301">
        <w:rPr>
          <w:rFonts w:ascii="Arial" w:hAnsi="Arial" w:cs="Arial"/>
          <w:sz w:val="24"/>
          <w:szCs w:val="24"/>
        </w:rPr>
        <w:t xml:space="preserve">  accessed on: 11.11.25</w:t>
      </w:r>
    </w:p>
    <w:p w14:paraId="001758B7" w14:textId="77777777" w:rsidR="0066360D" w:rsidRPr="00F71301" w:rsidRDefault="0066360D" w:rsidP="008035B6">
      <w:pPr>
        <w:spacing w:after="0" w:line="240" w:lineRule="auto"/>
        <w:rPr>
          <w:rFonts w:ascii="Arial" w:eastAsia="Times New Roman" w:hAnsi="Arial" w:cs="Arial"/>
          <w:sz w:val="24"/>
          <w:szCs w:val="24"/>
          <w:lang w:eastAsia="en-GB"/>
        </w:rPr>
      </w:pPr>
    </w:p>
    <w:p w14:paraId="1AB32153" w14:textId="77777777" w:rsidR="0066360D" w:rsidRPr="00F71301" w:rsidRDefault="0066360D" w:rsidP="0066360D">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Cummings, G.G.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(2010) “Leadership styles and outcome patterns for the nursing workforce and work environment: A systematic review,” </w:t>
      </w:r>
      <w:r w:rsidRPr="00F71301">
        <w:rPr>
          <w:rFonts w:ascii="Arial" w:eastAsia="Times New Roman" w:hAnsi="Arial" w:cs="Arial"/>
          <w:i/>
          <w:iCs/>
          <w:sz w:val="24"/>
          <w:szCs w:val="24"/>
          <w:lang w:eastAsia="en-GB"/>
        </w:rPr>
        <w:t>International Journal of Nursing Studies</w:t>
      </w:r>
      <w:r w:rsidRPr="00F71301">
        <w:rPr>
          <w:rFonts w:ascii="Arial" w:eastAsia="Times New Roman" w:hAnsi="Arial" w:cs="Arial"/>
          <w:sz w:val="24"/>
          <w:szCs w:val="24"/>
          <w:lang w:eastAsia="en-GB"/>
        </w:rPr>
        <w:t xml:space="preserve">, 47(3), pp. 363–385. Available at: </w:t>
      </w:r>
      <w:hyperlink r:id="rId36" w:history="1">
        <w:r w:rsidRPr="00F71301">
          <w:rPr>
            <w:rStyle w:val="Hyperlink"/>
            <w:rFonts w:ascii="Arial" w:eastAsia="Times New Roman" w:hAnsi="Arial" w:cs="Arial"/>
            <w:sz w:val="24"/>
            <w:szCs w:val="24"/>
            <w:lang w:eastAsia="en-GB"/>
          </w:rPr>
          <w:t>https://doi.org/10.1016/j.ijnurstu.2009.08.006</w:t>
        </w:r>
      </w:hyperlink>
      <w:r w:rsidRPr="00F71301">
        <w:rPr>
          <w:rFonts w:ascii="Arial" w:eastAsia="Times New Roman" w:hAnsi="Arial" w:cs="Arial"/>
          <w:sz w:val="24"/>
          <w:szCs w:val="24"/>
          <w:lang w:eastAsia="en-GB"/>
        </w:rPr>
        <w:t>.</w:t>
      </w:r>
    </w:p>
    <w:p w14:paraId="65123382" w14:textId="77777777" w:rsidR="00A90689" w:rsidRPr="00F71301" w:rsidRDefault="00A90689" w:rsidP="0066360D">
      <w:pPr>
        <w:spacing w:after="0" w:line="240" w:lineRule="auto"/>
        <w:rPr>
          <w:rFonts w:ascii="Arial" w:eastAsia="Times New Roman" w:hAnsi="Arial" w:cs="Arial"/>
          <w:sz w:val="24"/>
          <w:szCs w:val="24"/>
          <w:lang w:eastAsia="en-GB"/>
        </w:rPr>
      </w:pPr>
    </w:p>
    <w:p w14:paraId="064EFF36" w14:textId="77777777" w:rsidR="00A90689" w:rsidRPr="00F71301" w:rsidRDefault="00A90689" w:rsidP="00A90689">
      <w:pPr>
        <w:rPr>
          <w:rFonts w:ascii="Arial" w:eastAsia="Times New Roman" w:hAnsi="Arial" w:cs="Arial"/>
          <w:sz w:val="24"/>
          <w:szCs w:val="24"/>
          <w:lang w:eastAsia="en-GB"/>
        </w:rPr>
      </w:pPr>
      <w:r w:rsidRPr="00F71301">
        <w:rPr>
          <w:rFonts w:ascii="Arial" w:eastAsia="Times New Roman" w:hAnsi="Arial" w:cs="Arial"/>
          <w:sz w:val="24"/>
          <w:szCs w:val="24"/>
          <w:lang w:eastAsia="en-GB"/>
        </w:rPr>
        <w:t>Deming, E (1983) “Out of the crisis,” Massachusetts Institute of Technology Centre for Advanced Engineering Study xiii: Cambridge, MA</w:t>
      </w:r>
    </w:p>
    <w:p w14:paraId="1FA16D32" w14:textId="77777777" w:rsidR="008035B6" w:rsidRPr="00F71301" w:rsidRDefault="008035B6" w:rsidP="008035B6">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Deng, C.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(2023) “Transformational leadership effectiveness: an evidence-based primer,” </w:t>
      </w:r>
      <w:r w:rsidRPr="00F71301">
        <w:rPr>
          <w:rFonts w:ascii="Arial" w:eastAsia="Times New Roman" w:hAnsi="Arial" w:cs="Arial"/>
          <w:i/>
          <w:iCs/>
          <w:sz w:val="24"/>
          <w:szCs w:val="24"/>
          <w:lang w:eastAsia="en-GB"/>
        </w:rPr>
        <w:t>Human Resource Development International</w:t>
      </w:r>
      <w:r w:rsidRPr="00F71301">
        <w:rPr>
          <w:rFonts w:ascii="Arial" w:eastAsia="Times New Roman" w:hAnsi="Arial" w:cs="Arial"/>
          <w:sz w:val="24"/>
          <w:szCs w:val="24"/>
          <w:lang w:eastAsia="en-GB"/>
        </w:rPr>
        <w:t xml:space="preserve">, 26(5), pp. 627–641. Available at: </w:t>
      </w:r>
      <w:hyperlink r:id="rId37" w:history="1">
        <w:r w:rsidRPr="00F71301">
          <w:rPr>
            <w:rStyle w:val="Hyperlink"/>
            <w:rFonts w:ascii="Arial" w:eastAsia="Times New Roman" w:hAnsi="Arial" w:cs="Arial"/>
            <w:sz w:val="24"/>
            <w:szCs w:val="24"/>
            <w:lang w:eastAsia="en-GB"/>
          </w:rPr>
          <w:t>https://doi.org/10.1080/13678868.2022.2135938</w:t>
        </w:r>
      </w:hyperlink>
      <w:r w:rsidRPr="00F71301">
        <w:rPr>
          <w:rFonts w:ascii="Arial" w:eastAsia="Times New Roman" w:hAnsi="Arial" w:cs="Arial"/>
          <w:sz w:val="24"/>
          <w:szCs w:val="24"/>
          <w:lang w:eastAsia="en-GB"/>
        </w:rPr>
        <w:t>.</w:t>
      </w:r>
    </w:p>
    <w:p w14:paraId="0EE6E1F2" w14:textId="77777777" w:rsidR="00EA1349" w:rsidRPr="00F71301" w:rsidRDefault="00EA1349" w:rsidP="008035B6">
      <w:pPr>
        <w:spacing w:after="0" w:line="240" w:lineRule="auto"/>
        <w:rPr>
          <w:rFonts w:ascii="Arial" w:eastAsia="Times New Roman" w:hAnsi="Arial" w:cs="Arial"/>
          <w:sz w:val="24"/>
          <w:szCs w:val="24"/>
          <w:lang w:eastAsia="en-GB"/>
        </w:rPr>
      </w:pPr>
    </w:p>
    <w:p w14:paraId="4A76BF08" w14:textId="77777777" w:rsidR="00EA1349" w:rsidRPr="00F71301" w:rsidRDefault="00EA1349" w:rsidP="008035B6">
      <w:pPr>
        <w:spacing w:after="0" w:line="240" w:lineRule="auto"/>
        <w:rPr>
          <w:rFonts w:ascii="Arial" w:eastAsia="Times New Roman" w:hAnsi="Arial" w:cs="Arial"/>
          <w:sz w:val="24"/>
          <w:szCs w:val="24"/>
          <w:lang w:eastAsia="en-GB"/>
        </w:rPr>
      </w:pPr>
      <w:r w:rsidRPr="00F71301">
        <w:rPr>
          <w:rFonts w:ascii="Arial" w:hAnsi="Arial" w:cs="Arial"/>
          <w:sz w:val="24"/>
          <w:szCs w:val="24"/>
        </w:rPr>
        <w:t xml:space="preserve">Department of Health &amp; Social Care (DHSC) (2022) Independent Report: Leadership for a collaborative and inclusive future. Available at: </w:t>
      </w:r>
      <w:hyperlink r:id="rId38" w:history="1">
        <w:r w:rsidRPr="00F71301">
          <w:rPr>
            <w:rFonts w:ascii="Arial" w:hAnsi="Arial" w:cs="Arial"/>
            <w:color w:val="0000FF"/>
            <w:sz w:val="24"/>
            <w:szCs w:val="24"/>
            <w:u w:val="single"/>
          </w:rPr>
          <w:t>Leadership for a collaborative and inclusive future - GOV.UK</w:t>
        </w:r>
      </w:hyperlink>
      <w:r w:rsidRPr="00F71301">
        <w:rPr>
          <w:rFonts w:ascii="Arial" w:hAnsi="Arial" w:cs="Arial"/>
          <w:sz w:val="24"/>
          <w:szCs w:val="24"/>
        </w:rPr>
        <w:t xml:space="preserve"> accessed on: 29.10.25</w:t>
      </w:r>
    </w:p>
    <w:p w14:paraId="488B5FA3" w14:textId="77777777" w:rsidR="00837A3A" w:rsidRPr="00F71301" w:rsidRDefault="00837A3A" w:rsidP="0053550E">
      <w:pPr>
        <w:spacing w:after="0" w:line="240" w:lineRule="auto"/>
        <w:rPr>
          <w:rFonts w:ascii="Arial" w:eastAsia="Times New Roman" w:hAnsi="Arial" w:cs="Arial"/>
          <w:sz w:val="24"/>
          <w:szCs w:val="24"/>
          <w:lang w:eastAsia="en-GB"/>
        </w:rPr>
      </w:pPr>
    </w:p>
    <w:p w14:paraId="25E0BFDE" w14:textId="77777777" w:rsidR="0015757D" w:rsidRPr="00F71301" w:rsidRDefault="0015757D" w:rsidP="0015757D">
      <w:pPr>
        <w:rPr>
          <w:rFonts w:ascii="Arial" w:hAnsi="Arial" w:cs="Arial"/>
          <w:sz w:val="24"/>
          <w:szCs w:val="24"/>
        </w:rPr>
      </w:pPr>
      <w:r w:rsidRPr="00F71301">
        <w:rPr>
          <w:rFonts w:ascii="Arial" w:hAnsi="Arial" w:cs="Arial"/>
          <w:sz w:val="24"/>
          <w:szCs w:val="24"/>
        </w:rPr>
        <w:t xml:space="preserve">Department of Health &amp; Social Care (DHSC) (2023) </w:t>
      </w:r>
      <w:r w:rsidR="00123359" w:rsidRPr="00F71301">
        <w:rPr>
          <w:rFonts w:ascii="Arial" w:hAnsi="Arial" w:cs="Arial"/>
          <w:sz w:val="24"/>
          <w:szCs w:val="24"/>
        </w:rPr>
        <w:t>“</w:t>
      </w:r>
      <w:r w:rsidRPr="00F71301">
        <w:rPr>
          <w:rFonts w:ascii="Arial" w:hAnsi="Arial" w:cs="Arial"/>
          <w:bCs/>
          <w:sz w:val="24"/>
          <w:szCs w:val="24"/>
        </w:rPr>
        <w:t>JCVI advice on the use of meningococcal B vaccination for the prevention of gonorrhoea</w:t>
      </w:r>
      <w:r w:rsidR="00123359" w:rsidRPr="00F71301">
        <w:rPr>
          <w:rFonts w:ascii="Arial" w:hAnsi="Arial" w:cs="Arial"/>
          <w:bCs/>
          <w:sz w:val="24"/>
          <w:szCs w:val="24"/>
        </w:rPr>
        <w:t>”</w:t>
      </w:r>
      <w:r w:rsidRPr="00F71301">
        <w:rPr>
          <w:rFonts w:ascii="Arial" w:hAnsi="Arial" w:cs="Arial"/>
          <w:bCs/>
          <w:sz w:val="24"/>
          <w:szCs w:val="24"/>
        </w:rPr>
        <w:t>.</w:t>
      </w:r>
      <w:r w:rsidR="00F26498" w:rsidRPr="00F71301">
        <w:rPr>
          <w:rFonts w:ascii="Arial" w:hAnsi="Arial" w:cs="Arial"/>
          <w:bCs/>
          <w:sz w:val="24"/>
          <w:szCs w:val="24"/>
        </w:rPr>
        <w:t xml:space="preserve"> Available at:</w:t>
      </w:r>
      <w:r w:rsidRPr="00F71301">
        <w:rPr>
          <w:rFonts w:ascii="Arial" w:hAnsi="Arial" w:cs="Arial"/>
          <w:bCs/>
          <w:sz w:val="24"/>
          <w:szCs w:val="24"/>
        </w:rPr>
        <w:t xml:space="preserve"> </w:t>
      </w:r>
      <w:hyperlink r:id="rId39" w:anchor="jcvi-advice" w:history="1">
        <w:r w:rsidRPr="00F71301">
          <w:rPr>
            <w:rStyle w:val="Hyperlink"/>
            <w:rFonts w:ascii="Arial" w:hAnsi="Arial" w:cs="Arial"/>
            <w:sz w:val="24"/>
            <w:szCs w:val="24"/>
          </w:rPr>
          <w:t>JCVI advice on the use of meningococcal B vaccination for the prevention of gonorrhoea - GOV.UK</w:t>
        </w:r>
      </w:hyperlink>
      <w:r w:rsidRPr="00F71301">
        <w:rPr>
          <w:rFonts w:ascii="Arial" w:hAnsi="Arial" w:cs="Arial"/>
          <w:sz w:val="24"/>
          <w:szCs w:val="24"/>
        </w:rPr>
        <w:t xml:space="preserve"> accessed on 20.10.25</w:t>
      </w:r>
    </w:p>
    <w:p w14:paraId="3A2D5E59" w14:textId="799F0DB3" w:rsidR="00D006BD" w:rsidRDefault="00D006BD" w:rsidP="00D006BD">
      <w:pPr>
        <w:rPr>
          <w:rFonts w:ascii="Arial" w:hAnsi="Arial" w:cs="Arial"/>
          <w:sz w:val="24"/>
          <w:szCs w:val="24"/>
        </w:rPr>
      </w:pPr>
      <w:r w:rsidRPr="00F71301">
        <w:rPr>
          <w:rFonts w:ascii="Arial" w:hAnsi="Arial" w:cs="Arial"/>
          <w:sz w:val="24"/>
          <w:szCs w:val="24"/>
        </w:rPr>
        <w:lastRenderedPageBreak/>
        <w:t xml:space="preserve">Digital Health &amp; Care Wales (DHCW) (2024) </w:t>
      </w:r>
      <w:r w:rsidR="00123359" w:rsidRPr="00F71301">
        <w:rPr>
          <w:rFonts w:ascii="Arial" w:hAnsi="Arial" w:cs="Arial"/>
          <w:sz w:val="24"/>
          <w:szCs w:val="24"/>
        </w:rPr>
        <w:t>“</w:t>
      </w:r>
      <w:r w:rsidRPr="00F71301">
        <w:rPr>
          <w:rFonts w:ascii="Arial" w:hAnsi="Arial" w:cs="Arial"/>
          <w:bCs/>
          <w:sz w:val="24"/>
          <w:szCs w:val="24"/>
        </w:rPr>
        <w:t>The Welsh Immunisation System: building a lasting legacy</w:t>
      </w:r>
      <w:r w:rsidR="00123359" w:rsidRPr="00F71301">
        <w:rPr>
          <w:rFonts w:ascii="Arial" w:hAnsi="Arial" w:cs="Arial"/>
          <w:bCs/>
          <w:sz w:val="24"/>
          <w:szCs w:val="24"/>
        </w:rPr>
        <w:t>”</w:t>
      </w:r>
      <w:r w:rsidRPr="00F71301">
        <w:rPr>
          <w:rFonts w:ascii="Arial" w:hAnsi="Arial" w:cs="Arial"/>
          <w:bCs/>
          <w:sz w:val="24"/>
          <w:szCs w:val="24"/>
        </w:rPr>
        <w:t>.</w:t>
      </w:r>
      <w:r w:rsidR="00F26498" w:rsidRPr="00F71301">
        <w:rPr>
          <w:rFonts w:ascii="Arial" w:hAnsi="Arial" w:cs="Arial"/>
          <w:bCs/>
          <w:sz w:val="24"/>
          <w:szCs w:val="24"/>
        </w:rPr>
        <w:t xml:space="preserve"> Available at: </w:t>
      </w:r>
      <w:hyperlink r:id="rId40" w:history="1">
        <w:r w:rsidRPr="00F71301">
          <w:rPr>
            <w:rStyle w:val="Hyperlink"/>
            <w:rFonts w:ascii="Arial" w:hAnsi="Arial" w:cs="Arial"/>
            <w:sz w:val="24"/>
            <w:szCs w:val="24"/>
          </w:rPr>
          <w:t>The Welsh Immunisation System: building a lasting legacy - Digital Health and Care Wales</w:t>
        </w:r>
      </w:hyperlink>
      <w:r w:rsidRPr="00F71301">
        <w:rPr>
          <w:rFonts w:ascii="Arial" w:hAnsi="Arial" w:cs="Arial"/>
          <w:sz w:val="24"/>
          <w:szCs w:val="24"/>
        </w:rPr>
        <w:t xml:space="preserve">  accessed on 19.10.25</w:t>
      </w:r>
    </w:p>
    <w:p w14:paraId="10C5FE21" w14:textId="224006AE" w:rsidR="00AC47BA" w:rsidRDefault="00AC47BA" w:rsidP="00AC47BA">
      <w:pPr>
        <w:spacing w:after="0" w:line="240" w:lineRule="auto"/>
        <w:rPr>
          <w:rFonts w:ascii="Arial" w:eastAsia="Times New Roman" w:hAnsi="Arial" w:cs="Arial"/>
          <w:sz w:val="24"/>
          <w:szCs w:val="24"/>
          <w:lang w:eastAsia="en-GB"/>
        </w:rPr>
      </w:pPr>
      <w:proofErr w:type="spellStart"/>
      <w:r w:rsidRPr="00AC47BA">
        <w:rPr>
          <w:rFonts w:ascii="Arial" w:eastAsia="Times New Roman" w:hAnsi="Arial" w:cs="Arial"/>
          <w:sz w:val="24"/>
          <w:szCs w:val="24"/>
          <w:lang w:eastAsia="en-GB"/>
        </w:rPr>
        <w:t>Dombkowski</w:t>
      </w:r>
      <w:proofErr w:type="spellEnd"/>
      <w:r w:rsidRPr="00AC47BA">
        <w:rPr>
          <w:rFonts w:ascii="Arial" w:eastAsia="Times New Roman" w:hAnsi="Arial" w:cs="Arial"/>
          <w:sz w:val="24"/>
          <w:szCs w:val="24"/>
          <w:lang w:eastAsia="en-GB"/>
        </w:rPr>
        <w:t xml:space="preserve">, K.J. </w:t>
      </w:r>
      <w:r w:rsidRPr="00AC47BA">
        <w:rPr>
          <w:rFonts w:ascii="Arial" w:eastAsia="Times New Roman" w:hAnsi="Arial" w:cs="Arial"/>
          <w:i/>
          <w:iCs/>
          <w:sz w:val="24"/>
          <w:szCs w:val="24"/>
          <w:lang w:eastAsia="en-GB"/>
        </w:rPr>
        <w:t>et al.</w:t>
      </w:r>
      <w:r w:rsidRPr="00AC47BA">
        <w:rPr>
          <w:rFonts w:ascii="Arial" w:eastAsia="Times New Roman" w:hAnsi="Arial" w:cs="Arial"/>
          <w:sz w:val="24"/>
          <w:szCs w:val="24"/>
          <w:lang w:eastAsia="en-GB"/>
        </w:rPr>
        <w:t xml:space="preserve"> (2025) “The Effect of Electronic Health Record and Immunization Information System Interoperability on Medical Practice Vaccination Workflow,” </w:t>
      </w:r>
      <w:r w:rsidRPr="00AC47BA">
        <w:rPr>
          <w:rFonts w:ascii="Arial" w:eastAsia="Times New Roman" w:hAnsi="Arial" w:cs="Arial"/>
          <w:i/>
          <w:iCs/>
          <w:sz w:val="24"/>
          <w:szCs w:val="24"/>
          <w:lang w:eastAsia="en-GB"/>
        </w:rPr>
        <w:t>Applied clinical informatics</w:t>
      </w:r>
      <w:r w:rsidRPr="00AC47BA">
        <w:rPr>
          <w:rFonts w:ascii="Arial" w:eastAsia="Times New Roman" w:hAnsi="Arial" w:cs="Arial"/>
          <w:sz w:val="24"/>
          <w:szCs w:val="24"/>
          <w:lang w:eastAsia="en-GB"/>
        </w:rPr>
        <w:t xml:space="preserve">, 16(1), pp. 101–110. Available at: </w:t>
      </w:r>
      <w:hyperlink r:id="rId41" w:history="1">
        <w:r w:rsidRPr="00AC47BA">
          <w:rPr>
            <w:rStyle w:val="Hyperlink"/>
            <w:rFonts w:ascii="Arial" w:eastAsia="Times New Roman" w:hAnsi="Arial" w:cs="Arial"/>
            <w:sz w:val="24"/>
            <w:szCs w:val="24"/>
            <w:lang w:eastAsia="en-GB"/>
          </w:rPr>
          <w:t>https://doi.org/10.1055/A-2434-5112</w:t>
        </w:r>
      </w:hyperlink>
      <w:r w:rsidRPr="00AC47BA">
        <w:rPr>
          <w:rFonts w:ascii="Arial" w:eastAsia="Times New Roman" w:hAnsi="Arial" w:cs="Arial"/>
          <w:sz w:val="24"/>
          <w:szCs w:val="24"/>
          <w:lang w:eastAsia="en-GB"/>
        </w:rPr>
        <w:t>.</w:t>
      </w:r>
    </w:p>
    <w:p w14:paraId="3014A34E" w14:textId="77777777" w:rsidR="00AC47BA" w:rsidRPr="00F71301" w:rsidRDefault="00AC47BA" w:rsidP="00D006BD">
      <w:pPr>
        <w:rPr>
          <w:rFonts w:ascii="Arial" w:hAnsi="Arial" w:cs="Arial"/>
          <w:sz w:val="24"/>
          <w:szCs w:val="24"/>
        </w:rPr>
      </w:pPr>
    </w:p>
    <w:p w14:paraId="798946BC" w14:textId="77777777" w:rsidR="00BD4FA7" w:rsidRPr="00F71301" w:rsidRDefault="00BD4FA7" w:rsidP="00D006BD">
      <w:pPr>
        <w:rPr>
          <w:rFonts w:ascii="Arial" w:hAnsi="Arial" w:cs="Arial"/>
          <w:sz w:val="24"/>
          <w:szCs w:val="24"/>
        </w:rPr>
      </w:pPr>
      <w:r w:rsidRPr="00F71301">
        <w:rPr>
          <w:rFonts w:ascii="Arial" w:hAnsi="Arial" w:cs="Arial"/>
          <w:sz w:val="24"/>
          <w:szCs w:val="24"/>
        </w:rPr>
        <w:t xml:space="preserve">Donabedian, A (1966) </w:t>
      </w:r>
      <w:r w:rsidR="00123359" w:rsidRPr="00F71301">
        <w:rPr>
          <w:rFonts w:ascii="Arial" w:hAnsi="Arial" w:cs="Arial"/>
          <w:sz w:val="24"/>
          <w:szCs w:val="24"/>
        </w:rPr>
        <w:t>“</w:t>
      </w:r>
      <w:r w:rsidRPr="00F71301">
        <w:rPr>
          <w:rFonts w:ascii="Arial" w:hAnsi="Arial" w:cs="Arial"/>
          <w:sz w:val="24"/>
          <w:szCs w:val="24"/>
        </w:rPr>
        <w:t>Evaluating the quality of medical care</w:t>
      </w:r>
      <w:r w:rsidR="00123359" w:rsidRPr="00F71301">
        <w:rPr>
          <w:rFonts w:ascii="Arial" w:hAnsi="Arial" w:cs="Arial"/>
          <w:sz w:val="24"/>
          <w:szCs w:val="24"/>
        </w:rPr>
        <w:t>”</w:t>
      </w:r>
      <w:r w:rsidRPr="00F71301">
        <w:rPr>
          <w:rFonts w:ascii="Arial" w:hAnsi="Arial" w:cs="Arial"/>
          <w:sz w:val="24"/>
          <w:szCs w:val="24"/>
        </w:rPr>
        <w:t>. Millbank Memorial Fund Quarterly. 44(3</w:t>
      </w:r>
      <w:proofErr w:type="gramStart"/>
      <w:r w:rsidRPr="00F71301">
        <w:rPr>
          <w:rFonts w:ascii="Arial" w:hAnsi="Arial" w:cs="Arial"/>
          <w:sz w:val="24"/>
          <w:szCs w:val="24"/>
        </w:rPr>
        <w:t>)(</w:t>
      </w:r>
      <w:proofErr w:type="spellStart"/>
      <w:proofErr w:type="gramEnd"/>
      <w:r w:rsidRPr="00F71301">
        <w:rPr>
          <w:rFonts w:ascii="Arial" w:hAnsi="Arial" w:cs="Arial"/>
          <w:sz w:val="24"/>
          <w:szCs w:val="24"/>
        </w:rPr>
        <w:t>suppl</w:t>
      </w:r>
      <w:proofErr w:type="spellEnd"/>
      <w:r w:rsidRPr="00F71301">
        <w:rPr>
          <w:rFonts w:ascii="Arial" w:hAnsi="Arial" w:cs="Arial"/>
          <w:sz w:val="24"/>
          <w:szCs w:val="24"/>
        </w:rPr>
        <w:t>) p.166-206 Reprinted in Millbank Quarterly (2005) 83(4) p.691-729</w:t>
      </w:r>
    </w:p>
    <w:p w14:paraId="226B824D" w14:textId="77777777" w:rsidR="005F76EF" w:rsidRPr="00F71301" w:rsidRDefault="005F76EF" w:rsidP="005F76EF">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Finn, G.M.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(2022) “A novice’s guide to qualitative health professions education research,” </w:t>
      </w:r>
      <w:r w:rsidRPr="00F71301">
        <w:rPr>
          <w:rFonts w:ascii="Arial" w:eastAsia="Times New Roman" w:hAnsi="Arial" w:cs="Arial"/>
          <w:i/>
          <w:iCs/>
          <w:sz w:val="24"/>
          <w:szCs w:val="24"/>
          <w:lang w:eastAsia="en-GB"/>
        </w:rPr>
        <w:t>Clinical and Experimental Dermatology</w:t>
      </w:r>
      <w:r w:rsidRPr="00F71301">
        <w:rPr>
          <w:rFonts w:ascii="Arial" w:eastAsia="Times New Roman" w:hAnsi="Arial" w:cs="Arial"/>
          <w:sz w:val="24"/>
          <w:szCs w:val="24"/>
          <w:lang w:eastAsia="en-GB"/>
        </w:rPr>
        <w:t xml:space="preserve">, 47(12), pp. 2090–2095. Available at: </w:t>
      </w:r>
      <w:hyperlink r:id="rId42" w:history="1">
        <w:r w:rsidRPr="00F71301">
          <w:rPr>
            <w:rStyle w:val="Hyperlink"/>
            <w:rFonts w:ascii="Arial" w:eastAsia="Times New Roman" w:hAnsi="Arial" w:cs="Arial"/>
            <w:sz w:val="24"/>
            <w:szCs w:val="24"/>
            <w:lang w:eastAsia="en-GB"/>
          </w:rPr>
          <w:t>https://doi.org/10.1111/ced.15381</w:t>
        </w:r>
      </w:hyperlink>
      <w:r w:rsidRPr="00F71301">
        <w:rPr>
          <w:rFonts w:ascii="Arial" w:eastAsia="Times New Roman" w:hAnsi="Arial" w:cs="Arial"/>
          <w:sz w:val="24"/>
          <w:szCs w:val="24"/>
          <w:lang w:eastAsia="en-GB"/>
        </w:rPr>
        <w:t>.</w:t>
      </w:r>
    </w:p>
    <w:p w14:paraId="11727BF2" w14:textId="77777777" w:rsidR="00397451" w:rsidRPr="00F71301" w:rsidRDefault="00397451" w:rsidP="005F76EF">
      <w:pPr>
        <w:spacing w:after="0" w:line="240" w:lineRule="auto"/>
        <w:rPr>
          <w:rFonts w:ascii="Arial" w:eastAsia="Times New Roman" w:hAnsi="Arial" w:cs="Arial"/>
          <w:sz w:val="24"/>
          <w:szCs w:val="24"/>
          <w:lang w:eastAsia="en-GB"/>
        </w:rPr>
      </w:pPr>
    </w:p>
    <w:p w14:paraId="7009C0B0" w14:textId="77777777" w:rsidR="00397451" w:rsidRPr="00F71301" w:rsidRDefault="00397451" w:rsidP="00397451">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Gašperlin</w:t>
      </w:r>
      <w:proofErr w:type="spellEnd"/>
      <w:r w:rsidRPr="00F71301">
        <w:rPr>
          <w:rFonts w:ascii="Arial" w:eastAsia="Times New Roman" w:hAnsi="Arial" w:cs="Arial"/>
          <w:sz w:val="24"/>
          <w:szCs w:val="24"/>
          <w:lang w:eastAsia="en-GB"/>
        </w:rPr>
        <w:t xml:space="preserve">, B., </w:t>
      </w:r>
      <w:proofErr w:type="spellStart"/>
      <w:r w:rsidRPr="00F71301">
        <w:rPr>
          <w:rFonts w:ascii="Arial" w:eastAsia="Times New Roman" w:hAnsi="Arial" w:cs="Arial"/>
          <w:sz w:val="24"/>
          <w:szCs w:val="24"/>
          <w:lang w:eastAsia="en-GB"/>
        </w:rPr>
        <w:t>Pucihar</w:t>
      </w:r>
      <w:proofErr w:type="spellEnd"/>
      <w:r w:rsidRPr="00F71301">
        <w:rPr>
          <w:rFonts w:ascii="Arial" w:eastAsia="Times New Roman" w:hAnsi="Arial" w:cs="Arial"/>
          <w:sz w:val="24"/>
          <w:szCs w:val="24"/>
          <w:lang w:eastAsia="en-GB"/>
        </w:rPr>
        <w:t xml:space="preserve">, A. and </w:t>
      </w:r>
      <w:proofErr w:type="spellStart"/>
      <w:r w:rsidRPr="00F71301">
        <w:rPr>
          <w:rFonts w:ascii="Arial" w:eastAsia="Times New Roman" w:hAnsi="Arial" w:cs="Arial"/>
          <w:sz w:val="24"/>
          <w:szCs w:val="24"/>
          <w:lang w:eastAsia="en-GB"/>
        </w:rPr>
        <w:t>Kljajić</w:t>
      </w:r>
      <w:proofErr w:type="spellEnd"/>
      <w:r w:rsidRPr="00F71301">
        <w:rPr>
          <w:rFonts w:ascii="Arial" w:eastAsia="Times New Roman" w:hAnsi="Arial" w:cs="Arial"/>
          <w:sz w:val="24"/>
          <w:szCs w:val="24"/>
          <w:lang w:eastAsia="en-GB"/>
        </w:rPr>
        <w:t xml:space="preserve"> </w:t>
      </w:r>
      <w:proofErr w:type="spellStart"/>
      <w:r w:rsidRPr="00F71301">
        <w:rPr>
          <w:rFonts w:ascii="Arial" w:eastAsia="Times New Roman" w:hAnsi="Arial" w:cs="Arial"/>
          <w:sz w:val="24"/>
          <w:szCs w:val="24"/>
          <w:lang w:eastAsia="en-GB"/>
        </w:rPr>
        <w:t>Borštnar</w:t>
      </w:r>
      <w:proofErr w:type="spellEnd"/>
      <w:r w:rsidRPr="00F71301">
        <w:rPr>
          <w:rFonts w:ascii="Arial" w:eastAsia="Times New Roman" w:hAnsi="Arial" w:cs="Arial"/>
          <w:sz w:val="24"/>
          <w:szCs w:val="24"/>
          <w:lang w:eastAsia="en-GB"/>
        </w:rPr>
        <w:t xml:space="preserve">, M. (2021) “Influencing Factors of Digital Transformation in SMEs – Literature Review,” in </w:t>
      </w:r>
      <w:r w:rsidRPr="00F71301">
        <w:rPr>
          <w:rFonts w:ascii="Arial" w:eastAsia="Times New Roman" w:hAnsi="Arial" w:cs="Arial"/>
          <w:i/>
          <w:iCs/>
          <w:sz w:val="24"/>
          <w:szCs w:val="24"/>
          <w:lang w:eastAsia="en-GB"/>
        </w:rPr>
        <w:t>40th International Conference on Organizational Science Development Values Competencies and Changes in Organizations</w:t>
      </w:r>
      <w:r w:rsidRPr="00F71301">
        <w:rPr>
          <w:rFonts w:ascii="Arial" w:eastAsia="Times New Roman" w:hAnsi="Arial" w:cs="Arial"/>
          <w:sz w:val="24"/>
          <w:szCs w:val="24"/>
          <w:lang w:eastAsia="en-GB"/>
        </w:rPr>
        <w:t xml:space="preserve">. University of Maribor Press, pp. 231–244. Available at: </w:t>
      </w:r>
      <w:hyperlink r:id="rId43" w:history="1">
        <w:r w:rsidRPr="00F71301">
          <w:rPr>
            <w:rStyle w:val="Hyperlink"/>
            <w:rFonts w:ascii="Arial" w:eastAsia="Times New Roman" w:hAnsi="Arial" w:cs="Arial"/>
            <w:sz w:val="24"/>
            <w:szCs w:val="24"/>
            <w:lang w:eastAsia="en-GB"/>
          </w:rPr>
          <w:t>https://doi.org/10.18690/978-961-286-442-2.17</w:t>
        </w:r>
      </w:hyperlink>
      <w:r w:rsidRPr="00F71301">
        <w:rPr>
          <w:rFonts w:ascii="Arial" w:eastAsia="Times New Roman" w:hAnsi="Arial" w:cs="Arial"/>
          <w:sz w:val="24"/>
          <w:szCs w:val="24"/>
          <w:lang w:eastAsia="en-GB"/>
        </w:rPr>
        <w:t>.</w:t>
      </w:r>
    </w:p>
    <w:p w14:paraId="41320E9B" w14:textId="77777777" w:rsidR="005F76EF" w:rsidRPr="00F71301" w:rsidRDefault="005F76EF" w:rsidP="005F76EF">
      <w:pPr>
        <w:spacing w:after="0" w:line="240" w:lineRule="auto"/>
        <w:rPr>
          <w:rFonts w:ascii="Arial" w:eastAsia="Times New Roman" w:hAnsi="Arial" w:cs="Arial"/>
          <w:sz w:val="24"/>
          <w:szCs w:val="24"/>
          <w:lang w:eastAsia="en-GB"/>
        </w:rPr>
      </w:pPr>
    </w:p>
    <w:p w14:paraId="38673517" w14:textId="77777777" w:rsidR="00F747F8" w:rsidRPr="00F71301" w:rsidRDefault="00F747F8" w:rsidP="00F747F8">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Gentili</w:t>
      </w:r>
      <w:proofErr w:type="spellEnd"/>
      <w:r w:rsidRPr="00F71301">
        <w:rPr>
          <w:rFonts w:ascii="Arial" w:eastAsia="Times New Roman" w:hAnsi="Arial" w:cs="Arial"/>
          <w:sz w:val="24"/>
          <w:szCs w:val="24"/>
          <w:lang w:eastAsia="en-GB"/>
        </w:rPr>
        <w:t xml:space="preserve">, A.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(2022) “The cost-effectiveness of digital health interventions: A systematic review of the literature,” </w:t>
      </w:r>
      <w:r w:rsidRPr="00F71301">
        <w:rPr>
          <w:rFonts w:ascii="Arial" w:eastAsia="Times New Roman" w:hAnsi="Arial" w:cs="Arial"/>
          <w:i/>
          <w:iCs/>
          <w:sz w:val="24"/>
          <w:szCs w:val="24"/>
          <w:lang w:eastAsia="en-GB"/>
        </w:rPr>
        <w:t>Frontiers in Public Health</w:t>
      </w:r>
      <w:r w:rsidRPr="00F71301">
        <w:rPr>
          <w:rFonts w:ascii="Arial" w:eastAsia="Times New Roman" w:hAnsi="Arial" w:cs="Arial"/>
          <w:sz w:val="24"/>
          <w:szCs w:val="24"/>
          <w:lang w:eastAsia="en-GB"/>
        </w:rPr>
        <w:t xml:space="preserve">, 10. Available at: </w:t>
      </w:r>
      <w:hyperlink r:id="rId44" w:history="1">
        <w:r w:rsidR="00D22EB9" w:rsidRPr="00F71301">
          <w:rPr>
            <w:rStyle w:val="Hyperlink"/>
            <w:rFonts w:ascii="Arial" w:eastAsia="Times New Roman" w:hAnsi="Arial" w:cs="Arial"/>
            <w:sz w:val="24"/>
            <w:szCs w:val="24"/>
            <w:lang w:eastAsia="en-GB"/>
          </w:rPr>
          <w:t>https://doi.org/10.3389/fpubh.2022.787135</w:t>
        </w:r>
      </w:hyperlink>
      <w:r w:rsidRPr="00F71301">
        <w:rPr>
          <w:rFonts w:ascii="Arial" w:eastAsia="Times New Roman" w:hAnsi="Arial" w:cs="Arial"/>
          <w:sz w:val="24"/>
          <w:szCs w:val="24"/>
          <w:lang w:eastAsia="en-GB"/>
        </w:rPr>
        <w:t>.</w:t>
      </w:r>
    </w:p>
    <w:p w14:paraId="6A6C7298" w14:textId="77777777" w:rsidR="00F747F8" w:rsidRPr="00F71301" w:rsidRDefault="00F747F8" w:rsidP="00394257">
      <w:pPr>
        <w:spacing w:after="0" w:line="240" w:lineRule="auto"/>
        <w:rPr>
          <w:rFonts w:ascii="Arial" w:eastAsia="Times New Roman" w:hAnsi="Arial" w:cs="Arial"/>
          <w:sz w:val="24"/>
          <w:szCs w:val="24"/>
          <w:lang w:eastAsia="en-GB"/>
        </w:rPr>
      </w:pPr>
    </w:p>
    <w:p w14:paraId="5D7516BF" w14:textId="77777777" w:rsidR="00394257" w:rsidRPr="00F71301" w:rsidRDefault="00394257" w:rsidP="00394257">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Gillibrand, S.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(2024) “Marginalisation and distrust in the context of the COVID-19 vaccination programme: experiences of communities in a northern UK city region,” </w:t>
      </w:r>
      <w:r w:rsidRPr="00F71301">
        <w:rPr>
          <w:rFonts w:ascii="Arial" w:eastAsia="Times New Roman" w:hAnsi="Arial" w:cs="Arial"/>
          <w:i/>
          <w:iCs/>
          <w:sz w:val="24"/>
          <w:szCs w:val="24"/>
          <w:lang w:eastAsia="en-GB"/>
        </w:rPr>
        <w:t>BMC Public Health</w:t>
      </w:r>
      <w:r w:rsidRPr="00F71301">
        <w:rPr>
          <w:rFonts w:ascii="Arial" w:eastAsia="Times New Roman" w:hAnsi="Arial" w:cs="Arial"/>
          <w:sz w:val="24"/>
          <w:szCs w:val="24"/>
          <w:lang w:eastAsia="en-GB"/>
        </w:rPr>
        <w:t xml:space="preserve">, 24(1), p. 853. Available at: </w:t>
      </w:r>
      <w:hyperlink r:id="rId45" w:history="1">
        <w:r w:rsidR="00DA3F08" w:rsidRPr="00F71301">
          <w:rPr>
            <w:rStyle w:val="Hyperlink"/>
            <w:rFonts w:ascii="Arial" w:eastAsia="Times New Roman" w:hAnsi="Arial" w:cs="Arial"/>
            <w:sz w:val="24"/>
            <w:szCs w:val="24"/>
            <w:lang w:eastAsia="en-GB"/>
          </w:rPr>
          <w:t>https://doi.org/10.1186/s12889-024-18308-0</w:t>
        </w:r>
      </w:hyperlink>
      <w:r w:rsidRPr="00F71301">
        <w:rPr>
          <w:rFonts w:ascii="Arial" w:eastAsia="Times New Roman" w:hAnsi="Arial" w:cs="Arial"/>
          <w:sz w:val="24"/>
          <w:szCs w:val="24"/>
          <w:lang w:eastAsia="en-GB"/>
        </w:rPr>
        <w:t>.</w:t>
      </w:r>
    </w:p>
    <w:p w14:paraId="6FF67BF2" w14:textId="77777777" w:rsidR="00E2058E" w:rsidRPr="00F71301" w:rsidRDefault="00E2058E" w:rsidP="00394257">
      <w:pPr>
        <w:spacing w:after="0" w:line="240" w:lineRule="auto"/>
        <w:rPr>
          <w:rFonts w:ascii="Arial" w:eastAsia="Times New Roman" w:hAnsi="Arial" w:cs="Arial"/>
          <w:sz w:val="24"/>
          <w:szCs w:val="24"/>
          <w:lang w:eastAsia="en-GB"/>
        </w:rPr>
      </w:pPr>
    </w:p>
    <w:p w14:paraId="5DFDD598" w14:textId="77777777" w:rsidR="00E2058E" w:rsidRPr="00F71301" w:rsidRDefault="00E2058E" w:rsidP="00E2058E">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Guo, W.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(2024) “Limitations and Potential Dark Sides of Transformational Leadership: The Case of the Founder and Former CEO of </w:t>
      </w:r>
      <w:proofErr w:type="spellStart"/>
      <w:r w:rsidRPr="00F71301">
        <w:rPr>
          <w:rFonts w:ascii="Arial" w:eastAsia="Times New Roman" w:hAnsi="Arial" w:cs="Arial"/>
          <w:sz w:val="24"/>
          <w:szCs w:val="24"/>
          <w:lang w:eastAsia="en-GB"/>
        </w:rPr>
        <w:t>Theranos</w:t>
      </w:r>
      <w:proofErr w:type="spellEnd"/>
      <w:r w:rsidRPr="00F71301">
        <w:rPr>
          <w:rFonts w:ascii="Arial" w:eastAsia="Times New Roman" w:hAnsi="Arial" w:cs="Arial"/>
          <w:sz w:val="24"/>
          <w:szCs w:val="24"/>
          <w:lang w:eastAsia="en-GB"/>
        </w:rPr>
        <w:t xml:space="preserve">,” </w:t>
      </w:r>
      <w:r w:rsidRPr="00F71301">
        <w:rPr>
          <w:rFonts w:ascii="Arial" w:eastAsia="Times New Roman" w:hAnsi="Arial" w:cs="Arial"/>
          <w:i/>
          <w:iCs/>
          <w:sz w:val="24"/>
          <w:szCs w:val="24"/>
          <w:lang w:eastAsia="en-GB"/>
        </w:rPr>
        <w:t>Management Teaching Review</w:t>
      </w:r>
      <w:r w:rsidRPr="00F71301">
        <w:rPr>
          <w:rFonts w:ascii="Arial" w:eastAsia="Times New Roman" w:hAnsi="Arial" w:cs="Arial"/>
          <w:sz w:val="24"/>
          <w:szCs w:val="24"/>
          <w:lang w:eastAsia="en-GB"/>
        </w:rPr>
        <w:t xml:space="preserve"> [Preprint]. Available at: </w:t>
      </w:r>
      <w:hyperlink r:id="rId46" w:history="1">
        <w:r w:rsidRPr="00F71301">
          <w:rPr>
            <w:rStyle w:val="Hyperlink"/>
            <w:rFonts w:ascii="Arial" w:eastAsia="Times New Roman" w:hAnsi="Arial" w:cs="Arial"/>
            <w:sz w:val="24"/>
            <w:szCs w:val="24"/>
            <w:lang w:eastAsia="en-GB"/>
          </w:rPr>
          <w:t>https://doi.org/10.1177/23792981241267758</w:t>
        </w:r>
      </w:hyperlink>
      <w:r w:rsidRPr="00F71301">
        <w:rPr>
          <w:rFonts w:ascii="Arial" w:eastAsia="Times New Roman" w:hAnsi="Arial" w:cs="Arial"/>
          <w:sz w:val="24"/>
          <w:szCs w:val="24"/>
          <w:lang w:eastAsia="en-GB"/>
        </w:rPr>
        <w:t>.</w:t>
      </w:r>
    </w:p>
    <w:p w14:paraId="6DF80A99" w14:textId="77777777" w:rsidR="00650B21" w:rsidRPr="00F71301" w:rsidRDefault="00650B21" w:rsidP="00394257">
      <w:pPr>
        <w:spacing w:after="0" w:line="240" w:lineRule="auto"/>
        <w:rPr>
          <w:rFonts w:ascii="Arial" w:eastAsia="Times New Roman" w:hAnsi="Arial" w:cs="Arial"/>
          <w:sz w:val="24"/>
          <w:szCs w:val="24"/>
          <w:lang w:eastAsia="en-GB"/>
        </w:rPr>
      </w:pPr>
    </w:p>
    <w:p w14:paraId="5FBB7C60" w14:textId="77777777" w:rsidR="00650B21" w:rsidRPr="00F71301" w:rsidRDefault="00650B21" w:rsidP="00650B21">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Harris, A. (2013) “Distributed Leadership,” </w:t>
      </w:r>
      <w:r w:rsidRPr="00F71301">
        <w:rPr>
          <w:rFonts w:ascii="Arial" w:eastAsia="Times New Roman" w:hAnsi="Arial" w:cs="Arial"/>
          <w:i/>
          <w:iCs/>
          <w:sz w:val="24"/>
          <w:szCs w:val="24"/>
          <w:lang w:eastAsia="en-GB"/>
        </w:rPr>
        <w:t>Educational Management Administration &amp; Leadership</w:t>
      </w:r>
      <w:r w:rsidRPr="00F71301">
        <w:rPr>
          <w:rFonts w:ascii="Arial" w:eastAsia="Times New Roman" w:hAnsi="Arial" w:cs="Arial"/>
          <w:sz w:val="24"/>
          <w:szCs w:val="24"/>
          <w:lang w:eastAsia="en-GB"/>
        </w:rPr>
        <w:t xml:space="preserve">, 41(5), pp. 545–554. Available at: </w:t>
      </w:r>
      <w:hyperlink r:id="rId47" w:history="1">
        <w:r w:rsidRPr="00F71301">
          <w:rPr>
            <w:rStyle w:val="Hyperlink"/>
            <w:rFonts w:ascii="Arial" w:eastAsia="Times New Roman" w:hAnsi="Arial" w:cs="Arial"/>
            <w:sz w:val="24"/>
            <w:szCs w:val="24"/>
            <w:lang w:eastAsia="en-GB"/>
          </w:rPr>
          <w:t>https://doi.org/10.1177/1741143213497635</w:t>
        </w:r>
      </w:hyperlink>
      <w:r w:rsidRPr="00F71301">
        <w:rPr>
          <w:rFonts w:ascii="Arial" w:eastAsia="Times New Roman" w:hAnsi="Arial" w:cs="Arial"/>
          <w:sz w:val="24"/>
          <w:szCs w:val="24"/>
          <w:lang w:eastAsia="en-GB"/>
        </w:rPr>
        <w:t>.</w:t>
      </w:r>
    </w:p>
    <w:p w14:paraId="369F6530" w14:textId="77777777" w:rsidR="00445603" w:rsidRPr="00F71301" w:rsidRDefault="00445603" w:rsidP="00650B21">
      <w:pPr>
        <w:spacing w:after="0" w:line="240" w:lineRule="auto"/>
        <w:rPr>
          <w:rFonts w:ascii="Arial" w:eastAsia="Times New Roman" w:hAnsi="Arial" w:cs="Arial"/>
          <w:sz w:val="24"/>
          <w:szCs w:val="24"/>
          <w:lang w:eastAsia="en-GB"/>
        </w:rPr>
      </w:pPr>
    </w:p>
    <w:p w14:paraId="1BF9B503" w14:textId="77777777" w:rsidR="00445603" w:rsidRPr="00F71301" w:rsidRDefault="00445603" w:rsidP="00650B21">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Hersey, P; Blanchard, K (19</w:t>
      </w:r>
      <w:r w:rsidR="00144596" w:rsidRPr="00F71301">
        <w:rPr>
          <w:rFonts w:ascii="Arial" w:eastAsia="Times New Roman" w:hAnsi="Arial" w:cs="Arial"/>
          <w:sz w:val="24"/>
          <w:szCs w:val="24"/>
          <w:lang w:eastAsia="en-GB"/>
        </w:rPr>
        <w:t>69</w:t>
      </w:r>
      <w:r w:rsidRPr="00F71301">
        <w:rPr>
          <w:rFonts w:ascii="Arial" w:eastAsia="Times New Roman" w:hAnsi="Arial" w:cs="Arial"/>
          <w:sz w:val="24"/>
          <w:szCs w:val="24"/>
          <w:lang w:eastAsia="en-GB"/>
        </w:rPr>
        <w:t xml:space="preserve">) </w:t>
      </w:r>
      <w:r w:rsidR="00144596" w:rsidRPr="00F71301">
        <w:rPr>
          <w:rFonts w:ascii="Arial" w:eastAsia="Times New Roman" w:hAnsi="Arial" w:cs="Arial"/>
          <w:sz w:val="24"/>
          <w:szCs w:val="24"/>
          <w:lang w:eastAsia="en-GB"/>
        </w:rPr>
        <w:t xml:space="preserve">“Life Cycle Theory of Leadership”. </w:t>
      </w:r>
      <w:r w:rsidR="00144596" w:rsidRPr="00F71301">
        <w:rPr>
          <w:rFonts w:ascii="Arial" w:eastAsia="Times New Roman" w:hAnsi="Arial" w:cs="Arial"/>
          <w:i/>
          <w:sz w:val="24"/>
          <w:szCs w:val="24"/>
          <w:lang w:eastAsia="en-GB"/>
        </w:rPr>
        <w:t>Train Dev J</w:t>
      </w:r>
      <w:r w:rsidR="00144596" w:rsidRPr="00F71301">
        <w:rPr>
          <w:rFonts w:ascii="Arial" w:eastAsia="Times New Roman" w:hAnsi="Arial" w:cs="Arial"/>
          <w:sz w:val="24"/>
          <w:szCs w:val="24"/>
          <w:lang w:eastAsia="en-GB"/>
        </w:rPr>
        <w:t xml:space="preserve"> 23(5): 26-34</w:t>
      </w:r>
    </w:p>
    <w:p w14:paraId="55A1EE02" w14:textId="77777777" w:rsidR="008035B6" w:rsidRPr="00F71301" w:rsidRDefault="008035B6" w:rsidP="00394257">
      <w:pPr>
        <w:spacing w:after="0" w:line="240" w:lineRule="auto"/>
        <w:rPr>
          <w:rFonts w:ascii="Arial" w:eastAsia="Times New Roman" w:hAnsi="Arial" w:cs="Arial"/>
          <w:sz w:val="24"/>
          <w:szCs w:val="24"/>
          <w:lang w:eastAsia="en-GB"/>
        </w:rPr>
      </w:pPr>
    </w:p>
    <w:p w14:paraId="4034AC3A" w14:textId="77777777" w:rsidR="008035B6" w:rsidRPr="00F71301" w:rsidRDefault="008035B6" w:rsidP="008035B6">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Hoch, J.E.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(2018) “Do Ethical, Authentic, and Servant Leadership Explain Variance Above and Beyond Transformational Leadership? A Meta-Analysis,” </w:t>
      </w:r>
      <w:r w:rsidRPr="00F71301">
        <w:rPr>
          <w:rFonts w:ascii="Arial" w:eastAsia="Times New Roman" w:hAnsi="Arial" w:cs="Arial"/>
          <w:i/>
          <w:iCs/>
          <w:sz w:val="24"/>
          <w:szCs w:val="24"/>
          <w:lang w:eastAsia="en-GB"/>
        </w:rPr>
        <w:t>Journal of Management</w:t>
      </w:r>
      <w:r w:rsidRPr="00F71301">
        <w:rPr>
          <w:rFonts w:ascii="Arial" w:eastAsia="Times New Roman" w:hAnsi="Arial" w:cs="Arial"/>
          <w:sz w:val="24"/>
          <w:szCs w:val="24"/>
          <w:lang w:eastAsia="en-GB"/>
        </w:rPr>
        <w:t xml:space="preserve">, 44(2), pp. 501–529. Available at: </w:t>
      </w:r>
      <w:hyperlink r:id="rId48" w:history="1">
        <w:r w:rsidRPr="00F71301">
          <w:rPr>
            <w:rStyle w:val="Hyperlink"/>
            <w:rFonts w:ascii="Arial" w:eastAsia="Times New Roman" w:hAnsi="Arial" w:cs="Arial"/>
            <w:sz w:val="24"/>
            <w:szCs w:val="24"/>
            <w:lang w:eastAsia="en-GB"/>
          </w:rPr>
          <w:t>https://doi.org/10.1177/0149206316665461</w:t>
        </w:r>
      </w:hyperlink>
      <w:r w:rsidRPr="00F71301">
        <w:rPr>
          <w:rFonts w:ascii="Arial" w:eastAsia="Times New Roman" w:hAnsi="Arial" w:cs="Arial"/>
          <w:sz w:val="24"/>
          <w:szCs w:val="24"/>
          <w:lang w:eastAsia="en-GB"/>
        </w:rPr>
        <w:t>.</w:t>
      </w:r>
    </w:p>
    <w:p w14:paraId="3FBFFD52" w14:textId="77777777" w:rsidR="00397451" w:rsidRPr="00F71301" w:rsidRDefault="00397451" w:rsidP="008035B6">
      <w:pPr>
        <w:spacing w:after="0" w:line="240" w:lineRule="auto"/>
        <w:rPr>
          <w:rFonts w:ascii="Arial" w:eastAsia="Times New Roman" w:hAnsi="Arial" w:cs="Arial"/>
          <w:sz w:val="24"/>
          <w:szCs w:val="24"/>
          <w:lang w:eastAsia="en-GB"/>
        </w:rPr>
      </w:pPr>
    </w:p>
    <w:p w14:paraId="4365FADF" w14:textId="77777777" w:rsidR="00397451" w:rsidRPr="00F71301" w:rsidRDefault="00397451" w:rsidP="00397451">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lastRenderedPageBreak/>
        <w:t>Horváth</w:t>
      </w:r>
      <w:proofErr w:type="spellEnd"/>
      <w:r w:rsidRPr="00F71301">
        <w:rPr>
          <w:rFonts w:ascii="Arial" w:eastAsia="Times New Roman" w:hAnsi="Arial" w:cs="Arial"/>
          <w:sz w:val="24"/>
          <w:szCs w:val="24"/>
          <w:lang w:eastAsia="en-GB"/>
        </w:rPr>
        <w:t xml:space="preserve">, D. and </w:t>
      </w:r>
      <w:proofErr w:type="spellStart"/>
      <w:r w:rsidRPr="00F71301">
        <w:rPr>
          <w:rFonts w:ascii="Arial" w:eastAsia="Times New Roman" w:hAnsi="Arial" w:cs="Arial"/>
          <w:sz w:val="24"/>
          <w:szCs w:val="24"/>
          <w:lang w:eastAsia="en-GB"/>
        </w:rPr>
        <w:t>Szabó</w:t>
      </w:r>
      <w:proofErr w:type="spellEnd"/>
      <w:r w:rsidRPr="00F71301">
        <w:rPr>
          <w:rFonts w:ascii="Arial" w:eastAsia="Times New Roman" w:hAnsi="Arial" w:cs="Arial"/>
          <w:sz w:val="24"/>
          <w:szCs w:val="24"/>
          <w:lang w:eastAsia="en-GB"/>
        </w:rPr>
        <w:t>, R.Zs. (2019) “Driving forces and barriers of Industry 4.0: Do multinational and small and medium-sized companies have equal opportunities</w:t>
      </w:r>
      <w:proofErr w:type="gramStart"/>
      <w:r w:rsidRPr="00F71301">
        <w:rPr>
          <w:rFonts w:ascii="Arial" w:eastAsia="Times New Roman" w:hAnsi="Arial" w:cs="Arial"/>
          <w:sz w:val="24"/>
          <w:szCs w:val="24"/>
          <w:lang w:eastAsia="en-GB"/>
        </w:rPr>
        <w:t>?,</w:t>
      </w:r>
      <w:proofErr w:type="gramEnd"/>
      <w:r w:rsidRPr="00F71301">
        <w:rPr>
          <w:rFonts w:ascii="Arial" w:eastAsia="Times New Roman" w:hAnsi="Arial" w:cs="Arial"/>
          <w:sz w:val="24"/>
          <w:szCs w:val="24"/>
          <w:lang w:eastAsia="en-GB"/>
        </w:rPr>
        <w:t xml:space="preserve">” </w:t>
      </w:r>
      <w:r w:rsidRPr="00F71301">
        <w:rPr>
          <w:rFonts w:ascii="Arial" w:eastAsia="Times New Roman" w:hAnsi="Arial" w:cs="Arial"/>
          <w:i/>
          <w:iCs/>
          <w:sz w:val="24"/>
          <w:szCs w:val="24"/>
          <w:lang w:eastAsia="en-GB"/>
        </w:rPr>
        <w:t>Technological Forecasting and Social Change</w:t>
      </w:r>
      <w:r w:rsidRPr="00F71301">
        <w:rPr>
          <w:rFonts w:ascii="Arial" w:eastAsia="Times New Roman" w:hAnsi="Arial" w:cs="Arial"/>
          <w:sz w:val="24"/>
          <w:szCs w:val="24"/>
          <w:lang w:eastAsia="en-GB"/>
        </w:rPr>
        <w:t xml:space="preserve">, 146, pp. 119–132. Available at: </w:t>
      </w:r>
      <w:hyperlink r:id="rId49" w:history="1">
        <w:r w:rsidRPr="00F71301">
          <w:rPr>
            <w:rStyle w:val="Hyperlink"/>
            <w:rFonts w:ascii="Arial" w:eastAsia="Times New Roman" w:hAnsi="Arial" w:cs="Arial"/>
            <w:sz w:val="24"/>
            <w:szCs w:val="24"/>
            <w:lang w:eastAsia="en-GB"/>
          </w:rPr>
          <w:t>https://doi.org/10.1016/j.techfore.2019.05.021</w:t>
        </w:r>
      </w:hyperlink>
      <w:r w:rsidRPr="00F71301">
        <w:rPr>
          <w:rFonts w:ascii="Arial" w:eastAsia="Times New Roman" w:hAnsi="Arial" w:cs="Arial"/>
          <w:sz w:val="24"/>
          <w:szCs w:val="24"/>
          <w:lang w:eastAsia="en-GB"/>
        </w:rPr>
        <w:t>.</w:t>
      </w:r>
    </w:p>
    <w:p w14:paraId="3A560CD0" w14:textId="77777777" w:rsidR="00BF1A83" w:rsidRPr="00F71301" w:rsidRDefault="00BF1A83" w:rsidP="00BF1A83">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Iden</w:t>
      </w:r>
      <w:proofErr w:type="spellEnd"/>
      <w:r w:rsidRPr="00F71301">
        <w:rPr>
          <w:rFonts w:ascii="Arial" w:eastAsia="Times New Roman" w:hAnsi="Arial" w:cs="Arial"/>
          <w:sz w:val="24"/>
          <w:szCs w:val="24"/>
          <w:lang w:eastAsia="en-GB"/>
        </w:rPr>
        <w:t xml:space="preserve">, J. and </w:t>
      </w:r>
      <w:proofErr w:type="spellStart"/>
      <w:r w:rsidRPr="00F71301">
        <w:rPr>
          <w:rFonts w:ascii="Arial" w:eastAsia="Times New Roman" w:hAnsi="Arial" w:cs="Arial"/>
          <w:sz w:val="24"/>
          <w:szCs w:val="24"/>
          <w:lang w:eastAsia="en-GB"/>
        </w:rPr>
        <w:t>Bygstad</w:t>
      </w:r>
      <w:proofErr w:type="spellEnd"/>
      <w:r w:rsidRPr="00F71301">
        <w:rPr>
          <w:rFonts w:ascii="Arial" w:eastAsia="Times New Roman" w:hAnsi="Arial" w:cs="Arial"/>
          <w:sz w:val="24"/>
          <w:szCs w:val="24"/>
          <w:lang w:eastAsia="en-GB"/>
        </w:rPr>
        <w:t xml:space="preserve">, B. (2025) “Sociotechnical micro-foundations for digital transformation,” </w:t>
      </w:r>
      <w:r w:rsidRPr="00F71301">
        <w:rPr>
          <w:rFonts w:ascii="Arial" w:eastAsia="Times New Roman" w:hAnsi="Arial" w:cs="Arial"/>
          <w:i/>
          <w:iCs/>
          <w:sz w:val="24"/>
          <w:szCs w:val="24"/>
          <w:lang w:eastAsia="en-GB"/>
        </w:rPr>
        <w:t>European Journal of Information Systems</w:t>
      </w:r>
      <w:r w:rsidRPr="00F71301">
        <w:rPr>
          <w:rFonts w:ascii="Arial" w:eastAsia="Times New Roman" w:hAnsi="Arial" w:cs="Arial"/>
          <w:sz w:val="24"/>
          <w:szCs w:val="24"/>
          <w:lang w:eastAsia="en-GB"/>
        </w:rPr>
        <w:t xml:space="preserve">, 34(2), pp. 367–382. Available at: </w:t>
      </w:r>
      <w:hyperlink r:id="rId50" w:history="1">
        <w:r w:rsidRPr="00F71301">
          <w:rPr>
            <w:rStyle w:val="Hyperlink"/>
            <w:rFonts w:ascii="Arial" w:eastAsia="Times New Roman" w:hAnsi="Arial" w:cs="Arial"/>
            <w:sz w:val="24"/>
            <w:szCs w:val="24"/>
            <w:lang w:eastAsia="en-GB"/>
          </w:rPr>
          <w:t>https://doi.org/10.1080/0960085X.2024.2347950</w:t>
        </w:r>
      </w:hyperlink>
      <w:r w:rsidRPr="00F71301">
        <w:rPr>
          <w:rFonts w:ascii="Arial" w:eastAsia="Times New Roman" w:hAnsi="Arial" w:cs="Arial"/>
          <w:sz w:val="24"/>
          <w:szCs w:val="24"/>
          <w:lang w:eastAsia="en-GB"/>
        </w:rPr>
        <w:t>.</w:t>
      </w:r>
    </w:p>
    <w:p w14:paraId="12364C33" w14:textId="77777777" w:rsidR="00BF1A83" w:rsidRPr="00F71301" w:rsidRDefault="00BF1A83" w:rsidP="00397451">
      <w:pPr>
        <w:spacing w:after="0" w:line="240" w:lineRule="auto"/>
        <w:rPr>
          <w:rFonts w:ascii="Arial" w:eastAsia="Times New Roman" w:hAnsi="Arial" w:cs="Arial"/>
          <w:sz w:val="24"/>
          <w:szCs w:val="24"/>
          <w:lang w:eastAsia="en-GB"/>
        </w:rPr>
      </w:pPr>
    </w:p>
    <w:p w14:paraId="481602B0" w14:textId="77777777" w:rsidR="00C30151" w:rsidRPr="00F71301" w:rsidRDefault="00C30151" w:rsidP="00C30151">
      <w:pPr>
        <w:rPr>
          <w:rFonts w:ascii="Arial" w:hAnsi="Arial" w:cs="Arial"/>
          <w:sz w:val="24"/>
          <w:szCs w:val="24"/>
        </w:rPr>
      </w:pPr>
      <w:r w:rsidRPr="00F71301">
        <w:rPr>
          <w:rFonts w:ascii="Arial" w:hAnsi="Arial" w:cs="Arial"/>
          <w:sz w:val="24"/>
          <w:szCs w:val="24"/>
        </w:rPr>
        <w:t xml:space="preserve">Improvement Cymru (2023) ‘Model for Improvement’. Improvement Cymru Academy Toolkit Guide. Available at: </w:t>
      </w:r>
      <w:hyperlink r:id="rId51" w:history="1">
        <w:r w:rsidRPr="00F71301">
          <w:rPr>
            <w:rFonts w:ascii="Arial" w:hAnsi="Arial" w:cs="Arial"/>
            <w:color w:val="0000FF"/>
            <w:sz w:val="24"/>
            <w:szCs w:val="24"/>
            <w:u w:val="single"/>
          </w:rPr>
          <w:t>performanceandimprovement.nhs.wales/functions/quality-safety-and-improvement/improvement/improvement-cymru-academy/resource-library/academy-toolkit-guides/model-for-improvement-toolkit-guide/</w:t>
        </w:r>
      </w:hyperlink>
      <w:r w:rsidRPr="00F71301">
        <w:rPr>
          <w:rFonts w:ascii="Arial" w:hAnsi="Arial" w:cs="Arial"/>
          <w:sz w:val="24"/>
          <w:szCs w:val="24"/>
        </w:rPr>
        <w:t xml:space="preserve">  accessed on 2.11.25</w:t>
      </w:r>
    </w:p>
    <w:p w14:paraId="0F7202B1" w14:textId="77777777" w:rsidR="00397451" w:rsidRPr="00F71301" w:rsidRDefault="00397451" w:rsidP="00397451">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Kang, C. and Sarkar, I.N. (2024) “Interventions to Reduce Electronic Health Record-Related Burnout: A Systematic Review,” </w:t>
      </w:r>
      <w:r w:rsidRPr="00F71301">
        <w:rPr>
          <w:rFonts w:ascii="Arial" w:eastAsia="Times New Roman" w:hAnsi="Arial" w:cs="Arial"/>
          <w:i/>
          <w:iCs/>
          <w:sz w:val="24"/>
          <w:szCs w:val="24"/>
          <w:lang w:eastAsia="en-GB"/>
        </w:rPr>
        <w:t>Applied Clinical Informatics</w:t>
      </w:r>
      <w:r w:rsidRPr="00F71301">
        <w:rPr>
          <w:rFonts w:ascii="Arial" w:eastAsia="Times New Roman" w:hAnsi="Arial" w:cs="Arial"/>
          <w:sz w:val="24"/>
          <w:szCs w:val="24"/>
          <w:lang w:eastAsia="en-GB"/>
        </w:rPr>
        <w:t xml:space="preserve">, 15(01), pp. 010–025. Available at: </w:t>
      </w:r>
      <w:hyperlink r:id="rId52" w:history="1">
        <w:r w:rsidRPr="00F71301">
          <w:rPr>
            <w:rStyle w:val="Hyperlink"/>
            <w:rFonts w:ascii="Arial" w:eastAsia="Times New Roman" w:hAnsi="Arial" w:cs="Arial"/>
            <w:sz w:val="24"/>
            <w:szCs w:val="24"/>
            <w:lang w:eastAsia="en-GB"/>
          </w:rPr>
          <w:t>https://doi.org/10.1055/a-2203-3787</w:t>
        </w:r>
      </w:hyperlink>
      <w:r w:rsidRPr="00F71301">
        <w:rPr>
          <w:rFonts w:ascii="Arial" w:eastAsia="Times New Roman" w:hAnsi="Arial" w:cs="Arial"/>
          <w:sz w:val="24"/>
          <w:szCs w:val="24"/>
          <w:lang w:eastAsia="en-GB"/>
        </w:rPr>
        <w:t>.</w:t>
      </w:r>
    </w:p>
    <w:p w14:paraId="23DDF13B" w14:textId="77777777" w:rsidR="00397451" w:rsidRPr="00F71301" w:rsidRDefault="00397451" w:rsidP="00C30151">
      <w:pPr>
        <w:rPr>
          <w:rFonts w:ascii="Arial" w:hAnsi="Arial" w:cs="Arial"/>
          <w:sz w:val="24"/>
          <w:szCs w:val="24"/>
        </w:rPr>
      </w:pPr>
    </w:p>
    <w:p w14:paraId="147C2F5D" w14:textId="77777777" w:rsidR="00355E42" w:rsidRPr="00F71301" w:rsidRDefault="00355E42" w:rsidP="008035B6">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Khan, I.E. &amp; Nawaz, A. (2016) </w:t>
      </w:r>
      <w:r w:rsidR="00E31BA0" w:rsidRPr="00F71301">
        <w:rPr>
          <w:rFonts w:ascii="Arial" w:eastAsia="Times New Roman" w:hAnsi="Arial" w:cs="Arial"/>
          <w:sz w:val="24"/>
          <w:szCs w:val="24"/>
          <w:lang w:eastAsia="en-GB"/>
        </w:rPr>
        <w:t>“</w:t>
      </w:r>
      <w:r w:rsidRPr="00F71301">
        <w:rPr>
          <w:rFonts w:ascii="Arial" w:eastAsia="Times New Roman" w:hAnsi="Arial" w:cs="Arial"/>
          <w:sz w:val="24"/>
          <w:szCs w:val="24"/>
          <w:lang w:eastAsia="en-GB"/>
        </w:rPr>
        <w:t>A Comparative Analysis of Leadership Theories: A Review</w:t>
      </w:r>
      <w:r w:rsidR="00E31BA0" w:rsidRPr="00F71301">
        <w:rPr>
          <w:rFonts w:ascii="Arial" w:eastAsia="Times New Roman" w:hAnsi="Arial" w:cs="Arial"/>
          <w:sz w:val="24"/>
          <w:szCs w:val="24"/>
          <w:lang w:eastAsia="en-GB"/>
        </w:rPr>
        <w:t>”</w:t>
      </w:r>
      <w:r w:rsidRPr="00F71301">
        <w:rPr>
          <w:rFonts w:ascii="Arial" w:eastAsia="Times New Roman" w:hAnsi="Arial" w:cs="Arial"/>
          <w:sz w:val="24"/>
          <w:szCs w:val="24"/>
          <w:lang w:eastAsia="en-GB"/>
        </w:rPr>
        <w:t xml:space="preserve">. </w:t>
      </w:r>
      <w:proofErr w:type="spellStart"/>
      <w:r w:rsidR="00E31BA0" w:rsidRPr="00F71301">
        <w:rPr>
          <w:rFonts w:ascii="Arial" w:eastAsia="Times New Roman" w:hAnsi="Arial" w:cs="Arial"/>
          <w:i/>
          <w:sz w:val="24"/>
          <w:szCs w:val="24"/>
          <w:lang w:eastAsia="en-GB"/>
        </w:rPr>
        <w:t>Gomal</w:t>
      </w:r>
      <w:proofErr w:type="spellEnd"/>
      <w:r w:rsidR="00E31BA0" w:rsidRPr="00F71301">
        <w:rPr>
          <w:rFonts w:ascii="Arial" w:eastAsia="Times New Roman" w:hAnsi="Arial" w:cs="Arial"/>
          <w:i/>
          <w:sz w:val="24"/>
          <w:szCs w:val="24"/>
          <w:lang w:eastAsia="en-GB"/>
        </w:rPr>
        <w:t xml:space="preserve"> University Journal of Research</w:t>
      </w:r>
      <w:r w:rsidR="00E31BA0" w:rsidRPr="00F71301">
        <w:rPr>
          <w:rFonts w:ascii="Arial" w:eastAsia="Times New Roman" w:hAnsi="Arial" w:cs="Arial"/>
          <w:sz w:val="24"/>
          <w:szCs w:val="24"/>
          <w:lang w:eastAsia="en-GB"/>
        </w:rPr>
        <w:t>. Special Issue IV. Pp.20-30</w:t>
      </w:r>
    </w:p>
    <w:p w14:paraId="7B31CED6" w14:textId="77777777" w:rsidR="00397451" w:rsidRPr="00F71301" w:rsidRDefault="00397451" w:rsidP="00DA3F08">
      <w:pPr>
        <w:spacing w:after="0" w:line="240" w:lineRule="auto"/>
        <w:rPr>
          <w:rFonts w:ascii="Arial" w:eastAsia="Times New Roman" w:hAnsi="Arial" w:cs="Arial"/>
          <w:sz w:val="24"/>
          <w:szCs w:val="24"/>
          <w:lang w:eastAsia="en-GB"/>
        </w:rPr>
      </w:pPr>
    </w:p>
    <w:p w14:paraId="40D8CF98" w14:textId="77777777" w:rsidR="00397451" w:rsidRPr="00F71301" w:rsidRDefault="00397451" w:rsidP="00397451">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Kulichyova</w:t>
      </w:r>
      <w:proofErr w:type="spellEnd"/>
      <w:r w:rsidRPr="00F71301">
        <w:rPr>
          <w:rFonts w:ascii="Arial" w:eastAsia="Times New Roman" w:hAnsi="Arial" w:cs="Arial"/>
          <w:sz w:val="24"/>
          <w:szCs w:val="24"/>
          <w:lang w:eastAsia="en-GB"/>
        </w:rPr>
        <w:t xml:space="preserve">, A.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(2025) “Digital transformation in large established organisations: Four restructuring dilemmas based on dynamic capabilities,” </w:t>
      </w:r>
      <w:r w:rsidRPr="00F71301">
        <w:rPr>
          <w:rFonts w:ascii="Arial" w:eastAsia="Times New Roman" w:hAnsi="Arial" w:cs="Arial"/>
          <w:i/>
          <w:iCs/>
          <w:sz w:val="24"/>
          <w:szCs w:val="24"/>
          <w:lang w:eastAsia="en-GB"/>
        </w:rPr>
        <w:t>International Journal of Management Reviews</w:t>
      </w:r>
      <w:r w:rsidRPr="00F71301">
        <w:rPr>
          <w:rFonts w:ascii="Arial" w:eastAsia="Times New Roman" w:hAnsi="Arial" w:cs="Arial"/>
          <w:sz w:val="24"/>
          <w:szCs w:val="24"/>
          <w:lang w:eastAsia="en-GB"/>
        </w:rPr>
        <w:t xml:space="preserve">, 27(3), pp. 420–450. Available at: </w:t>
      </w:r>
      <w:hyperlink r:id="rId53" w:history="1">
        <w:r w:rsidRPr="00F71301">
          <w:rPr>
            <w:rStyle w:val="Hyperlink"/>
            <w:rFonts w:ascii="Arial" w:eastAsia="Times New Roman" w:hAnsi="Arial" w:cs="Arial"/>
            <w:sz w:val="24"/>
            <w:szCs w:val="24"/>
            <w:lang w:eastAsia="en-GB"/>
          </w:rPr>
          <w:t>https://doi.org/10.1111/ijmr.12395</w:t>
        </w:r>
      </w:hyperlink>
      <w:r w:rsidRPr="00F71301">
        <w:rPr>
          <w:rFonts w:ascii="Arial" w:eastAsia="Times New Roman" w:hAnsi="Arial" w:cs="Arial"/>
          <w:sz w:val="24"/>
          <w:szCs w:val="24"/>
          <w:lang w:eastAsia="en-GB"/>
        </w:rPr>
        <w:t>.</w:t>
      </w:r>
    </w:p>
    <w:p w14:paraId="58A0CAC4" w14:textId="77777777" w:rsidR="00451816" w:rsidRPr="00F71301" w:rsidRDefault="00451816" w:rsidP="00DA3F08">
      <w:pPr>
        <w:spacing w:after="0" w:line="240" w:lineRule="auto"/>
        <w:rPr>
          <w:rFonts w:ascii="Arial" w:eastAsia="Times New Roman" w:hAnsi="Arial" w:cs="Arial"/>
          <w:sz w:val="24"/>
          <w:szCs w:val="24"/>
          <w:lang w:eastAsia="en-GB"/>
        </w:rPr>
      </w:pPr>
    </w:p>
    <w:p w14:paraId="2B8FA529" w14:textId="77777777" w:rsidR="00451816" w:rsidRPr="00F71301" w:rsidRDefault="00451816" w:rsidP="00451816">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Lykourentzou</w:t>
      </w:r>
      <w:proofErr w:type="spellEnd"/>
      <w:r w:rsidRPr="00F71301">
        <w:rPr>
          <w:rFonts w:ascii="Arial" w:eastAsia="Times New Roman" w:hAnsi="Arial" w:cs="Arial"/>
          <w:sz w:val="24"/>
          <w:szCs w:val="24"/>
          <w:lang w:eastAsia="en-GB"/>
        </w:rPr>
        <w:t xml:space="preserve">, M.A.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(2025) “Assessing the role of human factor in digital transformation projects: A systematic literature review and research agenda,” </w:t>
      </w:r>
      <w:r w:rsidRPr="00F71301">
        <w:rPr>
          <w:rFonts w:ascii="Arial" w:eastAsia="Times New Roman" w:hAnsi="Arial" w:cs="Arial"/>
          <w:i/>
          <w:iCs/>
          <w:sz w:val="24"/>
          <w:szCs w:val="24"/>
          <w:lang w:eastAsia="en-GB"/>
        </w:rPr>
        <w:t>Technology in Society</w:t>
      </w:r>
      <w:r w:rsidRPr="00F71301">
        <w:rPr>
          <w:rFonts w:ascii="Arial" w:eastAsia="Times New Roman" w:hAnsi="Arial" w:cs="Arial"/>
          <w:sz w:val="24"/>
          <w:szCs w:val="24"/>
          <w:lang w:eastAsia="en-GB"/>
        </w:rPr>
        <w:t xml:space="preserve">, 82, p. 102934. Available at: </w:t>
      </w:r>
      <w:hyperlink r:id="rId54" w:history="1">
        <w:r w:rsidRPr="00F71301">
          <w:rPr>
            <w:rStyle w:val="Hyperlink"/>
            <w:rFonts w:ascii="Arial" w:eastAsia="Times New Roman" w:hAnsi="Arial" w:cs="Arial"/>
            <w:sz w:val="24"/>
            <w:szCs w:val="24"/>
            <w:lang w:eastAsia="en-GB"/>
          </w:rPr>
          <w:t>https://doi.org/10.1016/J.TECHSOC.2025.102934</w:t>
        </w:r>
      </w:hyperlink>
      <w:r w:rsidRPr="00F71301">
        <w:rPr>
          <w:rFonts w:ascii="Arial" w:eastAsia="Times New Roman" w:hAnsi="Arial" w:cs="Arial"/>
          <w:sz w:val="24"/>
          <w:szCs w:val="24"/>
          <w:lang w:eastAsia="en-GB"/>
        </w:rPr>
        <w:t>.</w:t>
      </w:r>
    </w:p>
    <w:p w14:paraId="40BFD536" w14:textId="77777777" w:rsidR="00DA3F08" w:rsidRPr="00F71301" w:rsidRDefault="00DA3F08" w:rsidP="00FD56F9">
      <w:pPr>
        <w:spacing w:after="0" w:line="240" w:lineRule="auto"/>
        <w:rPr>
          <w:rFonts w:ascii="Arial" w:eastAsia="Times New Roman" w:hAnsi="Arial" w:cs="Arial"/>
          <w:sz w:val="24"/>
          <w:szCs w:val="24"/>
          <w:lang w:eastAsia="en-GB"/>
        </w:rPr>
      </w:pPr>
    </w:p>
    <w:p w14:paraId="1A633EC1" w14:textId="77777777" w:rsidR="00FD56F9" w:rsidRPr="00F71301" w:rsidRDefault="00FD56F9" w:rsidP="00FD56F9">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Marseille, E.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(2021) “Hepatitis B prevalence association with sexually transmitted infections: a systematic review and meta-analysis,” </w:t>
      </w:r>
      <w:r w:rsidRPr="00F71301">
        <w:rPr>
          <w:rFonts w:ascii="Arial" w:eastAsia="Times New Roman" w:hAnsi="Arial" w:cs="Arial"/>
          <w:i/>
          <w:iCs/>
          <w:sz w:val="24"/>
          <w:szCs w:val="24"/>
          <w:lang w:eastAsia="en-GB"/>
        </w:rPr>
        <w:t>Sexual Health</w:t>
      </w:r>
      <w:r w:rsidRPr="00F71301">
        <w:rPr>
          <w:rFonts w:ascii="Arial" w:eastAsia="Times New Roman" w:hAnsi="Arial" w:cs="Arial"/>
          <w:sz w:val="24"/>
          <w:szCs w:val="24"/>
          <w:lang w:eastAsia="en-GB"/>
        </w:rPr>
        <w:t xml:space="preserve">, 18(3), pp. 269–279. Available at: </w:t>
      </w:r>
      <w:hyperlink r:id="rId55" w:history="1">
        <w:r w:rsidR="008035B6" w:rsidRPr="00F71301">
          <w:rPr>
            <w:rStyle w:val="Hyperlink"/>
            <w:rFonts w:ascii="Arial" w:eastAsia="Times New Roman" w:hAnsi="Arial" w:cs="Arial"/>
            <w:sz w:val="24"/>
            <w:szCs w:val="24"/>
            <w:lang w:eastAsia="en-GB"/>
          </w:rPr>
          <w:t>https://doi.org/10.1071/SH20185</w:t>
        </w:r>
      </w:hyperlink>
      <w:r w:rsidRPr="00F71301">
        <w:rPr>
          <w:rFonts w:ascii="Arial" w:eastAsia="Times New Roman" w:hAnsi="Arial" w:cs="Arial"/>
          <w:sz w:val="24"/>
          <w:szCs w:val="24"/>
          <w:lang w:eastAsia="en-GB"/>
        </w:rPr>
        <w:t>.</w:t>
      </w:r>
    </w:p>
    <w:p w14:paraId="6C6B2630" w14:textId="77777777" w:rsidR="001F41A7" w:rsidRPr="00F71301" w:rsidRDefault="001F41A7" w:rsidP="00FD56F9">
      <w:pPr>
        <w:spacing w:after="0" w:line="240" w:lineRule="auto"/>
        <w:rPr>
          <w:rFonts w:ascii="Arial" w:eastAsia="Times New Roman" w:hAnsi="Arial" w:cs="Arial"/>
          <w:sz w:val="24"/>
          <w:szCs w:val="24"/>
          <w:lang w:eastAsia="en-GB"/>
        </w:rPr>
      </w:pPr>
    </w:p>
    <w:p w14:paraId="65A4E27E" w14:textId="77777777" w:rsidR="001F41A7" w:rsidRPr="00F71301" w:rsidRDefault="001F41A7" w:rsidP="001F41A7">
      <w:pPr>
        <w:rPr>
          <w:rFonts w:ascii="Arial" w:hAnsi="Arial" w:cs="Arial"/>
          <w:sz w:val="24"/>
          <w:szCs w:val="24"/>
        </w:rPr>
      </w:pPr>
      <w:proofErr w:type="spellStart"/>
      <w:r w:rsidRPr="00F71301">
        <w:rPr>
          <w:rFonts w:ascii="Arial" w:hAnsi="Arial" w:cs="Arial"/>
          <w:sz w:val="24"/>
          <w:szCs w:val="24"/>
        </w:rPr>
        <w:t>Mendelow</w:t>
      </w:r>
      <w:proofErr w:type="spellEnd"/>
      <w:r w:rsidRPr="00F71301">
        <w:rPr>
          <w:rFonts w:ascii="Arial" w:hAnsi="Arial" w:cs="Arial"/>
          <w:sz w:val="24"/>
          <w:szCs w:val="24"/>
        </w:rPr>
        <w:t>, A.L (1991) “Environmental scanning: The impact of the stakeholder concept. Proceedings from the second international conference of information systems”. P.407-418. Cambridge, MA</w:t>
      </w:r>
    </w:p>
    <w:p w14:paraId="0191DAB6" w14:textId="77777777" w:rsidR="00397451" w:rsidRPr="00F71301" w:rsidRDefault="00397451" w:rsidP="00397451">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Mhlungu</w:t>
      </w:r>
      <w:proofErr w:type="spellEnd"/>
      <w:r w:rsidRPr="00F71301">
        <w:rPr>
          <w:rFonts w:ascii="Arial" w:eastAsia="Times New Roman" w:hAnsi="Arial" w:cs="Arial"/>
          <w:sz w:val="24"/>
          <w:szCs w:val="24"/>
          <w:lang w:eastAsia="en-GB"/>
        </w:rPr>
        <w:t xml:space="preserve">, N.S.M., Chen, J.Y.J. and Alkema, P. (2019) “The underlying factors of a successful organisational digital transformation,” </w:t>
      </w:r>
      <w:r w:rsidRPr="00F71301">
        <w:rPr>
          <w:rFonts w:ascii="Arial" w:eastAsia="Times New Roman" w:hAnsi="Arial" w:cs="Arial"/>
          <w:i/>
          <w:iCs/>
          <w:sz w:val="24"/>
          <w:szCs w:val="24"/>
          <w:lang w:eastAsia="en-GB"/>
        </w:rPr>
        <w:t>SA Journal of Information Management</w:t>
      </w:r>
      <w:r w:rsidRPr="00F71301">
        <w:rPr>
          <w:rFonts w:ascii="Arial" w:eastAsia="Times New Roman" w:hAnsi="Arial" w:cs="Arial"/>
          <w:sz w:val="24"/>
          <w:szCs w:val="24"/>
          <w:lang w:eastAsia="en-GB"/>
        </w:rPr>
        <w:t xml:space="preserve">, 21(1). Available at: </w:t>
      </w:r>
      <w:hyperlink r:id="rId56" w:history="1">
        <w:r w:rsidRPr="00F71301">
          <w:rPr>
            <w:rStyle w:val="Hyperlink"/>
            <w:rFonts w:ascii="Arial" w:eastAsia="Times New Roman" w:hAnsi="Arial" w:cs="Arial"/>
            <w:sz w:val="24"/>
            <w:szCs w:val="24"/>
            <w:lang w:eastAsia="en-GB"/>
          </w:rPr>
          <w:t>https://doi.org/10.4102/sajim.v21i1.995</w:t>
        </w:r>
      </w:hyperlink>
      <w:r w:rsidRPr="00F71301">
        <w:rPr>
          <w:rFonts w:ascii="Arial" w:eastAsia="Times New Roman" w:hAnsi="Arial" w:cs="Arial"/>
          <w:sz w:val="24"/>
          <w:szCs w:val="24"/>
          <w:lang w:eastAsia="en-GB"/>
        </w:rPr>
        <w:t>.</w:t>
      </w:r>
    </w:p>
    <w:p w14:paraId="538030E9" w14:textId="77777777" w:rsidR="00397451" w:rsidRPr="00F71301" w:rsidRDefault="00397451">
      <w:pPr>
        <w:rPr>
          <w:rFonts w:ascii="Arial" w:eastAsia="Times New Roman" w:hAnsi="Arial" w:cs="Arial"/>
          <w:sz w:val="24"/>
          <w:szCs w:val="24"/>
          <w:lang w:eastAsia="en-GB"/>
        </w:rPr>
      </w:pPr>
    </w:p>
    <w:p w14:paraId="77E14EB5" w14:textId="77777777" w:rsidR="00353DA7" w:rsidRPr="00F71301" w:rsidRDefault="00353DA7">
      <w:pPr>
        <w:rPr>
          <w:rFonts w:ascii="Arial" w:hAnsi="Arial" w:cs="Arial"/>
          <w:sz w:val="24"/>
          <w:szCs w:val="24"/>
        </w:rPr>
      </w:pPr>
      <w:r w:rsidRPr="00F71301">
        <w:rPr>
          <w:rFonts w:ascii="Arial" w:eastAsia="Times New Roman" w:hAnsi="Arial" w:cs="Arial"/>
          <w:sz w:val="24"/>
          <w:szCs w:val="24"/>
          <w:lang w:eastAsia="en-GB"/>
        </w:rPr>
        <w:t xml:space="preserve">National Institute for Clinical Excellence (NICE) (2022) </w:t>
      </w:r>
      <w:r w:rsidRPr="00F71301">
        <w:rPr>
          <w:rFonts w:ascii="Arial" w:hAnsi="Arial" w:cs="Arial"/>
          <w:sz w:val="24"/>
          <w:szCs w:val="24"/>
        </w:rPr>
        <w:t xml:space="preserve">Vaccine uptake in the general population: evidence reviews for the barriers to, and facilitators for, vaccine uptake FINAL. </w:t>
      </w:r>
      <w:r w:rsidR="00F26498" w:rsidRPr="00F71301">
        <w:rPr>
          <w:rFonts w:ascii="Arial" w:hAnsi="Arial" w:cs="Arial"/>
          <w:sz w:val="24"/>
          <w:szCs w:val="24"/>
        </w:rPr>
        <w:t xml:space="preserve">Available at: </w:t>
      </w:r>
      <w:hyperlink r:id="rId57" w:history="1">
        <w:r w:rsidRPr="00F71301">
          <w:rPr>
            <w:rStyle w:val="Hyperlink"/>
            <w:rFonts w:ascii="Arial" w:hAnsi="Arial" w:cs="Arial"/>
            <w:sz w:val="24"/>
            <w:szCs w:val="24"/>
          </w:rPr>
          <w:t>NG218 Evidence review B: barriers to, and facilitators for, vaccine uptake</w:t>
        </w:r>
      </w:hyperlink>
      <w:r w:rsidRPr="00F71301">
        <w:rPr>
          <w:rFonts w:ascii="Arial" w:hAnsi="Arial" w:cs="Arial"/>
          <w:sz w:val="24"/>
          <w:szCs w:val="24"/>
        </w:rPr>
        <w:t xml:space="preserve">  accessed on: </w:t>
      </w:r>
      <w:r w:rsidR="00FE59F1" w:rsidRPr="00F71301">
        <w:rPr>
          <w:rFonts w:ascii="Arial" w:hAnsi="Arial" w:cs="Arial"/>
          <w:sz w:val="24"/>
          <w:szCs w:val="24"/>
        </w:rPr>
        <w:t>20</w:t>
      </w:r>
      <w:r w:rsidRPr="00F71301">
        <w:rPr>
          <w:rFonts w:ascii="Arial" w:hAnsi="Arial" w:cs="Arial"/>
          <w:sz w:val="24"/>
          <w:szCs w:val="24"/>
        </w:rPr>
        <w:t>.10.25</w:t>
      </w:r>
    </w:p>
    <w:p w14:paraId="199568EC" w14:textId="77777777" w:rsidR="0083074B" w:rsidRPr="00F71301" w:rsidRDefault="0083074B" w:rsidP="0083074B">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lastRenderedPageBreak/>
        <w:t>Nundy</w:t>
      </w:r>
      <w:proofErr w:type="spellEnd"/>
      <w:r w:rsidRPr="00F71301">
        <w:rPr>
          <w:rFonts w:ascii="Arial" w:eastAsia="Times New Roman" w:hAnsi="Arial" w:cs="Arial"/>
          <w:sz w:val="24"/>
          <w:szCs w:val="24"/>
          <w:lang w:eastAsia="en-GB"/>
        </w:rPr>
        <w:t xml:space="preserve">, S., Cooper, L.A. and Mate, K.S. (2022) “The Quintuple Aim for Health Care Improvement,” </w:t>
      </w:r>
      <w:r w:rsidRPr="00F71301">
        <w:rPr>
          <w:rFonts w:ascii="Arial" w:eastAsia="Times New Roman" w:hAnsi="Arial" w:cs="Arial"/>
          <w:i/>
          <w:iCs/>
          <w:sz w:val="24"/>
          <w:szCs w:val="24"/>
          <w:lang w:eastAsia="en-GB"/>
        </w:rPr>
        <w:t>JAMA</w:t>
      </w:r>
      <w:r w:rsidRPr="00F71301">
        <w:rPr>
          <w:rFonts w:ascii="Arial" w:eastAsia="Times New Roman" w:hAnsi="Arial" w:cs="Arial"/>
          <w:sz w:val="24"/>
          <w:szCs w:val="24"/>
          <w:lang w:eastAsia="en-GB"/>
        </w:rPr>
        <w:t xml:space="preserve">, 327(6), p. 521. Available at: </w:t>
      </w:r>
      <w:hyperlink r:id="rId58" w:history="1">
        <w:r w:rsidRPr="00F71301">
          <w:rPr>
            <w:rStyle w:val="Hyperlink"/>
            <w:rFonts w:ascii="Arial" w:eastAsia="Times New Roman" w:hAnsi="Arial" w:cs="Arial"/>
            <w:sz w:val="24"/>
            <w:szCs w:val="24"/>
            <w:lang w:eastAsia="en-GB"/>
          </w:rPr>
          <w:t>https://doi.org/10.1001/jama.2021.25181</w:t>
        </w:r>
      </w:hyperlink>
      <w:r w:rsidRPr="00F71301">
        <w:rPr>
          <w:rFonts w:ascii="Arial" w:eastAsia="Times New Roman" w:hAnsi="Arial" w:cs="Arial"/>
          <w:sz w:val="24"/>
          <w:szCs w:val="24"/>
          <w:lang w:eastAsia="en-GB"/>
        </w:rPr>
        <w:t>.</w:t>
      </w:r>
    </w:p>
    <w:p w14:paraId="13E6E042" w14:textId="77777777" w:rsidR="00502E49" w:rsidRPr="00F71301" w:rsidRDefault="00502E49">
      <w:pPr>
        <w:rPr>
          <w:rFonts w:ascii="Arial" w:hAnsi="Arial" w:cs="Arial"/>
          <w:sz w:val="24"/>
          <w:szCs w:val="24"/>
        </w:rPr>
      </w:pPr>
    </w:p>
    <w:p w14:paraId="1B35F223" w14:textId="77777777" w:rsidR="00FE59F1" w:rsidRPr="00F71301" w:rsidRDefault="00FE59F1">
      <w:pPr>
        <w:rPr>
          <w:rFonts w:ascii="Arial" w:hAnsi="Arial" w:cs="Arial"/>
          <w:sz w:val="24"/>
          <w:szCs w:val="24"/>
        </w:rPr>
      </w:pPr>
      <w:proofErr w:type="spellStart"/>
      <w:r w:rsidRPr="00F71301">
        <w:rPr>
          <w:rFonts w:ascii="Arial" w:hAnsi="Arial" w:cs="Arial"/>
          <w:sz w:val="24"/>
          <w:szCs w:val="24"/>
        </w:rPr>
        <w:t>Openminds</w:t>
      </w:r>
      <w:proofErr w:type="spellEnd"/>
      <w:r w:rsidRPr="00F71301">
        <w:rPr>
          <w:rFonts w:ascii="Arial" w:hAnsi="Arial" w:cs="Arial"/>
          <w:sz w:val="24"/>
          <w:szCs w:val="24"/>
        </w:rPr>
        <w:t xml:space="preserve"> (2018) New Integrated Child Health System goes Live in Wales.</w:t>
      </w:r>
      <w:r w:rsidR="00F26498" w:rsidRPr="00F71301">
        <w:rPr>
          <w:rFonts w:ascii="Arial" w:hAnsi="Arial" w:cs="Arial"/>
          <w:sz w:val="24"/>
          <w:szCs w:val="24"/>
        </w:rPr>
        <w:t xml:space="preserve"> Available at: </w:t>
      </w:r>
      <w:r w:rsidRPr="00F71301">
        <w:rPr>
          <w:rFonts w:ascii="Arial" w:hAnsi="Arial" w:cs="Arial"/>
          <w:sz w:val="24"/>
          <w:szCs w:val="24"/>
        </w:rPr>
        <w:t xml:space="preserve"> </w:t>
      </w:r>
      <w:hyperlink r:id="rId59" w:history="1">
        <w:r w:rsidRPr="00F71301">
          <w:rPr>
            <w:rStyle w:val="Hyperlink"/>
            <w:rFonts w:ascii="Arial" w:hAnsi="Arial" w:cs="Arial"/>
            <w:sz w:val="24"/>
            <w:szCs w:val="24"/>
          </w:rPr>
          <w:t xml:space="preserve">New Integrated Child Health System Goes Live </w:t>
        </w:r>
        <w:proofErr w:type="gramStart"/>
        <w:r w:rsidRPr="00F71301">
          <w:rPr>
            <w:rStyle w:val="Hyperlink"/>
            <w:rFonts w:ascii="Arial" w:hAnsi="Arial" w:cs="Arial"/>
            <w:sz w:val="24"/>
            <w:szCs w:val="24"/>
          </w:rPr>
          <w:t>In</w:t>
        </w:r>
        <w:proofErr w:type="gramEnd"/>
        <w:r w:rsidRPr="00F71301">
          <w:rPr>
            <w:rStyle w:val="Hyperlink"/>
            <w:rFonts w:ascii="Arial" w:hAnsi="Arial" w:cs="Arial"/>
            <w:sz w:val="24"/>
            <w:szCs w:val="24"/>
          </w:rPr>
          <w:t xml:space="preserve"> Wales - OPEN MINDS</w:t>
        </w:r>
      </w:hyperlink>
      <w:r w:rsidR="00D006BD" w:rsidRPr="00F71301">
        <w:rPr>
          <w:rFonts w:ascii="Arial" w:hAnsi="Arial" w:cs="Arial"/>
          <w:sz w:val="24"/>
          <w:szCs w:val="24"/>
        </w:rPr>
        <w:t xml:space="preserve"> accessed on: 19</w:t>
      </w:r>
      <w:r w:rsidRPr="00F71301">
        <w:rPr>
          <w:rFonts w:ascii="Arial" w:hAnsi="Arial" w:cs="Arial"/>
          <w:sz w:val="24"/>
          <w:szCs w:val="24"/>
        </w:rPr>
        <w:t>.10</w:t>
      </w:r>
      <w:r w:rsidR="00D006BD" w:rsidRPr="00F71301">
        <w:rPr>
          <w:rFonts w:ascii="Arial" w:hAnsi="Arial" w:cs="Arial"/>
          <w:sz w:val="24"/>
          <w:szCs w:val="24"/>
        </w:rPr>
        <w:t>.</w:t>
      </w:r>
      <w:r w:rsidRPr="00F71301">
        <w:rPr>
          <w:rFonts w:ascii="Arial" w:hAnsi="Arial" w:cs="Arial"/>
          <w:sz w:val="24"/>
          <w:szCs w:val="24"/>
        </w:rPr>
        <w:t>25</w:t>
      </w:r>
    </w:p>
    <w:p w14:paraId="7F96D7FE" w14:textId="77777777" w:rsidR="00C278DE" w:rsidRPr="00F71301" w:rsidRDefault="00C278DE" w:rsidP="00C278DE">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Parker, H.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(2014) “How important is confidentiality in sexual health clinics? A survey of patients across 51 clinics in England: Table 1,” </w:t>
      </w:r>
      <w:r w:rsidRPr="00F71301">
        <w:rPr>
          <w:rFonts w:ascii="Arial" w:eastAsia="Times New Roman" w:hAnsi="Arial" w:cs="Arial"/>
          <w:i/>
          <w:iCs/>
          <w:sz w:val="24"/>
          <w:szCs w:val="24"/>
          <w:lang w:eastAsia="en-GB"/>
        </w:rPr>
        <w:t>Sexually Transmitted Infections</w:t>
      </w:r>
      <w:r w:rsidRPr="00F71301">
        <w:rPr>
          <w:rFonts w:ascii="Arial" w:eastAsia="Times New Roman" w:hAnsi="Arial" w:cs="Arial"/>
          <w:sz w:val="24"/>
          <w:szCs w:val="24"/>
          <w:lang w:eastAsia="en-GB"/>
        </w:rPr>
        <w:t xml:space="preserve">, 90(5), pp. 354–355. Available at: </w:t>
      </w:r>
      <w:hyperlink r:id="rId60" w:history="1">
        <w:r w:rsidRPr="00F71301">
          <w:rPr>
            <w:rFonts w:ascii="Arial" w:eastAsia="Times New Roman" w:hAnsi="Arial" w:cs="Arial"/>
            <w:color w:val="0000FF"/>
            <w:sz w:val="24"/>
            <w:szCs w:val="24"/>
            <w:u w:val="single"/>
            <w:lang w:eastAsia="en-GB"/>
          </w:rPr>
          <w:t>https://doi.org/10.1136/sextrans-2013-051369</w:t>
        </w:r>
      </w:hyperlink>
      <w:r w:rsidRPr="00F71301">
        <w:rPr>
          <w:rFonts w:ascii="Arial" w:eastAsia="Times New Roman" w:hAnsi="Arial" w:cs="Arial"/>
          <w:sz w:val="24"/>
          <w:szCs w:val="24"/>
          <w:lang w:eastAsia="en-GB"/>
        </w:rPr>
        <w:t>.</w:t>
      </w:r>
    </w:p>
    <w:p w14:paraId="58E91CB7" w14:textId="77777777" w:rsidR="00BA6D94" w:rsidRPr="00F71301" w:rsidRDefault="00BA6D94" w:rsidP="00C278DE">
      <w:pPr>
        <w:spacing w:after="0" w:line="240" w:lineRule="auto"/>
        <w:rPr>
          <w:rFonts w:ascii="Arial" w:eastAsia="Times New Roman" w:hAnsi="Arial" w:cs="Arial"/>
          <w:sz w:val="24"/>
          <w:szCs w:val="24"/>
          <w:lang w:eastAsia="en-GB"/>
        </w:rPr>
      </w:pPr>
    </w:p>
    <w:p w14:paraId="01FF72A0" w14:textId="77777777" w:rsidR="00BA6D94" w:rsidRPr="00F71301" w:rsidRDefault="00BA6D94" w:rsidP="00BA6D94">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Pope, C., </w:t>
      </w:r>
      <w:proofErr w:type="spellStart"/>
      <w:r w:rsidRPr="00F71301">
        <w:rPr>
          <w:rFonts w:ascii="Arial" w:eastAsia="Times New Roman" w:hAnsi="Arial" w:cs="Arial"/>
          <w:sz w:val="24"/>
          <w:szCs w:val="24"/>
          <w:lang w:eastAsia="en-GB"/>
        </w:rPr>
        <w:t>Ziebland</w:t>
      </w:r>
      <w:proofErr w:type="spellEnd"/>
      <w:r w:rsidRPr="00F71301">
        <w:rPr>
          <w:rFonts w:ascii="Arial" w:eastAsia="Times New Roman" w:hAnsi="Arial" w:cs="Arial"/>
          <w:sz w:val="24"/>
          <w:szCs w:val="24"/>
          <w:lang w:eastAsia="en-GB"/>
        </w:rPr>
        <w:t xml:space="preserve">, S. and Mays, N. (2000) “Analysing qualitative data,” </w:t>
      </w:r>
      <w:r w:rsidRPr="00F71301">
        <w:rPr>
          <w:rFonts w:ascii="Arial" w:eastAsia="Times New Roman" w:hAnsi="Arial" w:cs="Arial"/>
          <w:i/>
          <w:iCs/>
          <w:sz w:val="24"/>
          <w:szCs w:val="24"/>
          <w:lang w:eastAsia="en-GB"/>
        </w:rPr>
        <w:t>BMJ : British Medical Journal</w:t>
      </w:r>
      <w:r w:rsidRPr="00F71301">
        <w:rPr>
          <w:rFonts w:ascii="Arial" w:eastAsia="Times New Roman" w:hAnsi="Arial" w:cs="Arial"/>
          <w:sz w:val="24"/>
          <w:szCs w:val="24"/>
          <w:lang w:eastAsia="en-GB"/>
        </w:rPr>
        <w:t xml:space="preserve">, 320(7227), p. 114. Available at: </w:t>
      </w:r>
      <w:hyperlink r:id="rId61" w:history="1">
        <w:r w:rsidRPr="00F71301">
          <w:rPr>
            <w:rStyle w:val="Hyperlink"/>
            <w:rFonts w:ascii="Arial" w:eastAsia="Times New Roman" w:hAnsi="Arial" w:cs="Arial"/>
            <w:sz w:val="24"/>
            <w:szCs w:val="24"/>
            <w:lang w:eastAsia="en-GB"/>
          </w:rPr>
          <w:t>https://doi.org/10.1136/BMJ.320.7227.114</w:t>
        </w:r>
      </w:hyperlink>
      <w:r w:rsidRPr="00F71301">
        <w:rPr>
          <w:rFonts w:ascii="Arial" w:eastAsia="Times New Roman" w:hAnsi="Arial" w:cs="Arial"/>
          <w:sz w:val="24"/>
          <w:szCs w:val="24"/>
          <w:lang w:eastAsia="en-GB"/>
        </w:rPr>
        <w:t>.</w:t>
      </w:r>
    </w:p>
    <w:p w14:paraId="3FDD04F2" w14:textId="77777777" w:rsidR="00C278DE" w:rsidRPr="00F71301" w:rsidRDefault="00C278DE">
      <w:pPr>
        <w:rPr>
          <w:rFonts w:ascii="Arial" w:hAnsi="Arial" w:cs="Arial"/>
          <w:color w:val="000000" w:themeColor="text1"/>
          <w:sz w:val="24"/>
          <w:szCs w:val="24"/>
        </w:rPr>
      </w:pPr>
    </w:p>
    <w:p w14:paraId="1D1380D3" w14:textId="77777777" w:rsidR="001778F0" w:rsidRPr="00F71301" w:rsidRDefault="003C56E0">
      <w:pPr>
        <w:rPr>
          <w:rFonts w:ascii="Arial" w:hAnsi="Arial" w:cs="Arial"/>
          <w:sz w:val="24"/>
          <w:szCs w:val="24"/>
        </w:rPr>
      </w:pPr>
      <w:r w:rsidRPr="00F71301">
        <w:rPr>
          <w:rFonts w:ascii="Arial" w:hAnsi="Arial" w:cs="Arial"/>
          <w:color w:val="000000" w:themeColor="text1"/>
          <w:sz w:val="24"/>
          <w:szCs w:val="24"/>
        </w:rPr>
        <w:t>Public Health Wales (</w:t>
      </w:r>
      <w:r w:rsidR="001778F0" w:rsidRPr="00F71301">
        <w:rPr>
          <w:rFonts w:ascii="Arial" w:hAnsi="Arial" w:cs="Arial"/>
          <w:color w:val="000000" w:themeColor="text1"/>
          <w:sz w:val="24"/>
          <w:szCs w:val="24"/>
        </w:rPr>
        <w:t>PHW</w:t>
      </w:r>
      <w:r w:rsidRPr="00F71301">
        <w:rPr>
          <w:rFonts w:ascii="Arial" w:hAnsi="Arial" w:cs="Arial"/>
          <w:color w:val="000000" w:themeColor="text1"/>
          <w:sz w:val="24"/>
          <w:szCs w:val="24"/>
        </w:rPr>
        <w:t>)</w:t>
      </w:r>
      <w:r w:rsidR="001778F0" w:rsidRPr="00F71301">
        <w:rPr>
          <w:rFonts w:ascii="Arial" w:hAnsi="Arial" w:cs="Arial"/>
          <w:color w:val="000000" w:themeColor="text1"/>
          <w:sz w:val="24"/>
          <w:szCs w:val="24"/>
        </w:rPr>
        <w:t xml:space="preserve"> (2024) </w:t>
      </w:r>
      <w:r w:rsidR="001778F0" w:rsidRPr="00F71301">
        <w:rPr>
          <w:rFonts w:ascii="Arial" w:hAnsi="Arial" w:cs="Arial"/>
          <w:sz w:val="24"/>
          <w:szCs w:val="24"/>
        </w:rPr>
        <w:t xml:space="preserve">Trends in the prevention, diagnosis and treatment of blood borne viruses in Wales: Hepatitis B, hepatitis C and HIV: Annual Report. </w:t>
      </w:r>
      <w:r w:rsidR="00F26498" w:rsidRPr="00F71301">
        <w:rPr>
          <w:rFonts w:ascii="Arial" w:hAnsi="Arial" w:cs="Arial"/>
          <w:sz w:val="24"/>
          <w:szCs w:val="24"/>
        </w:rPr>
        <w:t xml:space="preserve">Available at: </w:t>
      </w:r>
      <w:hyperlink r:id="rId62" w:history="1">
        <w:r w:rsidR="001778F0" w:rsidRPr="00F71301">
          <w:rPr>
            <w:rStyle w:val="Hyperlink"/>
            <w:rFonts w:ascii="Arial" w:hAnsi="Arial" w:cs="Arial"/>
            <w:sz w:val="24"/>
            <w:szCs w:val="24"/>
          </w:rPr>
          <w:t>phw.nhs.wales/publications/publications1/trends-in-the-prevention-diagnosis-and-treatment-of-blood-borne-viruses-in-wales-hepatitis-b-hepatitis-c-and-hiv/</w:t>
        </w:r>
      </w:hyperlink>
      <w:r w:rsidR="001778F0" w:rsidRPr="00F71301">
        <w:rPr>
          <w:rFonts w:ascii="Arial" w:hAnsi="Arial" w:cs="Arial"/>
          <w:sz w:val="24"/>
          <w:szCs w:val="24"/>
        </w:rPr>
        <w:t xml:space="preserve">  Accessed on: 20.10.25</w:t>
      </w:r>
    </w:p>
    <w:p w14:paraId="1041DF05" w14:textId="77777777" w:rsidR="00BB0583" w:rsidRPr="00F71301" w:rsidRDefault="00BB0583">
      <w:pPr>
        <w:rPr>
          <w:rFonts w:ascii="Arial" w:hAnsi="Arial" w:cs="Arial"/>
          <w:sz w:val="24"/>
          <w:szCs w:val="24"/>
        </w:rPr>
      </w:pPr>
      <w:r w:rsidRPr="00F71301">
        <w:rPr>
          <w:rFonts w:ascii="Arial" w:hAnsi="Arial" w:cs="Arial"/>
          <w:sz w:val="24"/>
          <w:szCs w:val="24"/>
        </w:rPr>
        <w:t>P</w:t>
      </w:r>
      <w:r w:rsidR="003C56E0" w:rsidRPr="00F71301">
        <w:rPr>
          <w:rFonts w:ascii="Arial" w:hAnsi="Arial" w:cs="Arial"/>
          <w:sz w:val="24"/>
          <w:szCs w:val="24"/>
        </w:rPr>
        <w:t xml:space="preserve">ublic </w:t>
      </w:r>
      <w:r w:rsidRPr="00F71301">
        <w:rPr>
          <w:rFonts w:ascii="Arial" w:hAnsi="Arial" w:cs="Arial"/>
          <w:sz w:val="24"/>
          <w:szCs w:val="24"/>
        </w:rPr>
        <w:t>H</w:t>
      </w:r>
      <w:r w:rsidR="003C56E0" w:rsidRPr="00F71301">
        <w:rPr>
          <w:rFonts w:ascii="Arial" w:hAnsi="Arial" w:cs="Arial"/>
          <w:sz w:val="24"/>
          <w:szCs w:val="24"/>
        </w:rPr>
        <w:t xml:space="preserve">ealth </w:t>
      </w:r>
      <w:r w:rsidRPr="00F71301">
        <w:rPr>
          <w:rFonts w:ascii="Arial" w:hAnsi="Arial" w:cs="Arial"/>
          <w:sz w:val="24"/>
          <w:szCs w:val="24"/>
        </w:rPr>
        <w:t>E</w:t>
      </w:r>
      <w:r w:rsidR="003C56E0" w:rsidRPr="00F71301">
        <w:rPr>
          <w:rFonts w:ascii="Arial" w:hAnsi="Arial" w:cs="Arial"/>
          <w:sz w:val="24"/>
          <w:szCs w:val="24"/>
        </w:rPr>
        <w:t>ngland (PHE)</w:t>
      </w:r>
      <w:r w:rsidRPr="00F71301">
        <w:rPr>
          <w:rFonts w:ascii="Arial" w:hAnsi="Arial" w:cs="Arial"/>
          <w:sz w:val="24"/>
          <w:szCs w:val="24"/>
        </w:rPr>
        <w:t xml:space="preserve"> (2023) Hepatitis B in England – 2023 report</w:t>
      </w:r>
      <w:r w:rsidR="007A3629" w:rsidRPr="00F71301">
        <w:rPr>
          <w:rFonts w:ascii="Arial" w:hAnsi="Arial" w:cs="Arial"/>
          <w:sz w:val="24"/>
          <w:szCs w:val="24"/>
        </w:rPr>
        <w:t xml:space="preserve">. </w:t>
      </w:r>
      <w:r w:rsidRPr="00F71301">
        <w:rPr>
          <w:rFonts w:ascii="Arial" w:hAnsi="Arial" w:cs="Arial"/>
          <w:sz w:val="24"/>
          <w:szCs w:val="24"/>
        </w:rPr>
        <w:t>Working to eliminate hepatitis B as a public health threat: Data to end of 2021</w:t>
      </w:r>
      <w:r w:rsidR="00F26498" w:rsidRPr="00F71301">
        <w:rPr>
          <w:rFonts w:ascii="Arial" w:hAnsi="Arial" w:cs="Arial"/>
          <w:sz w:val="24"/>
          <w:szCs w:val="24"/>
        </w:rPr>
        <w:t>. Available at:</w:t>
      </w:r>
      <w:r w:rsidRPr="00F71301">
        <w:rPr>
          <w:rFonts w:ascii="Arial" w:hAnsi="Arial" w:cs="Arial"/>
          <w:sz w:val="24"/>
          <w:szCs w:val="24"/>
        </w:rPr>
        <w:t xml:space="preserve"> </w:t>
      </w:r>
      <w:hyperlink r:id="rId63" w:history="1">
        <w:r w:rsidRPr="00F71301">
          <w:rPr>
            <w:rStyle w:val="Hyperlink"/>
            <w:rFonts w:ascii="Arial" w:hAnsi="Arial" w:cs="Arial"/>
            <w:sz w:val="24"/>
            <w:szCs w:val="24"/>
          </w:rPr>
          <w:t>Hepatitis B in England – 2023 report</w:t>
        </w:r>
      </w:hyperlink>
      <w:r w:rsidRPr="00F71301">
        <w:rPr>
          <w:rFonts w:ascii="Arial" w:hAnsi="Arial" w:cs="Arial"/>
          <w:sz w:val="24"/>
          <w:szCs w:val="24"/>
        </w:rPr>
        <w:t xml:space="preserve">   accessed on 20.10.25</w:t>
      </w:r>
    </w:p>
    <w:p w14:paraId="4A15776A" w14:textId="77777777" w:rsidR="00BA6D94" w:rsidRPr="00F71301" w:rsidRDefault="00BA6D94">
      <w:pPr>
        <w:rPr>
          <w:rFonts w:ascii="Arial" w:hAnsi="Arial" w:cs="Arial"/>
          <w:sz w:val="24"/>
          <w:szCs w:val="24"/>
        </w:rPr>
      </w:pPr>
      <w:proofErr w:type="spellStart"/>
      <w:r w:rsidRPr="00F71301">
        <w:rPr>
          <w:rFonts w:ascii="Arial" w:hAnsi="Arial" w:cs="Arial"/>
          <w:sz w:val="24"/>
          <w:szCs w:val="24"/>
        </w:rPr>
        <w:t>QuestionPro</w:t>
      </w:r>
      <w:proofErr w:type="spellEnd"/>
      <w:r w:rsidRPr="00F71301">
        <w:rPr>
          <w:rFonts w:ascii="Arial" w:hAnsi="Arial" w:cs="Arial"/>
          <w:sz w:val="24"/>
          <w:szCs w:val="24"/>
        </w:rPr>
        <w:t xml:space="preserve"> (2025) “10 Quantitative Data Analysis Software for Data Scientists” Available at: </w:t>
      </w:r>
      <w:hyperlink r:id="rId64" w:history="1">
        <w:r w:rsidRPr="00F71301">
          <w:rPr>
            <w:rFonts w:ascii="Arial" w:hAnsi="Arial" w:cs="Arial"/>
            <w:color w:val="0000FF"/>
            <w:sz w:val="24"/>
            <w:szCs w:val="24"/>
            <w:u w:val="single"/>
          </w:rPr>
          <w:t>10 Quantitative Data Analysis Software for Data Scientists</w:t>
        </w:r>
      </w:hyperlink>
      <w:r w:rsidRPr="00F71301">
        <w:rPr>
          <w:rFonts w:ascii="Arial" w:hAnsi="Arial" w:cs="Arial"/>
          <w:sz w:val="24"/>
          <w:szCs w:val="24"/>
        </w:rPr>
        <w:t xml:space="preserve">  Accessed on: 9.11.25</w:t>
      </w:r>
    </w:p>
    <w:p w14:paraId="34930AFB" w14:textId="77777777" w:rsidR="00FD56F9" w:rsidRPr="00F71301" w:rsidRDefault="00FD56F9" w:rsidP="00FD56F9">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Rhodes, S.D. (2000) “Hepatitis B vaccination in a high risk MSM population: the need for vaccine education,” </w:t>
      </w:r>
      <w:r w:rsidRPr="00F71301">
        <w:rPr>
          <w:rFonts w:ascii="Arial" w:eastAsia="Times New Roman" w:hAnsi="Arial" w:cs="Arial"/>
          <w:i/>
          <w:iCs/>
          <w:sz w:val="24"/>
          <w:szCs w:val="24"/>
          <w:lang w:eastAsia="en-GB"/>
        </w:rPr>
        <w:t>Sexually Transmitted Infections</w:t>
      </w:r>
      <w:r w:rsidRPr="00F71301">
        <w:rPr>
          <w:rFonts w:ascii="Arial" w:eastAsia="Times New Roman" w:hAnsi="Arial" w:cs="Arial"/>
          <w:sz w:val="24"/>
          <w:szCs w:val="24"/>
          <w:lang w:eastAsia="en-GB"/>
        </w:rPr>
        <w:t xml:space="preserve">, 76(5), pp. 408-a-409. Available at: </w:t>
      </w:r>
      <w:hyperlink r:id="rId65" w:history="1">
        <w:r w:rsidR="008035B6" w:rsidRPr="00F71301">
          <w:rPr>
            <w:rStyle w:val="Hyperlink"/>
            <w:rFonts w:ascii="Arial" w:eastAsia="Times New Roman" w:hAnsi="Arial" w:cs="Arial"/>
            <w:sz w:val="24"/>
            <w:szCs w:val="24"/>
            <w:lang w:eastAsia="en-GB"/>
          </w:rPr>
          <w:t>https://doi.org/10.1136/sti.76.5.408-a</w:t>
        </w:r>
      </w:hyperlink>
      <w:r w:rsidRPr="00F71301">
        <w:rPr>
          <w:rFonts w:ascii="Arial" w:eastAsia="Times New Roman" w:hAnsi="Arial" w:cs="Arial"/>
          <w:sz w:val="24"/>
          <w:szCs w:val="24"/>
          <w:lang w:eastAsia="en-GB"/>
        </w:rPr>
        <w:t>.</w:t>
      </w:r>
    </w:p>
    <w:p w14:paraId="08190120" w14:textId="77777777" w:rsidR="001F41A7" w:rsidRPr="00F71301" w:rsidRDefault="001F41A7" w:rsidP="00FD56F9">
      <w:pPr>
        <w:spacing w:after="0" w:line="240" w:lineRule="auto"/>
        <w:rPr>
          <w:rFonts w:ascii="Arial" w:eastAsia="Times New Roman" w:hAnsi="Arial" w:cs="Arial"/>
          <w:sz w:val="24"/>
          <w:szCs w:val="24"/>
          <w:lang w:eastAsia="en-GB"/>
        </w:rPr>
      </w:pPr>
    </w:p>
    <w:p w14:paraId="424CD61B" w14:textId="77777777" w:rsidR="001F41A7" w:rsidRPr="00F71301" w:rsidRDefault="001F41A7" w:rsidP="001F41A7">
      <w:pPr>
        <w:spacing w:after="0" w:line="240" w:lineRule="auto"/>
        <w:rPr>
          <w:rStyle w:val="Hyperlink"/>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Rosenfeld, R.M. and </w:t>
      </w:r>
      <w:proofErr w:type="spellStart"/>
      <w:r w:rsidRPr="00F71301">
        <w:rPr>
          <w:rFonts w:ascii="Arial" w:eastAsia="Times New Roman" w:hAnsi="Arial" w:cs="Arial"/>
          <w:sz w:val="24"/>
          <w:szCs w:val="24"/>
          <w:lang w:eastAsia="en-GB"/>
        </w:rPr>
        <w:t>Wyer</w:t>
      </w:r>
      <w:proofErr w:type="spellEnd"/>
      <w:r w:rsidRPr="00F71301">
        <w:rPr>
          <w:rFonts w:ascii="Arial" w:eastAsia="Times New Roman" w:hAnsi="Arial" w:cs="Arial"/>
          <w:sz w:val="24"/>
          <w:szCs w:val="24"/>
          <w:lang w:eastAsia="en-GB"/>
        </w:rPr>
        <w:t>, P.C. (2018) “Stakeholder</w:t>
      </w:r>
      <w:r w:rsidRPr="00F71301">
        <w:rPr>
          <w:rFonts w:ascii="Cambria Math" w:eastAsia="Times New Roman" w:hAnsi="Cambria Math" w:cs="Cambria Math"/>
          <w:sz w:val="24"/>
          <w:szCs w:val="24"/>
          <w:lang w:eastAsia="en-GB"/>
        </w:rPr>
        <w:t>‐</w:t>
      </w:r>
      <w:r w:rsidRPr="00F71301">
        <w:rPr>
          <w:rFonts w:ascii="Arial" w:eastAsia="Times New Roman" w:hAnsi="Arial" w:cs="Arial"/>
          <w:sz w:val="24"/>
          <w:szCs w:val="24"/>
          <w:lang w:eastAsia="en-GB"/>
        </w:rPr>
        <w:t xml:space="preserve">Driven Quality Improvement: A Compelling Force for Clinical Practice Guidelines,” </w:t>
      </w:r>
      <w:r w:rsidRPr="00F71301">
        <w:rPr>
          <w:rFonts w:ascii="Arial" w:eastAsia="Times New Roman" w:hAnsi="Arial" w:cs="Arial"/>
          <w:i/>
          <w:iCs/>
          <w:sz w:val="24"/>
          <w:szCs w:val="24"/>
          <w:lang w:eastAsia="en-GB"/>
        </w:rPr>
        <w:t>Otolaryngology–Head and Neck Surgery</w:t>
      </w:r>
      <w:r w:rsidRPr="00F71301">
        <w:rPr>
          <w:rFonts w:ascii="Arial" w:eastAsia="Times New Roman" w:hAnsi="Arial" w:cs="Arial"/>
          <w:sz w:val="24"/>
          <w:szCs w:val="24"/>
          <w:lang w:eastAsia="en-GB"/>
        </w:rPr>
        <w:t xml:space="preserve">, 158(1), pp. 16–20. Available at: </w:t>
      </w:r>
      <w:hyperlink r:id="rId66" w:history="1">
        <w:r w:rsidRPr="00F71301">
          <w:rPr>
            <w:rStyle w:val="Hyperlink"/>
            <w:rFonts w:ascii="Arial" w:eastAsia="Times New Roman" w:hAnsi="Arial" w:cs="Arial"/>
            <w:sz w:val="24"/>
            <w:szCs w:val="24"/>
            <w:lang w:eastAsia="en-GB"/>
          </w:rPr>
          <w:t>https://doi.org/10.1177/0194599817735500</w:t>
        </w:r>
      </w:hyperlink>
    </w:p>
    <w:p w14:paraId="18BEAD77" w14:textId="77777777" w:rsidR="006D1421" w:rsidRPr="00F71301" w:rsidRDefault="006D1421" w:rsidP="001F41A7">
      <w:pPr>
        <w:spacing w:after="0" w:line="240" w:lineRule="auto"/>
        <w:rPr>
          <w:rFonts w:ascii="Arial" w:eastAsia="Times New Roman" w:hAnsi="Arial" w:cs="Arial"/>
          <w:sz w:val="24"/>
          <w:szCs w:val="24"/>
          <w:lang w:eastAsia="en-GB"/>
        </w:rPr>
      </w:pPr>
    </w:p>
    <w:p w14:paraId="66117808" w14:textId="77777777" w:rsidR="001F41A7" w:rsidRPr="00F71301" w:rsidRDefault="006D1421" w:rsidP="001F41A7">
      <w:pPr>
        <w:spacing w:after="0" w:line="240" w:lineRule="auto"/>
        <w:rPr>
          <w:rFonts w:ascii="Arial" w:hAnsi="Arial" w:cs="Arial"/>
          <w:sz w:val="24"/>
          <w:szCs w:val="24"/>
        </w:rPr>
      </w:pPr>
      <w:r w:rsidRPr="00F71301">
        <w:rPr>
          <w:rFonts w:ascii="Arial" w:eastAsia="Times New Roman" w:hAnsi="Arial" w:cs="Arial"/>
          <w:sz w:val="24"/>
          <w:szCs w:val="24"/>
          <w:lang w:eastAsia="en-GB"/>
        </w:rPr>
        <w:t xml:space="preserve">Software World (2025) “Best Qualitative Data Analysis Software” Available at: </w:t>
      </w:r>
      <w:hyperlink r:id="rId67" w:history="1">
        <w:r w:rsidRPr="00F71301">
          <w:rPr>
            <w:rFonts w:ascii="Arial" w:hAnsi="Arial" w:cs="Arial"/>
            <w:color w:val="0000FF"/>
            <w:sz w:val="24"/>
            <w:szCs w:val="24"/>
            <w:u w:val="single"/>
          </w:rPr>
          <w:t xml:space="preserve">List of Top Qualitative Data Analysis Software - Nov 2025 Reviews | </w:t>
        </w:r>
        <w:proofErr w:type="spellStart"/>
        <w:r w:rsidRPr="00F71301">
          <w:rPr>
            <w:rFonts w:ascii="Arial" w:hAnsi="Arial" w:cs="Arial"/>
            <w:color w:val="0000FF"/>
            <w:sz w:val="24"/>
            <w:szCs w:val="24"/>
            <w:u w:val="single"/>
          </w:rPr>
          <w:t>SoftwareWorld</w:t>
        </w:r>
        <w:proofErr w:type="spellEnd"/>
      </w:hyperlink>
      <w:r w:rsidRPr="00F71301">
        <w:rPr>
          <w:rFonts w:ascii="Arial" w:hAnsi="Arial" w:cs="Arial"/>
          <w:sz w:val="24"/>
          <w:szCs w:val="24"/>
        </w:rPr>
        <w:t xml:space="preserve">  Accessed on: 9.11.25</w:t>
      </w:r>
    </w:p>
    <w:p w14:paraId="4736C7E3" w14:textId="77777777" w:rsidR="0051641F" w:rsidRPr="00F71301" w:rsidRDefault="0051641F" w:rsidP="001F41A7">
      <w:pPr>
        <w:spacing w:after="0" w:line="240" w:lineRule="auto"/>
        <w:rPr>
          <w:rFonts w:ascii="Arial" w:hAnsi="Arial" w:cs="Arial"/>
          <w:sz w:val="24"/>
          <w:szCs w:val="24"/>
        </w:rPr>
      </w:pPr>
    </w:p>
    <w:p w14:paraId="1B9F2868" w14:textId="77777777" w:rsidR="0051641F" w:rsidRPr="00F71301" w:rsidRDefault="0051641F" w:rsidP="0051641F">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Strohmeier</w:t>
      </w:r>
      <w:proofErr w:type="spellEnd"/>
      <w:r w:rsidRPr="00F71301">
        <w:rPr>
          <w:rFonts w:ascii="Arial" w:eastAsia="Times New Roman" w:hAnsi="Arial" w:cs="Arial"/>
          <w:sz w:val="24"/>
          <w:szCs w:val="24"/>
          <w:lang w:eastAsia="en-GB"/>
        </w:rPr>
        <w:t xml:space="preserve">, S. (2020) “Digital human resource management: A conceptual clarification,” </w:t>
      </w:r>
      <w:r w:rsidRPr="00F71301">
        <w:rPr>
          <w:rFonts w:ascii="Arial" w:eastAsia="Times New Roman" w:hAnsi="Arial" w:cs="Arial"/>
          <w:i/>
          <w:iCs/>
          <w:sz w:val="24"/>
          <w:szCs w:val="24"/>
          <w:lang w:eastAsia="en-GB"/>
        </w:rPr>
        <w:t xml:space="preserve">German Journal of Human Resource Management: </w:t>
      </w:r>
      <w:proofErr w:type="spellStart"/>
      <w:r w:rsidRPr="00F71301">
        <w:rPr>
          <w:rFonts w:ascii="Arial" w:eastAsia="Times New Roman" w:hAnsi="Arial" w:cs="Arial"/>
          <w:i/>
          <w:iCs/>
          <w:sz w:val="24"/>
          <w:szCs w:val="24"/>
          <w:lang w:eastAsia="en-GB"/>
        </w:rPr>
        <w:t>Zeitschrift</w:t>
      </w:r>
      <w:proofErr w:type="spellEnd"/>
      <w:r w:rsidRPr="00F71301">
        <w:rPr>
          <w:rFonts w:ascii="Arial" w:eastAsia="Times New Roman" w:hAnsi="Arial" w:cs="Arial"/>
          <w:i/>
          <w:iCs/>
          <w:sz w:val="24"/>
          <w:szCs w:val="24"/>
          <w:lang w:eastAsia="en-GB"/>
        </w:rPr>
        <w:t xml:space="preserve"> </w:t>
      </w:r>
      <w:proofErr w:type="spellStart"/>
      <w:r w:rsidRPr="00F71301">
        <w:rPr>
          <w:rFonts w:ascii="Arial" w:eastAsia="Times New Roman" w:hAnsi="Arial" w:cs="Arial"/>
          <w:i/>
          <w:iCs/>
          <w:sz w:val="24"/>
          <w:szCs w:val="24"/>
          <w:lang w:eastAsia="en-GB"/>
        </w:rPr>
        <w:t>für</w:t>
      </w:r>
      <w:proofErr w:type="spellEnd"/>
      <w:r w:rsidRPr="00F71301">
        <w:rPr>
          <w:rFonts w:ascii="Arial" w:eastAsia="Times New Roman" w:hAnsi="Arial" w:cs="Arial"/>
          <w:i/>
          <w:iCs/>
          <w:sz w:val="24"/>
          <w:szCs w:val="24"/>
          <w:lang w:eastAsia="en-GB"/>
        </w:rPr>
        <w:t xml:space="preserve"> </w:t>
      </w:r>
      <w:proofErr w:type="spellStart"/>
      <w:r w:rsidRPr="00F71301">
        <w:rPr>
          <w:rFonts w:ascii="Arial" w:eastAsia="Times New Roman" w:hAnsi="Arial" w:cs="Arial"/>
          <w:i/>
          <w:iCs/>
          <w:sz w:val="24"/>
          <w:szCs w:val="24"/>
          <w:lang w:eastAsia="en-GB"/>
        </w:rPr>
        <w:t>Personalforschung</w:t>
      </w:r>
      <w:proofErr w:type="spellEnd"/>
      <w:r w:rsidRPr="00F71301">
        <w:rPr>
          <w:rFonts w:ascii="Arial" w:eastAsia="Times New Roman" w:hAnsi="Arial" w:cs="Arial"/>
          <w:sz w:val="24"/>
          <w:szCs w:val="24"/>
          <w:lang w:eastAsia="en-GB"/>
        </w:rPr>
        <w:t xml:space="preserve">, 34(3), pp. 345–365. Available at: </w:t>
      </w:r>
      <w:hyperlink r:id="rId68" w:history="1">
        <w:r w:rsidRPr="00F71301">
          <w:rPr>
            <w:rStyle w:val="Hyperlink"/>
            <w:rFonts w:ascii="Arial" w:eastAsia="Times New Roman" w:hAnsi="Arial" w:cs="Arial"/>
            <w:sz w:val="24"/>
            <w:szCs w:val="24"/>
            <w:lang w:eastAsia="en-GB"/>
          </w:rPr>
          <w:t>https://doi.org/10.1177/2397002220921131</w:t>
        </w:r>
      </w:hyperlink>
      <w:r w:rsidRPr="00F71301">
        <w:rPr>
          <w:rFonts w:ascii="Arial" w:eastAsia="Times New Roman" w:hAnsi="Arial" w:cs="Arial"/>
          <w:sz w:val="24"/>
          <w:szCs w:val="24"/>
          <w:lang w:eastAsia="en-GB"/>
        </w:rPr>
        <w:t>.</w:t>
      </w:r>
    </w:p>
    <w:p w14:paraId="43DDE88F" w14:textId="77777777" w:rsidR="006D1421" w:rsidRPr="00F71301" w:rsidRDefault="006D1421" w:rsidP="001F41A7">
      <w:pPr>
        <w:spacing w:after="0" w:line="240" w:lineRule="auto"/>
        <w:rPr>
          <w:rFonts w:ascii="Arial" w:eastAsia="Times New Roman" w:hAnsi="Arial" w:cs="Arial"/>
          <w:sz w:val="24"/>
          <w:szCs w:val="24"/>
          <w:lang w:eastAsia="en-GB"/>
        </w:rPr>
      </w:pPr>
    </w:p>
    <w:p w14:paraId="332F9A6E" w14:textId="77777777" w:rsidR="008035B6" w:rsidRPr="00F71301" w:rsidRDefault="008035B6" w:rsidP="008035B6">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lastRenderedPageBreak/>
        <w:t>The Data Protection Act (2018) c.12 Available at:</w:t>
      </w:r>
      <w:r w:rsidRPr="00F71301">
        <w:rPr>
          <w:rFonts w:ascii="Arial" w:hAnsi="Arial" w:cs="Arial"/>
          <w:sz w:val="24"/>
          <w:szCs w:val="24"/>
        </w:rPr>
        <w:t xml:space="preserve"> </w:t>
      </w:r>
      <w:hyperlink r:id="rId69" w:history="1">
        <w:r w:rsidRPr="00F71301">
          <w:rPr>
            <w:rFonts w:ascii="Arial" w:hAnsi="Arial" w:cs="Arial"/>
            <w:color w:val="0000FF"/>
            <w:sz w:val="24"/>
            <w:szCs w:val="24"/>
            <w:u w:val="single"/>
          </w:rPr>
          <w:t>Data Protection Act 2018 (legislation.gov.uk)</w:t>
        </w:r>
      </w:hyperlink>
      <w:r w:rsidRPr="00F71301">
        <w:rPr>
          <w:rFonts w:ascii="Arial" w:hAnsi="Arial" w:cs="Arial"/>
          <w:sz w:val="24"/>
          <w:szCs w:val="24"/>
        </w:rPr>
        <w:t xml:space="preserve"> accessed 20.10.2025</w:t>
      </w:r>
      <w:r w:rsidRPr="00F71301">
        <w:rPr>
          <w:rFonts w:ascii="Arial" w:eastAsia="Times New Roman" w:hAnsi="Arial" w:cs="Arial"/>
          <w:sz w:val="24"/>
          <w:szCs w:val="24"/>
          <w:lang w:eastAsia="en-GB"/>
        </w:rPr>
        <w:t xml:space="preserve">  </w:t>
      </w:r>
    </w:p>
    <w:p w14:paraId="444437B1" w14:textId="77777777" w:rsidR="008035B6" w:rsidRPr="00F71301" w:rsidRDefault="008035B6" w:rsidP="008035B6">
      <w:pPr>
        <w:spacing w:after="0" w:line="240" w:lineRule="auto"/>
        <w:rPr>
          <w:rFonts w:ascii="Arial" w:hAnsi="Arial" w:cs="Arial"/>
          <w:sz w:val="24"/>
          <w:szCs w:val="24"/>
        </w:rPr>
      </w:pPr>
    </w:p>
    <w:p w14:paraId="081950F4" w14:textId="23E9FCE4" w:rsidR="00D22EB9" w:rsidRDefault="00D22EB9" w:rsidP="00D22EB9">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Uhl</w:t>
      </w:r>
      <w:proofErr w:type="spellEnd"/>
      <w:r w:rsidRPr="00F71301">
        <w:rPr>
          <w:rFonts w:ascii="Arial" w:eastAsia="Times New Roman" w:hAnsi="Arial" w:cs="Arial"/>
          <w:sz w:val="24"/>
          <w:szCs w:val="24"/>
          <w:lang w:eastAsia="en-GB"/>
        </w:rPr>
        <w:t xml:space="preserve">-Bien, M. (2006) “Relational Leadership Theory: Exploring the social processes of leadership and organizing,” </w:t>
      </w:r>
      <w:r w:rsidRPr="00F71301">
        <w:rPr>
          <w:rFonts w:ascii="Arial" w:eastAsia="Times New Roman" w:hAnsi="Arial" w:cs="Arial"/>
          <w:i/>
          <w:iCs/>
          <w:sz w:val="24"/>
          <w:szCs w:val="24"/>
          <w:lang w:eastAsia="en-GB"/>
        </w:rPr>
        <w:t>The Leadership Quarterly</w:t>
      </w:r>
      <w:r w:rsidRPr="00F71301">
        <w:rPr>
          <w:rFonts w:ascii="Arial" w:eastAsia="Times New Roman" w:hAnsi="Arial" w:cs="Arial"/>
          <w:sz w:val="24"/>
          <w:szCs w:val="24"/>
          <w:lang w:eastAsia="en-GB"/>
        </w:rPr>
        <w:t xml:space="preserve">, 17(6), pp. 654–676. Available at: </w:t>
      </w:r>
      <w:hyperlink r:id="rId70" w:history="1">
        <w:r w:rsidRPr="00F71301">
          <w:rPr>
            <w:rStyle w:val="Hyperlink"/>
            <w:rFonts w:ascii="Arial" w:eastAsia="Times New Roman" w:hAnsi="Arial" w:cs="Arial"/>
            <w:sz w:val="24"/>
            <w:szCs w:val="24"/>
            <w:lang w:eastAsia="en-GB"/>
          </w:rPr>
          <w:t>https://doi.org/10.1016/j.leaqua.2006.10.007</w:t>
        </w:r>
      </w:hyperlink>
      <w:r w:rsidRPr="00F71301">
        <w:rPr>
          <w:rFonts w:ascii="Arial" w:eastAsia="Times New Roman" w:hAnsi="Arial" w:cs="Arial"/>
          <w:sz w:val="24"/>
          <w:szCs w:val="24"/>
          <w:lang w:eastAsia="en-GB"/>
        </w:rPr>
        <w:t>.</w:t>
      </w:r>
    </w:p>
    <w:p w14:paraId="62978A39" w14:textId="6A9E8CEA" w:rsidR="00DC1D6C" w:rsidRDefault="00DC1D6C" w:rsidP="00D22EB9">
      <w:pPr>
        <w:spacing w:after="0" w:line="240" w:lineRule="auto"/>
        <w:rPr>
          <w:rFonts w:ascii="Arial" w:eastAsia="Times New Roman" w:hAnsi="Arial" w:cs="Arial"/>
          <w:sz w:val="24"/>
          <w:szCs w:val="24"/>
          <w:lang w:eastAsia="en-GB"/>
        </w:rPr>
      </w:pPr>
    </w:p>
    <w:p w14:paraId="5EC9FD5C" w14:textId="77777777" w:rsidR="00DC1D6C" w:rsidRPr="00AA34FA" w:rsidRDefault="00DC1D6C" w:rsidP="00DC1D6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Van de </w:t>
      </w:r>
      <w:proofErr w:type="spellStart"/>
      <w:r>
        <w:rPr>
          <w:rFonts w:ascii="Arial" w:eastAsia="Times New Roman" w:hAnsi="Arial" w:cs="Arial"/>
          <w:sz w:val="24"/>
          <w:szCs w:val="24"/>
          <w:lang w:eastAsia="en-GB"/>
        </w:rPr>
        <w:t>Ven</w:t>
      </w:r>
      <w:proofErr w:type="spellEnd"/>
      <w:r>
        <w:rPr>
          <w:rFonts w:ascii="Arial" w:eastAsia="Times New Roman" w:hAnsi="Arial" w:cs="Arial"/>
          <w:sz w:val="24"/>
          <w:szCs w:val="24"/>
          <w:lang w:eastAsia="en-GB"/>
        </w:rPr>
        <w:t xml:space="preserve">, A.H, </w:t>
      </w:r>
      <w:proofErr w:type="spellStart"/>
      <w:r>
        <w:rPr>
          <w:rFonts w:ascii="Arial" w:eastAsia="Times New Roman" w:hAnsi="Arial" w:cs="Arial"/>
          <w:sz w:val="24"/>
          <w:szCs w:val="24"/>
          <w:lang w:eastAsia="en-GB"/>
        </w:rPr>
        <w:t>Hargrave</w:t>
      </w:r>
      <w:proofErr w:type="spellEnd"/>
      <w:r>
        <w:rPr>
          <w:rFonts w:ascii="Arial" w:eastAsia="Times New Roman" w:hAnsi="Arial" w:cs="Arial"/>
          <w:sz w:val="24"/>
          <w:szCs w:val="24"/>
          <w:lang w:eastAsia="en-GB"/>
        </w:rPr>
        <w:t>, T.J. (2004) “Social, technical and institutional change”. In ‘</w:t>
      </w:r>
      <w:r w:rsidRPr="0092333E">
        <w:rPr>
          <w:rFonts w:ascii="Arial" w:eastAsia="Times New Roman" w:hAnsi="Arial" w:cs="Arial"/>
          <w:i/>
          <w:sz w:val="24"/>
          <w:szCs w:val="24"/>
          <w:lang w:eastAsia="en-GB"/>
        </w:rPr>
        <w:t>Handbook of Organisational Change and Innovation’</w:t>
      </w:r>
      <w:r>
        <w:rPr>
          <w:rFonts w:ascii="Arial" w:eastAsia="Times New Roman" w:hAnsi="Arial" w:cs="Arial"/>
          <w:sz w:val="24"/>
          <w:szCs w:val="24"/>
          <w:lang w:eastAsia="en-GB"/>
        </w:rPr>
        <w:t>. Pp.259-303. Academic Press.</w:t>
      </w:r>
    </w:p>
    <w:p w14:paraId="06098BAA" w14:textId="77777777" w:rsidR="00DC1D6C" w:rsidRPr="00AA34FA" w:rsidRDefault="00DC1D6C" w:rsidP="00DC1D6C">
      <w:pPr>
        <w:spacing w:after="0" w:line="240" w:lineRule="auto"/>
        <w:rPr>
          <w:rFonts w:ascii="Arial" w:eastAsia="Times New Roman" w:hAnsi="Arial" w:cs="Arial"/>
          <w:sz w:val="24"/>
          <w:szCs w:val="24"/>
          <w:lang w:eastAsia="en-GB"/>
        </w:rPr>
      </w:pPr>
    </w:p>
    <w:p w14:paraId="087A6F03" w14:textId="77777777" w:rsidR="00D14836" w:rsidRPr="00F71301" w:rsidRDefault="00D14836" w:rsidP="00D14836">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Vandever</w:t>
      </w:r>
      <w:proofErr w:type="spellEnd"/>
      <w:r w:rsidRPr="00F71301">
        <w:rPr>
          <w:rFonts w:ascii="Arial" w:eastAsia="Times New Roman" w:hAnsi="Arial" w:cs="Arial"/>
          <w:sz w:val="24"/>
          <w:szCs w:val="24"/>
          <w:lang w:eastAsia="en-GB"/>
        </w:rPr>
        <w:t xml:space="preserve">, C. (2020) “Introduction to Research Statistical Analysis: An Overview of the Basics,” </w:t>
      </w:r>
      <w:r w:rsidRPr="00F71301">
        <w:rPr>
          <w:rFonts w:ascii="Arial" w:eastAsia="Times New Roman" w:hAnsi="Arial" w:cs="Arial"/>
          <w:i/>
          <w:iCs/>
          <w:sz w:val="24"/>
          <w:szCs w:val="24"/>
          <w:lang w:eastAsia="en-GB"/>
        </w:rPr>
        <w:t>HCA Healthcare Journal of Medicine</w:t>
      </w:r>
      <w:r w:rsidRPr="00F71301">
        <w:rPr>
          <w:rFonts w:ascii="Arial" w:eastAsia="Times New Roman" w:hAnsi="Arial" w:cs="Arial"/>
          <w:sz w:val="24"/>
          <w:szCs w:val="24"/>
          <w:lang w:eastAsia="en-GB"/>
        </w:rPr>
        <w:t xml:space="preserve">, 1(2). Available at: </w:t>
      </w:r>
      <w:hyperlink r:id="rId71" w:history="1">
        <w:r w:rsidRPr="00F71301">
          <w:rPr>
            <w:rStyle w:val="Hyperlink"/>
            <w:rFonts w:ascii="Arial" w:eastAsia="Times New Roman" w:hAnsi="Arial" w:cs="Arial"/>
            <w:sz w:val="24"/>
            <w:szCs w:val="24"/>
            <w:lang w:eastAsia="en-GB"/>
          </w:rPr>
          <w:t>https://doi.org/10.36518/2689-0216.1062</w:t>
        </w:r>
      </w:hyperlink>
      <w:r w:rsidRPr="00F71301">
        <w:rPr>
          <w:rFonts w:ascii="Arial" w:eastAsia="Times New Roman" w:hAnsi="Arial" w:cs="Arial"/>
          <w:sz w:val="24"/>
          <w:szCs w:val="24"/>
          <w:lang w:eastAsia="en-GB"/>
        </w:rPr>
        <w:t>.</w:t>
      </w:r>
    </w:p>
    <w:p w14:paraId="5C0187BA" w14:textId="77777777" w:rsidR="00D22EB9" w:rsidRPr="00F71301" w:rsidRDefault="00D22EB9">
      <w:pPr>
        <w:rPr>
          <w:rFonts w:ascii="Arial" w:hAnsi="Arial" w:cs="Arial"/>
          <w:sz w:val="24"/>
          <w:szCs w:val="24"/>
        </w:rPr>
      </w:pPr>
    </w:p>
    <w:p w14:paraId="41C0C8E8" w14:textId="77777777" w:rsidR="00A90689" w:rsidRPr="00F71301" w:rsidRDefault="00A90689" w:rsidP="00A90689">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Varkey</w:t>
      </w:r>
      <w:proofErr w:type="spellEnd"/>
      <w:r w:rsidRPr="00F71301">
        <w:rPr>
          <w:rFonts w:ascii="Arial" w:eastAsia="Times New Roman" w:hAnsi="Arial" w:cs="Arial"/>
          <w:sz w:val="24"/>
          <w:szCs w:val="24"/>
          <w:lang w:eastAsia="en-GB"/>
        </w:rPr>
        <w:t xml:space="preserve">, P., </w:t>
      </w:r>
      <w:proofErr w:type="spellStart"/>
      <w:r w:rsidRPr="00F71301">
        <w:rPr>
          <w:rFonts w:ascii="Arial" w:eastAsia="Times New Roman" w:hAnsi="Arial" w:cs="Arial"/>
          <w:sz w:val="24"/>
          <w:szCs w:val="24"/>
          <w:lang w:eastAsia="en-GB"/>
        </w:rPr>
        <w:t>Reller</w:t>
      </w:r>
      <w:proofErr w:type="spellEnd"/>
      <w:r w:rsidRPr="00F71301">
        <w:rPr>
          <w:rFonts w:ascii="Arial" w:eastAsia="Times New Roman" w:hAnsi="Arial" w:cs="Arial"/>
          <w:sz w:val="24"/>
          <w:szCs w:val="24"/>
          <w:lang w:eastAsia="en-GB"/>
        </w:rPr>
        <w:t xml:space="preserve">, M.K. and </w:t>
      </w:r>
      <w:proofErr w:type="spellStart"/>
      <w:r w:rsidRPr="00F71301">
        <w:rPr>
          <w:rFonts w:ascii="Arial" w:eastAsia="Times New Roman" w:hAnsi="Arial" w:cs="Arial"/>
          <w:sz w:val="24"/>
          <w:szCs w:val="24"/>
          <w:lang w:eastAsia="en-GB"/>
        </w:rPr>
        <w:t>Resar</w:t>
      </w:r>
      <w:proofErr w:type="spellEnd"/>
      <w:r w:rsidRPr="00F71301">
        <w:rPr>
          <w:rFonts w:ascii="Arial" w:eastAsia="Times New Roman" w:hAnsi="Arial" w:cs="Arial"/>
          <w:sz w:val="24"/>
          <w:szCs w:val="24"/>
          <w:lang w:eastAsia="en-GB"/>
        </w:rPr>
        <w:t xml:space="preserve">, R.K. (2007) “Basics of Quality Improvement in Health Care,” </w:t>
      </w:r>
      <w:r w:rsidRPr="00F71301">
        <w:rPr>
          <w:rFonts w:ascii="Arial" w:eastAsia="Times New Roman" w:hAnsi="Arial" w:cs="Arial"/>
          <w:i/>
          <w:iCs/>
          <w:sz w:val="24"/>
          <w:szCs w:val="24"/>
          <w:lang w:eastAsia="en-GB"/>
        </w:rPr>
        <w:t>Mayo Clinic Proceedings</w:t>
      </w:r>
      <w:r w:rsidRPr="00F71301">
        <w:rPr>
          <w:rFonts w:ascii="Arial" w:eastAsia="Times New Roman" w:hAnsi="Arial" w:cs="Arial"/>
          <w:sz w:val="24"/>
          <w:szCs w:val="24"/>
          <w:lang w:eastAsia="en-GB"/>
        </w:rPr>
        <w:t xml:space="preserve">, 82(6), pp. 735–739. Available at: </w:t>
      </w:r>
      <w:hyperlink r:id="rId72" w:history="1">
        <w:r w:rsidRPr="00F71301">
          <w:rPr>
            <w:rStyle w:val="Hyperlink"/>
            <w:rFonts w:ascii="Arial" w:eastAsia="Times New Roman" w:hAnsi="Arial" w:cs="Arial"/>
            <w:sz w:val="24"/>
            <w:szCs w:val="24"/>
            <w:lang w:eastAsia="en-GB"/>
          </w:rPr>
          <w:t>https://doi.org/10.4065/82.6.735</w:t>
        </w:r>
      </w:hyperlink>
      <w:r w:rsidRPr="00F71301">
        <w:rPr>
          <w:rFonts w:ascii="Arial" w:eastAsia="Times New Roman" w:hAnsi="Arial" w:cs="Arial"/>
          <w:sz w:val="24"/>
          <w:szCs w:val="24"/>
          <w:lang w:eastAsia="en-GB"/>
        </w:rPr>
        <w:t>.</w:t>
      </w:r>
    </w:p>
    <w:p w14:paraId="1BE83A0F" w14:textId="77777777" w:rsidR="00A90689" w:rsidRPr="00F71301" w:rsidRDefault="00A90689" w:rsidP="0015757D">
      <w:pPr>
        <w:spacing w:after="0" w:line="240" w:lineRule="auto"/>
        <w:rPr>
          <w:rFonts w:ascii="Arial" w:hAnsi="Arial" w:cs="Arial"/>
          <w:color w:val="333333"/>
          <w:sz w:val="24"/>
          <w:szCs w:val="24"/>
          <w:shd w:val="clear" w:color="auto" w:fill="FFFFFF"/>
        </w:rPr>
      </w:pPr>
    </w:p>
    <w:p w14:paraId="370819C2" w14:textId="77777777" w:rsidR="0015757D" w:rsidRPr="00F71301" w:rsidRDefault="0015757D" w:rsidP="0015757D">
      <w:pPr>
        <w:spacing w:after="0" w:line="240" w:lineRule="auto"/>
        <w:rPr>
          <w:rFonts w:ascii="Arial" w:hAnsi="Arial" w:cs="Arial"/>
          <w:color w:val="005A96"/>
          <w:sz w:val="24"/>
          <w:szCs w:val="24"/>
          <w:u w:val="single"/>
          <w:shd w:val="clear" w:color="auto" w:fill="FFFFFF"/>
        </w:rPr>
      </w:pPr>
      <w:r w:rsidRPr="00F71301">
        <w:rPr>
          <w:rFonts w:ascii="Arial" w:hAnsi="Arial" w:cs="Arial"/>
          <w:color w:val="333333"/>
          <w:sz w:val="24"/>
          <w:szCs w:val="24"/>
          <w:shd w:val="clear" w:color="auto" w:fill="FFFFFF"/>
        </w:rPr>
        <w:t>Venereal Disease Act (1917) (repealed November 1998)</w:t>
      </w:r>
      <w:r w:rsidR="00D22EB9" w:rsidRPr="00F71301">
        <w:rPr>
          <w:rFonts w:ascii="Arial" w:hAnsi="Arial" w:cs="Arial"/>
          <w:color w:val="333333"/>
          <w:sz w:val="24"/>
          <w:szCs w:val="24"/>
          <w:shd w:val="clear" w:color="auto" w:fill="FFFFFF"/>
        </w:rPr>
        <w:t xml:space="preserve"> </w:t>
      </w:r>
      <w:r w:rsidRPr="00F71301">
        <w:rPr>
          <w:rFonts w:ascii="Arial" w:hAnsi="Arial" w:cs="Arial"/>
          <w:color w:val="333333"/>
          <w:sz w:val="24"/>
          <w:szCs w:val="24"/>
          <w:shd w:val="clear" w:color="auto" w:fill="FFFFFF"/>
        </w:rPr>
        <w:t>Available at:  </w:t>
      </w:r>
      <w:hyperlink r:id="rId73" w:history="1">
        <w:r w:rsidRPr="00F71301">
          <w:rPr>
            <w:rFonts w:ascii="Arial" w:hAnsi="Arial" w:cs="Arial"/>
            <w:color w:val="005A96"/>
            <w:sz w:val="24"/>
            <w:szCs w:val="24"/>
            <w:u w:val="single"/>
            <w:shd w:val="clear" w:color="auto" w:fill="FFFFFF"/>
          </w:rPr>
          <w:t>http://www.legislation.gov.uk/ukpga/Geo5/7-8/21/content</w:t>
        </w:r>
      </w:hyperlink>
      <w:r w:rsidRPr="00F71301">
        <w:rPr>
          <w:rFonts w:ascii="Arial" w:hAnsi="Arial" w:cs="Arial"/>
          <w:color w:val="005A96"/>
          <w:sz w:val="24"/>
          <w:szCs w:val="24"/>
          <w:u w:val="single"/>
          <w:shd w:val="clear" w:color="auto" w:fill="FFFFFF"/>
        </w:rPr>
        <w:t xml:space="preserve">  </w:t>
      </w:r>
    </w:p>
    <w:p w14:paraId="4CD0E5D1" w14:textId="77777777" w:rsidR="0015757D" w:rsidRPr="00F71301" w:rsidRDefault="0015757D" w:rsidP="0015757D">
      <w:pPr>
        <w:spacing w:after="0" w:line="240" w:lineRule="auto"/>
        <w:rPr>
          <w:rFonts w:ascii="Arial" w:hAnsi="Arial" w:cs="Arial"/>
          <w:sz w:val="24"/>
          <w:szCs w:val="24"/>
        </w:rPr>
      </w:pPr>
      <w:r w:rsidRPr="00F71301">
        <w:rPr>
          <w:rFonts w:ascii="Arial" w:hAnsi="Arial" w:cs="Arial"/>
          <w:color w:val="0000FF"/>
          <w:sz w:val="24"/>
          <w:szCs w:val="24"/>
          <w:u w:val="single"/>
          <w:shd w:val="clear" w:color="auto" w:fill="FFFFFF"/>
        </w:rPr>
        <w:t>accessed on: 20.10.25</w:t>
      </w:r>
    </w:p>
    <w:p w14:paraId="050D6190" w14:textId="77777777" w:rsidR="00CD2F4F" w:rsidRPr="00F71301" w:rsidRDefault="00CD2F4F">
      <w:pPr>
        <w:rPr>
          <w:rFonts w:ascii="Arial" w:hAnsi="Arial" w:cs="Arial"/>
          <w:sz w:val="24"/>
          <w:szCs w:val="24"/>
        </w:rPr>
      </w:pPr>
    </w:p>
    <w:p w14:paraId="6D649498" w14:textId="77777777" w:rsidR="00144596" w:rsidRPr="00F71301" w:rsidRDefault="00144596" w:rsidP="00144596">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Wang, X.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(2024) “Situational leadership theory in nursing management: a scoping review,” </w:t>
      </w:r>
      <w:r w:rsidRPr="00F71301">
        <w:rPr>
          <w:rFonts w:ascii="Arial" w:eastAsia="Times New Roman" w:hAnsi="Arial" w:cs="Arial"/>
          <w:i/>
          <w:iCs/>
          <w:sz w:val="24"/>
          <w:szCs w:val="24"/>
          <w:lang w:eastAsia="en-GB"/>
        </w:rPr>
        <w:t>BMC Nursing 2024 23:1</w:t>
      </w:r>
      <w:r w:rsidRPr="00F71301">
        <w:rPr>
          <w:rFonts w:ascii="Arial" w:eastAsia="Times New Roman" w:hAnsi="Arial" w:cs="Arial"/>
          <w:sz w:val="24"/>
          <w:szCs w:val="24"/>
          <w:lang w:eastAsia="en-GB"/>
        </w:rPr>
        <w:t xml:space="preserve">, 23(1), pp. 1–16. Available at: </w:t>
      </w:r>
      <w:hyperlink r:id="rId74" w:history="1">
        <w:r w:rsidRPr="00F71301">
          <w:rPr>
            <w:rStyle w:val="Hyperlink"/>
            <w:rFonts w:ascii="Arial" w:eastAsia="Times New Roman" w:hAnsi="Arial" w:cs="Arial"/>
            <w:sz w:val="24"/>
            <w:szCs w:val="24"/>
            <w:lang w:eastAsia="en-GB"/>
          </w:rPr>
          <w:t>https://doi.org/10.1186/S12912-024-02582-9</w:t>
        </w:r>
      </w:hyperlink>
      <w:r w:rsidRPr="00F71301">
        <w:rPr>
          <w:rFonts w:ascii="Arial" w:eastAsia="Times New Roman" w:hAnsi="Arial" w:cs="Arial"/>
          <w:sz w:val="24"/>
          <w:szCs w:val="24"/>
          <w:lang w:eastAsia="en-GB"/>
        </w:rPr>
        <w:t>.</w:t>
      </w:r>
    </w:p>
    <w:p w14:paraId="46A58FC4" w14:textId="77777777" w:rsidR="00144596" w:rsidRPr="00F71301" w:rsidRDefault="00144596">
      <w:pPr>
        <w:rPr>
          <w:rFonts w:ascii="Arial" w:hAnsi="Arial" w:cs="Arial"/>
          <w:sz w:val="24"/>
          <w:szCs w:val="24"/>
        </w:rPr>
      </w:pPr>
    </w:p>
    <w:p w14:paraId="5889387B" w14:textId="77777777" w:rsidR="00D22EB9" w:rsidRPr="00F71301" w:rsidRDefault="00D22EB9" w:rsidP="00D22EB9">
      <w:pPr>
        <w:spacing w:after="0" w:line="240" w:lineRule="auto"/>
        <w:rPr>
          <w:rFonts w:ascii="Arial" w:eastAsia="Times New Roman" w:hAnsi="Arial" w:cs="Arial"/>
          <w:sz w:val="24"/>
          <w:szCs w:val="24"/>
          <w:lang w:eastAsia="en-GB"/>
        </w:rPr>
      </w:pPr>
      <w:r w:rsidRPr="00F71301">
        <w:rPr>
          <w:rFonts w:ascii="Arial" w:eastAsia="Times New Roman" w:hAnsi="Arial" w:cs="Arial"/>
          <w:sz w:val="24"/>
          <w:szCs w:val="24"/>
          <w:lang w:eastAsia="en-GB"/>
        </w:rPr>
        <w:t xml:space="preserve">Welsh Assembly Government (WAG) (2015) ‘Welsh Health Circular- Introduction of SNOMED CT as an information standard in NHS Wales’. Available at: </w:t>
      </w:r>
      <w:hyperlink r:id="rId75" w:history="1">
        <w:r w:rsidRPr="00F71301">
          <w:rPr>
            <w:rFonts w:ascii="Arial" w:hAnsi="Arial" w:cs="Arial"/>
            <w:color w:val="0000FF"/>
            <w:sz w:val="24"/>
            <w:szCs w:val="24"/>
            <w:u w:val="single"/>
          </w:rPr>
          <w:t>introduction-of-snomed-ct-as-an-information-standard-in-nhs-wales.pdf</w:t>
        </w:r>
      </w:hyperlink>
      <w:r w:rsidRPr="00F71301">
        <w:rPr>
          <w:rFonts w:ascii="Arial" w:hAnsi="Arial" w:cs="Arial"/>
          <w:sz w:val="24"/>
          <w:szCs w:val="24"/>
        </w:rPr>
        <w:t xml:space="preserve">  accessed on: 18.10.25</w:t>
      </w:r>
    </w:p>
    <w:p w14:paraId="23489E34" w14:textId="77777777" w:rsidR="00D22EB9" w:rsidRPr="00F71301" w:rsidRDefault="00D22EB9" w:rsidP="00D22EB9">
      <w:pPr>
        <w:rPr>
          <w:rFonts w:ascii="Arial" w:hAnsi="Arial" w:cs="Arial"/>
          <w:sz w:val="24"/>
          <w:szCs w:val="24"/>
        </w:rPr>
      </w:pPr>
    </w:p>
    <w:p w14:paraId="33E9EA5D" w14:textId="77777777" w:rsidR="00D22EB9" w:rsidRPr="00F71301" w:rsidRDefault="00D22EB9" w:rsidP="00D22EB9">
      <w:pPr>
        <w:spacing w:before="100" w:beforeAutospacing="1" w:after="100" w:afterAutospacing="1" w:line="240" w:lineRule="auto"/>
        <w:rPr>
          <w:rFonts w:ascii="Arial" w:hAnsi="Arial" w:cs="Arial"/>
          <w:sz w:val="24"/>
          <w:szCs w:val="24"/>
        </w:rPr>
      </w:pPr>
      <w:r w:rsidRPr="00F71301">
        <w:rPr>
          <w:rFonts w:ascii="Arial" w:eastAsia="Times New Roman" w:hAnsi="Arial" w:cs="Arial"/>
          <w:sz w:val="24"/>
          <w:szCs w:val="24"/>
          <w:lang w:eastAsia="en-GB"/>
        </w:rPr>
        <w:t xml:space="preserve">Welsh Assembly Government (WAG) (2023) ‘Welsh Health Circular: Introduction of HL7 FHIR as a foundational standard in all NHS Wales bodies.’ Available at: </w:t>
      </w:r>
      <w:hyperlink r:id="rId76" w:history="1">
        <w:r w:rsidRPr="00F71301">
          <w:rPr>
            <w:rFonts w:ascii="Arial" w:hAnsi="Arial" w:cs="Arial"/>
            <w:color w:val="0000FF"/>
            <w:sz w:val="24"/>
            <w:szCs w:val="24"/>
            <w:u w:val="single"/>
          </w:rPr>
          <w:t>Microsoft Word - WELSH HEALTH CIRCULAR - Introduction of HL7 FHIR as a foundational standard in all NHS Wales Bodies - English cleared</w:t>
        </w:r>
      </w:hyperlink>
      <w:r w:rsidRPr="00F71301">
        <w:rPr>
          <w:rFonts w:ascii="Arial" w:hAnsi="Arial" w:cs="Arial"/>
          <w:sz w:val="24"/>
          <w:szCs w:val="24"/>
        </w:rPr>
        <w:t xml:space="preserve">  accessed on: 18.10.25</w:t>
      </w:r>
    </w:p>
    <w:p w14:paraId="2FD0B17A" w14:textId="77777777" w:rsidR="00D22EB9" w:rsidRPr="00F71301" w:rsidRDefault="00D22EB9" w:rsidP="00D22EB9">
      <w:pPr>
        <w:rPr>
          <w:rFonts w:ascii="Arial" w:hAnsi="Arial" w:cs="Arial"/>
          <w:sz w:val="24"/>
          <w:szCs w:val="24"/>
        </w:rPr>
      </w:pPr>
      <w:r w:rsidRPr="00F71301">
        <w:rPr>
          <w:rFonts w:ascii="Arial" w:hAnsi="Arial" w:cs="Arial"/>
          <w:sz w:val="24"/>
          <w:szCs w:val="24"/>
        </w:rPr>
        <w:t xml:space="preserve">WAG (2025) Introduction of routine vaccinations for </w:t>
      </w:r>
      <w:proofErr w:type="spellStart"/>
      <w:r w:rsidRPr="00F71301">
        <w:rPr>
          <w:rFonts w:ascii="Arial" w:hAnsi="Arial" w:cs="Arial"/>
          <w:sz w:val="24"/>
          <w:szCs w:val="24"/>
        </w:rPr>
        <w:t>mpox</w:t>
      </w:r>
      <w:proofErr w:type="spellEnd"/>
      <w:r w:rsidRPr="00F71301">
        <w:rPr>
          <w:rFonts w:ascii="Arial" w:hAnsi="Arial" w:cs="Arial"/>
          <w:sz w:val="24"/>
          <w:szCs w:val="24"/>
        </w:rPr>
        <w:t xml:space="preserve"> and gonorrhoea (WHC/2025/021): Letter to health professionals noting the eligibility, dosing regime and start of the programmes. Available at: </w:t>
      </w:r>
      <w:hyperlink r:id="rId77" w:history="1">
        <w:r w:rsidRPr="00F71301">
          <w:rPr>
            <w:rStyle w:val="Hyperlink"/>
            <w:rFonts w:ascii="Arial" w:hAnsi="Arial" w:cs="Arial"/>
            <w:sz w:val="24"/>
            <w:szCs w:val="24"/>
          </w:rPr>
          <w:t xml:space="preserve">Introduction of routine vaccinations for </w:t>
        </w:r>
        <w:proofErr w:type="spellStart"/>
        <w:r w:rsidRPr="00F71301">
          <w:rPr>
            <w:rStyle w:val="Hyperlink"/>
            <w:rFonts w:ascii="Arial" w:hAnsi="Arial" w:cs="Arial"/>
            <w:sz w:val="24"/>
            <w:szCs w:val="24"/>
          </w:rPr>
          <w:t>mpox</w:t>
        </w:r>
        <w:proofErr w:type="spellEnd"/>
        <w:r w:rsidRPr="00F71301">
          <w:rPr>
            <w:rStyle w:val="Hyperlink"/>
            <w:rFonts w:ascii="Arial" w:hAnsi="Arial" w:cs="Arial"/>
            <w:sz w:val="24"/>
            <w:szCs w:val="24"/>
          </w:rPr>
          <w:t xml:space="preserve"> and gonorrhoea (WHC/2025/021) | GOV.WALES</w:t>
        </w:r>
      </w:hyperlink>
      <w:r w:rsidRPr="00F71301">
        <w:rPr>
          <w:rFonts w:ascii="Arial" w:hAnsi="Arial" w:cs="Arial"/>
          <w:sz w:val="24"/>
          <w:szCs w:val="24"/>
        </w:rPr>
        <w:t xml:space="preserve">  accessed on 20.10.25</w:t>
      </w:r>
    </w:p>
    <w:p w14:paraId="743557EE" w14:textId="77777777" w:rsidR="0066360D" w:rsidRPr="00F71301" w:rsidRDefault="0066360D" w:rsidP="0066360D">
      <w:pPr>
        <w:spacing w:after="0" w:line="240" w:lineRule="auto"/>
        <w:rPr>
          <w:rFonts w:ascii="Arial" w:eastAsia="Times New Roman" w:hAnsi="Arial" w:cs="Arial"/>
          <w:sz w:val="24"/>
          <w:szCs w:val="24"/>
          <w:lang w:eastAsia="en-GB"/>
        </w:rPr>
      </w:pPr>
      <w:proofErr w:type="spellStart"/>
      <w:r w:rsidRPr="00F71301">
        <w:rPr>
          <w:rFonts w:ascii="Arial" w:eastAsia="Times New Roman" w:hAnsi="Arial" w:cs="Arial"/>
          <w:sz w:val="24"/>
          <w:szCs w:val="24"/>
          <w:lang w:eastAsia="en-GB"/>
        </w:rPr>
        <w:t>Ystaas</w:t>
      </w:r>
      <w:proofErr w:type="spellEnd"/>
      <w:r w:rsidRPr="00F71301">
        <w:rPr>
          <w:rFonts w:ascii="Arial" w:eastAsia="Times New Roman" w:hAnsi="Arial" w:cs="Arial"/>
          <w:sz w:val="24"/>
          <w:szCs w:val="24"/>
          <w:lang w:eastAsia="en-GB"/>
        </w:rPr>
        <w:t xml:space="preserve">, L.M.K. </w:t>
      </w:r>
      <w:r w:rsidRPr="00F71301">
        <w:rPr>
          <w:rFonts w:ascii="Arial" w:eastAsia="Times New Roman" w:hAnsi="Arial" w:cs="Arial"/>
          <w:i/>
          <w:iCs/>
          <w:sz w:val="24"/>
          <w:szCs w:val="24"/>
          <w:lang w:eastAsia="en-GB"/>
        </w:rPr>
        <w:t>et al.</w:t>
      </w:r>
      <w:r w:rsidRPr="00F71301">
        <w:rPr>
          <w:rFonts w:ascii="Arial" w:eastAsia="Times New Roman" w:hAnsi="Arial" w:cs="Arial"/>
          <w:sz w:val="24"/>
          <w:szCs w:val="24"/>
          <w:lang w:eastAsia="en-GB"/>
        </w:rPr>
        <w:t xml:space="preserve"> (2023) “The Impact of Transformational Leadership in the Nursing Work Environment and Patients’ Outcomes: A Systematic Review,” </w:t>
      </w:r>
      <w:r w:rsidRPr="00F71301">
        <w:rPr>
          <w:rFonts w:ascii="Arial" w:eastAsia="Times New Roman" w:hAnsi="Arial" w:cs="Arial"/>
          <w:i/>
          <w:iCs/>
          <w:sz w:val="24"/>
          <w:szCs w:val="24"/>
          <w:lang w:eastAsia="en-GB"/>
        </w:rPr>
        <w:t>Nursing Reports</w:t>
      </w:r>
      <w:r w:rsidRPr="00F71301">
        <w:rPr>
          <w:rFonts w:ascii="Arial" w:eastAsia="Times New Roman" w:hAnsi="Arial" w:cs="Arial"/>
          <w:sz w:val="24"/>
          <w:szCs w:val="24"/>
          <w:lang w:eastAsia="en-GB"/>
        </w:rPr>
        <w:t xml:space="preserve">, 13(3), p. 1271. Available at: </w:t>
      </w:r>
      <w:hyperlink r:id="rId78" w:history="1">
        <w:r w:rsidRPr="00F71301">
          <w:rPr>
            <w:rStyle w:val="Hyperlink"/>
            <w:rFonts w:ascii="Arial" w:eastAsia="Times New Roman" w:hAnsi="Arial" w:cs="Arial"/>
            <w:sz w:val="24"/>
            <w:szCs w:val="24"/>
            <w:lang w:eastAsia="en-GB"/>
          </w:rPr>
          <w:t>https://doi.org/10.3390/NURSREP13030108</w:t>
        </w:r>
      </w:hyperlink>
      <w:r w:rsidRPr="00F71301">
        <w:rPr>
          <w:rFonts w:ascii="Arial" w:eastAsia="Times New Roman" w:hAnsi="Arial" w:cs="Arial"/>
          <w:sz w:val="24"/>
          <w:szCs w:val="24"/>
          <w:lang w:eastAsia="en-GB"/>
        </w:rPr>
        <w:t>.</w:t>
      </w:r>
    </w:p>
    <w:p w14:paraId="3D7B31A8" w14:textId="77777777" w:rsidR="0066360D" w:rsidRPr="00F71301" w:rsidRDefault="0066360D" w:rsidP="0066360D">
      <w:pPr>
        <w:spacing w:after="0" w:line="240" w:lineRule="auto"/>
        <w:rPr>
          <w:rFonts w:ascii="Arial" w:eastAsia="Times New Roman" w:hAnsi="Arial" w:cs="Arial"/>
          <w:sz w:val="24"/>
          <w:szCs w:val="24"/>
          <w:lang w:eastAsia="en-GB"/>
        </w:rPr>
      </w:pPr>
    </w:p>
    <w:p w14:paraId="3A2CDEF6" w14:textId="77777777" w:rsidR="0066360D" w:rsidRPr="00F71301" w:rsidRDefault="0066360D" w:rsidP="00D22EB9">
      <w:pPr>
        <w:rPr>
          <w:rFonts w:ascii="Arial" w:hAnsi="Arial" w:cs="Arial"/>
          <w:sz w:val="24"/>
          <w:szCs w:val="24"/>
        </w:rPr>
      </w:pPr>
    </w:p>
    <w:p w14:paraId="6672508B" w14:textId="77777777" w:rsidR="00D22EB9" w:rsidRPr="00F71301" w:rsidRDefault="00D22EB9">
      <w:pPr>
        <w:rPr>
          <w:rFonts w:ascii="Arial" w:hAnsi="Arial" w:cs="Arial"/>
          <w:sz w:val="24"/>
          <w:szCs w:val="24"/>
        </w:rPr>
      </w:pPr>
    </w:p>
    <w:p w14:paraId="4A88C1C8" w14:textId="77777777" w:rsidR="00CD2F4F" w:rsidRPr="00F71301" w:rsidRDefault="00CD2F4F">
      <w:pPr>
        <w:rPr>
          <w:rFonts w:ascii="Arial" w:hAnsi="Arial" w:cs="Arial"/>
          <w:color w:val="000000" w:themeColor="text1"/>
          <w:sz w:val="24"/>
          <w:szCs w:val="24"/>
        </w:rPr>
      </w:pPr>
    </w:p>
    <w:sectPr w:rsidR="00CD2F4F" w:rsidRPr="00F71301" w:rsidSect="00EA3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12982"/>
    <w:multiLevelType w:val="hybridMultilevel"/>
    <w:tmpl w:val="4F468D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90403CF"/>
    <w:multiLevelType w:val="multilevel"/>
    <w:tmpl w:val="842AA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3A0058"/>
    <w:multiLevelType w:val="multilevel"/>
    <w:tmpl w:val="DF5ED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9F1C3F"/>
    <w:multiLevelType w:val="hybridMultilevel"/>
    <w:tmpl w:val="C8E6C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CE3F6C"/>
    <w:multiLevelType w:val="hybridMultilevel"/>
    <w:tmpl w:val="A1A48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3F5C"/>
    <w:rsid w:val="00001535"/>
    <w:rsid w:val="00047668"/>
    <w:rsid w:val="00052EF9"/>
    <w:rsid w:val="0006160E"/>
    <w:rsid w:val="000834B6"/>
    <w:rsid w:val="000A0052"/>
    <w:rsid w:val="00122709"/>
    <w:rsid w:val="00123359"/>
    <w:rsid w:val="001264EB"/>
    <w:rsid w:val="00132511"/>
    <w:rsid w:val="00144596"/>
    <w:rsid w:val="00146B7A"/>
    <w:rsid w:val="0015757D"/>
    <w:rsid w:val="001778F0"/>
    <w:rsid w:val="001B09EA"/>
    <w:rsid w:val="001B5AF2"/>
    <w:rsid w:val="001B6960"/>
    <w:rsid w:val="001F41A7"/>
    <w:rsid w:val="002003DF"/>
    <w:rsid w:val="00224052"/>
    <w:rsid w:val="00231B5B"/>
    <w:rsid w:val="002429F8"/>
    <w:rsid w:val="00250EA0"/>
    <w:rsid w:val="00275F5F"/>
    <w:rsid w:val="002764B4"/>
    <w:rsid w:val="002C4737"/>
    <w:rsid w:val="002F3490"/>
    <w:rsid w:val="00325C1B"/>
    <w:rsid w:val="00352CCA"/>
    <w:rsid w:val="00353DA7"/>
    <w:rsid w:val="00355E42"/>
    <w:rsid w:val="0036563F"/>
    <w:rsid w:val="00365C27"/>
    <w:rsid w:val="00374AA5"/>
    <w:rsid w:val="00381DEC"/>
    <w:rsid w:val="00390F14"/>
    <w:rsid w:val="00393778"/>
    <w:rsid w:val="00394257"/>
    <w:rsid w:val="00395558"/>
    <w:rsid w:val="00397451"/>
    <w:rsid w:val="003A2F11"/>
    <w:rsid w:val="003C56E0"/>
    <w:rsid w:val="003D2912"/>
    <w:rsid w:val="00423BE3"/>
    <w:rsid w:val="004246EC"/>
    <w:rsid w:val="00425408"/>
    <w:rsid w:val="00445603"/>
    <w:rsid w:val="00451816"/>
    <w:rsid w:val="0046064B"/>
    <w:rsid w:val="0046135B"/>
    <w:rsid w:val="00492A9C"/>
    <w:rsid w:val="004A6237"/>
    <w:rsid w:val="004A6CBD"/>
    <w:rsid w:val="004C07F3"/>
    <w:rsid w:val="004D6D09"/>
    <w:rsid w:val="004F3F5C"/>
    <w:rsid w:val="00502E49"/>
    <w:rsid w:val="00504FF4"/>
    <w:rsid w:val="00505035"/>
    <w:rsid w:val="0051641F"/>
    <w:rsid w:val="005307B7"/>
    <w:rsid w:val="0053550E"/>
    <w:rsid w:val="00551E9B"/>
    <w:rsid w:val="00581154"/>
    <w:rsid w:val="005A6713"/>
    <w:rsid w:val="005F76EF"/>
    <w:rsid w:val="0060469C"/>
    <w:rsid w:val="0061203B"/>
    <w:rsid w:val="00615D47"/>
    <w:rsid w:val="006249BC"/>
    <w:rsid w:val="006374CA"/>
    <w:rsid w:val="00650B21"/>
    <w:rsid w:val="00652107"/>
    <w:rsid w:val="0066360D"/>
    <w:rsid w:val="0067582F"/>
    <w:rsid w:val="00697952"/>
    <w:rsid w:val="006A390D"/>
    <w:rsid w:val="006A6BC7"/>
    <w:rsid w:val="006B1F7E"/>
    <w:rsid w:val="006D1421"/>
    <w:rsid w:val="00725122"/>
    <w:rsid w:val="007334C7"/>
    <w:rsid w:val="007555D4"/>
    <w:rsid w:val="007A3629"/>
    <w:rsid w:val="007F681C"/>
    <w:rsid w:val="0080207F"/>
    <w:rsid w:val="008021DD"/>
    <w:rsid w:val="008035B6"/>
    <w:rsid w:val="00803715"/>
    <w:rsid w:val="0083074B"/>
    <w:rsid w:val="00837A3A"/>
    <w:rsid w:val="00874745"/>
    <w:rsid w:val="00877D39"/>
    <w:rsid w:val="00895238"/>
    <w:rsid w:val="008967AC"/>
    <w:rsid w:val="008C7C1E"/>
    <w:rsid w:val="008F320F"/>
    <w:rsid w:val="00900F2D"/>
    <w:rsid w:val="009024CB"/>
    <w:rsid w:val="00907AB5"/>
    <w:rsid w:val="00931662"/>
    <w:rsid w:val="009375CA"/>
    <w:rsid w:val="00944F13"/>
    <w:rsid w:val="009929E4"/>
    <w:rsid w:val="009C6AE5"/>
    <w:rsid w:val="009D116A"/>
    <w:rsid w:val="009D211F"/>
    <w:rsid w:val="009E2D56"/>
    <w:rsid w:val="009F1CB6"/>
    <w:rsid w:val="00A24D5C"/>
    <w:rsid w:val="00A371F8"/>
    <w:rsid w:val="00A54F1F"/>
    <w:rsid w:val="00A6716F"/>
    <w:rsid w:val="00A814D9"/>
    <w:rsid w:val="00A8253F"/>
    <w:rsid w:val="00A8462D"/>
    <w:rsid w:val="00A90689"/>
    <w:rsid w:val="00A92A62"/>
    <w:rsid w:val="00AC2D94"/>
    <w:rsid w:val="00AC47BA"/>
    <w:rsid w:val="00AD72EB"/>
    <w:rsid w:val="00AE188E"/>
    <w:rsid w:val="00AF14A5"/>
    <w:rsid w:val="00B208C9"/>
    <w:rsid w:val="00B23518"/>
    <w:rsid w:val="00B246FC"/>
    <w:rsid w:val="00B248FB"/>
    <w:rsid w:val="00B47FC3"/>
    <w:rsid w:val="00B56BBA"/>
    <w:rsid w:val="00B62565"/>
    <w:rsid w:val="00BA6D94"/>
    <w:rsid w:val="00BA7CCA"/>
    <w:rsid w:val="00BB0583"/>
    <w:rsid w:val="00BB7B34"/>
    <w:rsid w:val="00BD2D48"/>
    <w:rsid w:val="00BD4FA7"/>
    <w:rsid w:val="00BE0BEF"/>
    <w:rsid w:val="00BF1A83"/>
    <w:rsid w:val="00C13771"/>
    <w:rsid w:val="00C14853"/>
    <w:rsid w:val="00C27474"/>
    <w:rsid w:val="00C278DE"/>
    <w:rsid w:val="00C30151"/>
    <w:rsid w:val="00C60221"/>
    <w:rsid w:val="00C70274"/>
    <w:rsid w:val="00C84903"/>
    <w:rsid w:val="00C94795"/>
    <w:rsid w:val="00C95B66"/>
    <w:rsid w:val="00CC34F8"/>
    <w:rsid w:val="00CD2F4F"/>
    <w:rsid w:val="00D006BD"/>
    <w:rsid w:val="00D051A6"/>
    <w:rsid w:val="00D14836"/>
    <w:rsid w:val="00D22EB9"/>
    <w:rsid w:val="00D244F4"/>
    <w:rsid w:val="00D5452F"/>
    <w:rsid w:val="00D674A7"/>
    <w:rsid w:val="00D67505"/>
    <w:rsid w:val="00D710E7"/>
    <w:rsid w:val="00D811F7"/>
    <w:rsid w:val="00DA17DB"/>
    <w:rsid w:val="00DA1EC2"/>
    <w:rsid w:val="00DA3F08"/>
    <w:rsid w:val="00DA537B"/>
    <w:rsid w:val="00DC1D6C"/>
    <w:rsid w:val="00DD4D29"/>
    <w:rsid w:val="00E01EE3"/>
    <w:rsid w:val="00E161DC"/>
    <w:rsid w:val="00E2058E"/>
    <w:rsid w:val="00E31BA0"/>
    <w:rsid w:val="00E466E3"/>
    <w:rsid w:val="00E91F0E"/>
    <w:rsid w:val="00EA1349"/>
    <w:rsid w:val="00EA36BB"/>
    <w:rsid w:val="00EC1C3B"/>
    <w:rsid w:val="00EC2803"/>
    <w:rsid w:val="00EC5EFB"/>
    <w:rsid w:val="00EE3A88"/>
    <w:rsid w:val="00F07E86"/>
    <w:rsid w:val="00F21D35"/>
    <w:rsid w:val="00F26498"/>
    <w:rsid w:val="00F41EA5"/>
    <w:rsid w:val="00F636B2"/>
    <w:rsid w:val="00F63D5D"/>
    <w:rsid w:val="00F71301"/>
    <w:rsid w:val="00F747F8"/>
    <w:rsid w:val="00F843BE"/>
    <w:rsid w:val="00FB5041"/>
    <w:rsid w:val="00FC12AD"/>
    <w:rsid w:val="00FD03C5"/>
    <w:rsid w:val="00FD56F9"/>
    <w:rsid w:val="00FE59F1"/>
    <w:rsid w:val="00FE74E5"/>
    <w:rsid w:val="00FF3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D74217"/>
  <w15:chartTrackingRefBased/>
  <w15:docId w15:val="{3DCEBDC1-9769-4222-89A0-DD5AD4323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3F5C"/>
  </w:style>
  <w:style w:type="paragraph" w:styleId="Heading1">
    <w:name w:val="heading 1"/>
    <w:basedOn w:val="Normal"/>
    <w:next w:val="Normal"/>
    <w:link w:val="Heading1Char"/>
    <w:uiPriority w:val="9"/>
    <w:qFormat/>
    <w:rsid w:val="00CD2F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F3F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F3F5C"/>
    <w:rPr>
      <w:i/>
      <w:iCs/>
    </w:rPr>
  </w:style>
  <w:style w:type="character" w:styleId="Hyperlink">
    <w:name w:val="Hyperlink"/>
    <w:basedOn w:val="DefaultParagraphFont"/>
    <w:uiPriority w:val="99"/>
    <w:unhideWhenUsed/>
    <w:rsid w:val="001778F0"/>
    <w:rPr>
      <w:color w:val="0000FF"/>
      <w:u w:val="single"/>
    </w:rPr>
  </w:style>
  <w:style w:type="character" w:customStyle="1" w:styleId="Heading1Char">
    <w:name w:val="Heading 1 Char"/>
    <w:basedOn w:val="DefaultParagraphFont"/>
    <w:link w:val="Heading1"/>
    <w:uiPriority w:val="9"/>
    <w:rsid w:val="00CD2F4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278DE"/>
    <w:pPr>
      <w:ind w:left="720"/>
      <w:contextualSpacing/>
    </w:pPr>
  </w:style>
  <w:style w:type="character" w:styleId="Strong">
    <w:name w:val="Strong"/>
    <w:basedOn w:val="DefaultParagraphFont"/>
    <w:uiPriority w:val="22"/>
    <w:qFormat/>
    <w:rsid w:val="0067582F"/>
    <w:rPr>
      <w:b/>
      <w:bCs/>
    </w:rPr>
  </w:style>
  <w:style w:type="character" w:customStyle="1" w:styleId="UnresolvedMention">
    <w:name w:val="Unresolved Mention"/>
    <w:basedOn w:val="DefaultParagraphFont"/>
    <w:uiPriority w:val="99"/>
    <w:semiHidden/>
    <w:unhideWhenUsed/>
    <w:rsid w:val="00AC47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973339">
      <w:bodyDiv w:val="1"/>
      <w:marLeft w:val="0"/>
      <w:marRight w:val="0"/>
      <w:marTop w:val="0"/>
      <w:marBottom w:val="0"/>
      <w:divBdr>
        <w:top w:val="none" w:sz="0" w:space="0" w:color="auto"/>
        <w:left w:val="none" w:sz="0" w:space="0" w:color="auto"/>
        <w:bottom w:val="none" w:sz="0" w:space="0" w:color="auto"/>
        <w:right w:val="none" w:sz="0" w:space="0" w:color="auto"/>
      </w:divBdr>
      <w:divsChild>
        <w:div w:id="1067067985">
          <w:marLeft w:val="0"/>
          <w:marRight w:val="0"/>
          <w:marTop w:val="0"/>
          <w:marBottom w:val="0"/>
          <w:divBdr>
            <w:top w:val="none" w:sz="0" w:space="0" w:color="auto"/>
            <w:left w:val="none" w:sz="0" w:space="0" w:color="auto"/>
            <w:bottom w:val="none" w:sz="0" w:space="0" w:color="auto"/>
            <w:right w:val="none" w:sz="0" w:space="0" w:color="auto"/>
          </w:divBdr>
        </w:div>
      </w:divsChild>
    </w:div>
    <w:div w:id="102305897">
      <w:bodyDiv w:val="1"/>
      <w:marLeft w:val="0"/>
      <w:marRight w:val="0"/>
      <w:marTop w:val="0"/>
      <w:marBottom w:val="0"/>
      <w:divBdr>
        <w:top w:val="none" w:sz="0" w:space="0" w:color="auto"/>
        <w:left w:val="none" w:sz="0" w:space="0" w:color="auto"/>
        <w:bottom w:val="none" w:sz="0" w:space="0" w:color="auto"/>
        <w:right w:val="none" w:sz="0" w:space="0" w:color="auto"/>
      </w:divBdr>
      <w:divsChild>
        <w:div w:id="2140028689">
          <w:marLeft w:val="0"/>
          <w:marRight w:val="0"/>
          <w:marTop w:val="0"/>
          <w:marBottom w:val="0"/>
          <w:divBdr>
            <w:top w:val="none" w:sz="0" w:space="0" w:color="auto"/>
            <w:left w:val="none" w:sz="0" w:space="0" w:color="auto"/>
            <w:bottom w:val="none" w:sz="0" w:space="0" w:color="auto"/>
            <w:right w:val="none" w:sz="0" w:space="0" w:color="auto"/>
          </w:divBdr>
        </w:div>
      </w:divsChild>
    </w:div>
    <w:div w:id="164589930">
      <w:bodyDiv w:val="1"/>
      <w:marLeft w:val="0"/>
      <w:marRight w:val="0"/>
      <w:marTop w:val="0"/>
      <w:marBottom w:val="0"/>
      <w:divBdr>
        <w:top w:val="none" w:sz="0" w:space="0" w:color="auto"/>
        <w:left w:val="none" w:sz="0" w:space="0" w:color="auto"/>
        <w:bottom w:val="none" w:sz="0" w:space="0" w:color="auto"/>
        <w:right w:val="none" w:sz="0" w:space="0" w:color="auto"/>
      </w:divBdr>
    </w:div>
    <w:div w:id="171605068">
      <w:bodyDiv w:val="1"/>
      <w:marLeft w:val="0"/>
      <w:marRight w:val="0"/>
      <w:marTop w:val="0"/>
      <w:marBottom w:val="0"/>
      <w:divBdr>
        <w:top w:val="none" w:sz="0" w:space="0" w:color="auto"/>
        <w:left w:val="none" w:sz="0" w:space="0" w:color="auto"/>
        <w:bottom w:val="none" w:sz="0" w:space="0" w:color="auto"/>
        <w:right w:val="none" w:sz="0" w:space="0" w:color="auto"/>
      </w:divBdr>
      <w:divsChild>
        <w:div w:id="892695280">
          <w:marLeft w:val="0"/>
          <w:marRight w:val="0"/>
          <w:marTop w:val="0"/>
          <w:marBottom w:val="0"/>
          <w:divBdr>
            <w:top w:val="none" w:sz="0" w:space="0" w:color="auto"/>
            <w:left w:val="none" w:sz="0" w:space="0" w:color="auto"/>
            <w:bottom w:val="none" w:sz="0" w:space="0" w:color="auto"/>
            <w:right w:val="none" w:sz="0" w:space="0" w:color="auto"/>
          </w:divBdr>
        </w:div>
      </w:divsChild>
    </w:div>
    <w:div w:id="178936164">
      <w:bodyDiv w:val="1"/>
      <w:marLeft w:val="0"/>
      <w:marRight w:val="0"/>
      <w:marTop w:val="0"/>
      <w:marBottom w:val="0"/>
      <w:divBdr>
        <w:top w:val="none" w:sz="0" w:space="0" w:color="auto"/>
        <w:left w:val="none" w:sz="0" w:space="0" w:color="auto"/>
        <w:bottom w:val="none" w:sz="0" w:space="0" w:color="auto"/>
        <w:right w:val="none" w:sz="0" w:space="0" w:color="auto"/>
      </w:divBdr>
    </w:div>
    <w:div w:id="195045045">
      <w:bodyDiv w:val="1"/>
      <w:marLeft w:val="0"/>
      <w:marRight w:val="0"/>
      <w:marTop w:val="0"/>
      <w:marBottom w:val="0"/>
      <w:divBdr>
        <w:top w:val="none" w:sz="0" w:space="0" w:color="auto"/>
        <w:left w:val="none" w:sz="0" w:space="0" w:color="auto"/>
        <w:bottom w:val="none" w:sz="0" w:space="0" w:color="auto"/>
        <w:right w:val="none" w:sz="0" w:space="0" w:color="auto"/>
      </w:divBdr>
    </w:div>
    <w:div w:id="241066912">
      <w:bodyDiv w:val="1"/>
      <w:marLeft w:val="0"/>
      <w:marRight w:val="0"/>
      <w:marTop w:val="0"/>
      <w:marBottom w:val="0"/>
      <w:divBdr>
        <w:top w:val="none" w:sz="0" w:space="0" w:color="auto"/>
        <w:left w:val="none" w:sz="0" w:space="0" w:color="auto"/>
        <w:bottom w:val="none" w:sz="0" w:space="0" w:color="auto"/>
        <w:right w:val="none" w:sz="0" w:space="0" w:color="auto"/>
      </w:divBdr>
      <w:divsChild>
        <w:div w:id="263461323">
          <w:marLeft w:val="0"/>
          <w:marRight w:val="0"/>
          <w:marTop w:val="0"/>
          <w:marBottom w:val="0"/>
          <w:divBdr>
            <w:top w:val="none" w:sz="0" w:space="0" w:color="auto"/>
            <w:left w:val="none" w:sz="0" w:space="0" w:color="auto"/>
            <w:bottom w:val="none" w:sz="0" w:space="0" w:color="auto"/>
            <w:right w:val="none" w:sz="0" w:space="0" w:color="auto"/>
          </w:divBdr>
        </w:div>
      </w:divsChild>
    </w:div>
    <w:div w:id="261037971">
      <w:bodyDiv w:val="1"/>
      <w:marLeft w:val="0"/>
      <w:marRight w:val="0"/>
      <w:marTop w:val="0"/>
      <w:marBottom w:val="0"/>
      <w:divBdr>
        <w:top w:val="none" w:sz="0" w:space="0" w:color="auto"/>
        <w:left w:val="none" w:sz="0" w:space="0" w:color="auto"/>
        <w:bottom w:val="none" w:sz="0" w:space="0" w:color="auto"/>
        <w:right w:val="none" w:sz="0" w:space="0" w:color="auto"/>
      </w:divBdr>
      <w:divsChild>
        <w:div w:id="1323703205">
          <w:marLeft w:val="0"/>
          <w:marRight w:val="0"/>
          <w:marTop w:val="0"/>
          <w:marBottom w:val="0"/>
          <w:divBdr>
            <w:top w:val="none" w:sz="0" w:space="0" w:color="auto"/>
            <w:left w:val="none" w:sz="0" w:space="0" w:color="auto"/>
            <w:bottom w:val="none" w:sz="0" w:space="0" w:color="auto"/>
            <w:right w:val="none" w:sz="0" w:space="0" w:color="auto"/>
          </w:divBdr>
        </w:div>
      </w:divsChild>
    </w:div>
    <w:div w:id="278072777">
      <w:bodyDiv w:val="1"/>
      <w:marLeft w:val="0"/>
      <w:marRight w:val="0"/>
      <w:marTop w:val="0"/>
      <w:marBottom w:val="0"/>
      <w:divBdr>
        <w:top w:val="none" w:sz="0" w:space="0" w:color="auto"/>
        <w:left w:val="none" w:sz="0" w:space="0" w:color="auto"/>
        <w:bottom w:val="none" w:sz="0" w:space="0" w:color="auto"/>
        <w:right w:val="none" w:sz="0" w:space="0" w:color="auto"/>
      </w:divBdr>
      <w:divsChild>
        <w:div w:id="890387524">
          <w:marLeft w:val="0"/>
          <w:marRight w:val="0"/>
          <w:marTop w:val="0"/>
          <w:marBottom w:val="0"/>
          <w:divBdr>
            <w:top w:val="none" w:sz="0" w:space="0" w:color="auto"/>
            <w:left w:val="none" w:sz="0" w:space="0" w:color="auto"/>
            <w:bottom w:val="none" w:sz="0" w:space="0" w:color="auto"/>
            <w:right w:val="none" w:sz="0" w:space="0" w:color="auto"/>
          </w:divBdr>
        </w:div>
      </w:divsChild>
    </w:div>
    <w:div w:id="319309709">
      <w:bodyDiv w:val="1"/>
      <w:marLeft w:val="0"/>
      <w:marRight w:val="0"/>
      <w:marTop w:val="0"/>
      <w:marBottom w:val="0"/>
      <w:divBdr>
        <w:top w:val="none" w:sz="0" w:space="0" w:color="auto"/>
        <w:left w:val="none" w:sz="0" w:space="0" w:color="auto"/>
        <w:bottom w:val="none" w:sz="0" w:space="0" w:color="auto"/>
        <w:right w:val="none" w:sz="0" w:space="0" w:color="auto"/>
      </w:divBdr>
    </w:div>
    <w:div w:id="321587966">
      <w:bodyDiv w:val="1"/>
      <w:marLeft w:val="0"/>
      <w:marRight w:val="0"/>
      <w:marTop w:val="0"/>
      <w:marBottom w:val="0"/>
      <w:divBdr>
        <w:top w:val="none" w:sz="0" w:space="0" w:color="auto"/>
        <w:left w:val="none" w:sz="0" w:space="0" w:color="auto"/>
        <w:bottom w:val="none" w:sz="0" w:space="0" w:color="auto"/>
        <w:right w:val="none" w:sz="0" w:space="0" w:color="auto"/>
      </w:divBdr>
      <w:divsChild>
        <w:div w:id="445471067">
          <w:marLeft w:val="0"/>
          <w:marRight w:val="0"/>
          <w:marTop w:val="0"/>
          <w:marBottom w:val="0"/>
          <w:divBdr>
            <w:top w:val="none" w:sz="0" w:space="0" w:color="auto"/>
            <w:left w:val="none" w:sz="0" w:space="0" w:color="auto"/>
            <w:bottom w:val="none" w:sz="0" w:space="0" w:color="auto"/>
            <w:right w:val="none" w:sz="0" w:space="0" w:color="auto"/>
          </w:divBdr>
        </w:div>
      </w:divsChild>
    </w:div>
    <w:div w:id="482239807">
      <w:bodyDiv w:val="1"/>
      <w:marLeft w:val="0"/>
      <w:marRight w:val="0"/>
      <w:marTop w:val="0"/>
      <w:marBottom w:val="0"/>
      <w:divBdr>
        <w:top w:val="none" w:sz="0" w:space="0" w:color="auto"/>
        <w:left w:val="none" w:sz="0" w:space="0" w:color="auto"/>
        <w:bottom w:val="none" w:sz="0" w:space="0" w:color="auto"/>
        <w:right w:val="none" w:sz="0" w:space="0" w:color="auto"/>
      </w:divBdr>
      <w:divsChild>
        <w:div w:id="12852951">
          <w:marLeft w:val="0"/>
          <w:marRight w:val="0"/>
          <w:marTop w:val="0"/>
          <w:marBottom w:val="0"/>
          <w:divBdr>
            <w:top w:val="none" w:sz="0" w:space="0" w:color="auto"/>
            <w:left w:val="none" w:sz="0" w:space="0" w:color="auto"/>
            <w:bottom w:val="none" w:sz="0" w:space="0" w:color="auto"/>
            <w:right w:val="none" w:sz="0" w:space="0" w:color="auto"/>
          </w:divBdr>
        </w:div>
      </w:divsChild>
    </w:div>
    <w:div w:id="491988693">
      <w:bodyDiv w:val="1"/>
      <w:marLeft w:val="0"/>
      <w:marRight w:val="0"/>
      <w:marTop w:val="0"/>
      <w:marBottom w:val="0"/>
      <w:divBdr>
        <w:top w:val="none" w:sz="0" w:space="0" w:color="auto"/>
        <w:left w:val="none" w:sz="0" w:space="0" w:color="auto"/>
        <w:bottom w:val="none" w:sz="0" w:space="0" w:color="auto"/>
        <w:right w:val="none" w:sz="0" w:space="0" w:color="auto"/>
      </w:divBdr>
      <w:divsChild>
        <w:div w:id="1338387400">
          <w:marLeft w:val="0"/>
          <w:marRight w:val="0"/>
          <w:marTop w:val="0"/>
          <w:marBottom w:val="0"/>
          <w:divBdr>
            <w:top w:val="none" w:sz="0" w:space="0" w:color="auto"/>
            <w:left w:val="none" w:sz="0" w:space="0" w:color="auto"/>
            <w:bottom w:val="none" w:sz="0" w:space="0" w:color="auto"/>
            <w:right w:val="none" w:sz="0" w:space="0" w:color="auto"/>
          </w:divBdr>
        </w:div>
      </w:divsChild>
    </w:div>
    <w:div w:id="512377183">
      <w:bodyDiv w:val="1"/>
      <w:marLeft w:val="0"/>
      <w:marRight w:val="0"/>
      <w:marTop w:val="0"/>
      <w:marBottom w:val="0"/>
      <w:divBdr>
        <w:top w:val="none" w:sz="0" w:space="0" w:color="auto"/>
        <w:left w:val="none" w:sz="0" w:space="0" w:color="auto"/>
        <w:bottom w:val="none" w:sz="0" w:space="0" w:color="auto"/>
        <w:right w:val="none" w:sz="0" w:space="0" w:color="auto"/>
      </w:divBdr>
      <w:divsChild>
        <w:div w:id="1553881972">
          <w:marLeft w:val="0"/>
          <w:marRight w:val="0"/>
          <w:marTop w:val="0"/>
          <w:marBottom w:val="0"/>
          <w:divBdr>
            <w:top w:val="none" w:sz="0" w:space="0" w:color="auto"/>
            <w:left w:val="none" w:sz="0" w:space="0" w:color="auto"/>
            <w:bottom w:val="none" w:sz="0" w:space="0" w:color="auto"/>
            <w:right w:val="none" w:sz="0" w:space="0" w:color="auto"/>
          </w:divBdr>
        </w:div>
      </w:divsChild>
    </w:div>
    <w:div w:id="593049080">
      <w:bodyDiv w:val="1"/>
      <w:marLeft w:val="0"/>
      <w:marRight w:val="0"/>
      <w:marTop w:val="0"/>
      <w:marBottom w:val="0"/>
      <w:divBdr>
        <w:top w:val="none" w:sz="0" w:space="0" w:color="auto"/>
        <w:left w:val="none" w:sz="0" w:space="0" w:color="auto"/>
        <w:bottom w:val="none" w:sz="0" w:space="0" w:color="auto"/>
        <w:right w:val="none" w:sz="0" w:space="0" w:color="auto"/>
      </w:divBdr>
      <w:divsChild>
        <w:div w:id="167410958">
          <w:marLeft w:val="0"/>
          <w:marRight w:val="0"/>
          <w:marTop w:val="0"/>
          <w:marBottom w:val="0"/>
          <w:divBdr>
            <w:top w:val="none" w:sz="0" w:space="0" w:color="auto"/>
            <w:left w:val="none" w:sz="0" w:space="0" w:color="auto"/>
            <w:bottom w:val="none" w:sz="0" w:space="0" w:color="auto"/>
            <w:right w:val="none" w:sz="0" w:space="0" w:color="auto"/>
          </w:divBdr>
        </w:div>
      </w:divsChild>
    </w:div>
    <w:div w:id="659306329">
      <w:bodyDiv w:val="1"/>
      <w:marLeft w:val="0"/>
      <w:marRight w:val="0"/>
      <w:marTop w:val="0"/>
      <w:marBottom w:val="0"/>
      <w:divBdr>
        <w:top w:val="none" w:sz="0" w:space="0" w:color="auto"/>
        <w:left w:val="none" w:sz="0" w:space="0" w:color="auto"/>
        <w:bottom w:val="none" w:sz="0" w:space="0" w:color="auto"/>
        <w:right w:val="none" w:sz="0" w:space="0" w:color="auto"/>
      </w:divBdr>
      <w:divsChild>
        <w:div w:id="2138908836">
          <w:marLeft w:val="0"/>
          <w:marRight w:val="0"/>
          <w:marTop w:val="0"/>
          <w:marBottom w:val="0"/>
          <w:divBdr>
            <w:top w:val="none" w:sz="0" w:space="0" w:color="auto"/>
            <w:left w:val="none" w:sz="0" w:space="0" w:color="auto"/>
            <w:bottom w:val="none" w:sz="0" w:space="0" w:color="auto"/>
            <w:right w:val="none" w:sz="0" w:space="0" w:color="auto"/>
          </w:divBdr>
        </w:div>
      </w:divsChild>
    </w:div>
    <w:div w:id="689379454">
      <w:bodyDiv w:val="1"/>
      <w:marLeft w:val="0"/>
      <w:marRight w:val="0"/>
      <w:marTop w:val="0"/>
      <w:marBottom w:val="0"/>
      <w:divBdr>
        <w:top w:val="none" w:sz="0" w:space="0" w:color="auto"/>
        <w:left w:val="none" w:sz="0" w:space="0" w:color="auto"/>
        <w:bottom w:val="none" w:sz="0" w:space="0" w:color="auto"/>
        <w:right w:val="none" w:sz="0" w:space="0" w:color="auto"/>
      </w:divBdr>
      <w:divsChild>
        <w:div w:id="1886062240">
          <w:marLeft w:val="0"/>
          <w:marRight w:val="0"/>
          <w:marTop w:val="0"/>
          <w:marBottom w:val="0"/>
          <w:divBdr>
            <w:top w:val="none" w:sz="0" w:space="0" w:color="auto"/>
            <w:left w:val="none" w:sz="0" w:space="0" w:color="auto"/>
            <w:bottom w:val="none" w:sz="0" w:space="0" w:color="auto"/>
            <w:right w:val="none" w:sz="0" w:space="0" w:color="auto"/>
          </w:divBdr>
        </w:div>
      </w:divsChild>
    </w:div>
    <w:div w:id="695080159">
      <w:bodyDiv w:val="1"/>
      <w:marLeft w:val="0"/>
      <w:marRight w:val="0"/>
      <w:marTop w:val="0"/>
      <w:marBottom w:val="0"/>
      <w:divBdr>
        <w:top w:val="none" w:sz="0" w:space="0" w:color="auto"/>
        <w:left w:val="none" w:sz="0" w:space="0" w:color="auto"/>
        <w:bottom w:val="none" w:sz="0" w:space="0" w:color="auto"/>
        <w:right w:val="none" w:sz="0" w:space="0" w:color="auto"/>
      </w:divBdr>
      <w:divsChild>
        <w:div w:id="435557829">
          <w:marLeft w:val="0"/>
          <w:marRight w:val="0"/>
          <w:marTop w:val="0"/>
          <w:marBottom w:val="0"/>
          <w:divBdr>
            <w:top w:val="none" w:sz="0" w:space="0" w:color="auto"/>
            <w:left w:val="none" w:sz="0" w:space="0" w:color="auto"/>
            <w:bottom w:val="none" w:sz="0" w:space="0" w:color="auto"/>
            <w:right w:val="none" w:sz="0" w:space="0" w:color="auto"/>
          </w:divBdr>
        </w:div>
      </w:divsChild>
    </w:div>
    <w:div w:id="750934507">
      <w:bodyDiv w:val="1"/>
      <w:marLeft w:val="0"/>
      <w:marRight w:val="0"/>
      <w:marTop w:val="0"/>
      <w:marBottom w:val="0"/>
      <w:divBdr>
        <w:top w:val="none" w:sz="0" w:space="0" w:color="auto"/>
        <w:left w:val="none" w:sz="0" w:space="0" w:color="auto"/>
        <w:bottom w:val="none" w:sz="0" w:space="0" w:color="auto"/>
        <w:right w:val="none" w:sz="0" w:space="0" w:color="auto"/>
      </w:divBdr>
      <w:divsChild>
        <w:div w:id="707687243">
          <w:marLeft w:val="0"/>
          <w:marRight w:val="0"/>
          <w:marTop w:val="0"/>
          <w:marBottom w:val="0"/>
          <w:divBdr>
            <w:top w:val="none" w:sz="0" w:space="0" w:color="auto"/>
            <w:left w:val="none" w:sz="0" w:space="0" w:color="auto"/>
            <w:bottom w:val="none" w:sz="0" w:space="0" w:color="auto"/>
            <w:right w:val="none" w:sz="0" w:space="0" w:color="auto"/>
          </w:divBdr>
        </w:div>
      </w:divsChild>
    </w:div>
    <w:div w:id="770783633">
      <w:bodyDiv w:val="1"/>
      <w:marLeft w:val="0"/>
      <w:marRight w:val="0"/>
      <w:marTop w:val="0"/>
      <w:marBottom w:val="0"/>
      <w:divBdr>
        <w:top w:val="none" w:sz="0" w:space="0" w:color="auto"/>
        <w:left w:val="none" w:sz="0" w:space="0" w:color="auto"/>
        <w:bottom w:val="none" w:sz="0" w:space="0" w:color="auto"/>
        <w:right w:val="none" w:sz="0" w:space="0" w:color="auto"/>
      </w:divBdr>
      <w:divsChild>
        <w:div w:id="1228345490">
          <w:marLeft w:val="0"/>
          <w:marRight w:val="0"/>
          <w:marTop w:val="0"/>
          <w:marBottom w:val="0"/>
          <w:divBdr>
            <w:top w:val="none" w:sz="0" w:space="0" w:color="auto"/>
            <w:left w:val="none" w:sz="0" w:space="0" w:color="auto"/>
            <w:bottom w:val="none" w:sz="0" w:space="0" w:color="auto"/>
            <w:right w:val="none" w:sz="0" w:space="0" w:color="auto"/>
          </w:divBdr>
        </w:div>
      </w:divsChild>
    </w:div>
    <w:div w:id="815998298">
      <w:bodyDiv w:val="1"/>
      <w:marLeft w:val="0"/>
      <w:marRight w:val="0"/>
      <w:marTop w:val="0"/>
      <w:marBottom w:val="0"/>
      <w:divBdr>
        <w:top w:val="none" w:sz="0" w:space="0" w:color="auto"/>
        <w:left w:val="none" w:sz="0" w:space="0" w:color="auto"/>
        <w:bottom w:val="none" w:sz="0" w:space="0" w:color="auto"/>
        <w:right w:val="none" w:sz="0" w:space="0" w:color="auto"/>
      </w:divBdr>
      <w:divsChild>
        <w:div w:id="189150480">
          <w:marLeft w:val="0"/>
          <w:marRight w:val="0"/>
          <w:marTop w:val="0"/>
          <w:marBottom w:val="0"/>
          <w:divBdr>
            <w:top w:val="none" w:sz="0" w:space="0" w:color="auto"/>
            <w:left w:val="none" w:sz="0" w:space="0" w:color="auto"/>
            <w:bottom w:val="none" w:sz="0" w:space="0" w:color="auto"/>
            <w:right w:val="none" w:sz="0" w:space="0" w:color="auto"/>
          </w:divBdr>
        </w:div>
      </w:divsChild>
    </w:div>
    <w:div w:id="855997893">
      <w:bodyDiv w:val="1"/>
      <w:marLeft w:val="0"/>
      <w:marRight w:val="0"/>
      <w:marTop w:val="0"/>
      <w:marBottom w:val="0"/>
      <w:divBdr>
        <w:top w:val="none" w:sz="0" w:space="0" w:color="auto"/>
        <w:left w:val="none" w:sz="0" w:space="0" w:color="auto"/>
        <w:bottom w:val="none" w:sz="0" w:space="0" w:color="auto"/>
        <w:right w:val="none" w:sz="0" w:space="0" w:color="auto"/>
      </w:divBdr>
      <w:divsChild>
        <w:div w:id="1441795491">
          <w:marLeft w:val="0"/>
          <w:marRight w:val="0"/>
          <w:marTop w:val="0"/>
          <w:marBottom w:val="0"/>
          <w:divBdr>
            <w:top w:val="none" w:sz="0" w:space="0" w:color="auto"/>
            <w:left w:val="none" w:sz="0" w:space="0" w:color="auto"/>
            <w:bottom w:val="none" w:sz="0" w:space="0" w:color="auto"/>
            <w:right w:val="none" w:sz="0" w:space="0" w:color="auto"/>
          </w:divBdr>
        </w:div>
      </w:divsChild>
    </w:div>
    <w:div w:id="923956195">
      <w:bodyDiv w:val="1"/>
      <w:marLeft w:val="0"/>
      <w:marRight w:val="0"/>
      <w:marTop w:val="0"/>
      <w:marBottom w:val="0"/>
      <w:divBdr>
        <w:top w:val="none" w:sz="0" w:space="0" w:color="auto"/>
        <w:left w:val="none" w:sz="0" w:space="0" w:color="auto"/>
        <w:bottom w:val="none" w:sz="0" w:space="0" w:color="auto"/>
        <w:right w:val="none" w:sz="0" w:space="0" w:color="auto"/>
      </w:divBdr>
      <w:divsChild>
        <w:div w:id="794760895">
          <w:marLeft w:val="0"/>
          <w:marRight w:val="0"/>
          <w:marTop w:val="0"/>
          <w:marBottom w:val="0"/>
          <w:divBdr>
            <w:top w:val="none" w:sz="0" w:space="0" w:color="auto"/>
            <w:left w:val="none" w:sz="0" w:space="0" w:color="auto"/>
            <w:bottom w:val="none" w:sz="0" w:space="0" w:color="auto"/>
            <w:right w:val="none" w:sz="0" w:space="0" w:color="auto"/>
          </w:divBdr>
        </w:div>
      </w:divsChild>
    </w:div>
    <w:div w:id="1025402272">
      <w:bodyDiv w:val="1"/>
      <w:marLeft w:val="0"/>
      <w:marRight w:val="0"/>
      <w:marTop w:val="0"/>
      <w:marBottom w:val="0"/>
      <w:divBdr>
        <w:top w:val="none" w:sz="0" w:space="0" w:color="auto"/>
        <w:left w:val="none" w:sz="0" w:space="0" w:color="auto"/>
        <w:bottom w:val="none" w:sz="0" w:space="0" w:color="auto"/>
        <w:right w:val="none" w:sz="0" w:space="0" w:color="auto"/>
      </w:divBdr>
      <w:divsChild>
        <w:div w:id="277102608">
          <w:marLeft w:val="0"/>
          <w:marRight w:val="0"/>
          <w:marTop w:val="0"/>
          <w:marBottom w:val="0"/>
          <w:divBdr>
            <w:top w:val="none" w:sz="0" w:space="0" w:color="auto"/>
            <w:left w:val="none" w:sz="0" w:space="0" w:color="auto"/>
            <w:bottom w:val="none" w:sz="0" w:space="0" w:color="auto"/>
            <w:right w:val="none" w:sz="0" w:space="0" w:color="auto"/>
          </w:divBdr>
        </w:div>
      </w:divsChild>
    </w:div>
    <w:div w:id="1037506114">
      <w:bodyDiv w:val="1"/>
      <w:marLeft w:val="0"/>
      <w:marRight w:val="0"/>
      <w:marTop w:val="0"/>
      <w:marBottom w:val="0"/>
      <w:divBdr>
        <w:top w:val="none" w:sz="0" w:space="0" w:color="auto"/>
        <w:left w:val="none" w:sz="0" w:space="0" w:color="auto"/>
        <w:bottom w:val="none" w:sz="0" w:space="0" w:color="auto"/>
        <w:right w:val="none" w:sz="0" w:space="0" w:color="auto"/>
      </w:divBdr>
      <w:divsChild>
        <w:div w:id="1081022073">
          <w:marLeft w:val="0"/>
          <w:marRight w:val="0"/>
          <w:marTop w:val="0"/>
          <w:marBottom w:val="0"/>
          <w:divBdr>
            <w:top w:val="none" w:sz="0" w:space="0" w:color="auto"/>
            <w:left w:val="none" w:sz="0" w:space="0" w:color="auto"/>
            <w:bottom w:val="none" w:sz="0" w:space="0" w:color="auto"/>
            <w:right w:val="none" w:sz="0" w:space="0" w:color="auto"/>
          </w:divBdr>
        </w:div>
      </w:divsChild>
    </w:div>
    <w:div w:id="1170560466">
      <w:bodyDiv w:val="1"/>
      <w:marLeft w:val="0"/>
      <w:marRight w:val="0"/>
      <w:marTop w:val="0"/>
      <w:marBottom w:val="0"/>
      <w:divBdr>
        <w:top w:val="none" w:sz="0" w:space="0" w:color="auto"/>
        <w:left w:val="none" w:sz="0" w:space="0" w:color="auto"/>
        <w:bottom w:val="none" w:sz="0" w:space="0" w:color="auto"/>
        <w:right w:val="none" w:sz="0" w:space="0" w:color="auto"/>
      </w:divBdr>
      <w:divsChild>
        <w:div w:id="606742629">
          <w:marLeft w:val="0"/>
          <w:marRight w:val="0"/>
          <w:marTop w:val="0"/>
          <w:marBottom w:val="0"/>
          <w:divBdr>
            <w:top w:val="none" w:sz="0" w:space="0" w:color="auto"/>
            <w:left w:val="none" w:sz="0" w:space="0" w:color="auto"/>
            <w:bottom w:val="none" w:sz="0" w:space="0" w:color="auto"/>
            <w:right w:val="none" w:sz="0" w:space="0" w:color="auto"/>
          </w:divBdr>
        </w:div>
      </w:divsChild>
    </w:div>
    <w:div w:id="1186868784">
      <w:bodyDiv w:val="1"/>
      <w:marLeft w:val="0"/>
      <w:marRight w:val="0"/>
      <w:marTop w:val="0"/>
      <w:marBottom w:val="0"/>
      <w:divBdr>
        <w:top w:val="none" w:sz="0" w:space="0" w:color="auto"/>
        <w:left w:val="none" w:sz="0" w:space="0" w:color="auto"/>
        <w:bottom w:val="none" w:sz="0" w:space="0" w:color="auto"/>
        <w:right w:val="none" w:sz="0" w:space="0" w:color="auto"/>
      </w:divBdr>
      <w:divsChild>
        <w:div w:id="2062747987">
          <w:marLeft w:val="0"/>
          <w:marRight w:val="0"/>
          <w:marTop w:val="0"/>
          <w:marBottom w:val="0"/>
          <w:divBdr>
            <w:top w:val="none" w:sz="0" w:space="0" w:color="auto"/>
            <w:left w:val="none" w:sz="0" w:space="0" w:color="auto"/>
            <w:bottom w:val="none" w:sz="0" w:space="0" w:color="auto"/>
            <w:right w:val="none" w:sz="0" w:space="0" w:color="auto"/>
          </w:divBdr>
        </w:div>
      </w:divsChild>
    </w:div>
    <w:div w:id="1278216624">
      <w:bodyDiv w:val="1"/>
      <w:marLeft w:val="0"/>
      <w:marRight w:val="0"/>
      <w:marTop w:val="0"/>
      <w:marBottom w:val="0"/>
      <w:divBdr>
        <w:top w:val="none" w:sz="0" w:space="0" w:color="auto"/>
        <w:left w:val="none" w:sz="0" w:space="0" w:color="auto"/>
        <w:bottom w:val="none" w:sz="0" w:space="0" w:color="auto"/>
        <w:right w:val="none" w:sz="0" w:space="0" w:color="auto"/>
      </w:divBdr>
      <w:divsChild>
        <w:div w:id="95634525">
          <w:marLeft w:val="0"/>
          <w:marRight w:val="0"/>
          <w:marTop w:val="0"/>
          <w:marBottom w:val="0"/>
          <w:divBdr>
            <w:top w:val="none" w:sz="0" w:space="0" w:color="auto"/>
            <w:left w:val="none" w:sz="0" w:space="0" w:color="auto"/>
            <w:bottom w:val="none" w:sz="0" w:space="0" w:color="auto"/>
            <w:right w:val="none" w:sz="0" w:space="0" w:color="auto"/>
          </w:divBdr>
        </w:div>
      </w:divsChild>
    </w:div>
    <w:div w:id="1320765561">
      <w:bodyDiv w:val="1"/>
      <w:marLeft w:val="0"/>
      <w:marRight w:val="0"/>
      <w:marTop w:val="0"/>
      <w:marBottom w:val="0"/>
      <w:divBdr>
        <w:top w:val="none" w:sz="0" w:space="0" w:color="auto"/>
        <w:left w:val="none" w:sz="0" w:space="0" w:color="auto"/>
        <w:bottom w:val="none" w:sz="0" w:space="0" w:color="auto"/>
        <w:right w:val="none" w:sz="0" w:space="0" w:color="auto"/>
      </w:divBdr>
      <w:divsChild>
        <w:div w:id="1127702280">
          <w:marLeft w:val="0"/>
          <w:marRight w:val="0"/>
          <w:marTop w:val="0"/>
          <w:marBottom w:val="0"/>
          <w:divBdr>
            <w:top w:val="none" w:sz="0" w:space="0" w:color="auto"/>
            <w:left w:val="none" w:sz="0" w:space="0" w:color="auto"/>
            <w:bottom w:val="none" w:sz="0" w:space="0" w:color="auto"/>
            <w:right w:val="none" w:sz="0" w:space="0" w:color="auto"/>
          </w:divBdr>
        </w:div>
      </w:divsChild>
    </w:div>
    <w:div w:id="1324973023">
      <w:bodyDiv w:val="1"/>
      <w:marLeft w:val="0"/>
      <w:marRight w:val="0"/>
      <w:marTop w:val="0"/>
      <w:marBottom w:val="0"/>
      <w:divBdr>
        <w:top w:val="none" w:sz="0" w:space="0" w:color="auto"/>
        <w:left w:val="none" w:sz="0" w:space="0" w:color="auto"/>
        <w:bottom w:val="none" w:sz="0" w:space="0" w:color="auto"/>
        <w:right w:val="none" w:sz="0" w:space="0" w:color="auto"/>
      </w:divBdr>
    </w:div>
    <w:div w:id="1453555157">
      <w:bodyDiv w:val="1"/>
      <w:marLeft w:val="0"/>
      <w:marRight w:val="0"/>
      <w:marTop w:val="0"/>
      <w:marBottom w:val="0"/>
      <w:divBdr>
        <w:top w:val="none" w:sz="0" w:space="0" w:color="auto"/>
        <w:left w:val="none" w:sz="0" w:space="0" w:color="auto"/>
        <w:bottom w:val="none" w:sz="0" w:space="0" w:color="auto"/>
        <w:right w:val="none" w:sz="0" w:space="0" w:color="auto"/>
      </w:divBdr>
    </w:div>
    <w:div w:id="1454178567">
      <w:bodyDiv w:val="1"/>
      <w:marLeft w:val="0"/>
      <w:marRight w:val="0"/>
      <w:marTop w:val="0"/>
      <w:marBottom w:val="0"/>
      <w:divBdr>
        <w:top w:val="none" w:sz="0" w:space="0" w:color="auto"/>
        <w:left w:val="none" w:sz="0" w:space="0" w:color="auto"/>
        <w:bottom w:val="none" w:sz="0" w:space="0" w:color="auto"/>
        <w:right w:val="none" w:sz="0" w:space="0" w:color="auto"/>
      </w:divBdr>
    </w:div>
    <w:div w:id="1504126710">
      <w:bodyDiv w:val="1"/>
      <w:marLeft w:val="0"/>
      <w:marRight w:val="0"/>
      <w:marTop w:val="0"/>
      <w:marBottom w:val="0"/>
      <w:divBdr>
        <w:top w:val="none" w:sz="0" w:space="0" w:color="auto"/>
        <w:left w:val="none" w:sz="0" w:space="0" w:color="auto"/>
        <w:bottom w:val="none" w:sz="0" w:space="0" w:color="auto"/>
        <w:right w:val="none" w:sz="0" w:space="0" w:color="auto"/>
      </w:divBdr>
      <w:divsChild>
        <w:div w:id="2061778460">
          <w:marLeft w:val="0"/>
          <w:marRight w:val="0"/>
          <w:marTop w:val="0"/>
          <w:marBottom w:val="0"/>
          <w:divBdr>
            <w:top w:val="none" w:sz="0" w:space="0" w:color="auto"/>
            <w:left w:val="none" w:sz="0" w:space="0" w:color="auto"/>
            <w:bottom w:val="none" w:sz="0" w:space="0" w:color="auto"/>
            <w:right w:val="none" w:sz="0" w:space="0" w:color="auto"/>
          </w:divBdr>
        </w:div>
      </w:divsChild>
    </w:div>
    <w:div w:id="1577936000">
      <w:bodyDiv w:val="1"/>
      <w:marLeft w:val="0"/>
      <w:marRight w:val="0"/>
      <w:marTop w:val="0"/>
      <w:marBottom w:val="0"/>
      <w:divBdr>
        <w:top w:val="none" w:sz="0" w:space="0" w:color="auto"/>
        <w:left w:val="none" w:sz="0" w:space="0" w:color="auto"/>
        <w:bottom w:val="none" w:sz="0" w:space="0" w:color="auto"/>
        <w:right w:val="none" w:sz="0" w:space="0" w:color="auto"/>
      </w:divBdr>
      <w:divsChild>
        <w:div w:id="1736778353">
          <w:marLeft w:val="0"/>
          <w:marRight w:val="0"/>
          <w:marTop w:val="0"/>
          <w:marBottom w:val="0"/>
          <w:divBdr>
            <w:top w:val="none" w:sz="0" w:space="0" w:color="auto"/>
            <w:left w:val="none" w:sz="0" w:space="0" w:color="auto"/>
            <w:bottom w:val="none" w:sz="0" w:space="0" w:color="auto"/>
            <w:right w:val="none" w:sz="0" w:space="0" w:color="auto"/>
          </w:divBdr>
        </w:div>
      </w:divsChild>
    </w:div>
    <w:div w:id="1618217952">
      <w:bodyDiv w:val="1"/>
      <w:marLeft w:val="0"/>
      <w:marRight w:val="0"/>
      <w:marTop w:val="0"/>
      <w:marBottom w:val="0"/>
      <w:divBdr>
        <w:top w:val="none" w:sz="0" w:space="0" w:color="auto"/>
        <w:left w:val="none" w:sz="0" w:space="0" w:color="auto"/>
        <w:bottom w:val="none" w:sz="0" w:space="0" w:color="auto"/>
        <w:right w:val="none" w:sz="0" w:space="0" w:color="auto"/>
      </w:divBdr>
      <w:divsChild>
        <w:div w:id="1105539208">
          <w:marLeft w:val="0"/>
          <w:marRight w:val="0"/>
          <w:marTop w:val="0"/>
          <w:marBottom w:val="0"/>
          <w:divBdr>
            <w:top w:val="none" w:sz="0" w:space="0" w:color="auto"/>
            <w:left w:val="none" w:sz="0" w:space="0" w:color="auto"/>
            <w:bottom w:val="none" w:sz="0" w:space="0" w:color="auto"/>
            <w:right w:val="none" w:sz="0" w:space="0" w:color="auto"/>
          </w:divBdr>
        </w:div>
      </w:divsChild>
    </w:div>
    <w:div w:id="1689791677">
      <w:bodyDiv w:val="1"/>
      <w:marLeft w:val="0"/>
      <w:marRight w:val="0"/>
      <w:marTop w:val="0"/>
      <w:marBottom w:val="0"/>
      <w:divBdr>
        <w:top w:val="none" w:sz="0" w:space="0" w:color="auto"/>
        <w:left w:val="none" w:sz="0" w:space="0" w:color="auto"/>
        <w:bottom w:val="none" w:sz="0" w:space="0" w:color="auto"/>
        <w:right w:val="none" w:sz="0" w:space="0" w:color="auto"/>
      </w:divBdr>
      <w:divsChild>
        <w:div w:id="646974801">
          <w:marLeft w:val="0"/>
          <w:marRight w:val="0"/>
          <w:marTop w:val="0"/>
          <w:marBottom w:val="0"/>
          <w:divBdr>
            <w:top w:val="none" w:sz="0" w:space="0" w:color="auto"/>
            <w:left w:val="none" w:sz="0" w:space="0" w:color="auto"/>
            <w:bottom w:val="none" w:sz="0" w:space="0" w:color="auto"/>
            <w:right w:val="none" w:sz="0" w:space="0" w:color="auto"/>
          </w:divBdr>
        </w:div>
      </w:divsChild>
    </w:div>
    <w:div w:id="1739744684">
      <w:bodyDiv w:val="1"/>
      <w:marLeft w:val="0"/>
      <w:marRight w:val="0"/>
      <w:marTop w:val="0"/>
      <w:marBottom w:val="0"/>
      <w:divBdr>
        <w:top w:val="none" w:sz="0" w:space="0" w:color="auto"/>
        <w:left w:val="none" w:sz="0" w:space="0" w:color="auto"/>
        <w:bottom w:val="none" w:sz="0" w:space="0" w:color="auto"/>
        <w:right w:val="none" w:sz="0" w:space="0" w:color="auto"/>
      </w:divBdr>
      <w:divsChild>
        <w:div w:id="1179465831">
          <w:marLeft w:val="0"/>
          <w:marRight w:val="0"/>
          <w:marTop w:val="0"/>
          <w:marBottom w:val="0"/>
          <w:divBdr>
            <w:top w:val="none" w:sz="0" w:space="0" w:color="auto"/>
            <w:left w:val="none" w:sz="0" w:space="0" w:color="auto"/>
            <w:bottom w:val="none" w:sz="0" w:space="0" w:color="auto"/>
            <w:right w:val="none" w:sz="0" w:space="0" w:color="auto"/>
          </w:divBdr>
        </w:div>
      </w:divsChild>
    </w:div>
    <w:div w:id="1758016292">
      <w:bodyDiv w:val="1"/>
      <w:marLeft w:val="0"/>
      <w:marRight w:val="0"/>
      <w:marTop w:val="0"/>
      <w:marBottom w:val="0"/>
      <w:divBdr>
        <w:top w:val="none" w:sz="0" w:space="0" w:color="auto"/>
        <w:left w:val="none" w:sz="0" w:space="0" w:color="auto"/>
        <w:bottom w:val="none" w:sz="0" w:space="0" w:color="auto"/>
        <w:right w:val="none" w:sz="0" w:space="0" w:color="auto"/>
      </w:divBdr>
      <w:divsChild>
        <w:div w:id="1238132049">
          <w:marLeft w:val="0"/>
          <w:marRight w:val="0"/>
          <w:marTop w:val="0"/>
          <w:marBottom w:val="0"/>
          <w:divBdr>
            <w:top w:val="none" w:sz="0" w:space="0" w:color="auto"/>
            <w:left w:val="none" w:sz="0" w:space="0" w:color="auto"/>
            <w:bottom w:val="none" w:sz="0" w:space="0" w:color="auto"/>
            <w:right w:val="none" w:sz="0" w:space="0" w:color="auto"/>
          </w:divBdr>
        </w:div>
      </w:divsChild>
    </w:div>
    <w:div w:id="1811822465">
      <w:bodyDiv w:val="1"/>
      <w:marLeft w:val="0"/>
      <w:marRight w:val="0"/>
      <w:marTop w:val="0"/>
      <w:marBottom w:val="0"/>
      <w:divBdr>
        <w:top w:val="none" w:sz="0" w:space="0" w:color="auto"/>
        <w:left w:val="none" w:sz="0" w:space="0" w:color="auto"/>
        <w:bottom w:val="none" w:sz="0" w:space="0" w:color="auto"/>
        <w:right w:val="none" w:sz="0" w:space="0" w:color="auto"/>
      </w:divBdr>
    </w:div>
    <w:div w:id="1857570946">
      <w:bodyDiv w:val="1"/>
      <w:marLeft w:val="0"/>
      <w:marRight w:val="0"/>
      <w:marTop w:val="0"/>
      <w:marBottom w:val="0"/>
      <w:divBdr>
        <w:top w:val="none" w:sz="0" w:space="0" w:color="auto"/>
        <w:left w:val="none" w:sz="0" w:space="0" w:color="auto"/>
        <w:bottom w:val="none" w:sz="0" w:space="0" w:color="auto"/>
        <w:right w:val="none" w:sz="0" w:space="0" w:color="auto"/>
      </w:divBdr>
    </w:div>
    <w:div w:id="1874030587">
      <w:bodyDiv w:val="1"/>
      <w:marLeft w:val="0"/>
      <w:marRight w:val="0"/>
      <w:marTop w:val="0"/>
      <w:marBottom w:val="0"/>
      <w:divBdr>
        <w:top w:val="none" w:sz="0" w:space="0" w:color="auto"/>
        <w:left w:val="none" w:sz="0" w:space="0" w:color="auto"/>
        <w:bottom w:val="none" w:sz="0" w:space="0" w:color="auto"/>
        <w:right w:val="none" w:sz="0" w:space="0" w:color="auto"/>
      </w:divBdr>
      <w:divsChild>
        <w:div w:id="845904484">
          <w:marLeft w:val="0"/>
          <w:marRight w:val="0"/>
          <w:marTop w:val="0"/>
          <w:marBottom w:val="0"/>
          <w:divBdr>
            <w:top w:val="none" w:sz="0" w:space="0" w:color="auto"/>
            <w:left w:val="none" w:sz="0" w:space="0" w:color="auto"/>
            <w:bottom w:val="none" w:sz="0" w:space="0" w:color="auto"/>
            <w:right w:val="none" w:sz="0" w:space="0" w:color="auto"/>
          </w:divBdr>
        </w:div>
      </w:divsChild>
    </w:div>
    <w:div w:id="1928273123">
      <w:bodyDiv w:val="1"/>
      <w:marLeft w:val="0"/>
      <w:marRight w:val="0"/>
      <w:marTop w:val="0"/>
      <w:marBottom w:val="0"/>
      <w:divBdr>
        <w:top w:val="none" w:sz="0" w:space="0" w:color="auto"/>
        <w:left w:val="none" w:sz="0" w:space="0" w:color="auto"/>
        <w:bottom w:val="none" w:sz="0" w:space="0" w:color="auto"/>
        <w:right w:val="none" w:sz="0" w:space="0" w:color="auto"/>
      </w:divBdr>
      <w:divsChild>
        <w:div w:id="382946843">
          <w:marLeft w:val="0"/>
          <w:marRight w:val="0"/>
          <w:marTop w:val="0"/>
          <w:marBottom w:val="0"/>
          <w:divBdr>
            <w:top w:val="none" w:sz="0" w:space="0" w:color="auto"/>
            <w:left w:val="none" w:sz="0" w:space="0" w:color="auto"/>
            <w:bottom w:val="none" w:sz="0" w:space="0" w:color="auto"/>
            <w:right w:val="none" w:sz="0" w:space="0" w:color="auto"/>
          </w:divBdr>
        </w:div>
      </w:divsChild>
    </w:div>
    <w:div w:id="1947613470">
      <w:bodyDiv w:val="1"/>
      <w:marLeft w:val="0"/>
      <w:marRight w:val="0"/>
      <w:marTop w:val="0"/>
      <w:marBottom w:val="0"/>
      <w:divBdr>
        <w:top w:val="none" w:sz="0" w:space="0" w:color="auto"/>
        <w:left w:val="none" w:sz="0" w:space="0" w:color="auto"/>
        <w:bottom w:val="none" w:sz="0" w:space="0" w:color="auto"/>
        <w:right w:val="none" w:sz="0" w:space="0" w:color="auto"/>
      </w:divBdr>
      <w:divsChild>
        <w:div w:id="417755044">
          <w:marLeft w:val="0"/>
          <w:marRight w:val="0"/>
          <w:marTop w:val="0"/>
          <w:marBottom w:val="0"/>
          <w:divBdr>
            <w:top w:val="none" w:sz="0" w:space="0" w:color="auto"/>
            <w:left w:val="none" w:sz="0" w:space="0" w:color="auto"/>
            <w:bottom w:val="none" w:sz="0" w:space="0" w:color="auto"/>
            <w:right w:val="none" w:sz="0" w:space="0" w:color="auto"/>
          </w:divBdr>
          <w:divsChild>
            <w:div w:id="1312977331">
              <w:marLeft w:val="0"/>
              <w:marRight w:val="0"/>
              <w:marTop w:val="0"/>
              <w:marBottom w:val="0"/>
              <w:divBdr>
                <w:top w:val="none" w:sz="0" w:space="0" w:color="auto"/>
                <w:left w:val="none" w:sz="0" w:space="0" w:color="auto"/>
                <w:bottom w:val="none" w:sz="0" w:space="0" w:color="auto"/>
                <w:right w:val="none" w:sz="0" w:space="0" w:color="auto"/>
              </w:divBdr>
              <w:divsChild>
                <w:div w:id="1665625394">
                  <w:marLeft w:val="0"/>
                  <w:marRight w:val="0"/>
                  <w:marTop w:val="0"/>
                  <w:marBottom w:val="0"/>
                  <w:divBdr>
                    <w:top w:val="none" w:sz="0" w:space="0" w:color="auto"/>
                    <w:left w:val="none" w:sz="0" w:space="0" w:color="auto"/>
                    <w:bottom w:val="none" w:sz="0" w:space="0" w:color="auto"/>
                    <w:right w:val="none" w:sz="0" w:space="0" w:color="auto"/>
                  </w:divBdr>
                  <w:divsChild>
                    <w:div w:id="1752505385">
                      <w:marLeft w:val="0"/>
                      <w:marRight w:val="0"/>
                      <w:marTop w:val="0"/>
                      <w:marBottom w:val="0"/>
                      <w:divBdr>
                        <w:top w:val="none" w:sz="0" w:space="0" w:color="auto"/>
                        <w:left w:val="none" w:sz="0" w:space="0" w:color="auto"/>
                        <w:bottom w:val="none" w:sz="0" w:space="0" w:color="auto"/>
                        <w:right w:val="none" w:sz="0" w:space="0" w:color="auto"/>
                      </w:divBdr>
                      <w:divsChild>
                        <w:div w:id="1033265258">
                          <w:marLeft w:val="0"/>
                          <w:marRight w:val="0"/>
                          <w:marTop w:val="0"/>
                          <w:marBottom w:val="0"/>
                          <w:divBdr>
                            <w:top w:val="none" w:sz="0" w:space="0" w:color="auto"/>
                            <w:left w:val="none" w:sz="0" w:space="0" w:color="auto"/>
                            <w:bottom w:val="none" w:sz="0" w:space="0" w:color="auto"/>
                            <w:right w:val="none" w:sz="0" w:space="0" w:color="auto"/>
                          </w:divBdr>
                          <w:divsChild>
                            <w:div w:id="1541046096">
                              <w:marLeft w:val="0"/>
                              <w:marRight w:val="0"/>
                              <w:marTop w:val="0"/>
                              <w:marBottom w:val="0"/>
                              <w:divBdr>
                                <w:top w:val="none" w:sz="0" w:space="0" w:color="auto"/>
                                <w:left w:val="none" w:sz="0" w:space="0" w:color="auto"/>
                                <w:bottom w:val="none" w:sz="0" w:space="0" w:color="auto"/>
                                <w:right w:val="none" w:sz="0" w:space="0" w:color="auto"/>
                              </w:divBdr>
                              <w:divsChild>
                                <w:div w:id="563957301">
                                  <w:marLeft w:val="0"/>
                                  <w:marRight w:val="0"/>
                                  <w:marTop w:val="0"/>
                                  <w:marBottom w:val="0"/>
                                  <w:divBdr>
                                    <w:top w:val="none" w:sz="0" w:space="0" w:color="auto"/>
                                    <w:left w:val="none" w:sz="0" w:space="0" w:color="auto"/>
                                    <w:bottom w:val="none" w:sz="0" w:space="0" w:color="auto"/>
                                    <w:right w:val="none" w:sz="0" w:space="0" w:color="auto"/>
                                  </w:divBdr>
                                  <w:divsChild>
                                    <w:div w:id="1402748363">
                                      <w:marLeft w:val="0"/>
                                      <w:marRight w:val="0"/>
                                      <w:marTop w:val="0"/>
                                      <w:marBottom w:val="0"/>
                                      <w:divBdr>
                                        <w:top w:val="none" w:sz="0" w:space="0" w:color="auto"/>
                                        <w:left w:val="none" w:sz="0" w:space="0" w:color="auto"/>
                                        <w:bottom w:val="none" w:sz="0" w:space="0" w:color="auto"/>
                                        <w:right w:val="none" w:sz="0" w:space="0" w:color="auto"/>
                                      </w:divBdr>
                                      <w:divsChild>
                                        <w:div w:id="288097172">
                                          <w:marLeft w:val="0"/>
                                          <w:marRight w:val="0"/>
                                          <w:marTop w:val="0"/>
                                          <w:marBottom w:val="0"/>
                                          <w:divBdr>
                                            <w:top w:val="none" w:sz="0" w:space="0" w:color="auto"/>
                                            <w:left w:val="none" w:sz="0" w:space="0" w:color="auto"/>
                                            <w:bottom w:val="none" w:sz="0" w:space="0" w:color="auto"/>
                                            <w:right w:val="none" w:sz="0" w:space="0" w:color="auto"/>
                                          </w:divBdr>
                                          <w:divsChild>
                                            <w:div w:id="38641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4078575">
          <w:marLeft w:val="0"/>
          <w:marRight w:val="0"/>
          <w:marTop w:val="0"/>
          <w:marBottom w:val="0"/>
          <w:divBdr>
            <w:top w:val="none" w:sz="0" w:space="0" w:color="auto"/>
            <w:left w:val="none" w:sz="0" w:space="0" w:color="auto"/>
            <w:bottom w:val="none" w:sz="0" w:space="0" w:color="auto"/>
            <w:right w:val="none" w:sz="0" w:space="0" w:color="auto"/>
          </w:divBdr>
          <w:divsChild>
            <w:div w:id="176234946">
              <w:marLeft w:val="0"/>
              <w:marRight w:val="0"/>
              <w:marTop w:val="0"/>
              <w:marBottom w:val="0"/>
              <w:divBdr>
                <w:top w:val="none" w:sz="0" w:space="0" w:color="auto"/>
                <w:left w:val="none" w:sz="0" w:space="0" w:color="auto"/>
                <w:bottom w:val="none" w:sz="0" w:space="0" w:color="auto"/>
                <w:right w:val="none" w:sz="0" w:space="0" w:color="auto"/>
              </w:divBdr>
              <w:divsChild>
                <w:div w:id="1537541961">
                  <w:marLeft w:val="0"/>
                  <w:marRight w:val="0"/>
                  <w:marTop w:val="0"/>
                  <w:marBottom w:val="0"/>
                  <w:divBdr>
                    <w:top w:val="none" w:sz="0" w:space="0" w:color="auto"/>
                    <w:left w:val="none" w:sz="0" w:space="0" w:color="auto"/>
                    <w:bottom w:val="none" w:sz="0" w:space="0" w:color="auto"/>
                    <w:right w:val="none" w:sz="0" w:space="0" w:color="auto"/>
                  </w:divBdr>
                  <w:divsChild>
                    <w:div w:id="47340443">
                      <w:marLeft w:val="0"/>
                      <w:marRight w:val="0"/>
                      <w:marTop w:val="0"/>
                      <w:marBottom w:val="0"/>
                      <w:divBdr>
                        <w:top w:val="none" w:sz="0" w:space="0" w:color="auto"/>
                        <w:left w:val="none" w:sz="0" w:space="0" w:color="auto"/>
                        <w:bottom w:val="none" w:sz="0" w:space="0" w:color="auto"/>
                        <w:right w:val="none" w:sz="0" w:space="0" w:color="auto"/>
                      </w:divBdr>
                      <w:divsChild>
                        <w:div w:id="1120683723">
                          <w:marLeft w:val="0"/>
                          <w:marRight w:val="0"/>
                          <w:marTop w:val="0"/>
                          <w:marBottom w:val="0"/>
                          <w:divBdr>
                            <w:top w:val="none" w:sz="0" w:space="0" w:color="auto"/>
                            <w:left w:val="none" w:sz="0" w:space="0" w:color="auto"/>
                            <w:bottom w:val="none" w:sz="0" w:space="0" w:color="auto"/>
                            <w:right w:val="none" w:sz="0" w:space="0" w:color="auto"/>
                          </w:divBdr>
                          <w:divsChild>
                            <w:div w:id="1361320870">
                              <w:marLeft w:val="0"/>
                              <w:marRight w:val="0"/>
                              <w:marTop w:val="0"/>
                              <w:marBottom w:val="0"/>
                              <w:divBdr>
                                <w:top w:val="none" w:sz="0" w:space="0" w:color="auto"/>
                                <w:left w:val="none" w:sz="0" w:space="0" w:color="auto"/>
                                <w:bottom w:val="none" w:sz="0" w:space="0" w:color="auto"/>
                                <w:right w:val="none" w:sz="0" w:space="0" w:color="auto"/>
                              </w:divBdr>
                              <w:divsChild>
                                <w:div w:id="1432972057">
                                  <w:marLeft w:val="0"/>
                                  <w:marRight w:val="0"/>
                                  <w:marTop w:val="0"/>
                                  <w:marBottom w:val="0"/>
                                  <w:divBdr>
                                    <w:top w:val="none" w:sz="0" w:space="0" w:color="auto"/>
                                    <w:left w:val="none" w:sz="0" w:space="0" w:color="auto"/>
                                    <w:bottom w:val="none" w:sz="0" w:space="0" w:color="auto"/>
                                    <w:right w:val="none" w:sz="0" w:space="0" w:color="auto"/>
                                  </w:divBdr>
                                  <w:divsChild>
                                    <w:div w:id="936988927">
                                      <w:marLeft w:val="0"/>
                                      <w:marRight w:val="0"/>
                                      <w:marTop w:val="0"/>
                                      <w:marBottom w:val="0"/>
                                      <w:divBdr>
                                        <w:top w:val="none" w:sz="0" w:space="0" w:color="auto"/>
                                        <w:left w:val="none" w:sz="0" w:space="0" w:color="auto"/>
                                        <w:bottom w:val="none" w:sz="0" w:space="0" w:color="auto"/>
                                        <w:right w:val="none" w:sz="0" w:space="0" w:color="auto"/>
                                      </w:divBdr>
                                      <w:divsChild>
                                        <w:div w:id="1872843186">
                                          <w:marLeft w:val="0"/>
                                          <w:marRight w:val="0"/>
                                          <w:marTop w:val="0"/>
                                          <w:marBottom w:val="0"/>
                                          <w:divBdr>
                                            <w:top w:val="none" w:sz="0" w:space="0" w:color="auto"/>
                                            <w:left w:val="none" w:sz="0" w:space="0" w:color="auto"/>
                                            <w:bottom w:val="none" w:sz="0" w:space="0" w:color="auto"/>
                                            <w:right w:val="none" w:sz="0" w:space="0" w:color="auto"/>
                                          </w:divBdr>
                                          <w:divsChild>
                                            <w:div w:id="55752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91611749">
      <w:bodyDiv w:val="1"/>
      <w:marLeft w:val="0"/>
      <w:marRight w:val="0"/>
      <w:marTop w:val="0"/>
      <w:marBottom w:val="0"/>
      <w:divBdr>
        <w:top w:val="none" w:sz="0" w:space="0" w:color="auto"/>
        <w:left w:val="none" w:sz="0" w:space="0" w:color="auto"/>
        <w:bottom w:val="none" w:sz="0" w:space="0" w:color="auto"/>
        <w:right w:val="none" w:sz="0" w:space="0" w:color="auto"/>
      </w:divBdr>
      <w:divsChild>
        <w:div w:id="1734548308">
          <w:marLeft w:val="0"/>
          <w:marRight w:val="0"/>
          <w:marTop w:val="0"/>
          <w:marBottom w:val="0"/>
          <w:divBdr>
            <w:top w:val="none" w:sz="0" w:space="0" w:color="auto"/>
            <w:left w:val="none" w:sz="0" w:space="0" w:color="auto"/>
            <w:bottom w:val="none" w:sz="0" w:space="0" w:color="auto"/>
            <w:right w:val="none" w:sz="0" w:space="0" w:color="auto"/>
          </w:divBdr>
        </w:div>
      </w:divsChild>
    </w:div>
    <w:div w:id="2109230681">
      <w:bodyDiv w:val="1"/>
      <w:marLeft w:val="0"/>
      <w:marRight w:val="0"/>
      <w:marTop w:val="0"/>
      <w:marBottom w:val="0"/>
      <w:divBdr>
        <w:top w:val="none" w:sz="0" w:space="0" w:color="auto"/>
        <w:left w:val="none" w:sz="0" w:space="0" w:color="auto"/>
        <w:bottom w:val="none" w:sz="0" w:space="0" w:color="auto"/>
        <w:right w:val="none" w:sz="0" w:space="0" w:color="auto"/>
      </w:divBdr>
      <w:divsChild>
        <w:div w:id="1059283868">
          <w:marLeft w:val="0"/>
          <w:marRight w:val="0"/>
          <w:marTop w:val="0"/>
          <w:marBottom w:val="0"/>
          <w:divBdr>
            <w:top w:val="none" w:sz="0" w:space="0" w:color="auto"/>
            <w:left w:val="none" w:sz="0" w:space="0" w:color="auto"/>
            <w:bottom w:val="none" w:sz="0" w:space="0" w:color="auto"/>
            <w:right w:val="none" w:sz="0" w:space="0" w:color="auto"/>
          </w:divBdr>
        </w:div>
      </w:divsChild>
    </w:div>
    <w:div w:id="2115245146">
      <w:bodyDiv w:val="1"/>
      <w:marLeft w:val="0"/>
      <w:marRight w:val="0"/>
      <w:marTop w:val="0"/>
      <w:marBottom w:val="0"/>
      <w:divBdr>
        <w:top w:val="none" w:sz="0" w:space="0" w:color="auto"/>
        <w:left w:val="none" w:sz="0" w:space="0" w:color="auto"/>
        <w:bottom w:val="none" w:sz="0" w:space="0" w:color="auto"/>
        <w:right w:val="none" w:sz="0" w:space="0" w:color="auto"/>
      </w:divBdr>
      <w:divsChild>
        <w:div w:id="2087723083">
          <w:marLeft w:val="0"/>
          <w:marRight w:val="0"/>
          <w:marTop w:val="0"/>
          <w:marBottom w:val="0"/>
          <w:divBdr>
            <w:top w:val="none" w:sz="0" w:space="0" w:color="auto"/>
            <w:left w:val="none" w:sz="0" w:space="0" w:color="auto"/>
            <w:bottom w:val="none" w:sz="0" w:space="0" w:color="auto"/>
            <w:right w:val="none" w:sz="0" w:space="0" w:color="auto"/>
          </w:divBdr>
        </w:div>
      </w:divsChild>
    </w:div>
    <w:div w:id="2140372071">
      <w:bodyDiv w:val="1"/>
      <w:marLeft w:val="0"/>
      <w:marRight w:val="0"/>
      <w:marTop w:val="0"/>
      <w:marBottom w:val="0"/>
      <w:divBdr>
        <w:top w:val="none" w:sz="0" w:space="0" w:color="auto"/>
        <w:left w:val="none" w:sz="0" w:space="0" w:color="auto"/>
        <w:bottom w:val="none" w:sz="0" w:space="0" w:color="auto"/>
        <w:right w:val="none" w:sz="0" w:space="0" w:color="auto"/>
      </w:divBdr>
      <w:divsChild>
        <w:div w:id="2211844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46/annurev.psych.60.110707.163621" TargetMode="External"/><Relationship Id="rId21" Type="http://schemas.openxmlformats.org/officeDocument/2006/relationships/image" Target="media/image7.png"/><Relationship Id="rId42" Type="http://schemas.openxmlformats.org/officeDocument/2006/relationships/hyperlink" Target="https://doi.org/10.1111/ced.15381" TargetMode="External"/><Relationship Id="rId47" Type="http://schemas.openxmlformats.org/officeDocument/2006/relationships/hyperlink" Target="https://doi.org/10.1177/1741143213497635" TargetMode="External"/><Relationship Id="rId63" Type="http://schemas.openxmlformats.org/officeDocument/2006/relationships/hyperlink" Target="https://assets.publishing.service.gov.uk/media/63dba059d3bf7f0704f31d37/Hepatitis_B_in_England_2023.pdf" TargetMode="External"/><Relationship Id="rId68" Type="http://schemas.openxmlformats.org/officeDocument/2006/relationships/hyperlink" Target="https://doi.org/10.1177/2397002220921131" TargetMode="External"/><Relationship Id="rId16" Type="http://schemas.openxmlformats.org/officeDocument/2006/relationships/image" Target="media/image2.png"/><Relationship Id="rId11" Type="http://schemas.openxmlformats.org/officeDocument/2006/relationships/diagramData" Target="diagrams/data2.xml"/><Relationship Id="rId24" Type="http://schemas.openxmlformats.org/officeDocument/2006/relationships/hyperlink" Target="https://doi.org/10.2196/56473" TargetMode="External"/><Relationship Id="rId32" Type="http://schemas.openxmlformats.org/officeDocument/2006/relationships/hyperlink" Target="https://doi.org/10.1016/j.obhdp.2005.03.002" TargetMode="External"/><Relationship Id="rId37" Type="http://schemas.openxmlformats.org/officeDocument/2006/relationships/hyperlink" Target="https://doi.org/10.1080/13678868.2022.2135938" TargetMode="External"/><Relationship Id="rId40" Type="http://schemas.openxmlformats.org/officeDocument/2006/relationships/hyperlink" Target="https://dhcw.nhs.wales/news/in-depth/the-welsh-immunisation-system-building-a-lasting-legacy/" TargetMode="External"/><Relationship Id="rId45" Type="http://schemas.openxmlformats.org/officeDocument/2006/relationships/hyperlink" Target="https://doi.org/10.1186/s12889-024-18308-0" TargetMode="External"/><Relationship Id="rId53" Type="http://schemas.openxmlformats.org/officeDocument/2006/relationships/hyperlink" Target="https://doi.org/10.1111/ijmr.12395" TargetMode="External"/><Relationship Id="rId58" Type="http://schemas.openxmlformats.org/officeDocument/2006/relationships/hyperlink" Target="https://doi.org/10.1001/jama.2021.25181" TargetMode="External"/><Relationship Id="rId66" Type="http://schemas.openxmlformats.org/officeDocument/2006/relationships/hyperlink" Target="https://doi.org/10.1177/0194599817735500" TargetMode="External"/><Relationship Id="rId74" Type="http://schemas.openxmlformats.org/officeDocument/2006/relationships/hyperlink" Target="https://doi.org/10.1186/S12912-024-02582-9" TargetMode="External"/><Relationship Id="rId79" Type="http://schemas.openxmlformats.org/officeDocument/2006/relationships/fontTable" Target="fontTable.xml"/><Relationship Id="rId5" Type="http://schemas.openxmlformats.org/officeDocument/2006/relationships/diagramData" Target="diagrams/data1.xml"/><Relationship Id="rId61" Type="http://schemas.openxmlformats.org/officeDocument/2006/relationships/hyperlink" Target="https://doi.org/10.1136/BMJ.320.7227.114" TargetMode="External"/><Relationship Id="rId19" Type="http://schemas.openxmlformats.org/officeDocument/2006/relationships/image" Target="media/image5.jpeg"/><Relationship Id="rId14" Type="http://schemas.openxmlformats.org/officeDocument/2006/relationships/diagramColors" Target="diagrams/colors2.xml"/><Relationship Id="rId22" Type="http://schemas.openxmlformats.org/officeDocument/2006/relationships/hyperlink" Target="https://doi.org/10.1177/1609406920964345" TargetMode="External"/><Relationship Id="rId27" Type="http://schemas.openxmlformats.org/officeDocument/2006/relationships/hyperlink" Target="https://doi.org/10.1177/1059601106287091" TargetMode="External"/><Relationship Id="rId30" Type="http://schemas.openxmlformats.org/officeDocument/2006/relationships/hyperlink" Target="https://bhiva.org/wp-content/uploads/2024/10/Update-for-disemmination-STI-confidentiality-Final-100915.pdf" TargetMode="External"/><Relationship Id="rId35" Type="http://schemas.openxmlformats.org/officeDocument/2006/relationships/hyperlink" Target="https://creately.com/guides/catwoe-analysis/" TargetMode="External"/><Relationship Id="rId43" Type="http://schemas.openxmlformats.org/officeDocument/2006/relationships/hyperlink" Target="https://doi.org/10.18690/978-961-286-442-2.17" TargetMode="External"/><Relationship Id="rId48" Type="http://schemas.openxmlformats.org/officeDocument/2006/relationships/hyperlink" Target="https://doi.org/10.1177/0149206316665461" TargetMode="External"/><Relationship Id="rId56" Type="http://schemas.openxmlformats.org/officeDocument/2006/relationships/hyperlink" Target="https://doi.org/10.4102/sajim.v21i1.995" TargetMode="External"/><Relationship Id="rId64" Type="http://schemas.openxmlformats.org/officeDocument/2006/relationships/hyperlink" Target="https://www.questionpro.com/blog/quantitative-data-analysis-software/" TargetMode="External"/><Relationship Id="rId69" Type="http://schemas.openxmlformats.org/officeDocument/2006/relationships/hyperlink" Target="https://www.legislation.gov.uk/ukpga/2018/12/contents/enacted" TargetMode="External"/><Relationship Id="rId77" Type="http://schemas.openxmlformats.org/officeDocument/2006/relationships/hyperlink" Target="https://www.gov.wales/sites/default/files/pdf-versions/2025/6/3/1749641140/introduction-routine-vaccinations-mpox-and-gonorrhoea-whc2025021.pdf" TargetMode="External"/><Relationship Id="rId8" Type="http://schemas.openxmlformats.org/officeDocument/2006/relationships/diagramColors" Target="diagrams/colors1.xml"/><Relationship Id="rId51" Type="http://schemas.openxmlformats.org/officeDocument/2006/relationships/hyperlink" Target="https://performanceandimprovement.nhs.wales/functions/quality-safety-and-improvement/improvement/improvement-cymru-academy/resource-library/academy-toolkit-guides/model-for-improvement-toolkit-guide/" TargetMode="External"/><Relationship Id="rId72" Type="http://schemas.openxmlformats.org/officeDocument/2006/relationships/hyperlink" Target="https://doi.org/10.4065/82.6.735"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diagramLayout" Target="diagrams/layout2.xml"/><Relationship Id="rId17" Type="http://schemas.openxmlformats.org/officeDocument/2006/relationships/image" Target="media/image3.png"/><Relationship Id="rId25" Type="http://schemas.openxmlformats.org/officeDocument/2006/relationships/hyperlink" Target="https://doi.org/10.1186/s12913-020-05929-5" TargetMode="External"/><Relationship Id="rId33" Type="http://schemas.openxmlformats.org/officeDocument/2006/relationships/hyperlink" Target="https://doi.org/10.1016/j.im.2025.104135" TargetMode="External"/><Relationship Id="rId38" Type="http://schemas.openxmlformats.org/officeDocument/2006/relationships/hyperlink" Target="https://www.gov.uk/government/publications/health-and-social-care-review-leadership-for-a-collaborative-and-inclusive-future/leadership-for-a-collaborative-and-inclusive-future" TargetMode="External"/><Relationship Id="rId46" Type="http://schemas.openxmlformats.org/officeDocument/2006/relationships/hyperlink" Target="https://doi.org/10.1177/23792981241267758" TargetMode="External"/><Relationship Id="rId59" Type="http://schemas.openxmlformats.org/officeDocument/2006/relationships/hyperlink" Target="https://openminds.com/market-intelligence/bulletins/new-integrated-child-health-system-goes-live-in-wales/" TargetMode="External"/><Relationship Id="rId67" Type="http://schemas.openxmlformats.org/officeDocument/2006/relationships/hyperlink" Target="https://www.softwareworld.co/qualitative-data-analysis-software/" TargetMode="External"/><Relationship Id="rId20" Type="http://schemas.openxmlformats.org/officeDocument/2006/relationships/image" Target="media/image6.png"/><Relationship Id="rId41" Type="http://schemas.openxmlformats.org/officeDocument/2006/relationships/hyperlink" Target="https://doi.org/10.1055/A-2434-5112" TargetMode="External"/><Relationship Id="rId54" Type="http://schemas.openxmlformats.org/officeDocument/2006/relationships/hyperlink" Target="https://doi.org/10.1016/J.TECHSOC.2025.102934" TargetMode="External"/><Relationship Id="rId62" Type="http://schemas.openxmlformats.org/officeDocument/2006/relationships/hyperlink" Target="https://phw.nhs.wales/publications/publications1/trends-in-the-prevention-diagnosis-and-treatment-of-blood-borne-viruses-in-wales-hepatitis-b-hepatitis-c-and-hiv/" TargetMode="External"/><Relationship Id="rId70" Type="http://schemas.openxmlformats.org/officeDocument/2006/relationships/hyperlink" Target="https://doi.org/10.1016/j.leaqua.2006.10.007" TargetMode="External"/><Relationship Id="rId75" Type="http://schemas.openxmlformats.org/officeDocument/2006/relationships/hyperlink" Target="https://www.gov.wales/sites/default/files/publications/2019-08/introduction-of-snomed-ct-as-an-information-standard-in-nhs-wales.pdf" TargetMode="External"/><Relationship Id="rId1" Type="http://schemas.openxmlformats.org/officeDocument/2006/relationships/numbering" Target="numbering.xml"/><Relationship Id="rId6" Type="http://schemas.openxmlformats.org/officeDocument/2006/relationships/diagramLayout" Target="diagrams/layout1.xml"/><Relationship Id="rId15" Type="http://schemas.microsoft.com/office/2007/relationships/diagramDrawing" Target="diagrams/drawing2.xml"/><Relationship Id="rId23" Type="http://schemas.openxmlformats.org/officeDocument/2006/relationships/hyperlink" Target="https://doi.org/10.1108/EJIM-12-2018-0257" TargetMode="External"/><Relationship Id="rId28" Type="http://schemas.openxmlformats.org/officeDocument/2006/relationships/hyperlink" Target="https://doi.org/10.3346/JKMS.2023.38.E291" TargetMode="External"/><Relationship Id="rId36" Type="http://schemas.openxmlformats.org/officeDocument/2006/relationships/hyperlink" Target="https://doi.org/10.1016/j.ijnurstu.2009.08.006" TargetMode="External"/><Relationship Id="rId49" Type="http://schemas.openxmlformats.org/officeDocument/2006/relationships/hyperlink" Target="https://doi.org/10.1016/j.techfore.2019.05.021" TargetMode="External"/><Relationship Id="rId57" Type="http://schemas.openxmlformats.org/officeDocument/2006/relationships/hyperlink" Target="https://www.nice.org.uk/guidance/ng218/evidence/b-barriers-to-and-facilitators-for-vaccine-uptake-pdf-11072221743" TargetMode="External"/><Relationship Id="rId10" Type="http://schemas.openxmlformats.org/officeDocument/2006/relationships/image" Target="media/image1.png"/><Relationship Id="rId31" Type="http://schemas.openxmlformats.org/officeDocument/2006/relationships/hyperlink" Target="https://doi.org/10.1111/j.1468-2370.2011.00306.x" TargetMode="External"/><Relationship Id="rId44" Type="http://schemas.openxmlformats.org/officeDocument/2006/relationships/hyperlink" Target="https://doi.org/10.3389/fpubh.2022.787135" TargetMode="External"/><Relationship Id="rId52" Type="http://schemas.openxmlformats.org/officeDocument/2006/relationships/hyperlink" Target="https://doi.org/10.1055/a-2203-3787" TargetMode="External"/><Relationship Id="rId60" Type="http://schemas.openxmlformats.org/officeDocument/2006/relationships/hyperlink" Target="https://doi.org/10.1136/sextrans-2013-051369" TargetMode="External"/><Relationship Id="rId65" Type="http://schemas.openxmlformats.org/officeDocument/2006/relationships/hyperlink" Target="https://doi.org/10.1136/sti.76.5.408-a" TargetMode="External"/><Relationship Id="rId73" Type="http://schemas.openxmlformats.org/officeDocument/2006/relationships/hyperlink" Target="http://www.legislation.gov.uk/ukpga/Geo5/7-8/21/contents" TargetMode="External"/><Relationship Id="rId78" Type="http://schemas.openxmlformats.org/officeDocument/2006/relationships/hyperlink" Target="https://doi.org/10.3390/NURSREP13030108" TargetMode="External"/><Relationship Id="rId4" Type="http://schemas.openxmlformats.org/officeDocument/2006/relationships/webSettings" Target="webSettings.xml"/><Relationship Id="rId9" Type="http://schemas.microsoft.com/office/2007/relationships/diagramDrawing" Target="diagrams/drawing1.xml"/><Relationship Id="rId13" Type="http://schemas.openxmlformats.org/officeDocument/2006/relationships/diagramQuickStyle" Target="diagrams/quickStyle2.xml"/><Relationship Id="rId18" Type="http://schemas.openxmlformats.org/officeDocument/2006/relationships/image" Target="media/image4.png"/><Relationship Id="rId39" Type="http://schemas.openxmlformats.org/officeDocument/2006/relationships/hyperlink" Target="https://www.gov.uk/government/publications/meningococcal-b-vaccination-for-the-prevention-of-gonorrhoea-jcvi-advice-10-november/jcvi-advice-on-the-use-of-meningococcal-b-vaccination-for-the-prevention-of-gonorrhoea" TargetMode="External"/><Relationship Id="rId34" Type="http://schemas.openxmlformats.org/officeDocument/2006/relationships/hyperlink" Target="https://doi.org/10.1136/bmj.q1385" TargetMode="External"/><Relationship Id="rId50" Type="http://schemas.openxmlformats.org/officeDocument/2006/relationships/hyperlink" Target="https://doi.org/10.1080/0960085X.2024.2347950" TargetMode="External"/><Relationship Id="rId55" Type="http://schemas.openxmlformats.org/officeDocument/2006/relationships/hyperlink" Target="https://doi.org/10.1071/SH20185" TargetMode="External"/><Relationship Id="rId76" Type="http://schemas.openxmlformats.org/officeDocument/2006/relationships/hyperlink" Target="https://www.gov.wales/sites/default/files/publications/2023-06/introduction-of-hl7-fhir-in-all-nhs-wales-bodies_1.pdf" TargetMode="External"/><Relationship Id="rId7" Type="http://schemas.openxmlformats.org/officeDocument/2006/relationships/diagramQuickStyle" Target="diagrams/quickStyle1.xml"/><Relationship Id="rId71" Type="http://schemas.openxmlformats.org/officeDocument/2006/relationships/hyperlink" Target="https://doi.org/10.36518/2689-0216.1062" TargetMode="External"/><Relationship Id="rId2" Type="http://schemas.openxmlformats.org/officeDocument/2006/relationships/styles" Target="styles.xml"/><Relationship Id="rId29" Type="http://schemas.openxmlformats.org/officeDocument/2006/relationships/hyperlink" Target="https://doi.org/10.1111/1468-0009.12189"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0CF510-0D18-43D8-9DEC-74D4A4EBC572}"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US"/>
        </a:p>
      </dgm:t>
    </dgm:pt>
    <dgm:pt modelId="{A27D56B0-788A-42B4-806E-61120E061351}">
      <dgm:prSet phldrT="[Text]"/>
      <dgm:spPr>
        <a:solidFill>
          <a:srgbClr val="C46CC2"/>
        </a:solidFill>
      </dgm:spPr>
      <dgm:t>
        <a:bodyPr/>
        <a:lstStyle/>
        <a:p>
          <a:r>
            <a:rPr lang="en-US" dirty="0"/>
            <a:t>Structure</a:t>
          </a:r>
        </a:p>
      </dgm:t>
    </dgm:pt>
    <dgm:pt modelId="{476D7DDA-282F-48C5-BF3C-EA304ACF6AEC}" type="parTrans" cxnId="{17F17434-3F85-49F1-B63E-E180EF9C457B}">
      <dgm:prSet/>
      <dgm:spPr/>
      <dgm:t>
        <a:bodyPr/>
        <a:lstStyle/>
        <a:p>
          <a:endParaRPr lang="en-US"/>
        </a:p>
      </dgm:t>
    </dgm:pt>
    <dgm:pt modelId="{0C18B216-4982-493E-84A5-0BD1348E957B}" type="sibTrans" cxnId="{17F17434-3F85-49F1-B63E-E180EF9C457B}">
      <dgm:prSet/>
      <dgm:spPr/>
      <dgm:t>
        <a:bodyPr/>
        <a:lstStyle/>
        <a:p>
          <a:endParaRPr lang="en-US"/>
        </a:p>
      </dgm:t>
    </dgm:pt>
    <dgm:pt modelId="{89E3E61A-AB77-43C2-BC90-217675559EEF}">
      <dgm:prSet phldrT="[Text]" custT="1"/>
      <dgm:spPr/>
      <dgm:t>
        <a:bodyPr/>
        <a:lstStyle/>
        <a:p>
          <a:r>
            <a:rPr lang="en-GB" sz="800" dirty="0"/>
            <a:t>Digital platform infrastructure (e.g. secure app or online portal)</a:t>
          </a:r>
          <a:endParaRPr lang="en-US" sz="800" dirty="0"/>
        </a:p>
      </dgm:t>
    </dgm:pt>
    <dgm:pt modelId="{9F5027D4-3BD0-47BC-88A8-A9A253DA4932}" type="parTrans" cxnId="{71DCFC1A-819F-4FCF-9EE5-D630943303E3}">
      <dgm:prSet/>
      <dgm:spPr/>
      <dgm:t>
        <a:bodyPr/>
        <a:lstStyle/>
        <a:p>
          <a:endParaRPr lang="en-US"/>
        </a:p>
      </dgm:t>
    </dgm:pt>
    <dgm:pt modelId="{BBCB8D37-C60F-48D9-BADA-06E969EF229E}" type="sibTrans" cxnId="{71DCFC1A-819F-4FCF-9EE5-D630943303E3}">
      <dgm:prSet/>
      <dgm:spPr/>
      <dgm:t>
        <a:bodyPr/>
        <a:lstStyle/>
        <a:p>
          <a:endParaRPr lang="en-US"/>
        </a:p>
      </dgm:t>
    </dgm:pt>
    <dgm:pt modelId="{1A51A24E-9FBD-45FA-BB2D-29EA1C1A8194}">
      <dgm:prSet phldrT="[Text]"/>
      <dgm:spPr/>
      <dgm:t>
        <a:bodyPr/>
        <a:lstStyle/>
        <a:p>
          <a:r>
            <a:rPr lang="en-US" dirty="0"/>
            <a:t>Process</a:t>
          </a:r>
        </a:p>
      </dgm:t>
    </dgm:pt>
    <dgm:pt modelId="{DBBE8F6B-788D-42BA-A7C6-4C49298808DF}" type="parTrans" cxnId="{F8DC8BAD-FE85-4D97-B762-4F9ECBE05F68}">
      <dgm:prSet/>
      <dgm:spPr/>
      <dgm:t>
        <a:bodyPr/>
        <a:lstStyle/>
        <a:p>
          <a:endParaRPr lang="en-US"/>
        </a:p>
      </dgm:t>
    </dgm:pt>
    <dgm:pt modelId="{D288F601-21EA-4BE4-A4DC-D7BCD5438D45}" type="sibTrans" cxnId="{F8DC8BAD-FE85-4D97-B762-4F9ECBE05F68}">
      <dgm:prSet/>
      <dgm:spPr/>
      <dgm:t>
        <a:bodyPr/>
        <a:lstStyle/>
        <a:p>
          <a:endParaRPr lang="en-US"/>
        </a:p>
      </dgm:t>
    </dgm:pt>
    <dgm:pt modelId="{B7A87565-1A29-4517-9BEC-D8DE20900D9B}">
      <dgm:prSet phldrT="[Text]" custT="1"/>
      <dgm:spPr/>
      <dgm:t>
        <a:bodyPr/>
        <a:lstStyle/>
        <a:p>
          <a:r>
            <a:rPr lang="en-GB" sz="800" dirty="0"/>
            <a:t>Recording and updating vaccination data digitally</a:t>
          </a:r>
          <a:endParaRPr lang="en-US" sz="800" dirty="0"/>
        </a:p>
      </dgm:t>
    </dgm:pt>
    <dgm:pt modelId="{AA95C6C3-DAA8-4493-A14B-11F1C2779510}" type="parTrans" cxnId="{E887114F-0A6C-4365-9221-E589B76B3DCA}">
      <dgm:prSet/>
      <dgm:spPr/>
      <dgm:t>
        <a:bodyPr/>
        <a:lstStyle/>
        <a:p>
          <a:endParaRPr lang="en-US"/>
        </a:p>
      </dgm:t>
    </dgm:pt>
    <dgm:pt modelId="{027F45A6-5F6D-4114-8C44-663E465C8FC7}" type="sibTrans" cxnId="{E887114F-0A6C-4365-9221-E589B76B3DCA}">
      <dgm:prSet/>
      <dgm:spPr/>
      <dgm:t>
        <a:bodyPr/>
        <a:lstStyle/>
        <a:p>
          <a:endParaRPr lang="en-US"/>
        </a:p>
      </dgm:t>
    </dgm:pt>
    <dgm:pt modelId="{0A2C0B2E-5FBC-4ACA-83D2-9CEAB91C8935}">
      <dgm:prSet phldrT="[Text]"/>
      <dgm:spPr>
        <a:solidFill>
          <a:srgbClr val="D46A5C"/>
        </a:solidFill>
      </dgm:spPr>
      <dgm:t>
        <a:bodyPr/>
        <a:lstStyle/>
        <a:p>
          <a:r>
            <a:rPr lang="en-US" dirty="0"/>
            <a:t>Outcome</a:t>
          </a:r>
        </a:p>
      </dgm:t>
    </dgm:pt>
    <dgm:pt modelId="{1B744FFA-012F-4DF9-9B42-FB5564FAB163}" type="parTrans" cxnId="{62AF47C4-1A69-48F6-B41D-94BFCC1A99FE}">
      <dgm:prSet/>
      <dgm:spPr/>
      <dgm:t>
        <a:bodyPr/>
        <a:lstStyle/>
        <a:p>
          <a:endParaRPr lang="en-US"/>
        </a:p>
      </dgm:t>
    </dgm:pt>
    <dgm:pt modelId="{EA58E026-9200-443E-9903-3D9F5DD2D451}" type="sibTrans" cxnId="{62AF47C4-1A69-48F6-B41D-94BFCC1A99FE}">
      <dgm:prSet/>
      <dgm:spPr/>
      <dgm:t>
        <a:bodyPr/>
        <a:lstStyle/>
        <a:p>
          <a:endParaRPr lang="en-US"/>
        </a:p>
      </dgm:t>
    </dgm:pt>
    <dgm:pt modelId="{09ADB2B3-F2C5-4603-A88D-0D224BF7F74A}">
      <dgm:prSet phldrT="[Text]"/>
      <dgm:spPr/>
      <dgm:t>
        <a:bodyPr/>
        <a:lstStyle/>
        <a:p>
          <a:r>
            <a:rPr lang="en-GB" dirty="0"/>
            <a:t>Increased vaccine uptake </a:t>
          </a:r>
          <a:endParaRPr lang="en-US" dirty="0"/>
        </a:p>
      </dgm:t>
    </dgm:pt>
    <dgm:pt modelId="{82145A83-8574-46F8-8616-FE0F05ED60F2}" type="parTrans" cxnId="{2EAFF63F-39D0-4EBF-BE3B-A0D90DCEFDAD}">
      <dgm:prSet/>
      <dgm:spPr/>
      <dgm:t>
        <a:bodyPr/>
        <a:lstStyle/>
        <a:p>
          <a:endParaRPr lang="en-US"/>
        </a:p>
      </dgm:t>
    </dgm:pt>
    <dgm:pt modelId="{D5622F05-8778-4402-94B5-E743BBD2C8AE}" type="sibTrans" cxnId="{2EAFF63F-39D0-4EBF-BE3B-A0D90DCEFDAD}">
      <dgm:prSet/>
      <dgm:spPr/>
      <dgm:t>
        <a:bodyPr/>
        <a:lstStyle/>
        <a:p>
          <a:endParaRPr lang="en-US"/>
        </a:p>
      </dgm:t>
    </dgm:pt>
    <dgm:pt modelId="{DD1BA137-8556-4AB4-BAF7-99A4EAB4B3E9}">
      <dgm:prSet custT="1"/>
      <dgm:spPr/>
      <dgm:t>
        <a:bodyPr/>
        <a:lstStyle/>
        <a:p>
          <a:r>
            <a:rPr lang="en-GB" sz="800"/>
            <a:t>Integration with existing electronic health record systems</a:t>
          </a:r>
        </a:p>
      </dgm:t>
    </dgm:pt>
    <dgm:pt modelId="{F366E41B-83AC-453F-AA93-70DDA59A3AE5}" type="parTrans" cxnId="{83C12A6C-9026-41A7-ADD6-E0F44F419A2E}">
      <dgm:prSet/>
      <dgm:spPr/>
      <dgm:t>
        <a:bodyPr/>
        <a:lstStyle/>
        <a:p>
          <a:endParaRPr lang="en-US"/>
        </a:p>
      </dgm:t>
    </dgm:pt>
    <dgm:pt modelId="{B9045E8E-82B0-4C63-82BB-84BD4C611F89}" type="sibTrans" cxnId="{83C12A6C-9026-41A7-ADD6-E0F44F419A2E}">
      <dgm:prSet/>
      <dgm:spPr/>
      <dgm:t>
        <a:bodyPr/>
        <a:lstStyle/>
        <a:p>
          <a:endParaRPr lang="en-US"/>
        </a:p>
      </dgm:t>
    </dgm:pt>
    <dgm:pt modelId="{C1F216A3-842B-42D2-B335-2AADEC8C04BF}">
      <dgm:prSet custT="1"/>
      <dgm:spPr/>
      <dgm:t>
        <a:bodyPr/>
        <a:lstStyle/>
        <a:p>
          <a:r>
            <a:rPr lang="en-GB" sz="800" dirty="0"/>
            <a:t>Training of healthcare staff and IT support</a:t>
          </a:r>
        </a:p>
      </dgm:t>
    </dgm:pt>
    <dgm:pt modelId="{DC331A8B-2574-4230-9690-E9FA164DCA4E}" type="parTrans" cxnId="{8C0271EE-0970-4DF8-A02F-B9618A8371EF}">
      <dgm:prSet/>
      <dgm:spPr/>
      <dgm:t>
        <a:bodyPr/>
        <a:lstStyle/>
        <a:p>
          <a:endParaRPr lang="en-US"/>
        </a:p>
      </dgm:t>
    </dgm:pt>
    <dgm:pt modelId="{2AE7DFE3-CA27-4939-A4C9-FD39D1C27337}" type="sibTrans" cxnId="{8C0271EE-0970-4DF8-A02F-B9618A8371EF}">
      <dgm:prSet/>
      <dgm:spPr/>
      <dgm:t>
        <a:bodyPr/>
        <a:lstStyle/>
        <a:p>
          <a:endParaRPr lang="en-US"/>
        </a:p>
      </dgm:t>
    </dgm:pt>
    <dgm:pt modelId="{0AB4FF57-7CA7-4F4D-B3F8-FF0B47687D1A}">
      <dgm:prSet custT="1"/>
      <dgm:spPr/>
      <dgm:t>
        <a:bodyPr/>
        <a:lstStyle/>
        <a:p>
          <a:r>
            <a:rPr lang="en-GB" sz="800"/>
            <a:t>Data protection policies and cybersecurity measures</a:t>
          </a:r>
        </a:p>
      </dgm:t>
    </dgm:pt>
    <dgm:pt modelId="{2BC925BB-2A61-4153-A7F7-B664A8E9A05A}" type="parTrans" cxnId="{352A146B-642F-4A5E-998B-021D301D5EB5}">
      <dgm:prSet/>
      <dgm:spPr/>
      <dgm:t>
        <a:bodyPr/>
        <a:lstStyle/>
        <a:p>
          <a:endParaRPr lang="en-US"/>
        </a:p>
      </dgm:t>
    </dgm:pt>
    <dgm:pt modelId="{263D1BC8-0B68-4E4B-A949-303AE2BA238F}" type="sibTrans" cxnId="{352A146B-642F-4A5E-998B-021D301D5EB5}">
      <dgm:prSet/>
      <dgm:spPr/>
      <dgm:t>
        <a:bodyPr/>
        <a:lstStyle/>
        <a:p>
          <a:endParaRPr lang="en-US"/>
        </a:p>
      </dgm:t>
    </dgm:pt>
    <dgm:pt modelId="{E97402E9-A594-4649-BA11-E04001BE2703}">
      <dgm:prSet custT="1"/>
      <dgm:spPr/>
      <dgm:t>
        <a:bodyPr/>
        <a:lstStyle/>
        <a:p>
          <a:r>
            <a:rPr lang="en-GB" sz="800" dirty="0"/>
            <a:t>Funding and support from institutions such as Welsh Assembly Government (WAG), Public Health Wales (PHW), British Association of Sexual Health &amp; HIV (BASHH).</a:t>
          </a:r>
        </a:p>
      </dgm:t>
    </dgm:pt>
    <dgm:pt modelId="{D48B1F66-0C64-4E78-BE6C-7BDE412750B3}" type="parTrans" cxnId="{38734A19-9BD3-4B1E-9737-0CE8C98B217A}">
      <dgm:prSet/>
      <dgm:spPr/>
      <dgm:t>
        <a:bodyPr/>
        <a:lstStyle/>
        <a:p>
          <a:endParaRPr lang="en-US"/>
        </a:p>
      </dgm:t>
    </dgm:pt>
    <dgm:pt modelId="{865B97DC-BD44-4C75-96E4-6995082E7C31}" type="sibTrans" cxnId="{38734A19-9BD3-4B1E-9737-0CE8C98B217A}">
      <dgm:prSet/>
      <dgm:spPr/>
      <dgm:t>
        <a:bodyPr/>
        <a:lstStyle/>
        <a:p>
          <a:endParaRPr lang="en-US"/>
        </a:p>
      </dgm:t>
    </dgm:pt>
    <dgm:pt modelId="{AF75CBC8-DAAD-4241-A62A-54009B3B4A7F}">
      <dgm:prSet custT="1"/>
      <dgm:spPr/>
      <dgm:t>
        <a:bodyPr/>
        <a:lstStyle/>
        <a:p>
          <a:r>
            <a:rPr lang="en-GB" sz="800"/>
            <a:t>Patients accessing their vaccination history online</a:t>
          </a:r>
        </a:p>
      </dgm:t>
    </dgm:pt>
    <dgm:pt modelId="{DB32EA08-34C5-42B3-BCC0-24897829FBF5}" type="parTrans" cxnId="{18748996-BF84-47A5-AFE9-9557A9DDBFAF}">
      <dgm:prSet/>
      <dgm:spPr/>
      <dgm:t>
        <a:bodyPr/>
        <a:lstStyle/>
        <a:p>
          <a:endParaRPr lang="en-US"/>
        </a:p>
      </dgm:t>
    </dgm:pt>
    <dgm:pt modelId="{F5611555-59C6-47CE-84DE-23D837AD9694}" type="sibTrans" cxnId="{18748996-BF84-47A5-AFE9-9557A9DDBFAF}">
      <dgm:prSet/>
      <dgm:spPr/>
      <dgm:t>
        <a:bodyPr/>
        <a:lstStyle/>
        <a:p>
          <a:endParaRPr lang="en-US"/>
        </a:p>
      </dgm:t>
    </dgm:pt>
    <dgm:pt modelId="{CB3E2396-5D94-41C7-9FE8-2515119305FC}">
      <dgm:prSet custT="1"/>
      <dgm:spPr/>
      <dgm:t>
        <a:bodyPr/>
        <a:lstStyle/>
        <a:p>
          <a:r>
            <a:rPr lang="en-GB" sz="800"/>
            <a:t>Automated reminders for due or missed vaccines</a:t>
          </a:r>
        </a:p>
      </dgm:t>
    </dgm:pt>
    <dgm:pt modelId="{248CF617-048B-48C2-8B4C-6BB1EA5FADCD}" type="parTrans" cxnId="{78123DEF-2970-4C6A-8A51-ED63E187FA46}">
      <dgm:prSet/>
      <dgm:spPr/>
      <dgm:t>
        <a:bodyPr/>
        <a:lstStyle/>
        <a:p>
          <a:endParaRPr lang="en-US"/>
        </a:p>
      </dgm:t>
    </dgm:pt>
    <dgm:pt modelId="{05E37597-60B8-40DC-9907-7D75FC097F53}" type="sibTrans" cxnId="{78123DEF-2970-4C6A-8A51-ED63E187FA46}">
      <dgm:prSet/>
      <dgm:spPr/>
      <dgm:t>
        <a:bodyPr/>
        <a:lstStyle/>
        <a:p>
          <a:endParaRPr lang="en-US"/>
        </a:p>
      </dgm:t>
    </dgm:pt>
    <dgm:pt modelId="{3E20AEE6-64D7-4331-B0F9-B76B79F61503}">
      <dgm:prSet custT="1"/>
      <dgm:spPr/>
      <dgm:t>
        <a:bodyPr/>
        <a:lstStyle/>
        <a:p>
          <a:r>
            <a:rPr lang="en-GB" sz="800"/>
            <a:t>Healthcare providers using digital data to guide care</a:t>
          </a:r>
        </a:p>
      </dgm:t>
    </dgm:pt>
    <dgm:pt modelId="{B93497F5-0C8E-41ED-AA30-9C5E0685C99A}" type="parTrans" cxnId="{348641D3-FAC5-4E87-8D5E-62B738BFDBD8}">
      <dgm:prSet/>
      <dgm:spPr/>
      <dgm:t>
        <a:bodyPr/>
        <a:lstStyle/>
        <a:p>
          <a:endParaRPr lang="en-US"/>
        </a:p>
      </dgm:t>
    </dgm:pt>
    <dgm:pt modelId="{7C1C13B9-43A3-435A-8EB6-12F09F974885}" type="sibTrans" cxnId="{348641D3-FAC5-4E87-8D5E-62B738BFDBD8}">
      <dgm:prSet/>
      <dgm:spPr/>
      <dgm:t>
        <a:bodyPr/>
        <a:lstStyle/>
        <a:p>
          <a:endParaRPr lang="en-US"/>
        </a:p>
      </dgm:t>
    </dgm:pt>
    <dgm:pt modelId="{C806AF2C-A66B-4719-9A13-9E1764844FAA}">
      <dgm:prSet custT="1"/>
      <dgm:spPr/>
      <dgm:t>
        <a:bodyPr/>
        <a:lstStyle/>
        <a:p>
          <a:r>
            <a:rPr lang="en-GB" sz="800" dirty="0"/>
            <a:t>Communication and consent processes managed through the platform.</a:t>
          </a:r>
        </a:p>
      </dgm:t>
    </dgm:pt>
    <dgm:pt modelId="{5C82A9FD-BBAB-4E41-84F8-30D7A82678BC}" type="parTrans" cxnId="{B0693ACE-B804-49B9-8C4C-BF08BBD6CD02}">
      <dgm:prSet/>
      <dgm:spPr/>
      <dgm:t>
        <a:bodyPr/>
        <a:lstStyle/>
        <a:p>
          <a:endParaRPr lang="en-US"/>
        </a:p>
      </dgm:t>
    </dgm:pt>
    <dgm:pt modelId="{ADEE333F-D923-4F0D-ACEF-FE141760A8FB}" type="sibTrans" cxnId="{B0693ACE-B804-49B9-8C4C-BF08BBD6CD02}">
      <dgm:prSet/>
      <dgm:spPr/>
      <dgm:t>
        <a:bodyPr/>
        <a:lstStyle/>
        <a:p>
          <a:endParaRPr lang="en-US"/>
        </a:p>
      </dgm:t>
    </dgm:pt>
    <dgm:pt modelId="{4308A1B1-DF68-42D8-8063-473FBFD35D62}">
      <dgm:prSet/>
      <dgm:spPr/>
      <dgm:t>
        <a:bodyPr/>
        <a:lstStyle/>
        <a:p>
          <a:r>
            <a:rPr lang="en-GB"/>
            <a:t>Improved accuracy and timeliness of vaccination records</a:t>
          </a:r>
        </a:p>
      </dgm:t>
    </dgm:pt>
    <dgm:pt modelId="{697EF953-E1A7-4515-B229-569EF9F30CBF}" type="parTrans" cxnId="{85465A38-7ED4-488A-8DE6-4D397A48689D}">
      <dgm:prSet/>
      <dgm:spPr/>
      <dgm:t>
        <a:bodyPr/>
        <a:lstStyle/>
        <a:p>
          <a:endParaRPr lang="en-US"/>
        </a:p>
      </dgm:t>
    </dgm:pt>
    <dgm:pt modelId="{7004BBF3-911C-48EF-AD4C-9089F6B79181}" type="sibTrans" cxnId="{85465A38-7ED4-488A-8DE6-4D397A48689D}">
      <dgm:prSet/>
      <dgm:spPr/>
      <dgm:t>
        <a:bodyPr/>
        <a:lstStyle/>
        <a:p>
          <a:endParaRPr lang="en-US"/>
        </a:p>
      </dgm:t>
    </dgm:pt>
    <dgm:pt modelId="{20C512AB-675D-4455-8216-F4E1D7DB3E3C}">
      <dgm:prSet/>
      <dgm:spPr/>
      <dgm:t>
        <a:bodyPr/>
        <a:lstStyle/>
        <a:p>
          <a:r>
            <a:rPr lang="en-GB"/>
            <a:t>Enhanced patient engagement and self-management</a:t>
          </a:r>
        </a:p>
      </dgm:t>
    </dgm:pt>
    <dgm:pt modelId="{5E10EE0A-DBD2-4D32-BC32-3350B6828BF0}" type="parTrans" cxnId="{1F6AFB5E-7CF5-4CB4-BE34-262D8721E244}">
      <dgm:prSet/>
      <dgm:spPr/>
      <dgm:t>
        <a:bodyPr/>
        <a:lstStyle/>
        <a:p>
          <a:endParaRPr lang="en-US"/>
        </a:p>
      </dgm:t>
    </dgm:pt>
    <dgm:pt modelId="{E32DE750-80DC-42FB-90D3-C76522EAFC28}" type="sibTrans" cxnId="{1F6AFB5E-7CF5-4CB4-BE34-262D8721E244}">
      <dgm:prSet/>
      <dgm:spPr/>
      <dgm:t>
        <a:bodyPr/>
        <a:lstStyle/>
        <a:p>
          <a:endParaRPr lang="en-US"/>
        </a:p>
      </dgm:t>
    </dgm:pt>
    <dgm:pt modelId="{E69F8FCE-EDCB-4584-BD02-E969C062113E}">
      <dgm:prSet/>
      <dgm:spPr/>
      <dgm:t>
        <a:bodyPr/>
        <a:lstStyle/>
        <a:p>
          <a:r>
            <a:rPr lang="en-GB"/>
            <a:t>Strengthened data quality for public health monitoring</a:t>
          </a:r>
        </a:p>
      </dgm:t>
    </dgm:pt>
    <dgm:pt modelId="{9582C2C8-5F6D-4873-9B74-12825F9B38EE}" type="parTrans" cxnId="{7F7DB775-C3F5-47B6-8666-DF82647D8997}">
      <dgm:prSet/>
      <dgm:spPr/>
      <dgm:t>
        <a:bodyPr/>
        <a:lstStyle/>
        <a:p>
          <a:endParaRPr lang="en-US"/>
        </a:p>
      </dgm:t>
    </dgm:pt>
    <dgm:pt modelId="{87A32E15-2FC8-49D3-B200-27F0DB33CA82}" type="sibTrans" cxnId="{7F7DB775-C3F5-47B6-8666-DF82647D8997}">
      <dgm:prSet/>
      <dgm:spPr/>
      <dgm:t>
        <a:bodyPr/>
        <a:lstStyle/>
        <a:p>
          <a:endParaRPr lang="en-US"/>
        </a:p>
      </dgm:t>
    </dgm:pt>
    <dgm:pt modelId="{0E485186-1DB5-430E-A331-06568B0EDA85}">
      <dgm:prSet/>
      <dgm:spPr/>
      <dgm:t>
        <a:bodyPr/>
        <a:lstStyle/>
        <a:p>
          <a:r>
            <a:rPr lang="en-GB" dirty="0"/>
            <a:t>Reduced administrative burden and missed opportunities for vaccination</a:t>
          </a:r>
        </a:p>
      </dgm:t>
    </dgm:pt>
    <dgm:pt modelId="{157AAD04-6B2B-4B05-BCE2-6128BC7181DB}" type="parTrans" cxnId="{BEBAD268-9821-47E2-8FEB-DD14ECD15735}">
      <dgm:prSet/>
      <dgm:spPr/>
      <dgm:t>
        <a:bodyPr/>
        <a:lstStyle/>
        <a:p>
          <a:endParaRPr lang="en-US"/>
        </a:p>
      </dgm:t>
    </dgm:pt>
    <dgm:pt modelId="{94936EEB-95A0-4F62-BF65-57EAC8862F49}" type="sibTrans" cxnId="{BEBAD268-9821-47E2-8FEB-DD14ECD15735}">
      <dgm:prSet/>
      <dgm:spPr/>
      <dgm:t>
        <a:bodyPr/>
        <a:lstStyle/>
        <a:p>
          <a:endParaRPr lang="en-US"/>
        </a:p>
      </dgm:t>
    </dgm:pt>
    <dgm:pt modelId="{D167CCCD-4BF2-41EF-8D76-BA45BD5A5931}" type="pres">
      <dgm:prSet presAssocID="{280CF510-0D18-43D8-9DEC-74D4A4EBC572}" presName="Name0" presStyleCnt="0">
        <dgm:presLayoutVars>
          <dgm:dir/>
          <dgm:animLvl val="lvl"/>
          <dgm:resizeHandles val="exact"/>
        </dgm:presLayoutVars>
      </dgm:prSet>
      <dgm:spPr/>
      <dgm:t>
        <a:bodyPr/>
        <a:lstStyle/>
        <a:p>
          <a:endParaRPr lang="en-US"/>
        </a:p>
      </dgm:t>
    </dgm:pt>
    <dgm:pt modelId="{18CFE467-7CAB-4554-8014-CC63806B1E54}" type="pres">
      <dgm:prSet presAssocID="{280CF510-0D18-43D8-9DEC-74D4A4EBC572}" presName="tSp" presStyleCnt="0"/>
      <dgm:spPr/>
    </dgm:pt>
    <dgm:pt modelId="{6A8699E8-FEE7-4432-A7E6-02CA23514BFB}" type="pres">
      <dgm:prSet presAssocID="{280CF510-0D18-43D8-9DEC-74D4A4EBC572}" presName="bSp" presStyleCnt="0"/>
      <dgm:spPr/>
    </dgm:pt>
    <dgm:pt modelId="{BEBEF6DB-2F6E-499A-8599-5004D0E6923B}" type="pres">
      <dgm:prSet presAssocID="{280CF510-0D18-43D8-9DEC-74D4A4EBC572}" presName="process" presStyleCnt="0"/>
      <dgm:spPr/>
    </dgm:pt>
    <dgm:pt modelId="{1485DE36-C4E7-4498-8EDB-31CFD3B93130}" type="pres">
      <dgm:prSet presAssocID="{A27D56B0-788A-42B4-806E-61120E061351}" presName="composite1" presStyleCnt="0"/>
      <dgm:spPr/>
    </dgm:pt>
    <dgm:pt modelId="{CA3152D0-D1A7-4FE4-A27E-8F3845B6C2B3}" type="pres">
      <dgm:prSet presAssocID="{A27D56B0-788A-42B4-806E-61120E061351}" presName="dummyNode1" presStyleLbl="node1" presStyleIdx="0" presStyleCnt="3"/>
      <dgm:spPr/>
    </dgm:pt>
    <dgm:pt modelId="{5B081102-F2E4-47DA-871E-092EF9ECCB52}" type="pres">
      <dgm:prSet presAssocID="{A27D56B0-788A-42B4-806E-61120E061351}" presName="childNode1" presStyleLbl="bgAcc1" presStyleIdx="0" presStyleCnt="3" custScaleY="157566" custLinFactNeighborX="3992" custLinFactNeighborY="-26617">
        <dgm:presLayoutVars>
          <dgm:bulletEnabled val="1"/>
        </dgm:presLayoutVars>
      </dgm:prSet>
      <dgm:spPr/>
      <dgm:t>
        <a:bodyPr/>
        <a:lstStyle/>
        <a:p>
          <a:endParaRPr lang="en-US"/>
        </a:p>
      </dgm:t>
    </dgm:pt>
    <dgm:pt modelId="{FAF88896-0A67-4C26-BEB3-DCD7A89AB1AB}" type="pres">
      <dgm:prSet presAssocID="{A27D56B0-788A-42B4-806E-61120E061351}" presName="childNode1tx" presStyleLbl="bgAcc1" presStyleIdx="0" presStyleCnt="3">
        <dgm:presLayoutVars>
          <dgm:bulletEnabled val="1"/>
        </dgm:presLayoutVars>
      </dgm:prSet>
      <dgm:spPr/>
      <dgm:t>
        <a:bodyPr/>
        <a:lstStyle/>
        <a:p>
          <a:endParaRPr lang="en-US"/>
        </a:p>
      </dgm:t>
    </dgm:pt>
    <dgm:pt modelId="{B70A81FF-80BB-49AD-AC9F-095917FF1203}" type="pres">
      <dgm:prSet presAssocID="{A27D56B0-788A-42B4-806E-61120E061351}" presName="parentNode1" presStyleLbl="node1" presStyleIdx="0" presStyleCnt="3">
        <dgm:presLayoutVars>
          <dgm:chMax val="1"/>
          <dgm:bulletEnabled val="1"/>
        </dgm:presLayoutVars>
      </dgm:prSet>
      <dgm:spPr/>
      <dgm:t>
        <a:bodyPr/>
        <a:lstStyle/>
        <a:p>
          <a:endParaRPr lang="en-US"/>
        </a:p>
      </dgm:t>
    </dgm:pt>
    <dgm:pt modelId="{2736E927-832C-45BB-BEEE-DC704C154F88}" type="pres">
      <dgm:prSet presAssocID="{A27D56B0-788A-42B4-806E-61120E061351}" presName="connSite1" presStyleCnt="0"/>
      <dgm:spPr/>
    </dgm:pt>
    <dgm:pt modelId="{6561B858-3189-4D82-9748-63A729933EDB}" type="pres">
      <dgm:prSet presAssocID="{0C18B216-4982-493E-84A5-0BD1348E957B}" presName="Name9" presStyleLbl="sibTrans2D1" presStyleIdx="0" presStyleCnt="2" custLinFactNeighborX="2621" custLinFactNeighborY="9175"/>
      <dgm:spPr/>
      <dgm:t>
        <a:bodyPr/>
        <a:lstStyle/>
        <a:p>
          <a:endParaRPr lang="en-US"/>
        </a:p>
      </dgm:t>
    </dgm:pt>
    <dgm:pt modelId="{BA8B41AE-547D-4EFF-A07D-F33BC9EA7E9B}" type="pres">
      <dgm:prSet presAssocID="{1A51A24E-9FBD-45FA-BB2D-29EA1C1A8194}" presName="composite2" presStyleCnt="0"/>
      <dgm:spPr/>
    </dgm:pt>
    <dgm:pt modelId="{C8CCF6FF-7E83-43AB-8937-A9F91D63D004}" type="pres">
      <dgm:prSet presAssocID="{1A51A24E-9FBD-45FA-BB2D-29EA1C1A8194}" presName="dummyNode2" presStyleLbl="node1" presStyleIdx="0" presStyleCnt="3"/>
      <dgm:spPr/>
    </dgm:pt>
    <dgm:pt modelId="{1A39788A-07AC-4F98-9AC0-FB8ED1B2C416}" type="pres">
      <dgm:prSet presAssocID="{1A51A24E-9FBD-45FA-BB2D-29EA1C1A8194}" presName="childNode2" presStyleLbl="bgAcc1" presStyleIdx="1" presStyleCnt="3" custScaleY="132805" custLinFactNeighborX="-2661" custLinFactNeighborY="11293">
        <dgm:presLayoutVars>
          <dgm:bulletEnabled val="1"/>
        </dgm:presLayoutVars>
      </dgm:prSet>
      <dgm:spPr/>
      <dgm:t>
        <a:bodyPr/>
        <a:lstStyle/>
        <a:p>
          <a:endParaRPr lang="en-US"/>
        </a:p>
      </dgm:t>
    </dgm:pt>
    <dgm:pt modelId="{AC22CCF0-8B5F-4AC8-9FD4-CAC739E1D9C3}" type="pres">
      <dgm:prSet presAssocID="{1A51A24E-9FBD-45FA-BB2D-29EA1C1A8194}" presName="childNode2tx" presStyleLbl="bgAcc1" presStyleIdx="1" presStyleCnt="3">
        <dgm:presLayoutVars>
          <dgm:bulletEnabled val="1"/>
        </dgm:presLayoutVars>
      </dgm:prSet>
      <dgm:spPr/>
      <dgm:t>
        <a:bodyPr/>
        <a:lstStyle/>
        <a:p>
          <a:endParaRPr lang="en-US"/>
        </a:p>
      </dgm:t>
    </dgm:pt>
    <dgm:pt modelId="{8A4B9483-D250-4256-886C-EF5E0347894C}" type="pres">
      <dgm:prSet presAssocID="{1A51A24E-9FBD-45FA-BB2D-29EA1C1A8194}" presName="parentNode2" presStyleLbl="node1" presStyleIdx="1" presStyleCnt="3">
        <dgm:presLayoutVars>
          <dgm:chMax val="0"/>
          <dgm:bulletEnabled val="1"/>
        </dgm:presLayoutVars>
      </dgm:prSet>
      <dgm:spPr/>
      <dgm:t>
        <a:bodyPr/>
        <a:lstStyle/>
        <a:p>
          <a:endParaRPr lang="en-US"/>
        </a:p>
      </dgm:t>
    </dgm:pt>
    <dgm:pt modelId="{18C2AD8C-0D3B-44FB-857C-2E9F0D777DD1}" type="pres">
      <dgm:prSet presAssocID="{1A51A24E-9FBD-45FA-BB2D-29EA1C1A8194}" presName="connSite2" presStyleCnt="0"/>
      <dgm:spPr/>
    </dgm:pt>
    <dgm:pt modelId="{811A85C0-0DB2-47A2-89C4-03DDD382DEC1}" type="pres">
      <dgm:prSet presAssocID="{D288F601-21EA-4BE4-A4DC-D7BCD5438D45}" presName="Name18" presStyleLbl="sibTrans2D1" presStyleIdx="1" presStyleCnt="2" custLinFactNeighborY="-10828"/>
      <dgm:spPr/>
      <dgm:t>
        <a:bodyPr/>
        <a:lstStyle/>
        <a:p>
          <a:endParaRPr lang="en-US"/>
        </a:p>
      </dgm:t>
    </dgm:pt>
    <dgm:pt modelId="{16A9A5E6-F6D7-4968-82D3-7CDB6D40B9A1}" type="pres">
      <dgm:prSet presAssocID="{0A2C0B2E-5FBC-4ACA-83D2-9CEAB91C8935}" presName="composite1" presStyleCnt="0"/>
      <dgm:spPr/>
    </dgm:pt>
    <dgm:pt modelId="{A331E9A2-33BF-4AA0-8100-CD615E84838A}" type="pres">
      <dgm:prSet presAssocID="{0A2C0B2E-5FBC-4ACA-83D2-9CEAB91C8935}" presName="dummyNode1" presStyleLbl="node1" presStyleIdx="1" presStyleCnt="3"/>
      <dgm:spPr/>
    </dgm:pt>
    <dgm:pt modelId="{E4925E64-C936-4FF9-82A9-3A52F962BD7A}" type="pres">
      <dgm:prSet presAssocID="{0A2C0B2E-5FBC-4ACA-83D2-9CEAB91C8935}" presName="childNode1" presStyleLbl="bgAcc1" presStyleIdx="2" presStyleCnt="3" custScaleY="157566">
        <dgm:presLayoutVars>
          <dgm:bulletEnabled val="1"/>
        </dgm:presLayoutVars>
      </dgm:prSet>
      <dgm:spPr/>
      <dgm:t>
        <a:bodyPr/>
        <a:lstStyle/>
        <a:p>
          <a:endParaRPr lang="en-US"/>
        </a:p>
      </dgm:t>
    </dgm:pt>
    <dgm:pt modelId="{0157789B-7CAD-4494-BD68-A6E2587B960B}" type="pres">
      <dgm:prSet presAssocID="{0A2C0B2E-5FBC-4ACA-83D2-9CEAB91C8935}" presName="childNode1tx" presStyleLbl="bgAcc1" presStyleIdx="2" presStyleCnt="3">
        <dgm:presLayoutVars>
          <dgm:bulletEnabled val="1"/>
        </dgm:presLayoutVars>
      </dgm:prSet>
      <dgm:spPr/>
      <dgm:t>
        <a:bodyPr/>
        <a:lstStyle/>
        <a:p>
          <a:endParaRPr lang="en-US"/>
        </a:p>
      </dgm:t>
    </dgm:pt>
    <dgm:pt modelId="{9315AEFD-B820-421E-80AB-4ECD261DCF6D}" type="pres">
      <dgm:prSet presAssocID="{0A2C0B2E-5FBC-4ACA-83D2-9CEAB91C8935}" presName="parentNode1" presStyleLbl="node1" presStyleIdx="2" presStyleCnt="3">
        <dgm:presLayoutVars>
          <dgm:chMax val="1"/>
          <dgm:bulletEnabled val="1"/>
        </dgm:presLayoutVars>
      </dgm:prSet>
      <dgm:spPr/>
      <dgm:t>
        <a:bodyPr/>
        <a:lstStyle/>
        <a:p>
          <a:endParaRPr lang="en-US"/>
        </a:p>
      </dgm:t>
    </dgm:pt>
    <dgm:pt modelId="{C57939D0-69A1-4C23-8354-6268AD7D1AF2}" type="pres">
      <dgm:prSet presAssocID="{0A2C0B2E-5FBC-4ACA-83D2-9CEAB91C8935}" presName="connSite1" presStyleCnt="0"/>
      <dgm:spPr/>
    </dgm:pt>
  </dgm:ptLst>
  <dgm:cxnLst>
    <dgm:cxn modelId="{B38D538E-B2E6-40B9-86C0-015D9EAD84EB}" type="presOf" srcId="{89E3E61A-AB77-43C2-BC90-217675559EEF}" destId="{5B081102-F2E4-47DA-871E-092EF9ECCB52}" srcOrd="0" destOrd="0" presId="urn:microsoft.com/office/officeart/2005/8/layout/hProcess4"/>
    <dgm:cxn modelId="{62AF47C4-1A69-48F6-B41D-94BFCC1A99FE}" srcId="{280CF510-0D18-43D8-9DEC-74D4A4EBC572}" destId="{0A2C0B2E-5FBC-4ACA-83D2-9CEAB91C8935}" srcOrd="2" destOrd="0" parTransId="{1B744FFA-012F-4DF9-9B42-FB5564FAB163}" sibTransId="{EA58E026-9200-443E-9903-3D9F5DD2D451}"/>
    <dgm:cxn modelId="{F842E576-C129-4BD7-8ADF-56D0E2D48D0D}" type="presOf" srcId="{0C18B216-4982-493E-84A5-0BD1348E957B}" destId="{6561B858-3189-4D82-9748-63A729933EDB}" srcOrd="0" destOrd="0" presId="urn:microsoft.com/office/officeart/2005/8/layout/hProcess4"/>
    <dgm:cxn modelId="{352A146B-642F-4A5E-998B-021D301D5EB5}" srcId="{A27D56B0-788A-42B4-806E-61120E061351}" destId="{0AB4FF57-7CA7-4F4D-B3F8-FF0B47687D1A}" srcOrd="3" destOrd="0" parTransId="{2BC925BB-2A61-4153-A7F7-B664A8E9A05A}" sibTransId="{263D1BC8-0B68-4E4B-A949-303AE2BA238F}"/>
    <dgm:cxn modelId="{7E1EEE86-0B2A-4CF7-84DE-F91F7952CFE9}" type="presOf" srcId="{C1F216A3-842B-42D2-B335-2AADEC8C04BF}" destId="{5B081102-F2E4-47DA-871E-092EF9ECCB52}" srcOrd="0" destOrd="2" presId="urn:microsoft.com/office/officeart/2005/8/layout/hProcess4"/>
    <dgm:cxn modelId="{A2C7BFBE-C7A1-442D-B5EF-8A03F4FD1F4B}" type="presOf" srcId="{20C512AB-675D-4455-8216-F4E1D7DB3E3C}" destId="{E4925E64-C936-4FF9-82A9-3A52F962BD7A}" srcOrd="0" destOrd="2" presId="urn:microsoft.com/office/officeart/2005/8/layout/hProcess4"/>
    <dgm:cxn modelId="{F8DC8BAD-FE85-4D97-B762-4F9ECBE05F68}" srcId="{280CF510-0D18-43D8-9DEC-74D4A4EBC572}" destId="{1A51A24E-9FBD-45FA-BB2D-29EA1C1A8194}" srcOrd="1" destOrd="0" parTransId="{DBBE8F6B-788D-42BA-A7C6-4C49298808DF}" sibTransId="{D288F601-21EA-4BE4-A4DC-D7BCD5438D45}"/>
    <dgm:cxn modelId="{566B56D2-6EA0-4D0A-A18E-535A2D48907D}" type="presOf" srcId="{4308A1B1-DF68-42D8-8063-473FBFD35D62}" destId="{0157789B-7CAD-4494-BD68-A6E2587B960B}" srcOrd="1" destOrd="1" presId="urn:microsoft.com/office/officeart/2005/8/layout/hProcess4"/>
    <dgm:cxn modelId="{B0693ACE-B804-49B9-8C4C-BF08BBD6CD02}" srcId="{1A51A24E-9FBD-45FA-BB2D-29EA1C1A8194}" destId="{C806AF2C-A66B-4719-9A13-9E1764844FAA}" srcOrd="4" destOrd="0" parTransId="{5C82A9FD-BBAB-4E41-84F8-30D7A82678BC}" sibTransId="{ADEE333F-D923-4F0D-ACEF-FE141760A8FB}"/>
    <dgm:cxn modelId="{EE7A6D7B-07AB-4788-BA15-FDF8438C5B79}" type="presOf" srcId="{E69F8FCE-EDCB-4584-BD02-E969C062113E}" destId="{0157789B-7CAD-4494-BD68-A6E2587B960B}" srcOrd="1" destOrd="3" presId="urn:microsoft.com/office/officeart/2005/8/layout/hProcess4"/>
    <dgm:cxn modelId="{9BB5604D-E78A-4B42-A5D4-3B5065DE1E97}" type="presOf" srcId="{E97402E9-A594-4649-BA11-E04001BE2703}" destId="{FAF88896-0A67-4C26-BEB3-DCD7A89AB1AB}" srcOrd="1" destOrd="4" presId="urn:microsoft.com/office/officeart/2005/8/layout/hProcess4"/>
    <dgm:cxn modelId="{E7D8CDB4-A7BD-418E-8559-7B4BC54AF4DA}" type="presOf" srcId="{09ADB2B3-F2C5-4603-A88D-0D224BF7F74A}" destId="{E4925E64-C936-4FF9-82A9-3A52F962BD7A}" srcOrd="0" destOrd="0" presId="urn:microsoft.com/office/officeart/2005/8/layout/hProcess4"/>
    <dgm:cxn modelId="{8290F249-F171-48C6-8F66-D6E52E68D154}" type="presOf" srcId="{3E20AEE6-64D7-4331-B0F9-B76B79F61503}" destId="{1A39788A-07AC-4F98-9AC0-FB8ED1B2C416}" srcOrd="0" destOrd="3" presId="urn:microsoft.com/office/officeart/2005/8/layout/hProcess4"/>
    <dgm:cxn modelId="{2EAFF63F-39D0-4EBF-BE3B-A0D90DCEFDAD}" srcId="{0A2C0B2E-5FBC-4ACA-83D2-9CEAB91C8935}" destId="{09ADB2B3-F2C5-4603-A88D-0D224BF7F74A}" srcOrd="0" destOrd="0" parTransId="{82145A83-8574-46F8-8616-FE0F05ED60F2}" sibTransId="{D5622F05-8778-4402-94B5-E743BBD2C8AE}"/>
    <dgm:cxn modelId="{8C0271EE-0970-4DF8-A02F-B9618A8371EF}" srcId="{A27D56B0-788A-42B4-806E-61120E061351}" destId="{C1F216A3-842B-42D2-B335-2AADEC8C04BF}" srcOrd="2" destOrd="0" parTransId="{DC331A8B-2574-4230-9690-E9FA164DCA4E}" sibTransId="{2AE7DFE3-CA27-4939-A4C9-FD39D1C27337}"/>
    <dgm:cxn modelId="{83C12A6C-9026-41A7-ADD6-E0F44F419A2E}" srcId="{A27D56B0-788A-42B4-806E-61120E061351}" destId="{DD1BA137-8556-4AB4-BAF7-99A4EAB4B3E9}" srcOrd="1" destOrd="0" parTransId="{F366E41B-83AC-453F-AA93-70DDA59A3AE5}" sibTransId="{B9045E8E-82B0-4C63-82BB-84BD4C611F89}"/>
    <dgm:cxn modelId="{38734A19-9BD3-4B1E-9737-0CE8C98B217A}" srcId="{A27D56B0-788A-42B4-806E-61120E061351}" destId="{E97402E9-A594-4649-BA11-E04001BE2703}" srcOrd="4" destOrd="0" parTransId="{D48B1F66-0C64-4E78-BE6C-7BDE412750B3}" sibTransId="{865B97DC-BD44-4C75-96E4-6995082E7C31}"/>
    <dgm:cxn modelId="{DEEE67C4-9181-4B67-9D47-0F82D8ADA230}" type="presOf" srcId="{E97402E9-A594-4649-BA11-E04001BE2703}" destId="{5B081102-F2E4-47DA-871E-092EF9ECCB52}" srcOrd="0" destOrd="4" presId="urn:microsoft.com/office/officeart/2005/8/layout/hProcess4"/>
    <dgm:cxn modelId="{78123DEF-2970-4C6A-8A51-ED63E187FA46}" srcId="{1A51A24E-9FBD-45FA-BB2D-29EA1C1A8194}" destId="{CB3E2396-5D94-41C7-9FE8-2515119305FC}" srcOrd="2" destOrd="0" parTransId="{248CF617-048B-48C2-8B4C-6BB1EA5FADCD}" sibTransId="{05E37597-60B8-40DC-9907-7D75FC097F53}"/>
    <dgm:cxn modelId="{8FA1B513-6154-4A98-9224-A6FDB00898DE}" type="presOf" srcId="{C806AF2C-A66B-4719-9A13-9E1764844FAA}" destId="{1A39788A-07AC-4F98-9AC0-FB8ED1B2C416}" srcOrd="0" destOrd="4" presId="urn:microsoft.com/office/officeart/2005/8/layout/hProcess4"/>
    <dgm:cxn modelId="{410FD4DA-6839-4248-A086-893F2D6708F2}" type="presOf" srcId="{A27D56B0-788A-42B4-806E-61120E061351}" destId="{B70A81FF-80BB-49AD-AC9F-095917FF1203}" srcOrd="0" destOrd="0" presId="urn:microsoft.com/office/officeart/2005/8/layout/hProcess4"/>
    <dgm:cxn modelId="{6D22A57C-F4A6-4BFF-9922-C4F462078034}" type="presOf" srcId="{89E3E61A-AB77-43C2-BC90-217675559EEF}" destId="{FAF88896-0A67-4C26-BEB3-DCD7A89AB1AB}" srcOrd="1" destOrd="0" presId="urn:microsoft.com/office/officeart/2005/8/layout/hProcess4"/>
    <dgm:cxn modelId="{3331A9EA-3ADF-4241-9144-38F6087C8535}" type="presOf" srcId="{0A2C0B2E-5FBC-4ACA-83D2-9CEAB91C8935}" destId="{9315AEFD-B820-421E-80AB-4ECD261DCF6D}" srcOrd="0" destOrd="0" presId="urn:microsoft.com/office/officeart/2005/8/layout/hProcess4"/>
    <dgm:cxn modelId="{16DB2A90-8FC8-4FF8-8294-864B842E9E0D}" type="presOf" srcId="{0E485186-1DB5-430E-A331-06568B0EDA85}" destId="{0157789B-7CAD-4494-BD68-A6E2587B960B}" srcOrd="1" destOrd="4" presId="urn:microsoft.com/office/officeart/2005/8/layout/hProcess4"/>
    <dgm:cxn modelId="{71262A5F-6D96-4243-97EB-7175DF8FEFC5}" type="presOf" srcId="{20C512AB-675D-4455-8216-F4E1D7DB3E3C}" destId="{0157789B-7CAD-4494-BD68-A6E2587B960B}" srcOrd="1" destOrd="2" presId="urn:microsoft.com/office/officeart/2005/8/layout/hProcess4"/>
    <dgm:cxn modelId="{7A84DA30-D8B7-48F6-9C0C-12116D528BAD}" type="presOf" srcId="{C1F216A3-842B-42D2-B335-2AADEC8C04BF}" destId="{FAF88896-0A67-4C26-BEB3-DCD7A89AB1AB}" srcOrd="1" destOrd="2" presId="urn:microsoft.com/office/officeart/2005/8/layout/hProcess4"/>
    <dgm:cxn modelId="{A9C0DF04-C4FA-435A-9BAE-3871AF63F90E}" type="presOf" srcId="{3E20AEE6-64D7-4331-B0F9-B76B79F61503}" destId="{AC22CCF0-8B5F-4AC8-9FD4-CAC739E1D9C3}" srcOrd="1" destOrd="3" presId="urn:microsoft.com/office/officeart/2005/8/layout/hProcess4"/>
    <dgm:cxn modelId="{173AAB43-53C5-42DE-A3B7-A0F849C2B450}" type="presOf" srcId="{4308A1B1-DF68-42D8-8063-473FBFD35D62}" destId="{E4925E64-C936-4FF9-82A9-3A52F962BD7A}" srcOrd="0" destOrd="1" presId="urn:microsoft.com/office/officeart/2005/8/layout/hProcess4"/>
    <dgm:cxn modelId="{18748996-BF84-47A5-AFE9-9557A9DDBFAF}" srcId="{1A51A24E-9FBD-45FA-BB2D-29EA1C1A8194}" destId="{AF75CBC8-DAAD-4241-A62A-54009B3B4A7F}" srcOrd="1" destOrd="0" parTransId="{DB32EA08-34C5-42B3-BCC0-24897829FBF5}" sibTransId="{F5611555-59C6-47CE-84DE-23D837AD9694}"/>
    <dgm:cxn modelId="{E887114F-0A6C-4365-9221-E589B76B3DCA}" srcId="{1A51A24E-9FBD-45FA-BB2D-29EA1C1A8194}" destId="{B7A87565-1A29-4517-9BEC-D8DE20900D9B}" srcOrd="0" destOrd="0" parTransId="{AA95C6C3-DAA8-4493-A14B-11F1C2779510}" sibTransId="{027F45A6-5F6D-4114-8C44-663E465C8FC7}"/>
    <dgm:cxn modelId="{AE429F2A-7767-4062-A861-970A7836BEA3}" type="presOf" srcId="{280CF510-0D18-43D8-9DEC-74D4A4EBC572}" destId="{D167CCCD-4BF2-41EF-8D76-BA45BD5A5931}" srcOrd="0" destOrd="0" presId="urn:microsoft.com/office/officeart/2005/8/layout/hProcess4"/>
    <dgm:cxn modelId="{B02C2AEF-D48F-4954-8D9B-D34A1AE8CAFB}" type="presOf" srcId="{1A51A24E-9FBD-45FA-BB2D-29EA1C1A8194}" destId="{8A4B9483-D250-4256-886C-EF5E0347894C}" srcOrd="0" destOrd="0" presId="urn:microsoft.com/office/officeart/2005/8/layout/hProcess4"/>
    <dgm:cxn modelId="{7EC7D740-D5C3-4213-8123-6E10F26AF691}" type="presOf" srcId="{C806AF2C-A66B-4719-9A13-9E1764844FAA}" destId="{AC22CCF0-8B5F-4AC8-9FD4-CAC739E1D9C3}" srcOrd="1" destOrd="4" presId="urn:microsoft.com/office/officeart/2005/8/layout/hProcess4"/>
    <dgm:cxn modelId="{97C0B146-47B3-4952-A467-B793ADAE029E}" type="presOf" srcId="{D288F601-21EA-4BE4-A4DC-D7BCD5438D45}" destId="{811A85C0-0DB2-47A2-89C4-03DDD382DEC1}" srcOrd="0" destOrd="0" presId="urn:microsoft.com/office/officeart/2005/8/layout/hProcess4"/>
    <dgm:cxn modelId="{71DCFC1A-819F-4FCF-9EE5-D630943303E3}" srcId="{A27D56B0-788A-42B4-806E-61120E061351}" destId="{89E3E61A-AB77-43C2-BC90-217675559EEF}" srcOrd="0" destOrd="0" parTransId="{9F5027D4-3BD0-47BC-88A8-A9A253DA4932}" sibTransId="{BBCB8D37-C60F-48D9-BADA-06E969EF229E}"/>
    <dgm:cxn modelId="{85465A38-7ED4-488A-8DE6-4D397A48689D}" srcId="{0A2C0B2E-5FBC-4ACA-83D2-9CEAB91C8935}" destId="{4308A1B1-DF68-42D8-8063-473FBFD35D62}" srcOrd="1" destOrd="0" parTransId="{697EF953-E1A7-4515-B229-569EF9F30CBF}" sibTransId="{7004BBF3-911C-48EF-AD4C-9089F6B79181}"/>
    <dgm:cxn modelId="{17F17434-3F85-49F1-B63E-E180EF9C457B}" srcId="{280CF510-0D18-43D8-9DEC-74D4A4EBC572}" destId="{A27D56B0-788A-42B4-806E-61120E061351}" srcOrd="0" destOrd="0" parTransId="{476D7DDA-282F-48C5-BF3C-EA304ACF6AEC}" sibTransId="{0C18B216-4982-493E-84A5-0BD1348E957B}"/>
    <dgm:cxn modelId="{1F6AFB5E-7CF5-4CB4-BE34-262D8721E244}" srcId="{0A2C0B2E-5FBC-4ACA-83D2-9CEAB91C8935}" destId="{20C512AB-675D-4455-8216-F4E1D7DB3E3C}" srcOrd="2" destOrd="0" parTransId="{5E10EE0A-DBD2-4D32-BC32-3350B6828BF0}" sibTransId="{E32DE750-80DC-42FB-90D3-C76522EAFC28}"/>
    <dgm:cxn modelId="{2A597441-C4D6-47ED-B27D-1733FE91A9ED}" type="presOf" srcId="{AF75CBC8-DAAD-4241-A62A-54009B3B4A7F}" destId="{1A39788A-07AC-4F98-9AC0-FB8ED1B2C416}" srcOrd="0" destOrd="1" presId="urn:microsoft.com/office/officeart/2005/8/layout/hProcess4"/>
    <dgm:cxn modelId="{C2A3195D-A046-4704-B218-E35AEDF7448F}" type="presOf" srcId="{DD1BA137-8556-4AB4-BAF7-99A4EAB4B3E9}" destId="{5B081102-F2E4-47DA-871E-092EF9ECCB52}" srcOrd="0" destOrd="1" presId="urn:microsoft.com/office/officeart/2005/8/layout/hProcess4"/>
    <dgm:cxn modelId="{F6746536-3675-49ED-86F2-A45519E50EB3}" type="presOf" srcId="{B7A87565-1A29-4517-9BEC-D8DE20900D9B}" destId="{1A39788A-07AC-4F98-9AC0-FB8ED1B2C416}" srcOrd="0" destOrd="0" presId="urn:microsoft.com/office/officeart/2005/8/layout/hProcess4"/>
    <dgm:cxn modelId="{93681530-C689-4119-A45E-E420E1888EF3}" type="presOf" srcId="{CB3E2396-5D94-41C7-9FE8-2515119305FC}" destId="{1A39788A-07AC-4F98-9AC0-FB8ED1B2C416}" srcOrd="0" destOrd="2" presId="urn:microsoft.com/office/officeart/2005/8/layout/hProcess4"/>
    <dgm:cxn modelId="{4CA13818-E85B-42C8-97D7-54726D4BEB05}" type="presOf" srcId="{AF75CBC8-DAAD-4241-A62A-54009B3B4A7F}" destId="{AC22CCF0-8B5F-4AC8-9FD4-CAC739E1D9C3}" srcOrd="1" destOrd="1" presId="urn:microsoft.com/office/officeart/2005/8/layout/hProcess4"/>
    <dgm:cxn modelId="{48DBAE95-1930-4D2F-87B3-DAD7F37FEF8B}" type="presOf" srcId="{0E485186-1DB5-430E-A331-06568B0EDA85}" destId="{E4925E64-C936-4FF9-82A9-3A52F962BD7A}" srcOrd="0" destOrd="4" presId="urn:microsoft.com/office/officeart/2005/8/layout/hProcess4"/>
    <dgm:cxn modelId="{CADAE0C2-C667-42B2-8B9C-D55FD46AF7F4}" type="presOf" srcId="{09ADB2B3-F2C5-4603-A88D-0D224BF7F74A}" destId="{0157789B-7CAD-4494-BD68-A6E2587B960B}" srcOrd="1" destOrd="0" presId="urn:microsoft.com/office/officeart/2005/8/layout/hProcess4"/>
    <dgm:cxn modelId="{A63BEC15-DC69-413E-9920-38676D32E3E8}" type="presOf" srcId="{0AB4FF57-7CA7-4F4D-B3F8-FF0B47687D1A}" destId="{FAF88896-0A67-4C26-BEB3-DCD7A89AB1AB}" srcOrd="1" destOrd="3" presId="urn:microsoft.com/office/officeart/2005/8/layout/hProcess4"/>
    <dgm:cxn modelId="{3416AF00-4D72-4D2F-ACF2-649FC2D6AC8F}" type="presOf" srcId="{CB3E2396-5D94-41C7-9FE8-2515119305FC}" destId="{AC22CCF0-8B5F-4AC8-9FD4-CAC739E1D9C3}" srcOrd="1" destOrd="2" presId="urn:microsoft.com/office/officeart/2005/8/layout/hProcess4"/>
    <dgm:cxn modelId="{9FE99FBE-CB1C-45B5-83C0-FAAF7BCAC2B0}" type="presOf" srcId="{E69F8FCE-EDCB-4584-BD02-E969C062113E}" destId="{E4925E64-C936-4FF9-82A9-3A52F962BD7A}" srcOrd="0" destOrd="3" presId="urn:microsoft.com/office/officeart/2005/8/layout/hProcess4"/>
    <dgm:cxn modelId="{7F7DB775-C3F5-47B6-8666-DF82647D8997}" srcId="{0A2C0B2E-5FBC-4ACA-83D2-9CEAB91C8935}" destId="{E69F8FCE-EDCB-4584-BD02-E969C062113E}" srcOrd="3" destOrd="0" parTransId="{9582C2C8-5F6D-4873-9B74-12825F9B38EE}" sibTransId="{87A32E15-2FC8-49D3-B200-27F0DB33CA82}"/>
    <dgm:cxn modelId="{BEBAD268-9821-47E2-8FEB-DD14ECD15735}" srcId="{0A2C0B2E-5FBC-4ACA-83D2-9CEAB91C8935}" destId="{0E485186-1DB5-430E-A331-06568B0EDA85}" srcOrd="4" destOrd="0" parTransId="{157AAD04-6B2B-4B05-BCE2-6128BC7181DB}" sibTransId="{94936EEB-95A0-4F62-BF65-57EAC8862F49}"/>
    <dgm:cxn modelId="{27887C0D-55AA-463A-A6BE-A2DFB4AF5EE0}" type="presOf" srcId="{0AB4FF57-7CA7-4F4D-B3F8-FF0B47687D1A}" destId="{5B081102-F2E4-47DA-871E-092EF9ECCB52}" srcOrd="0" destOrd="3" presId="urn:microsoft.com/office/officeart/2005/8/layout/hProcess4"/>
    <dgm:cxn modelId="{A9D6F7A4-286F-465F-847B-2D1B403170E1}" type="presOf" srcId="{DD1BA137-8556-4AB4-BAF7-99A4EAB4B3E9}" destId="{FAF88896-0A67-4C26-BEB3-DCD7A89AB1AB}" srcOrd="1" destOrd="1" presId="urn:microsoft.com/office/officeart/2005/8/layout/hProcess4"/>
    <dgm:cxn modelId="{A161FB78-0C0F-47A3-94E0-1F1E2F9AD3A5}" type="presOf" srcId="{B7A87565-1A29-4517-9BEC-D8DE20900D9B}" destId="{AC22CCF0-8B5F-4AC8-9FD4-CAC739E1D9C3}" srcOrd="1" destOrd="0" presId="urn:microsoft.com/office/officeart/2005/8/layout/hProcess4"/>
    <dgm:cxn modelId="{348641D3-FAC5-4E87-8D5E-62B738BFDBD8}" srcId="{1A51A24E-9FBD-45FA-BB2D-29EA1C1A8194}" destId="{3E20AEE6-64D7-4331-B0F9-B76B79F61503}" srcOrd="3" destOrd="0" parTransId="{B93497F5-0C8E-41ED-AA30-9C5E0685C99A}" sibTransId="{7C1C13B9-43A3-435A-8EB6-12F09F974885}"/>
    <dgm:cxn modelId="{A3776FA8-237A-4F00-BE88-62FD10857DF7}" type="presParOf" srcId="{D167CCCD-4BF2-41EF-8D76-BA45BD5A5931}" destId="{18CFE467-7CAB-4554-8014-CC63806B1E54}" srcOrd="0" destOrd="0" presId="urn:microsoft.com/office/officeart/2005/8/layout/hProcess4"/>
    <dgm:cxn modelId="{35E22D39-F734-4D5C-8F8F-53061C677B55}" type="presParOf" srcId="{D167CCCD-4BF2-41EF-8D76-BA45BD5A5931}" destId="{6A8699E8-FEE7-4432-A7E6-02CA23514BFB}" srcOrd="1" destOrd="0" presId="urn:microsoft.com/office/officeart/2005/8/layout/hProcess4"/>
    <dgm:cxn modelId="{4E07583C-FC97-402C-974D-447CB37B1962}" type="presParOf" srcId="{D167CCCD-4BF2-41EF-8D76-BA45BD5A5931}" destId="{BEBEF6DB-2F6E-499A-8599-5004D0E6923B}" srcOrd="2" destOrd="0" presId="urn:microsoft.com/office/officeart/2005/8/layout/hProcess4"/>
    <dgm:cxn modelId="{BD4C9CD7-8ED4-4752-9CC8-62007376B476}" type="presParOf" srcId="{BEBEF6DB-2F6E-499A-8599-5004D0E6923B}" destId="{1485DE36-C4E7-4498-8EDB-31CFD3B93130}" srcOrd="0" destOrd="0" presId="urn:microsoft.com/office/officeart/2005/8/layout/hProcess4"/>
    <dgm:cxn modelId="{B92AA475-C29B-4B23-A61D-A61AD39CC97B}" type="presParOf" srcId="{1485DE36-C4E7-4498-8EDB-31CFD3B93130}" destId="{CA3152D0-D1A7-4FE4-A27E-8F3845B6C2B3}" srcOrd="0" destOrd="0" presId="urn:microsoft.com/office/officeart/2005/8/layout/hProcess4"/>
    <dgm:cxn modelId="{71B75254-0A44-41AB-A6E3-EB8DFF40B9BF}" type="presParOf" srcId="{1485DE36-C4E7-4498-8EDB-31CFD3B93130}" destId="{5B081102-F2E4-47DA-871E-092EF9ECCB52}" srcOrd="1" destOrd="0" presId="urn:microsoft.com/office/officeart/2005/8/layout/hProcess4"/>
    <dgm:cxn modelId="{BF329620-B906-43A9-A6F2-606121A4C36E}" type="presParOf" srcId="{1485DE36-C4E7-4498-8EDB-31CFD3B93130}" destId="{FAF88896-0A67-4C26-BEB3-DCD7A89AB1AB}" srcOrd="2" destOrd="0" presId="urn:microsoft.com/office/officeart/2005/8/layout/hProcess4"/>
    <dgm:cxn modelId="{E8123F53-9899-4B64-B083-DED99207448A}" type="presParOf" srcId="{1485DE36-C4E7-4498-8EDB-31CFD3B93130}" destId="{B70A81FF-80BB-49AD-AC9F-095917FF1203}" srcOrd="3" destOrd="0" presId="urn:microsoft.com/office/officeart/2005/8/layout/hProcess4"/>
    <dgm:cxn modelId="{5103D053-8F70-471B-876F-82526966D6FC}" type="presParOf" srcId="{1485DE36-C4E7-4498-8EDB-31CFD3B93130}" destId="{2736E927-832C-45BB-BEEE-DC704C154F88}" srcOrd="4" destOrd="0" presId="urn:microsoft.com/office/officeart/2005/8/layout/hProcess4"/>
    <dgm:cxn modelId="{11FCABA8-501D-4D38-AFDB-B7C9E2878233}" type="presParOf" srcId="{BEBEF6DB-2F6E-499A-8599-5004D0E6923B}" destId="{6561B858-3189-4D82-9748-63A729933EDB}" srcOrd="1" destOrd="0" presId="urn:microsoft.com/office/officeart/2005/8/layout/hProcess4"/>
    <dgm:cxn modelId="{C4D48DC2-8F42-4179-A897-F6D6FBB37F40}" type="presParOf" srcId="{BEBEF6DB-2F6E-499A-8599-5004D0E6923B}" destId="{BA8B41AE-547D-4EFF-A07D-F33BC9EA7E9B}" srcOrd="2" destOrd="0" presId="urn:microsoft.com/office/officeart/2005/8/layout/hProcess4"/>
    <dgm:cxn modelId="{0AC3EDD1-4966-43DD-811F-F9E1F8BB3B5D}" type="presParOf" srcId="{BA8B41AE-547D-4EFF-A07D-F33BC9EA7E9B}" destId="{C8CCF6FF-7E83-43AB-8937-A9F91D63D004}" srcOrd="0" destOrd="0" presId="urn:microsoft.com/office/officeart/2005/8/layout/hProcess4"/>
    <dgm:cxn modelId="{5AC5EDD3-6885-4AD4-822E-A610AF954284}" type="presParOf" srcId="{BA8B41AE-547D-4EFF-A07D-F33BC9EA7E9B}" destId="{1A39788A-07AC-4F98-9AC0-FB8ED1B2C416}" srcOrd="1" destOrd="0" presId="urn:microsoft.com/office/officeart/2005/8/layout/hProcess4"/>
    <dgm:cxn modelId="{94B954CC-794F-47E5-A447-3FDD39AEBC29}" type="presParOf" srcId="{BA8B41AE-547D-4EFF-A07D-F33BC9EA7E9B}" destId="{AC22CCF0-8B5F-4AC8-9FD4-CAC739E1D9C3}" srcOrd="2" destOrd="0" presId="urn:microsoft.com/office/officeart/2005/8/layout/hProcess4"/>
    <dgm:cxn modelId="{14CB4803-2D7D-41E6-A83E-A4B7F13AF565}" type="presParOf" srcId="{BA8B41AE-547D-4EFF-A07D-F33BC9EA7E9B}" destId="{8A4B9483-D250-4256-886C-EF5E0347894C}" srcOrd="3" destOrd="0" presId="urn:microsoft.com/office/officeart/2005/8/layout/hProcess4"/>
    <dgm:cxn modelId="{229312F7-EFAA-45CB-A7ED-869113427EA5}" type="presParOf" srcId="{BA8B41AE-547D-4EFF-A07D-F33BC9EA7E9B}" destId="{18C2AD8C-0D3B-44FB-857C-2E9F0D777DD1}" srcOrd="4" destOrd="0" presId="urn:microsoft.com/office/officeart/2005/8/layout/hProcess4"/>
    <dgm:cxn modelId="{25B5777C-D324-4E7B-92BA-0BF45BE02BEA}" type="presParOf" srcId="{BEBEF6DB-2F6E-499A-8599-5004D0E6923B}" destId="{811A85C0-0DB2-47A2-89C4-03DDD382DEC1}" srcOrd="3" destOrd="0" presId="urn:microsoft.com/office/officeart/2005/8/layout/hProcess4"/>
    <dgm:cxn modelId="{5D4A8ED2-2418-4905-B83F-696BEBF0915B}" type="presParOf" srcId="{BEBEF6DB-2F6E-499A-8599-5004D0E6923B}" destId="{16A9A5E6-F6D7-4968-82D3-7CDB6D40B9A1}" srcOrd="4" destOrd="0" presId="urn:microsoft.com/office/officeart/2005/8/layout/hProcess4"/>
    <dgm:cxn modelId="{ED557144-EB84-4BC6-BA66-E19A4856DF9C}" type="presParOf" srcId="{16A9A5E6-F6D7-4968-82D3-7CDB6D40B9A1}" destId="{A331E9A2-33BF-4AA0-8100-CD615E84838A}" srcOrd="0" destOrd="0" presId="urn:microsoft.com/office/officeart/2005/8/layout/hProcess4"/>
    <dgm:cxn modelId="{DFBE6169-DDE9-45A3-A6BD-940A04DF70CF}" type="presParOf" srcId="{16A9A5E6-F6D7-4968-82D3-7CDB6D40B9A1}" destId="{E4925E64-C936-4FF9-82A9-3A52F962BD7A}" srcOrd="1" destOrd="0" presId="urn:microsoft.com/office/officeart/2005/8/layout/hProcess4"/>
    <dgm:cxn modelId="{330E57BE-EF02-4E84-95E1-A4C9BC3EB54F}" type="presParOf" srcId="{16A9A5E6-F6D7-4968-82D3-7CDB6D40B9A1}" destId="{0157789B-7CAD-4494-BD68-A6E2587B960B}" srcOrd="2" destOrd="0" presId="urn:microsoft.com/office/officeart/2005/8/layout/hProcess4"/>
    <dgm:cxn modelId="{4FF8506C-1339-4233-8BD0-A2A9828F1CDC}" type="presParOf" srcId="{16A9A5E6-F6D7-4968-82D3-7CDB6D40B9A1}" destId="{9315AEFD-B820-421E-80AB-4ECD261DCF6D}" srcOrd="3" destOrd="0" presId="urn:microsoft.com/office/officeart/2005/8/layout/hProcess4"/>
    <dgm:cxn modelId="{0524A76F-5CD7-402B-BC98-737C3E9A55E1}" type="presParOf" srcId="{16A9A5E6-F6D7-4968-82D3-7CDB6D40B9A1}" destId="{C57939D0-69A1-4C23-8354-6268AD7D1AF2}" srcOrd="4" destOrd="0" presId="urn:microsoft.com/office/officeart/2005/8/layout/hProcess4"/>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ACE8C0A-05A9-401D-96AD-44D673424EC8}" type="doc">
      <dgm:prSet loTypeId="urn:microsoft.com/office/officeart/2005/8/layout/radial3" loCatId="relationship" qsTypeId="urn:microsoft.com/office/officeart/2005/8/quickstyle/simple1" qsCatId="simple" csTypeId="urn:microsoft.com/office/officeart/2005/8/colors/colorful1" csCatId="colorful" phldr="1"/>
      <dgm:spPr/>
      <dgm:t>
        <a:bodyPr/>
        <a:lstStyle/>
        <a:p>
          <a:endParaRPr lang="en-US"/>
        </a:p>
      </dgm:t>
    </dgm:pt>
    <dgm:pt modelId="{DD12E450-F768-4B85-88F9-5AC5294AB05A}">
      <dgm:prSet phldrT="[Text]"/>
      <dgm:spPr/>
      <dgm:t>
        <a:bodyPr/>
        <a:lstStyle/>
        <a:p>
          <a:r>
            <a:rPr lang="en-US" dirty="0"/>
            <a:t>Distributed Leadership</a:t>
          </a:r>
        </a:p>
      </dgm:t>
    </dgm:pt>
    <dgm:pt modelId="{B46E82E6-E2E1-4AF9-9DD4-7E6E16191653}" type="parTrans" cxnId="{07FBBD6A-6AD4-486F-BF72-EFF07FCD7221}">
      <dgm:prSet/>
      <dgm:spPr/>
      <dgm:t>
        <a:bodyPr/>
        <a:lstStyle/>
        <a:p>
          <a:endParaRPr lang="en-US"/>
        </a:p>
      </dgm:t>
    </dgm:pt>
    <dgm:pt modelId="{EDB95E1F-93B2-4BF1-93C3-A2CF5424F4B7}" type="sibTrans" cxnId="{07FBBD6A-6AD4-486F-BF72-EFF07FCD7221}">
      <dgm:prSet/>
      <dgm:spPr/>
      <dgm:t>
        <a:bodyPr/>
        <a:lstStyle/>
        <a:p>
          <a:endParaRPr lang="en-US"/>
        </a:p>
      </dgm:t>
    </dgm:pt>
    <dgm:pt modelId="{BD9D6C74-4364-4B82-810E-C967F55F9DE1}">
      <dgm:prSet phldrT="[Text]"/>
      <dgm:spPr/>
      <dgm:t>
        <a:bodyPr/>
        <a:lstStyle/>
        <a:p>
          <a:r>
            <a:rPr lang="en-US" dirty="0"/>
            <a:t>Shared Leadership</a:t>
          </a:r>
        </a:p>
      </dgm:t>
    </dgm:pt>
    <dgm:pt modelId="{26E7B83D-4B0D-46E0-9B1D-E6688F96074E}" type="parTrans" cxnId="{49E8A8DD-D1F5-482E-936D-9A3480347C14}">
      <dgm:prSet/>
      <dgm:spPr/>
      <dgm:t>
        <a:bodyPr/>
        <a:lstStyle/>
        <a:p>
          <a:endParaRPr lang="en-US"/>
        </a:p>
      </dgm:t>
    </dgm:pt>
    <dgm:pt modelId="{A6161782-4BE4-4D14-88D5-C4F40B58EA49}" type="sibTrans" cxnId="{49E8A8DD-D1F5-482E-936D-9A3480347C14}">
      <dgm:prSet/>
      <dgm:spPr/>
      <dgm:t>
        <a:bodyPr/>
        <a:lstStyle/>
        <a:p>
          <a:endParaRPr lang="en-US"/>
        </a:p>
      </dgm:t>
    </dgm:pt>
    <dgm:pt modelId="{7207DEDD-D617-41A7-88F7-384EFB6AF0DA}">
      <dgm:prSet phldrT="[Text]"/>
      <dgm:spPr/>
      <dgm:t>
        <a:bodyPr/>
        <a:lstStyle/>
        <a:p>
          <a:r>
            <a:rPr lang="en-US" dirty="0"/>
            <a:t>Collaborative Decision-making</a:t>
          </a:r>
        </a:p>
      </dgm:t>
    </dgm:pt>
    <dgm:pt modelId="{514C6B75-9E54-4C27-9D95-D53F4D4BACDB}" type="parTrans" cxnId="{4855796B-6365-483D-8E0A-050694590990}">
      <dgm:prSet/>
      <dgm:spPr/>
      <dgm:t>
        <a:bodyPr/>
        <a:lstStyle/>
        <a:p>
          <a:endParaRPr lang="en-US"/>
        </a:p>
      </dgm:t>
    </dgm:pt>
    <dgm:pt modelId="{0630EE33-FDBF-40C2-859B-68C57AC4094D}" type="sibTrans" cxnId="{4855796B-6365-483D-8E0A-050694590990}">
      <dgm:prSet/>
      <dgm:spPr/>
      <dgm:t>
        <a:bodyPr/>
        <a:lstStyle/>
        <a:p>
          <a:endParaRPr lang="en-US"/>
        </a:p>
      </dgm:t>
    </dgm:pt>
    <dgm:pt modelId="{B87D85A6-6CD8-4560-97E8-EF3F697F22E6}">
      <dgm:prSet phldrT="[Text]"/>
      <dgm:spPr/>
      <dgm:t>
        <a:bodyPr/>
        <a:lstStyle/>
        <a:p>
          <a:r>
            <a:rPr lang="en-US" dirty="0"/>
            <a:t>Collective Action</a:t>
          </a:r>
        </a:p>
      </dgm:t>
    </dgm:pt>
    <dgm:pt modelId="{06A121F1-E128-4E1E-AEDA-6A057DF01B93}" type="parTrans" cxnId="{8CD5633E-EA86-4BD1-9FC8-D9A572128557}">
      <dgm:prSet/>
      <dgm:spPr/>
      <dgm:t>
        <a:bodyPr/>
        <a:lstStyle/>
        <a:p>
          <a:endParaRPr lang="en-US"/>
        </a:p>
      </dgm:t>
    </dgm:pt>
    <dgm:pt modelId="{9D892CF4-E32B-4989-A53C-05018815CDE1}" type="sibTrans" cxnId="{8CD5633E-EA86-4BD1-9FC8-D9A572128557}">
      <dgm:prSet/>
      <dgm:spPr/>
      <dgm:t>
        <a:bodyPr/>
        <a:lstStyle/>
        <a:p>
          <a:endParaRPr lang="en-US"/>
        </a:p>
      </dgm:t>
    </dgm:pt>
    <dgm:pt modelId="{15FFDBF4-3E1C-4C0C-8AA8-2340A2BB39D3}" type="pres">
      <dgm:prSet presAssocID="{9ACE8C0A-05A9-401D-96AD-44D673424EC8}" presName="composite" presStyleCnt="0">
        <dgm:presLayoutVars>
          <dgm:chMax val="1"/>
          <dgm:dir/>
          <dgm:resizeHandles val="exact"/>
        </dgm:presLayoutVars>
      </dgm:prSet>
      <dgm:spPr/>
      <dgm:t>
        <a:bodyPr/>
        <a:lstStyle/>
        <a:p>
          <a:endParaRPr lang="en-US"/>
        </a:p>
      </dgm:t>
    </dgm:pt>
    <dgm:pt modelId="{4C200059-62FE-4BC5-BC88-618B5B8FF726}" type="pres">
      <dgm:prSet presAssocID="{9ACE8C0A-05A9-401D-96AD-44D673424EC8}" presName="radial" presStyleCnt="0">
        <dgm:presLayoutVars>
          <dgm:animLvl val="ctr"/>
        </dgm:presLayoutVars>
      </dgm:prSet>
      <dgm:spPr/>
    </dgm:pt>
    <dgm:pt modelId="{8BF14F64-1322-4464-B131-FBB11A72884E}" type="pres">
      <dgm:prSet presAssocID="{DD12E450-F768-4B85-88F9-5AC5294AB05A}" presName="centerShape" presStyleLbl="vennNode1" presStyleIdx="0" presStyleCnt="4"/>
      <dgm:spPr/>
      <dgm:t>
        <a:bodyPr/>
        <a:lstStyle/>
        <a:p>
          <a:endParaRPr lang="en-US"/>
        </a:p>
      </dgm:t>
    </dgm:pt>
    <dgm:pt modelId="{DF268B64-A0D9-4C73-9782-F3B7ED1A53EF}" type="pres">
      <dgm:prSet presAssocID="{BD9D6C74-4364-4B82-810E-C967F55F9DE1}" presName="node" presStyleLbl="vennNode1" presStyleIdx="1" presStyleCnt="4">
        <dgm:presLayoutVars>
          <dgm:bulletEnabled val="1"/>
        </dgm:presLayoutVars>
      </dgm:prSet>
      <dgm:spPr/>
      <dgm:t>
        <a:bodyPr/>
        <a:lstStyle/>
        <a:p>
          <a:endParaRPr lang="en-US"/>
        </a:p>
      </dgm:t>
    </dgm:pt>
    <dgm:pt modelId="{9359CA57-E71F-4086-AF37-BD45457499EB}" type="pres">
      <dgm:prSet presAssocID="{7207DEDD-D617-41A7-88F7-384EFB6AF0DA}" presName="node" presStyleLbl="vennNode1" presStyleIdx="2" presStyleCnt="4">
        <dgm:presLayoutVars>
          <dgm:bulletEnabled val="1"/>
        </dgm:presLayoutVars>
      </dgm:prSet>
      <dgm:spPr/>
      <dgm:t>
        <a:bodyPr/>
        <a:lstStyle/>
        <a:p>
          <a:endParaRPr lang="en-US"/>
        </a:p>
      </dgm:t>
    </dgm:pt>
    <dgm:pt modelId="{6960A7DB-2F05-4A8B-92BA-BB544902E16B}" type="pres">
      <dgm:prSet presAssocID="{B87D85A6-6CD8-4560-97E8-EF3F697F22E6}" presName="node" presStyleLbl="vennNode1" presStyleIdx="3" presStyleCnt="4">
        <dgm:presLayoutVars>
          <dgm:bulletEnabled val="1"/>
        </dgm:presLayoutVars>
      </dgm:prSet>
      <dgm:spPr/>
      <dgm:t>
        <a:bodyPr/>
        <a:lstStyle/>
        <a:p>
          <a:endParaRPr lang="en-US"/>
        </a:p>
      </dgm:t>
    </dgm:pt>
  </dgm:ptLst>
  <dgm:cxnLst>
    <dgm:cxn modelId="{49E8A8DD-D1F5-482E-936D-9A3480347C14}" srcId="{DD12E450-F768-4B85-88F9-5AC5294AB05A}" destId="{BD9D6C74-4364-4B82-810E-C967F55F9DE1}" srcOrd="0" destOrd="0" parTransId="{26E7B83D-4B0D-46E0-9B1D-E6688F96074E}" sibTransId="{A6161782-4BE4-4D14-88D5-C4F40B58EA49}"/>
    <dgm:cxn modelId="{BE1A3DB0-EE49-46ED-A344-78B05F31B644}" type="presOf" srcId="{DD12E450-F768-4B85-88F9-5AC5294AB05A}" destId="{8BF14F64-1322-4464-B131-FBB11A72884E}" srcOrd="0" destOrd="0" presId="urn:microsoft.com/office/officeart/2005/8/layout/radial3"/>
    <dgm:cxn modelId="{8CD5633E-EA86-4BD1-9FC8-D9A572128557}" srcId="{DD12E450-F768-4B85-88F9-5AC5294AB05A}" destId="{B87D85A6-6CD8-4560-97E8-EF3F697F22E6}" srcOrd="2" destOrd="0" parTransId="{06A121F1-E128-4E1E-AEDA-6A057DF01B93}" sibTransId="{9D892CF4-E32B-4989-A53C-05018815CDE1}"/>
    <dgm:cxn modelId="{65BF7595-2085-4752-9249-17C595ED1CD0}" type="presOf" srcId="{BD9D6C74-4364-4B82-810E-C967F55F9DE1}" destId="{DF268B64-A0D9-4C73-9782-F3B7ED1A53EF}" srcOrd="0" destOrd="0" presId="urn:microsoft.com/office/officeart/2005/8/layout/radial3"/>
    <dgm:cxn modelId="{07FBBD6A-6AD4-486F-BF72-EFF07FCD7221}" srcId="{9ACE8C0A-05A9-401D-96AD-44D673424EC8}" destId="{DD12E450-F768-4B85-88F9-5AC5294AB05A}" srcOrd="0" destOrd="0" parTransId="{B46E82E6-E2E1-4AF9-9DD4-7E6E16191653}" sibTransId="{EDB95E1F-93B2-4BF1-93C3-A2CF5424F4B7}"/>
    <dgm:cxn modelId="{9DEDAC2D-7340-49AF-ACD5-4C6C26145713}" type="presOf" srcId="{B87D85A6-6CD8-4560-97E8-EF3F697F22E6}" destId="{6960A7DB-2F05-4A8B-92BA-BB544902E16B}" srcOrd="0" destOrd="0" presId="urn:microsoft.com/office/officeart/2005/8/layout/radial3"/>
    <dgm:cxn modelId="{4855796B-6365-483D-8E0A-050694590990}" srcId="{DD12E450-F768-4B85-88F9-5AC5294AB05A}" destId="{7207DEDD-D617-41A7-88F7-384EFB6AF0DA}" srcOrd="1" destOrd="0" parTransId="{514C6B75-9E54-4C27-9D95-D53F4D4BACDB}" sibTransId="{0630EE33-FDBF-40C2-859B-68C57AC4094D}"/>
    <dgm:cxn modelId="{03797A2C-82DB-46B3-801D-A4A777158D2F}" type="presOf" srcId="{7207DEDD-D617-41A7-88F7-384EFB6AF0DA}" destId="{9359CA57-E71F-4086-AF37-BD45457499EB}" srcOrd="0" destOrd="0" presId="urn:microsoft.com/office/officeart/2005/8/layout/radial3"/>
    <dgm:cxn modelId="{347E8B28-13A6-43B3-9556-EC5928D6C70F}" type="presOf" srcId="{9ACE8C0A-05A9-401D-96AD-44D673424EC8}" destId="{15FFDBF4-3E1C-4C0C-8AA8-2340A2BB39D3}" srcOrd="0" destOrd="0" presId="urn:microsoft.com/office/officeart/2005/8/layout/radial3"/>
    <dgm:cxn modelId="{3B4DD3C1-EAF3-4904-9E11-C75FD5C8D723}" type="presParOf" srcId="{15FFDBF4-3E1C-4C0C-8AA8-2340A2BB39D3}" destId="{4C200059-62FE-4BC5-BC88-618B5B8FF726}" srcOrd="0" destOrd="0" presId="urn:microsoft.com/office/officeart/2005/8/layout/radial3"/>
    <dgm:cxn modelId="{292E21E0-5CBF-42E6-A702-5F1EBB019187}" type="presParOf" srcId="{4C200059-62FE-4BC5-BC88-618B5B8FF726}" destId="{8BF14F64-1322-4464-B131-FBB11A72884E}" srcOrd="0" destOrd="0" presId="urn:microsoft.com/office/officeart/2005/8/layout/radial3"/>
    <dgm:cxn modelId="{36F944F6-A8FE-4584-9E93-0A686293635F}" type="presParOf" srcId="{4C200059-62FE-4BC5-BC88-618B5B8FF726}" destId="{DF268B64-A0D9-4C73-9782-F3B7ED1A53EF}" srcOrd="1" destOrd="0" presId="urn:microsoft.com/office/officeart/2005/8/layout/radial3"/>
    <dgm:cxn modelId="{09C02AD5-FE4D-4A32-B233-AC3DE6707D57}" type="presParOf" srcId="{4C200059-62FE-4BC5-BC88-618B5B8FF726}" destId="{9359CA57-E71F-4086-AF37-BD45457499EB}" srcOrd="2" destOrd="0" presId="urn:microsoft.com/office/officeart/2005/8/layout/radial3"/>
    <dgm:cxn modelId="{94A4832A-9A21-4224-A571-4A67B5754863}" type="presParOf" srcId="{4C200059-62FE-4BC5-BC88-618B5B8FF726}" destId="{6960A7DB-2F05-4A8B-92BA-BB544902E16B}" srcOrd="3" destOrd="0" presId="urn:microsoft.com/office/officeart/2005/8/layout/radial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081102-F2E4-47DA-871E-092EF9ECCB52}">
      <dsp:nvSpPr>
        <dsp:cNvPr id="0" name=""/>
        <dsp:cNvSpPr/>
      </dsp:nvSpPr>
      <dsp:spPr>
        <a:xfrm>
          <a:off x="64049" y="521002"/>
          <a:ext cx="1598237" cy="20770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t" anchorCtr="0">
          <a:noAutofit/>
        </a:bodyPr>
        <a:lstStyle/>
        <a:p>
          <a:pPr marL="57150" lvl="1" indent="-57150" algn="l" defTabSz="355600">
            <a:lnSpc>
              <a:spcPct val="90000"/>
            </a:lnSpc>
            <a:spcBef>
              <a:spcPct val="0"/>
            </a:spcBef>
            <a:spcAft>
              <a:spcPct val="15000"/>
            </a:spcAft>
            <a:buChar char="••"/>
          </a:pPr>
          <a:r>
            <a:rPr lang="en-GB" sz="800" kern="1200" dirty="0"/>
            <a:t>Digital platform infrastructure (e.g. secure app or online portal)</a:t>
          </a:r>
          <a:endParaRPr lang="en-US" sz="800" kern="1200" dirty="0"/>
        </a:p>
        <a:p>
          <a:pPr marL="57150" lvl="1" indent="-57150" algn="l" defTabSz="355600">
            <a:lnSpc>
              <a:spcPct val="90000"/>
            </a:lnSpc>
            <a:spcBef>
              <a:spcPct val="0"/>
            </a:spcBef>
            <a:spcAft>
              <a:spcPct val="15000"/>
            </a:spcAft>
            <a:buChar char="••"/>
          </a:pPr>
          <a:r>
            <a:rPr lang="en-GB" sz="800" kern="1200"/>
            <a:t>Integration with existing electronic health record systems</a:t>
          </a:r>
        </a:p>
        <a:p>
          <a:pPr marL="57150" lvl="1" indent="-57150" algn="l" defTabSz="355600">
            <a:lnSpc>
              <a:spcPct val="90000"/>
            </a:lnSpc>
            <a:spcBef>
              <a:spcPct val="0"/>
            </a:spcBef>
            <a:spcAft>
              <a:spcPct val="15000"/>
            </a:spcAft>
            <a:buChar char="••"/>
          </a:pPr>
          <a:r>
            <a:rPr lang="en-GB" sz="800" kern="1200" dirty="0"/>
            <a:t>Training of healthcare staff and IT support</a:t>
          </a:r>
        </a:p>
        <a:p>
          <a:pPr marL="57150" lvl="1" indent="-57150" algn="l" defTabSz="355600">
            <a:lnSpc>
              <a:spcPct val="90000"/>
            </a:lnSpc>
            <a:spcBef>
              <a:spcPct val="0"/>
            </a:spcBef>
            <a:spcAft>
              <a:spcPct val="15000"/>
            </a:spcAft>
            <a:buChar char="••"/>
          </a:pPr>
          <a:r>
            <a:rPr lang="en-GB" sz="800" kern="1200"/>
            <a:t>Data protection policies and cybersecurity measures</a:t>
          </a:r>
        </a:p>
        <a:p>
          <a:pPr marL="57150" lvl="1" indent="-57150" algn="l" defTabSz="355600">
            <a:lnSpc>
              <a:spcPct val="90000"/>
            </a:lnSpc>
            <a:spcBef>
              <a:spcPct val="0"/>
            </a:spcBef>
            <a:spcAft>
              <a:spcPct val="15000"/>
            </a:spcAft>
            <a:buChar char="••"/>
          </a:pPr>
          <a:r>
            <a:rPr lang="en-GB" sz="800" kern="1200" dirty="0"/>
            <a:t>Funding and support from institutions such as Welsh Assembly Government (WAG), Public Health Wales (PHW), British Association of Sexual Health &amp; HIV (BASHH).</a:t>
          </a:r>
        </a:p>
      </dsp:txBody>
      <dsp:txXfrm>
        <a:off x="110860" y="567813"/>
        <a:ext cx="1504615" cy="1538348"/>
      </dsp:txXfrm>
    </dsp:sp>
    <dsp:sp modelId="{6561B858-3189-4D82-9748-63A729933EDB}">
      <dsp:nvSpPr>
        <dsp:cNvPr id="0" name=""/>
        <dsp:cNvSpPr/>
      </dsp:nvSpPr>
      <dsp:spPr>
        <a:xfrm>
          <a:off x="1000982" y="1889350"/>
          <a:ext cx="1622386" cy="1622386"/>
        </a:xfrm>
        <a:prstGeom prst="leftCircularArrow">
          <a:avLst>
            <a:gd name="adj1" fmla="val 2612"/>
            <a:gd name="adj2" fmla="val 317355"/>
            <a:gd name="adj3" fmla="val 2482199"/>
            <a:gd name="adj4" fmla="val 9413823"/>
            <a:gd name="adj5" fmla="val 304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70A81FF-80BB-49AD-AC9F-095917FF1203}">
      <dsp:nvSpPr>
        <dsp:cNvPr id="0" name=""/>
        <dsp:cNvSpPr/>
      </dsp:nvSpPr>
      <dsp:spPr>
        <a:xfrm>
          <a:off x="355411" y="2287029"/>
          <a:ext cx="1420655" cy="564947"/>
        </a:xfrm>
        <a:prstGeom prst="roundRect">
          <a:avLst>
            <a:gd name="adj" fmla="val 10000"/>
          </a:avLst>
        </a:prstGeom>
        <a:solidFill>
          <a:srgbClr val="C46CC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lvl="0" algn="ctr" defTabSz="1155700">
            <a:lnSpc>
              <a:spcPct val="90000"/>
            </a:lnSpc>
            <a:spcBef>
              <a:spcPct val="0"/>
            </a:spcBef>
            <a:spcAft>
              <a:spcPct val="35000"/>
            </a:spcAft>
          </a:pPr>
          <a:r>
            <a:rPr lang="en-US" sz="2600" kern="1200" dirty="0"/>
            <a:t>Structure</a:t>
          </a:r>
        </a:p>
      </dsp:txBody>
      <dsp:txXfrm>
        <a:off x="371958" y="2303576"/>
        <a:ext cx="1387561" cy="531853"/>
      </dsp:txXfrm>
    </dsp:sp>
    <dsp:sp modelId="{1A39788A-07AC-4F98-9AC0-FB8ED1B2C416}">
      <dsp:nvSpPr>
        <dsp:cNvPr id="0" name=""/>
        <dsp:cNvSpPr/>
      </dsp:nvSpPr>
      <dsp:spPr>
        <a:xfrm>
          <a:off x="1935316" y="1182393"/>
          <a:ext cx="1598237" cy="175065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t" anchorCtr="0">
          <a:noAutofit/>
        </a:bodyPr>
        <a:lstStyle/>
        <a:p>
          <a:pPr marL="57150" lvl="1" indent="-57150" algn="l" defTabSz="355600">
            <a:lnSpc>
              <a:spcPct val="90000"/>
            </a:lnSpc>
            <a:spcBef>
              <a:spcPct val="0"/>
            </a:spcBef>
            <a:spcAft>
              <a:spcPct val="15000"/>
            </a:spcAft>
            <a:buChar char="••"/>
          </a:pPr>
          <a:r>
            <a:rPr lang="en-GB" sz="800" kern="1200" dirty="0"/>
            <a:t>Recording and updating vaccination data digitally</a:t>
          </a:r>
          <a:endParaRPr lang="en-US" sz="800" kern="1200" dirty="0"/>
        </a:p>
        <a:p>
          <a:pPr marL="57150" lvl="1" indent="-57150" algn="l" defTabSz="355600">
            <a:lnSpc>
              <a:spcPct val="90000"/>
            </a:lnSpc>
            <a:spcBef>
              <a:spcPct val="0"/>
            </a:spcBef>
            <a:spcAft>
              <a:spcPct val="15000"/>
            </a:spcAft>
            <a:buChar char="••"/>
          </a:pPr>
          <a:r>
            <a:rPr lang="en-GB" sz="800" kern="1200"/>
            <a:t>Patients accessing their vaccination history online</a:t>
          </a:r>
        </a:p>
        <a:p>
          <a:pPr marL="57150" lvl="1" indent="-57150" algn="l" defTabSz="355600">
            <a:lnSpc>
              <a:spcPct val="90000"/>
            </a:lnSpc>
            <a:spcBef>
              <a:spcPct val="0"/>
            </a:spcBef>
            <a:spcAft>
              <a:spcPct val="15000"/>
            </a:spcAft>
            <a:buChar char="••"/>
          </a:pPr>
          <a:r>
            <a:rPr lang="en-GB" sz="800" kern="1200"/>
            <a:t>Automated reminders for due or missed vaccines</a:t>
          </a:r>
        </a:p>
        <a:p>
          <a:pPr marL="57150" lvl="1" indent="-57150" algn="l" defTabSz="355600">
            <a:lnSpc>
              <a:spcPct val="90000"/>
            </a:lnSpc>
            <a:spcBef>
              <a:spcPct val="0"/>
            </a:spcBef>
            <a:spcAft>
              <a:spcPct val="15000"/>
            </a:spcAft>
            <a:buChar char="••"/>
          </a:pPr>
          <a:r>
            <a:rPr lang="en-GB" sz="800" kern="1200"/>
            <a:t>Healthcare providers using digital data to guide care</a:t>
          </a:r>
        </a:p>
        <a:p>
          <a:pPr marL="57150" lvl="1" indent="-57150" algn="l" defTabSz="355600">
            <a:lnSpc>
              <a:spcPct val="90000"/>
            </a:lnSpc>
            <a:spcBef>
              <a:spcPct val="0"/>
            </a:spcBef>
            <a:spcAft>
              <a:spcPct val="15000"/>
            </a:spcAft>
            <a:buChar char="••"/>
          </a:pPr>
          <a:r>
            <a:rPr lang="en-GB" sz="800" kern="1200" dirty="0"/>
            <a:t>Communication and consent processes managed through the platform.</a:t>
          </a:r>
        </a:p>
      </dsp:txBody>
      <dsp:txXfrm>
        <a:off x="1975603" y="1597819"/>
        <a:ext cx="1517663" cy="1294937"/>
      </dsp:txXfrm>
    </dsp:sp>
    <dsp:sp modelId="{811A85C0-0DB2-47A2-89C4-03DDD382DEC1}">
      <dsp:nvSpPr>
        <dsp:cNvPr id="0" name=""/>
        <dsp:cNvSpPr/>
      </dsp:nvSpPr>
      <dsp:spPr>
        <a:xfrm>
          <a:off x="2882840" y="268450"/>
          <a:ext cx="1865714" cy="1865714"/>
        </a:xfrm>
        <a:prstGeom prst="circularArrow">
          <a:avLst>
            <a:gd name="adj1" fmla="val 2271"/>
            <a:gd name="adj2" fmla="val 273798"/>
            <a:gd name="adj3" fmla="val 19542053"/>
            <a:gd name="adj4" fmla="val 12566873"/>
            <a:gd name="adj5" fmla="val 265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A4B9483-D250-4256-886C-EF5E0347894C}">
      <dsp:nvSpPr>
        <dsp:cNvPr id="0" name=""/>
        <dsp:cNvSpPr/>
      </dsp:nvSpPr>
      <dsp:spPr>
        <a:xfrm>
          <a:off x="2333009" y="967273"/>
          <a:ext cx="1420655" cy="5649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lvl="0" algn="ctr" defTabSz="1155700">
            <a:lnSpc>
              <a:spcPct val="90000"/>
            </a:lnSpc>
            <a:spcBef>
              <a:spcPct val="0"/>
            </a:spcBef>
            <a:spcAft>
              <a:spcPct val="35000"/>
            </a:spcAft>
          </a:pPr>
          <a:r>
            <a:rPr lang="en-US" sz="2600" kern="1200" dirty="0"/>
            <a:t>Process</a:t>
          </a:r>
        </a:p>
      </dsp:txBody>
      <dsp:txXfrm>
        <a:off x="2349556" y="983820"/>
        <a:ext cx="1387561" cy="531853"/>
      </dsp:txXfrm>
    </dsp:sp>
    <dsp:sp modelId="{E4925E64-C936-4FF9-82A9-3A52F962BD7A}">
      <dsp:nvSpPr>
        <dsp:cNvPr id="0" name=""/>
        <dsp:cNvSpPr/>
      </dsp:nvSpPr>
      <dsp:spPr>
        <a:xfrm>
          <a:off x="3955442" y="871870"/>
          <a:ext cx="1598237" cy="207705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t" anchorCtr="0">
          <a:noAutofit/>
        </a:bodyPr>
        <a:lstStyle/>
        <a:p>
          <a:pPr marL="57150" lvl="1" indent="-57150" algn="l" defTabSz="355600">
            <a:lnSpc>
              <a:spcPct val="90000"/>
            </a:lnSpc>
            <a:spcBef>
              <a:spcPct val="0"/>
            </a:spcBef>
            <a:spcAft>
              <a:spcPct val="15000"/>
            </a:spcAft>
            <a:buChar char="••"/>
          </a:pPr>
          <a:r>
            <a:rPr lang="en-GB" sz="800" kern="1200" dirty="0"/>
            <a:t>Increased vaccine uptake </a:t>
          </a:r>
          <a:endParaRPr lang="en-US" sz="800" kern="1200" dirty="0"/>
        </a:p>
        <a:p>
          <a:pPr marL="57150" lvl="1" indent="-57150" algn="l" defTabSz="355600">
            <a:lnSpc>
              <a:spcPct val="90000"/>
            </a:lnSpc>
            <a:spcBef>
              <a:spcPct val="0"/>
            </a:spcBef>
            <a:spcAft>
              <a:spcPct val="15000"/>
            </a:spcAft>
            <a:buChar char="••"/>
          </a:pPr>
          <a:r>
            <a:rPr lang="en-GB" sz="800" kern="1200"/>
            <a:t>Improved accuracy and timeliness of vaccination records</a:t>
          </a:r>
        </a:p>
        <a:p>
          <a:pPr marL="57150" lvl="1" indent="-57150" algn="l" defTabSz="355600">
            <a:lnSpc>
              <a:spcPct val="90000"/>
            </a:lnSpc>
            <a:spcBef>
              <a:spcPct val="0"/>
            </a:spcBef>
            <a:spcAft>
              <a:spcPct val="15000"/>
            </a:spcAft>
            <a:buChar char="••"/>
          </a:pPr>
          <a:r>
            <a:rPr lang="en-GB" sz="800" kern="1200"/>
            <a:t>Enhanced patient engagement and self-management</a:t>
          </a:r>
        </a:p>
        <a:p>
          <a:pPr marL="57150" lvl="1" indent="-57150" algn="l" defTabSz="355600">
            <a:lnSpc>
              <a:spcPct val="90000"/>
            </a:lnSpc>
            <a:spcBef>
              <a:spcPct val="0"/>
            </a:spcBef>
            <a:spcAft>
              <a:spcPct val="15000"/>
            </a:spcAft>
            <a:buChar char="••"/>
          </a:pPr>
          <a:r>
            <a:rPr lang="en-GB" sz="800" kern="1200"/>
            <a:t>Strengthened data quality for public health monitoring</a:t>
          </a:r>
        </a:p>
        <a:p>
          <a:pPr marL="57150" lvl="1" indent="-57150" algn="l" defTabSz="355600">
            <a:lnSpc>
              <a:spcPct val="90000"/>
            </a:lnSpc>
            <a:spcBef>
              <a:spcPct val="0"/>
            </a:spcBef>
            <a:spcAft>
              <a:spcPct val="15000"/>
            </a:spcAft>
            <a:buChar char="••"/>
          </a:pPr>
          <a:r>
            <a:rPr lang="en-GB" sz="800" kern="1200" dirty="0"/>
            <a:t>Reduced administrative burden and missed opportunities for vaccination</a:t>
          </a:r>
        </a:p>
      </dsp:txBody>
      <dsp:txXfrm>
        <a:off x="4002253" y="918681"/>
        <a:ext cx="1504615" cy="1538348"/>
      </dsp:txXfrm>
    </dsp:sp>
    <dsp:sp modelId="{9315AEFD-B820-421E-80AB-4ECD261DCF6D}">
      <dsp:nvSpPr>
        <dsp:cNvPr id="0" name=""/>
        <dsp:cNvSpPr/>
      </dsp:nvSpPr>
      <dsp:spPr>
        <a:xfrm>
          <a:off x="4310606" y="2287029"/>
          <a:ext cx="1420655" cy="564947"/>
        </a:xfrm>
        <a:prstGeom prst="roundRect">
          <a:avLst>
            <a:gd name="adj" fmla="val 10000"/>
          </a:avLst>
        </a:prstGeom>
        <a:solidFill>
          <a:srgbClr val="D46A5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lvl="0" algn="ctr" defTabSz="1155700">
            <a:lnSpc>
              <a:spcPct val="90000"/>
            </a:lnSpc>
            <a:spcBef>
              <a:spcPct val="0"/>
            </a:spcBef>
            <a:spcAft>
              <a:spcPct val="35000"/>
            </a:spcAft>
          </a:pPr>
          <a:r>
            <a:rPr lang="en-US" sz="2600" kern="1200" dirty="0"/>
            <a:t>Outcome</a:t>
          </a:r>
        </a:p>
      </dsp:txBody>
      <dsp:txXfrm>
        <a:off x="4327153" y="2303576"/>
        <a:ext cx="1387561" cy="53185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F14F64-1322-4464-B131-FBB11A72884E}">
      <dsp:nvSpPr>
        <dsp:cNvPr id="0" name=""/>
        <dsp:cNvSpPr/>
      </dsp:nvSpPr>
      <dsp:spPr>
        <a:xfrm>
          <a:off x="566813" y="635828"/>
          <a:ext cx="1333983" cy="1333983"/>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lvl="0" algn="ctr" defTabSz="666750">
            <a:lnSpc>
              <a:spcPct val="90000"/>
            </a:lnSpc>
            <a:spcBef>
              <a:spcPct val="0"/>
            </a:spcBef>
            <a:spcAft>
              <a:spcPct val="35000"/>
            </a:spcAft>
          </a:pPr>
          <a:r>
            <a:rPr lang="en-US" sz="1500" kern="1200" dirty="0"/>
            <a:t>Distributed Leadership</a:t>
          </a:r>
        </a:p>
      </dsp:txBody>
      <dsp:txXfrm>
        <a:off x="762170" y="831185"/>
        <a:ext cx="943269" cy="943269"/>
      </dsp:txXfrm>
    </dsp:sp>
    <dsp:sp modelId="{DF268B64-A0D9-4C73-9782-F3B7ED1A53EF}">
      <dsp:nvSpPr>
        <dsp:cNvPr id="0" name=""/>
        <dsp:cNvSpPr/>
      </dsp:nvSpPr>
      <dsp:spPr>
        <a:xfrm>
          <a:off x="900309" y="101443"/>
          <a:ext cx="666991" cy="666991"/>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dirty="0"/>
            <a:t>Shared Leadership</a:t>
          </a:r>
        </a:p>
      </dsp:txBody>
      <dsp:txXfrm>
        <a:off x="997988" y="199122"/>
        <a:ext cx="471633" cy="471633"/>
      </dsp:txXfrm>
    </dsp:sp>
    <dsp:sp modelId="{9359CA57-E71F-4086-AF37-BD45457499EB}">
      <dsp:nvSpPr>
        <dsp:cNvPr id="0" name=""/>
        <dsp:cNvSpPr/>
      </dsp:nvSpPr>
      <dsp:spPr>
        <a:xfrm>
          <a:off x="1651916" y="1403264"/>
          <a:ext cx="666991" cy="666991"/>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dirty="0"/>
            <a:t>Collaborative Decision-making</a:t>
          </a:r>
        </a:p>
      </dsp:txBody>
      <dsp:txXfrm>
        <a:off x="1749595" y="1500943"/>
        <a:ext cx="471633" cy="471633"/>
      </dsp:txXfrm>
    </dsp:sp>
    <dsp:sp modelId="{6960A7DB-2F05-4A8B-92BA-BB544902E16B}">
      <dsp:nvSpPr>
        <dsp:cNvPr id="0" name=""/>
        <dsp:cNvSpPr/>
      </dsp:nvSpPr>
      <dsp:spPr>
        <a:xfrm>
          <a:off x="148702" y="1403264"/>
          <a:ext cx="666991" cy="666991"/>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dirty="0"/>
            <a:t>Collective Action</a:t>
          </a:r>
        </a:p>
      </dsp:txBody>
      <dsp:txXfrm>
        <a:off x="246381" y="1500943"/>
        <a:ext cx="471633" cy="471633"/>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1884</TotalTime>
  <Pages>23</Pages>
  <Words>8285</Words>
  <Characters>47225</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55400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Williams (Swansea Bay UHB - Integrated Sexual Health)</dc:creator>
  <cp:keywords/>
  <dc:description/>
  <cp:lastModifiedBy>Carly Williams (Swansea Bay UHB - Integrated Sexual Health)</cp:lastModifiedBy>
  <cp:revision>113</cp:revision>
  <dcterms:created xsi:type="dcterms:W3CDTF">2025-10-20T14:46:00Z</dcterms:created>
  <dcterms:modified xsi:type="dcterms:W3CDTF">2025-11-20T17:41:00Z</dcterms:modified>
</cp:coreProperties>
</file>