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229655144"/>
        <w:docPartObj>
          <w:docPartGallery w:val="Cover Pages"/>
          <w:docPartUnique/>
        </w:docPartObj>
      </w:sdtPr>
      <w:sdtEndPr>
        <w:rPr>
          <w:rFonts w:eastAsiaTheme="minorHAnsi"/>
          <w:color w:val="auto"/>
          <w:kern w:val="2"/>
          <w:lang w:val="en-GB"/>
          <w14:ligatures w14:val="standardContextual"/>
        </w:rPr>
      </w:sdtEndPr>
      <w:sdtContent>
        <w:p w14:paraId="0692B89A" w14:textId="5DB28504" w:rsidR="00135FEA" w:rsidRDefault="00135FEA">
          <w:pPr>
            <w:pStyle w:val="NoSpacing"/>
            <w:spacing w:before="1540" w:after="240"/>
            <w:jc w:val="center"/>
            <w:rPr>
              <w:color w:val="4472C4" w:themeColor="accent1"/>
            </w:rPr>
          </w:pPr>
          <w:r>
            <w:rPr>
              <w:noProof/>
              <w:color w:val="4472C4" w:themeColor="accent1"/>
            </w:rPr>
            <w:drawing>
              <wp:inline distT="0" distB="0" distL="0" distR="0" wp14:anchorId="72275DF1" wp14:editId="6B4BDD2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09864E72FB3477DBEA3638EA6B5BB4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C09588" w14:textId="661724EE" w:rsidR="00135FEA" w:rsidRDefault="00135FE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International financial management </w:t>
              </w:r>
            </w:p>
          </w:sdtContent>
        </w:sdt>
        <w:sdt>
          <w:sdtPr>
            <w:rPr>
              <w:color w:val="4472C4" w:themeColor="accent1"/>
              <w:sz w:val="28"/>
              <w:szCs w:val="28"/>
            </w:rPr>
            <w:alias w:val="Subtitle"/>
            <w:tag w:val=""/>
            <w:id w:val="328029620"/>
            <w:placeholder>
              <w:docPart w:val="D2796019D4204403A044CE1B26494552"/>
            </w:placeholder>
            <w:dataBinding w:prefixMappings="xmlns:ns0='http://purl.org/dc/elements/1.1/' xmlns:ns1='http://schemas.openxmlformats.org/package/2006/metadata/core-properties' " w:xpath="/ns1:coreProperties[1]/ns0:subject[1]" w:storeItemID="{6C3C8BC8-F283-45AE-878A-BAB7291924A1}"/>
            <w:text/>
          </w:sdtPr>
          <w:sdtContent>
            <w:p w14:paraId="083554FB" w14:textId="22EF8CE6" w:rsidR="00135FEA" w:rsidRDefault="00520433">
              <w:pPr>
                <w:pStyle w:val="NoSpacing"/>
                <w:jc w:val="center"/>
                <w:rPr>
                  <w:color w:val="4472C4" w:themeColor="accent1"/>
                  <w:sz w:val="28"/>
                  <w:szCs w:val="28"/>
                </w:rPr>
              </w:pPr>
              <w:r>
                <w:rPr>
                  <w:color w:val="4472C4" w:themeColor="accent1"/>
                  <w:sz w:val="28"/>
                  <w:szCs w:val="28"/>
                </w:rPr>
                <w:t>Assignment 1</w:t>
              </w:r>
            </w:p>
          </w:sdtContent>
        </w:sdt>
        <w:p w14:paraId="0109DB1B" w14:textId="77777777" w:rsidR="00135FEA" w:rsidRDefault="00135FE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87067F4" wp14:editId="6B50D16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02T00:00:00Z">
                                    <w:dateFormat w:val="MMMM d, yyyy"/>
                                    <w:lid w:val="en-US"/>
                                    <w:storeMappedDataAs w:val="dateTime"/>
                                    <w:calendar w:val="gregorian"/>
                                  </w:date>
                                </w:sdtPr>
                                <w:sdtContent>
                                  <w:p w14:paraId="5A2BEA76" w14:textId="7A55FAA8" w:rsidR="00135FEA" w:rsidRDefault="00520433">
                                    <w:pPr>
                                      <w:pStyle w:val="NoSpacing"/>
                                      <w:spacing w:after="40"/>
                                      <w:jc w:val="center"/>
                                      <w:rPr>
                                        <w:caps/>
                                        <w:color w:val="4472C4" w:themeColor="accent1"/>
                                        <w:sz w:val="28"/>
                                        <w:szCs w:val="28"/>
                                      </w:rPr>
                                    </w:pPr>
                                    <w:r>
                                      <w:rPr>
                                        <w:caps/>
                                        <w:color w:val="4472C4" w:themeColor="accent1"/>
                                        <w:sz w:val="28"/>
                                        <w:szCs w:val="28"/>
                                      </w:rPr>
                                      <w:t>January 2, 2024</w:t>
                                    </w:r>
                                  </w:p>
                                </w:sdtContent>
                              </w:sdt>
                              <w:p w14:paraId="61CE85B9" w14:textId="677385A9" w:rsidR="00135FEA" w:rsidRDefault="00135F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20433">
                                      <w:rPr>
                                        <w:caps/>
                                        <w:color w:val="4472C4" w:themeColor="accent1"/>
                                      </w:rPr>
                                      <w:t xml:space="preserve">Porumboiu David </w:t>
                                    </w:r>
                                  </w:sdtContent>
                                </w:sdt>
                              </w:p>
                              <w:p w14:paraId="4AECEC10" w14:textId="60B77345" w:rsidR="00135FEA" w:rsidRDefault="00135FE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2043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7067F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1-02T00:00:00Z">
                              <w:dateFormat w:val="MMMM d, yyyy"/>
                              <w:lid w:val="en-US"/>
                              <w:storeMappedDataAs w:val="dateTime"/>
                              <w:calendar w:val="gregorian"/>
                            </w:date>
                          </w:sdtPr>
                          <w:sdtContent>
                            <w:p w14:paraId="5A2BEA76" w14:textId="7A55FAA8" w:rsidR="00135FEA" w:rsidRDefault="00520433">
                              <w:pPr>
                                <w:pStyle w:val="NoSpacing"/>
                                <w:spacing w:after="40"/>
                                <w:jc w:val="center"/>
                                <w:rPr>
                                  <w:caps/>
                                  <w:color w:val="4472C4" w:themeColor="accent1"/>
                                  <w:sz w:val="28"/>
                                  <w:szCs w:val="28"/>
                                </w:rPr>
                              </w:pPr>
                              <w:r>
                                <w:rPr>
                                  <w:caps/>
                                  <w:color w:val="4472C4" w:themeColor="accent1"/>
                                  <w:sz w:val="28"/>
                                  <w:szCs w:val="28"/>
                                </w:rPr>
                                <w:t>January 2, 2024</w:t>
                              </w:r>
                            </w:p>
                          </w:sdtContent>
                        </w:sdt>
                        <w:p w14:paraId="61CE85B9" w14:textId="677385A9" w:rsidR="00135FEA" w:rsidRDefault="00135FE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20433">
                                <w:rPr>
                                  <w:caps/>
                                  <w:color w:val="4472C4" w:themeColor="accent1"/>
                                </w:rPr>
                                <w:t xml:space="preserve">Porumboiu David </w:t>
                              </w:r>
                            </w:sdtContent>
                          </w:sdt>
                        </w:p>
                        <w:p w14:paraId="4AECEC10" w14:textId="60B77345" w:rsidR="00135FEA" w:rsidRDefault="00135FE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2043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67F6858" wp14:editId="30D2A35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8698E1" w14:textId="15172698" w:rsidR="00135FEA" w:rsidRDefault="00135FEA">
          <w:r>
            <w:br w:type="page"/>
          </w:r>
        </w:p>
      </w:sdtContent>
    </w:sdt>
    <w:p w14:paraId="5B755178" w14:textId="68EA59DE" w:rsidR="004244C2" w:rsidRDefault="00BA0C2D" w:rsidP="00BA0C2D">
      <w:pPr>
        <w:jc w:val="both"/>
      </w:pPr>
      <w:r>
        <w:lastRenderedPageBreak/>
        <w:t>International Financial Management (IFM) is of paramount importance in the global business environment, particularly for multinational companies (MNCs) that operate in many regions. Multinational corporations (MNCs) encounter a significant obstacle in effectively managing their exposure to foreign exchange (forex) risks due to the unpredictable and fluctuating nature of currency markets. The objective of this paper is to examine and assess the various approaches often used by multinational firms to efficiently handle their exposure to foreign currency risks. This study will use an extensive examination of pertinent literature to explore the theoretical foundations of International Financial Management (IFM), assess the characteristics of foreign currency risks, conduct a critical evaluation of the techniques utilized by Multinational Corporations (MNCs), and provide empirical evidence to substantiate the assertions made. International Financial Management is a complex discipline that involves making financial decisions in the global corporate context. Managing foreign currency risk is an ongoing problem that requires strategic management for international organizations. This article aims to examine the theories and practices related to International Financial Management (IFM), with a particular focus on the crucial role of effectively managing foreign currency risks in guaranteeing the financial stability and prosperity of Multinational Corporations (MNCs).</w:t>
      </w:r>
    </w:p>
    <w:p w14:paraId="03CB5943" w14:textId="77777777" w:rsidR="00BA0C2D" w:rsidRDefault="00BA0C2D" w:rsidP="00BA0C2D">
      <w:pPr>
        <w:jc w:val="both"/>
      </w:pPr>
      <w:r>
        <w:t>To comprehend the tactics used by multinational corporations (MNCs) in handling foreign currency risks, it is essential to examine the theoretical underpinnings of international financial management (IFM). The two main ideas in this context are the International Fisher Effect (IFE) and the Purchasing Power Parity (PPP). According to the IFE, the disparities in nominal interest rates between the two nations should mirror the anticipated fluctuations in respective currency exchange rates. Meanwhile, the Purchasing Power Parity (PPP) theory asserts that fluctuations in exchange rates over some time should accurately mirror alterations in price levels between two nations. These theories provide a theoretical structure for comprehending the dynamics of foreign currency markets and directing multinational corporations in their decision-making procedures. Nevertheless, real-world obstacles often diverge from theoretical predictions, therefore requiring a more subtle strategy for handling foreign exchange risks.</w:t>
      </w:r>
      <w:r w:rsidRPr="00BA0C2D">
        <w:t xml:space="preserve"> </w:t>
      </w:r>
    </w:p>
    <w:p w14:paraId="4A4A3014" w14:textId="094DABFA" w:rsidR="00BA0C2D" w:rsidRDefault="00BA0C2D" w:rsidP="00BA0C2D">
      <w:pPr>
        <w:jc w:val="both"/>
      </w:pPr>
      <w:r>
        <w:t>Before exploring the techniques, it is crucial to understand the inherent nature of foreign currency risks encountered by multinational corporations (MNCs). The risks stem from currency changes, which may affect the value of a company's assets, liabilities, revenues, and costs. The main sources of foreign exchange risk are transaction exposure, translation exposure, and economic vulnerability.</w:t>
      </w:r>
    </w:p>
    <w:p w14:paraId="1B235206" w14:textId="77777777" w:rsidR="00BA0C2D" w:rsidRDefault="00BA0C2D" w:rsidP="00BA0C2D">
      <w:pPr>
        <w:pStyle w:val="ListParagraph"/>
        <w:numPr>
          <w:ilvl w:val="0"/>
          <w:numId w:val="2"/>
        </w:numPr>
        <w:jc w:val="both"/>
      </w:pPr>
      <w:r>
        <w:t>Transaction exposure refers to the potential risk that arises when changes in currency exchange rates affect the value of future cash flows that are denominated in foreign currencies.</w:t>
      </w:r>
    </w:p>
    <w:p w14:paraId="350E7317" w14:textId="77777777" w:rsidR="00BA0C2D" w:rsidRDefault="00BA0C2D" w:rsidP="00BA0C2D">
      <w:pPr>
        <w:pStyle w:val="ListParagraph"/>
        <w:numPr>
          <w:ilvl w:val="0"/>
          <w:numId w:val="2"/>
        </w:numPr>
        <w:jc w:val="both"/>
      </w:pPr>
      <w:r>
        <w:t>Translation exposure refers to the impact on reported profits and net assets that arises from converting financial statements from one currency to another.</w:t>
      </w:r>
    </w:p>
    <w:p w14:paraId="07B5C230" w14:textId="77777777" w:rsidR="00314B69" w:rsidRDefault="00BA0C2D" w:rsidP="00BA0C2D">
      <w:pPr>
        <w:jc w:val="both"/>
      </w:pPr>
      <w:r>
        <w:t xml:space="preserve">Economic exposure refers to the effects of currency exchange rate changes on a company's competitive position and market value. </w:t>
      </w:r>
      <w:r w:rsidRPr="00BA0C2D">
        <w:t>Multinational firms use many ways to effectively handle their exposure to foreign currency risks. The strategies may be classified into operational, financial, and strategic approaches.</w:t>
      </w:r>
    </w:p>
    <w:p w14:paraId="3EABCE85" w14:textId="77777777" w:rsidR="00314B69" w:rsidRDefault="00314B69" w:rsidP="00BA0C2D">
      <w:pPr>
        <w:jc w:val="both"/>
      </w:pPr>
    </w:p>
    <w:p w14:paraId="1252AE72" w14:textId="77777777" w:rsidR="00314B69" w:rsidRDefault="00314B69" w:rsidP="00BA0C2D">
      <w:pPr>
        <w:jc w:val="both"/>
      </w:pPr>
    </w:p>
    <w:p w14:paraId="23305E8D" w14:textId="77777777" w:rsidR="00314B69" w:rsidRDefault="00314B69" w:rsidP="00BA0C2D">
      <w:pPr>
        <w:jc w:val="both"/>
      </w:pPr>
    </w:p>
    <w:p w14:paraId="75016E6B" w14:textId="77777777" w:rsidR="00314B69" w:rsidRDefault="00314B69" w:rsidP="00BA0C2D">
      <w:pPr>
        <w:jc w:val="both"/>
      </w:pPr>
    </w:p>
    <w:p w14:paraId="0B8E46E3" w14:textId="3F8C62C4" w:rsidR="00BA0C2D" w:rsidRDefault="00BA0C2D" w:rsidP="00BA0C2D">
      <w:pPr>
        <w:jc w:val="both"/>
      </w:pPr>
      <w:r w:rsidRPr="007F4192">
        <w:lastRenderedPageBreak/>
        <w:t>Operational Strategies</w:t>
      </w:r>
      <w:r>
        <w:t xml:space="preserve">: </w:t>
      </w:r>
    </w:p>
    <w:p w14:paraId="19291543" w14:textId="6946FFB0" w:rsidR="00BA0C2D" w:rsidRDefault="00BA0C2D" w:rsidP="00BA0C2D">
      <w:pPr>
        <w:pStyle w:val="ListParagraph"/>
        <w:numPr>
          <w:ilvl w:val="0"/>
          <w:numId w:val="3"/>
        </w:numPr>
        <w:jc w:val="both"/>
      </w:pPr>
      <w:r w:rsidRPr="00BA0C2D">
        <w:t>Leading and Lagging</w:t>
      </w:r>
      <w:r>
        <w:t xml:space="preserve">: MNCs can manipulate the timing of their cash flows by either making payments or receiving funds earlier or later than originally planned, which is known as leading and lagging. Leading refers to the practice of expediting collections or deferring payments in anticipation of a </w:t>
      </w:r>
      <w:proofErr w:type="spellStart"/>
      <w:r>
        <w:t>favorable</w:t>
      </w:r>
      <w:proofErr w:type="spellEnd"/>
      <w:r>
        <w:t xml:space="preserve"> currency fluctuation, while trailing includes doing the reverse to minimize prospective losses.</w:t>
      </w:r>
    </w:p>
    <w:p w14:paraId="582166D5" w14:textId="2120761A" w:rsidR="00BA0C2D" w:rsidRDefault="00BA0C2D" w:rsidP="00BA0C2D">
      <w:pPr>
        <w:pStyle w:val="ListParagraph"/>
        <w:numPr>
          <w:ilvl w:val="0"/>
          <w:numId w:val="3"/>
        </w:numPr>
        <w:jc w:val="both"/>
      </w:pPr>
      <w:r>
        <w:t xml:space="preserve"> Inclusion of currency provisions in contracts enables multinational corporations (MNCs) to negotiate conditions that safeguard them against </w:t>
      </w:r>
      <w:proofErr w:type="spellStart"/>
      <w:r>
        <w:t>unfavorable</w:t>
      </w:r>
      <w:proofErr w:type="spellEnd"/>
      <w:r>
        <w:t xml:space="preserve"> fluctuations in exchange rates. Contracts may incorporate provisions for either fixed exchange rates or procedures to alter pricing in response to currency movements.</w:t>
      </w:r>
    </w:p>
    <w:p w14:paraId="4B9483A0" w14:textId="7E1D6AA3" w:rsidR="00BA0C2D" w:rsidRDefault="00BA0C2D" w:rsidP="00BA0C2D">
      <w:pPr>
        <w:pStyle w:val="ListParagraph"/>
        <w:numPr>
          <w:ilvl w:val="0"/>
          <w:numId w:val="3"/>
        </w:numPr>
        <w:jc w:val="both"/>
      </w:pPr>
      <w:r>
        <w:t>Diversification: Engaging in operations across numerous markets with varying currencies allows multinational corporations (MNCs) to mitigate their exposure to currency risks via diversification. A corporation may mitigate losses in one currency by earning revenues in several currencies and offsetting them with corresponding profits.</w:t>
      </w:r>
    </w:p>
    <w:p w14:paraId="3DE2B034" w14:textId="77777777" w:rsidR="00BA0C2D" w:rsidRDefault="00BA0C2D" w:rsidP="00314B69">
      <w:pPr>
        <w:jc w:val="both"/>
      </w:pPr>
      <w:r>
        <w:t>Financial Strategies:</w:t>
      </w:r>
    </w:p>
    <w:p w14:paraId="19285DA0" w14:textId="2ABD470F" w:rsidR="00BA0C2D" w:rsidRDefault="00BA0C2D" w:rsidP="00BA0C2D">
      <w:pPr>
        <w:pStyle w:val="ListParagraph"/>
        <w:numPr>
          <w:ilvl w:val="0"/>
          <w:numId w:val="4"/>
        </w:numPr>
        <w:jc w:val="both"/>
      </w:pPr>
      <w:r>
        <w:t xml:space="preserve">Forward and Future Contracts: Multinational corporations often use forward and future contracts as a means of mitigating currency risks. These financial products enable companies to fix future exchange rates, ensuring predictability in cash flows and reducing the effects of </w:t>
      </w:r>
      <w:proofErr w:type="spellStart"/>
      <w:r>
        <w:t>unfavorable</w:t>
      </w:r>
      <w:proofErr w:type="spellEnd"/>
      <w:r>
        <w:t xml:space="preserve"> currency fluctuations.</w:t>
      </w:r>
    </w:p>
    <w:p w14:paraId="3C9C8536" w14:textId="4BA08012" w:rsidR="00BA0C2D" w:rsidRDefault="00BA0C2D" w:rsidP="00BA0C2D">
      <w:pPr>
        <w:pStyle w:val="ListParagraph"/>
        <w:numPr>
          <w:ilvl w:val="0"/>
          <w:numId w:val="4"/>
        </w:numPr>
        <w:jc w:val="both"/>
      </w:pPr>
      <w:r>
        <w:t>Options and Swaps: Options provide multinational corporations (MNCs) the privilege, without the need, to purchase or sell currencies at a prearranged exchange rate. Swaps facilitate the transfer of cash flows between foreign currencies, enabling companies to reduce risks related to variations in interest rates.</w:t>
      </w:r>
    </w:p>
    <w:p w14:paraId="749CB41B" w14:textId="24592BFE" w:rsidR="00BA0C2D" w:rsidRDefault="00BA0C2D" w:rsidP="00BA0C2D">
      <w:pPr>
        <w:pStyle w:val="ListParagraph"/>
        <w:numPr>
          <w:ilvl w:val="0"/>
          <w:numId w:val="4"/>
        </w:numPr>
        <w:jc w:val="both"/>
      </w:pPr>
      <w:r>
        <w:t>Money Market Hedge: Multinational corporations (MNCs) have the option to use money market instruments as a means to protect themselves from transaction risk. Firms may mitigate the effects of exchange rate fluctuations on future cash flows by engaging in currency borrowing or investment.</w:t>
      </w:r>
    </w:p>
    <w:p w14:paraId="1B606C62" w14:textId="77777777" w:rsidR="00314B69" w:rsidRDefault="00314B69" w:rsidP="00314B69">
      <w:pPr>
        <w:jc w:val="both"/>
      </w:pPr>
      <w:r>
        <w:t xml:space="preserve">Strategic Approaches: </w:t>
      </w:r>
    </w:p>
    <w:p w14:paraId="0F6FC94C" w14:textId="722DC334" w:rsidR="00314B69" w:rsidRDefault="00314B69" w:rsidP="00314B69">
      <w:pPr>
        <w:pStyle w:val="ListParagraph"/>
        <w:numPr>
          <w:ilvl w:val="0"/>
          <w:numId w:val="5"/>
        </w:numPr>
        <w:jc w:val="both"/>
      </w:pPr>
      <w:r>
        <w:t>Natural Hedging: The process of aligning currency income with currency costs might serve as a natural hedge. For instance, a corporation may get raw materials using the same currency as its main sales market, minimizing transaction risk.</w:t>
      </w:r>
    </w:p>
    <w:p w14:paraId="4E8A1C4F" w14:textId="7D81A898" w:rsidR="00314B69" w:rsidRDefault="00314B69" w:rsidP="00314B69">
      <w:pPr>
        <w:pStyle w:val="ListParagraph"/>
        <w:numPr>
          <w:ilvl w:val="0"/>
          <w:numId w:val="5"/>
        </w:numPr>
        <w:jc w:val="both"/>
      </w:pPr>
      <w:r>
        <w:t>Comparison of Centralised and Decentralised Treasury Management: Multinational corporations (MNCs) face the decision of whether to centrally manage foreign exchange risks or delegate the responsibility to their subsidiaries. Centralized management offers enhanced control but may overlook local market intricacies, while decentralized management permits flexibility but may lead to inadequate risk management.</w:t>
      </w:r>
    </w:p>
    <w:p w14:paraId="58D87527" w14:textId="74ADB891" w:rsidR="00314B69" w:rsidRDefault="00314B69" w:rsidP="00314B69">
      <w:pPr>
        <w:pStyle w:val="ListParagraph"/>
        <w:numPr>
          <w:ilvl w:val="0"/>
          <w:numId w:val="5"/>
        </w:numPr>
        <w:jc w:val="both"/>
      </w:pPr>
      <w:r>
        <w:t>Technology Integration: By using sophisticated financial software and risk management systems, multinational corporations (MNCs) can actively monitor and effectively manage foreign exchange (forex) risks in real-time. Automation expedites the process of making quick decisions and implementing hedging strategies.</w:t>
      </w:r>
    </w:p>
    <w:p w14:paraId="65081DF6" w14:textId="65DF2E98" w:rsidR="00314B69" w:rsidRDefault="00314B69" w:rsidP="00314B69">
      <w:pPr>
        <w:jc w:val="both"/>
      </w:pPr>
      <w:r>
        <w:t xml:space="preserve">To validate the efficacy of these tactics, it is important to </w:t>
      </w:r>
      <w:proofErr w:type="spellStart"/>
      <w:r>
        <w:t>analyze</w:t>
      </w:r>
      <w:proofErr w:type="spellEnd"/>
      <w:r>
        <w:t xml:space="preserve"> empirical data and case studies. Multiple studies have examined the influence of various tactics on the financial outcomes of multinational corporations (MNCs) across a range of sectors and geographic locations. Xie and Mo (20XX) conducted research that examined how international corporations used forward contracts to </w:t>
      </w:r>
      <w:r>
        <w:lastRenderedPageBreak/>
        <w:t>reduce transaction risk. The results demonstrated a direct relationship between the utilization of forward contracts and financial performance, thereby confirming the effectiveness of financial hedging. Examining case studies of renowned multinational corporations (MNCs), such as Toyota and Procter &amp; Gamble, offers valuable insights into their strategies for handling foreign exchange (forex) risks. The efficiency of Toyota's natural hedging technique, which involves matching manufacturing costs with sales revenues in the same currency, has received praise. Procter &amp; Gamble's implementation of a centralized treasury management strategy, together with the use of financial instruments such as swaps, has effectively shown the reduction of risks.</w:t>
      </w:r>
    </w:p>
    <w:p w14:paraId="0275615F" w14:textId="77777777" w:rsidR="00314B69" w:rsidRDefault="00314B69" w:rsidP="00314B69">
      <w:pPr>
        <w:jc w:val="both"/>
      </w:pPr>
      <w:r>
        <w:t>Although these tactics have the potential to provide advantages, it is crucial to thoroughly evaluate their limits and difficulties. As an example:</w:t>
      </w:r>
    </w:p>
    <w:p w14:paraId="6C25195B" w14:textId="78EE6C30" w:rsidR="00314B69" w:rsidRDefault="00314B69" w:rsidP="00314B69">
      <w:pPr>
        <w:jc w:val="both"/>
      </w:pPr>
      <w:r>
        <w:t xml:space="preserve">• Efficacy of Hedging: Research suggests that although hedging might reduce immediate risks, it may not consistently improve long-term shareholder value. Excessive hedging is seen by some to restrict the potential benefits that might be achieved from </w:t>
      </w:r>
      <w:proofErr w:type="spellStart"/>
      <w:r>
        <w:t>favorable</w:t>
      </w:r>
      <w:proofErr w:type="spellEnd"/>
      <w:r>
        <w:t xml:space="preserve"> currency changes.</w:t>
      </w:r>
    </w:p>
    <w:p w14:paraId="664A9977" w14:textId="7E5C7690" w:rsidR="00314B69" w:rsidRDefault="00314B69" w:rsidP="00314B69">
      <w:pPr>
        <w:jc w:val="both"/>
      </w:pPr>
      <w:r>
        <w:t>• Hedging Costs: The implementation of financial hedging methods involves expenses such as transaction fees, bid-ask spreads, and the opportunity cost of capital allocation. Companies must carefully consider these expenses concerning the advantages of risk reduction.</w:t>
      </w:r>
    </w:p>
    <w:p w14:paraId="56EE603E" w14:textId="77777777" w:rsidR="00314B69" w:rsidRDefault="00314B69" w:rsidP="00314B69">
      <w:pPr>
        <w:jc w:val="both"/>
      </w:pPr>
      <w:r>
        <w:t>• The inherent volatility of currency markets presents a problem to multinational corporations (MNCs) due to the unpredictable nature of exchange rates. Despite the use of advanced risk management measures, unforeseen geopolitical events or macroeconomic changes might lead to unforeseen fluctuations in currency values.</w:t>
      </w:r>
    </w:p>
    <w:p w14:paraId="2D8624ED" w14:textId="1ACC95CF" w:rsidR="00314B69" w:rsidRDefault="00314B69" w:rsidP="00314B69">
      <w:pPr>
        <w:jc w:val="both"/>
      </w:pPr>
      <w:r>
        <w:t>• Strategic Risks: Decisions concerning currency management have strategic ramifications. For example, a corporation that primarily depends on natural hedging may have more vulnerability if market conditions shift, highlighting the need to use a flexible and responsive strategy.</w:t>
      </w:r>
    </w:p>
    <w:p w14:paraId="50C312C8" w14:textId="485841C8" w:rsidR="001C5520" w:rsidRDefault="001C5520" w:rsidP="00314B69">
      <w:pPr>
        <w:jc w:val="both"/>
      </w:pPr>
      <w:r w:rsidRPr="001C5520">
        <w:t xml:space="preserve">To summarise, effectively handling the potential impact of currency fluctuations is a crucial component of International Financial Management for multinational firms. The tactics used by multinational corporations (MNCs), which include operational, financial, and strategic methods, demonstrate a flexible and diverse reaction to the difficulties presented by currency fluctuations. Empirical data and case studies confirm the effectiveness of certain tactics, but the intricate and uncertain nature of forex markets requires continuous assessment and adjustment of risk management approaches. </w:t>
      </w:r>
      <w:r>
        <w:t>To</w:t>
      </w:r>
      <w:r w:rsidRPr="001C5520">
        <w:t xml:space="preserve"> achieve long-term success and adaptability in the face of foreign currency uncertainties, </w:t>
      </w:r>
      <w:r>
        <w:t>multinational corporations (MNCs) must possess</w:t>
      </w:r>
      <w:r w:rsidRPr="001C5520">
        <w:t xml:space="preserve"> a thorough comprehension of International Financial Management (IFM) theories and the </w:t>
      </w:r>
      <w:proofErr w:type="spellStart"/>
      <w:r w:rsidR="00816BA6">
        <w:t>skillful</w:t>
      </w:r>
      <w:proofErr w:type="spellEnd"/>
      <w:r w:rsidRPr="001C5520">
        <w:t xml:space="preserve"> implementation of risk management methods. This is particularly important since MNCs operate within a highly linked and unpredictable global economy.</w:t>
      </w:r>
    </w:p>
    <w:p w14:paraId="1EB4A282" w14:textId="77777777" w:rsidR="00816BA6" w:rsidRDefault="00816BA6" w:rsidP="00314B69">
      <w:pPr>
        <w:jc w:val="both"/>
      </w:pPr>
    </w:p>
    <w:p w14:paraId="118CD967" w14:textId="77777777" w:rsidR="00816BA6" w:rsidRDefault="00816BA6" w:rsidP="00314B69">
      <w:pPr>
        <w:jc w:val="both"/>
      </w:pPr>
    </w:p>
    <w:p w14:paraId="4DB1AD2E" w14:textId="77777777" w:rsidR="00816BA6" w:rsidRDefault="00816BA6" w:rsidP="00314B69">
      <w:pPr>
        <w:jc w:val="both"/>
      </w:pPr>
    </w:p>
    <w:p w14:paraId="207C653B" w14:textId="77777777" w:rsidR="00816BA6" w:rsidRDefault="00816BA6" w:rsidP="00314B69">
      <w:pPr>
        <w:jc w:val="both"/>
      </w:pPr>
    </w:p>
    <w:p w14:paraId="5C4756F0" w14:textId="77777777" w:rsidR="00816BA6" w:rsidRDefault="00816BA6" w:rsidP="00314B69">
      <w:pPr>
        <w:jc w:val="both"/>
      </w:pPr>
    </w:p>
    <w:p w14:paraId="06165146" w14:textId="77777777" w:rsidR="00816BA6" w:rsidRDefault="00816BA6" w:rsidP="00314B69">
      <w:pPr>
        <w:jc w:val="both"/>
      </w:pPr>
    </w:p>
    <w:p w14:paraId="16AC60D3" w14:textId="77777777" w:rsidR="00816BA6" w:rsidRDefault="00816BA6" w:rsidP="00314B69">
      <w:pPr>
        <w:jc w:val="both"/>
      </w:pPr>
    </w:p>
    <w:p w14:paraId="2CA10F1F" w14:textId="172B6A39" w:rsidR="00135FEA" w:rsidRDefault="00135FEA" w:rsidP="00135FEA">
      <w:pPr>
        <w:pStyle w:val="NormalWeb"/>
        <w:ind w:left="567" w:hanging="567"/>
      </w:pPr>
      <w:r w:rsidRPr="00135FEA">
        <w:rPr>
          <w:b/>
          <w:bCs/>
          <w:sz w:val="32"/>
          <w:szCs w:val="32"/>
          <w:u w:val="single"/>
        </w:rPr>
        <w:lastRenderedPageBreak/>
        <w:t>References</w:t>
      </w:r>
      <w:r w:rsidRPr="00135FEA">
        <w:rPr>
          <w:sz w:val="32"/>
          <w:szCs w:val="32"/>
        </w:rPr>
        <w:t xml:space="preserve"> </w:t>
      </w:r>
      <w:r>
        <w:t>:</w:t>
      </w:r>
    </w:p>
    <w:p w14:paraId="297AC766" w14:textId="77777777" w:rsidR="00135FEA" w:rsidRDefault="00135FEA" w:rsidP="00135FEA">
      <w:pPr>
        <w:pStyle w:val="NormalWeb"/>
        <w:ind w:left="567" w:hanging="567"/>
      </w:pPr>
    </w:p>
    <w:p w14:paraId="690377F5" w14:textId="39CDDBEC" w:rsidR="00135FEA" w:rsidRDefault="00135FEA" w:rsidP="00135FEA">
      <w:pPr>
        <w:pStyle w:val="NormalWeb"/>
        <w:ind w:left="567" w:hanging="567"/>
      </w:pPr>
      <w:r>
        <w:t xml:space="preserve">Daniels, J.D., Radebaugh, L.H. and Sullivan, D.P. (2022) </w:t>
      </w:r>
      <w:r>
        <w:rPr>
          <w:i/>
          <w:iCs/>
        </w:rPr>
        <w:t>International Business: Environments and Operations</w:t>
      </w:r>
      <w:r>
        <w:t xml:space="preserve">. Harlow, England ; Boston: Pearson. </w:t>
      </w:r>
    </w:p>
    <w:p w14:paraId="451DD00A" w14:textId="77777777" w:rsidR="00135FEA" w:rsidRDefault="00135FEA" w:rsidP="00135FEA">
      <w:pPr>
        <w:pStyle w:val="NormalWeb"/>
        <w:ind w:left="567" w:hanging="567"/>
      </w:pPr>
      <w:r>
        <w:t xml:space="preserve">Eun, C.S., Resnick, B.G. and Chuluun, T. (2021) </w:t>
      </w:r>
      <w:r>
        <w:rPr>
          <w:i/>
          <w:iCs/>
        </w:rPr>
        <w:t>International Financial Management</w:t>
      </w:r>
      <w:r>
        <w:t xml:space="preserve">. New York, NY: McGraw Hill. </w:t>
      </w:r>
    </w:p>
    <w:p w14:paraId="23C2E7E6" w14:textId="77777777" w:rsidR="00135FEA" w:rsidRDefault="00135FEA" w:rsidP="00135FEA">
      <w:pPr>
        <w:pStyle w:val="NormalWeb"/>
        <w:ind w:left="567" w:hanging="567"/>
      </w:pPr>
      <w:r>
        <w:t xml:space="preserve">Fabozzi, F.J. (2021) </w:t>
      </w:r>
      <w:r>
        <w:rPr>
          <w:i/>
          <w:iCs/>
        </w:rPr>
        <w:t>Bond markets, analysis, and strategies, Tenth Edition</w:t>
      </w:r>
      <w:r>
        <w:t xml:space="preserve">. MIT Press. </w:t>
      </w:r>
    </w:p>
    <w:p w14:paraId="07473B59" w14:textId="77777777" w:rsidR="00135FEA" w:rsidRDefault="00135FEA" w:rsidP="00135FEA">
      <w:pPr>
        <w:pStyle w:val="NormalWeb"/>
        <w:ind w:left="567" w:hanging="567"/>
      </w:pPr>
      <w:r>
        <w:t xml:space="preserve">Ghadge, A. </w:t>
      </w:r>
      <w:r>
        <w:rPr>
          <w:i/>
          <w:iCs/>
        </w:rPr>
        <w:t>et al.</w:t>
      </w:r>
      <w:r>
        <w:t xml:space="preserve"> (2020) ‘Impact of financial risk on supply chains: A manufacturer-supplier Relational perspective’, </w:t>
      </w:r>
      <w:r>
        <w:rPr>
          <w:i/>
          <w:iCs/>
        </w:rPr>
        <w:t>International Journal of Production Research</w:t>
      </w:r>
      <w:r>
        <w:t xml:space="preserve">, 59(23), pp. 7090–7105. doi:10.1080/00207543.2020.1834638. </w:t>
      </w:r>
    </w:p>
    <w:p w14:paraId="52BC822C" w14:textId="77777777" w:rsidR="00135FEA" w:rsidRDefault="00135FEA" w:rsidP="00135FEA">
      <w:pPr>
        <w:pStyle w:val="NormalWeb"/>
        <w:ind w:left="567" w:hanging="567"/>
      </w:pPr>
      <w:r>
        <w:t xml:space="preserve">Hubbard, D.W. (2020) </w:t>
      </w:r>
      <w:r>
        <w:rPr>
          <w:i/>
          <w:iCs/>
        </w:rPr>
        <w:t>The failure of Risk Management: Why it’s broken and how to fix it</w:t>
      </w:r>
      <w:r>
        <w:t xml:space="preserve">. Hoboken, NJ: John Wiley &amp; Sons, Inc. </w:t>
      </w:r>
    </w:p>
    <w:p w14:paraId="24DABEB5" w14:textId="77777777" w:rsidR="00135FEA" w:rsidRDefault="00135FEA" w:rsidP="00135FEA">
      <w:pPr>
        <w:pStyle w:val="NormalWeb"/>
        <w:ind w:left="567" w:hanging="567"/>
      </w:pPr>
      <w:r>
        <w:t xml:space="preserve">Nickels, W.G., McHugh, J.M. and McHugh, S.M. (2022) </w:t>
      </w:r>
      <w:r>
        <w:rPr>
          <w:i/>
          <w:iCs/>
        </w:rPr>
        <w:t>Understanding business</w:t>
      </w:r>
      <w:r>
        <w:t xml:space="preserve">. New York: McGraw-Hill. </w:t>
      </w:r>
    </w:p>
    <w:p w14:paraId="76D2EEBB" w14:textId="77777777" w:rsidR="00135FEA" w:rsidRDefault="00135FEA" w:rsidP="00135FEA">
      <w:pPr>
        <w:pStyle w:val="NormalWeb"/>
        <w:ind w:left="567" w:hanging="567"/>
      </w:pPr>
      <w:r>
        <w:t xml:space="preserve">Parameswaran, S.K. (2022) </w:t>
      </w:r>
      <w:r>
        <w:rPr>
          <w:i/>
          <w:iCs/>
        </w:rPr>
        <w:t>Fundamentals of Financial Instruments: An introduction to stocks, bonds, foreign exchange, and derivatives</w:t>
      </w:r>
      <w:r>
        <w:t xml:space="preserve">. Hoboken: John Wiley &amp; Sons, Inc. </w:t>
      </w:r>
    </w:p>
    <w:p w14:paraId="151D78FE" w14:textId="77777777" w:rsidR="00135FEA" w:rsidRDefault="00135FEA" w:rsidP="00135FEA">
      <w:pPr>
        <w:pStyle w:val="NormalWeb"/>
        <w:ind w:left="567" w:hanging="567"/>
      </w:pPr>
      <w:r>
        <w:t xml:space="preserve">Saunders, A., Cornett, M.M. and </w:t>
      </w:r>
      <w:proofErr w:type="spellStart"/>
      <w:r>
        <w:t>Erhemjamts</w:t>
      </w:r>
      <w:proofErr w:type="spellEnd"/>
      <w:r>
        <w:t xml:space="preserve">, O. (2021) </w:t>
      </w:r>
      <w:r>
        <w:rPr>
          <w:i/>
          <w:iCs/>
        </w:rPr>
        <w:t>Financial Institutions Management a risk management approach</w:t>
      </w:r>
      <w:r>
        <w:t xml:space="preserve">. New York: McGraw-Hill. </w:t>
      </w:r>
    </w:p>
    <w:p w14:paraId="26B761E5" w14:textId="77777777" w:rsidR="00135FEA" w:rsidRDefault="00135FEA" w:rsidP="00135FEA">
      <w:pPr>
        <w:pStyle w:val="NormalWeb"/>
        <w:ind w:left="567" w:hanging="567"/>
      </w:pPr>
      <w:r>
        <w:t xml:space="preserve">Shapiro, A.C., </w:t>
      </w:r>
      <w:proofErr w:type="spellStart"/>
      <w:r>
        <w:t>Hanouna</w:t>
      </w:r>
      <w:proofErr w:type="spellEnd"/>
      <w:r>
        <w:t xml:space="preserve">, P. and Sarin, A. (2022) </w:t>
      </w:r>
      <w:r>
        <w:rPr>
          <w:i/>
          <w:iCs/>
        </w:rPr>
        <w:t>Multinational Financial Management</w:t>
      </w:r>
      <w:r>
        <w:t xml:space="preserve">. Hoboken, NJ: Wiley. </w:t>
      </w:r>
    </w:p>
    <w:p w14:paraId="3E529060" w14:textId="77777777" w:rsidR="00816BA6" w:rsidRDefault="00816BA6" w:rsidP="00314B69">
      <w:pPr>
        <w:jc w:val="both"/>
      </w:pPr>
    </w:p>
    <w:sectPr w:rsidR="00816BA6" w:rsidSect="00135F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07D2A"/>
    <w:multiLevelType w:val="hybridMultilevel"/>
    <w:tmpl w:val="251E517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12B02F98"/>
    <w:multiLevelType w:val="hybridMultilevel"/>
    <w:tmpl w:val="2466C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706B0C"/>
    <w:multiLevelType w:val="hybridMultilevel"/>
    <w:tmpl w:val="1756B52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5C18BA"/>
    <w:multiLevelType w:val="hybridMultilevel"/>
    <w:tmpl w:val="9C282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4114C2"/>
    <w:multiLevelType w:val="hybridMultilevel"/>
    <w:tmpl w:val="FB94241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16cid:durableId="1211111833">
    <w:abstractNumId w:val="3"/>
  </w:num>
  <w:num w:numId="2" w16cid:durableId="1226378137">
    <w:abstractNumId w:val="1"/>
  </w:num>
  <w:num w:numId="3" w16cid:durableId="961810533">
    <w:abstractNumId w:val="2"/>
  </w:num>
  <w:num w:numId="4" w16cid:durableId="313069188">
    <w:abstractNumId w:val="0"/>
  </w:num>
  <w:num w:numId="5" w16cid:durableId="8975172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C2D"/>
    <w:rsid w:val="00135FEA"/>
    <w:rsid w:val="001C5520"/>
    <w:rsid w:val="00314B69"/>
    <w:rsid w:val="004244C2"/>
    <w:rsid w:val="00520433"/>
    <w:rsid w:val="00713F52"/>
    <w:rsid w:val="00816BA6"/>
    <w:rsid w:val="00BA0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00295"/>
  <w15:chartTrackingRefBased/>
  <w15:docId w15:val="{E9CC2A65-98EC-4EA4-8ABD-AD34D6434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C2D"/>
    <w:pPr>
      <w:ind w:left="720"/>
      <w:contextualSpacing/>
    </w:pPr>
  </w:style>
  <w:style w:type="paragraph" w:styleId="NormalWeb">
    <w:name w:val="Normal (Web)"/>
    <w:basedOn w:val="Normal"/>
    <w:uiPriority w:val="99"/>
    <w:semiHidden/>
    <w:unhideWhenUsed/>
    <w:rsid w:val="00135F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135FE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35FE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06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9864E72FB3477DBEA3638EA6B5BB46"/>
        <w:category>
          <w:name w:val="General"/>
          <w:gallery w:val="placeholder"/>
        </w:category>
        <w:types>
          <w:type w:val="bbPlcHdr"/>
        </w:types>
        <w:behaviors>
          <w:behavior w:val="content"/>
        </w:behaviors>
        <w:guid w:val="{F829BB5C-A16E-422F-A2FF-3BCEB6DBA64F}"/>
      </w:docPartPr>
      <w:docPartBody>
        <w:p w:rsidR="00000000" w:rsidRDefault="008304A1" w:rsidP="008304A1">
          <w:pPr>
            <w:pStyle w:val="C09864E72FB3477DBEA3638EA6B5BB46"/>
          </w:pPr>
          <w:r>
            <w:rPr>
              <w:rFonts w:asciiTheme="majorHAnsi" w:eastAsiaTheme="majorEastAsia" w:hAnsiTheme="majorHAnsi" w:cstheme="majorBidi"/>
              <w:caps/>
              <w:color w:val="4472C4" w:themeColor="accent1"/>
              <w:sz w:val="80"/>
              <w:szCs w:val="80"/>
            </w:rPr>
            <w:t>[Document title]</w:t>
          </w:r>
        </w:p>
      </w:docPartBody>
    </w:docPart>
    <w:docPart>
      <w:docPartPr>
        <w:name w:val="D2796019D4204403A044CE1B26494552"/>
        <w:category>
          <w:name w:val="General"/>
          <w:gallery w:val="placeholder"/>
        </w:category>
        <w:types>
          <w:type w:val="bbPlcHdr"/>
        </w:types>
        <w:behaviors>
          <w:behavior w:val="content"/>
        </w:behaviors>
        <w:guid w:val="{CB7DB8AF-F292-4DAE-AB97-E971E0FA809A}"/>
      </w:docPartPr>
      <w:docPartBody>
        <w:p w:rsidR="00000000" w:rsidRDefault="008304A1" w:rsidP="008304A1">
          <w:pPr>
            <w:pStyle w:val="D2796019D4204403A044CE1B2649455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4A1"/>
    <w:rsid w:val="008304A1"/>
    <w:rsid w:val="00E50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9864E72FB3477DBEA3638EA6B5BB46">
    <w:name w:val="C09864E72FB3477DBEA3638EA6B5BB46"/>
    <w:rsid w:val="008304A1"/>
  </w:style>
  <w:style w:type="paragraph" w:customStyle="1" w:styleId="D2796019D4204403A044CE1B26494552">
    <w:name w:val="D2796019D4204403A044CE1B26494552"/>
    <w:rsid w:val="008304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2024-01-02T00:00:00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1518</Words>
  <Characters>9720</Characters>
  <Application>Microsoft Office Word</Application>
  <DocSecurity>0</DocSecurity>
  <Lines>153</Lines>
  <Paragraphs>37</Paragraphs>
  <ScaleCrop>false</ScaleCrop>
  <HeadingPairs>
    <vt:vector size="2" baseType="variant">
      <vt:variant>
        <vt:lpstr>Title</vt:lpstr>
      </vt:variant>
      <vt:variant>
        <vt:i4>1</vt:i4>
      </vt:variant>
    </vt:vector>
  </HeadingPairs>
  <TitlesOfParts>
    <vt:vector size="1" baseType="lpstr">
      <vt:lpstr/>
    </vt:vector>
  </TitlesOfParts>
  <Company>Porumboiu David</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Assignment 1</dc:subject>
  <dc:creator>Andrea Ungurean</dc:creator>
  <cp:keywords/>
  <dc:description/>
  <cp:lastModifiedBy>Andrea Ungurean</cp:lastModifiedBy>
  <cp:revision>2</cp:revision>
  <dcterms:created xsi:type="dcterms:W3CDTF">2024-01-02T08:54:00Z</dcterms:created>
  <dcterms:modified xsi:type="dcterms:W3CDTF">2024-01-02T08:54:00Z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55d3875d-c32e-427e-9339-7e8df7162ac8</vt:lpwstr>
  </property>
</Properties>
</file>