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sdt>
      <w:sdtPr>
        <w:rPr>
          <w:rFonts w:eastAsia="Droid Sans"/>
          <w:color w:val="5B9BD5"/>
          <w:lang w:val="en-GB"/>
        </w:rPr>
        <w:id w:val="1715100840"/>
        <w:docPartObj>
          <w:docPartGallery/>
          <w:docPartUnique/>
        </w:docPartObj>
      </w:sdtPr>
      <w:sdtContent>
        <w:p>
          <w:pPr>
            <w:pStyle w:val="15"/>
            <w:jc w:val="center"/>
            <w:spacing w:before="1540" w:after="240"/>
            <w:rPr>
              <w:color w:val="5B9BD5"/>
            </w:rPr>
          </w:pPr>
          <w:r>
            <w:rPr>
              <w:noProof/>
            </w:rPr>
            <w:drawing>
              <wp:inline distB="0" distL="0" distR="0" distT="0">
                <wp:extent cx="1417320" cy="750570"/>
                <wp:effectExtent l="0" t="0" r="0" b="0"/>
                <wp:docPr id="1" name="Image 1"/>
                <wp:cNvGraphicFramePr>
                  <a:graphicFrameLocks noChangeAspect="1"/>
                </wp:cNvGraphicFramePr>
                <a:graphic>
                  <a:graphicData uri="http://schemas.openxmlformats.org/drawingml/2006/picture">
                    <pic:pic>
                      <pic:nvPicPr>
                        <pic:cNvPr id="3" name="Image 3"/>
                        <pic:cNvPicPr/>
                      </pic:nvPicPr>
                      <pic:blipFill>
                        <a:blip r:embed="rId14">
                          <a:duotone>
                            <a:srgbClr val="2E6CA4"/>
                            <a:prstClr val="white"/>
                          </a:duotone>
                        </a:blip>
                        <a:stretch>
                          <a:fillRect/>
                        </a:stretch>
                      </pic:blipFill>
                      <pic:spPr>
                        <a:xfrm rot="0">
                          <a:off x="0" y="0"/>
                          <a:ext cx="1417320" cy="750897"/>
                        </a:xfrm>
                        <a:prstGeom prst="rect"/>
                        <a:noFill/>
                        <a:ln w="12700" cmpd="sng" cap="flat">
                          <a:noFill/>
                          <a:prstDash val="solid"/>
                          <a:round/>
                        </a:ln>
                      </pic:spPr>
                    </pic:pic>
                  </a:graphicData>
                </a:graphic>
              </wp:inline>
            </w:drawing>
          </w:r>
        </w:p>
      </w:sdtContent>
    </w:sdt>
    <w:p>
      <w:pPr>
        <w:pBdr>
          <w:top w:val="single" w:sz="6" w:color="5B9BD5" w:space="6"/>
          <w:bottom w:val="single" w:sz="6" w:color="5B9BD5" w:space="6"/>
        </w:pBdr>
        <w:pStyle w:val="0"/>
        <w:jc w:val="both"/>
        <w:spacing w:after="240"/>
        <w:rPr>
          <w:color w:val="5B9BD5"/>
          <w:rFonts w:ascii="Droid Sans" w:cs="Times New Roman" w:eastAsia="宋体" w:hAnsi="Droid Sans"/>
          <w:sz w:val="80"/>
          <w:szCs w:val="80"/>
          <w:smallCaps w:val="0"/>
          <w:caps/>
        </w:rPr>
      </w:pPr>
      <w:r>
        <w:rPr>
          <w:color w:val="5B9BD5"/>
          <w:rFonts w:ascii="Droid Sans" w:cs="Times New Roman" w:eastAsia="宋体" w:hAnsi="Droid Sans"/>
          <w:sz w:val="80"/>
          <w:szCs w:val="80"/>
          <w:smallCaps w:val="0"/>
          <w:caps/>
        </w:rPr>
        <w:t xml:space="preserve"> </w:t>
      </w:r>
      <w:r>
        <w:rPr>
          <w:color w:val="5B9BD5"/>
          <w:rFonts w:ascii="Times New Roman"/>
          <w:sz w:val="48"/>
          <w:smallCaps w:val="0"/>
          <w:caps/>
        </w:rPr>
        <w:t xml:space="preserve"> Finance </w:t>
      </w:r>
      <w:r>
        <w:rPr>
          <w:color w:val="5B9BD5"/>
          <w:rFonts w:ascii="Times New Roman"/>
          <w:sz w:val="48"/>
          <w:smallCaps w:val="0"/>
          <w:caps/>
        </w:rPr>
        <w:t>for Business Managers</w:t>
      </w:r>
      <w:r>
        <w:rPr>
          <w:color w:val="5B9BD5"/>
          <w:rFonts w:ascii="Droid Sans"/>
          <w:sz w:val="80"/>
          <w:smallCaps w:val="0"/>
          <w:caps/>
        </w:rPr>
        <w:t xml:space="preserve"> </w:t>
      </w:r>
    </w:p>
    <w:p>
      <w:pPr>
        <w:pStyle w:val="15"/>
        <w:jc w:val="center"/>
        <w:rPr>
          <w:color w:val="5B9BD5"/>
          <w:sz w:val="28"/>
          <w:szCs w:val="28"/>
        </w:rPr>
      </w:pPr>
      <w:sdt>
        <w:sdtPr>
          <w:rPr>
            <w:color w:val="5B9BD5"/>
            <w:sz w:val="28"/>
            <w:szCs w:val="28"/>
          </w:rPr>
          <w:id w:val="-1883622637"/>
          <w:text/>
        </w:sdtPr>
        <w:sdtContent/>
      </w:sdt>
      <w:r>
        <w:rPr>
          <w:color w:val="5B9BD5"/>
          <w:sz w:val="28"/>
          <w:szCs w:val="28"/>
        </w:rPr>
        <w:t>Mohmmad Rahil Aabid Hussain Vahora 2508046</w:t>
      </w:r>
    </w:p>
    <w:p>
      <w:pPr>
        <w:pStyle w:val="15"/>
        <w:jc w:val="center"/>
        <w:spacing w:before="480"/>
        <w:rPr>
          <w:color w:val="5B9BD5"/>
        </w:rPr>
      </w:pPr>
      <w:bookmarkStart w:id="0" w:name="_GoBack"/>
      <w:bookmarkEnd w:id="0"/>
      <w:r>
        <w:rPr>
          <w:noProof/>
        </w:rPr>
        <mc:AlternateContent>
          <mc:Choice Requires="wps">
            <w:drawing>
              <wp:anchor distT="0" distB="0" distL="114298" distR="114298" simplePos="0" relativeHeight="22" behindDoc="0" locked="0" layoutInCell="1" hidden="0" allowOverlap="1">
                <wp:simplePos x="0" y="0"/>
                <wp:positionH relativeFrom="margin">
                  <wp:align>center</wp:align>
                </wp:positionH>
                <wp:positionV relativeFrom="page">
                  <wp:posOffset>0</wp:posOffset>
                </wp:positionV>
                <wp:extent cx="5731510" cy="650392"/>
                <wp:effectExtent l="0" t="0" r="0" b="0"/>
                <wp:wrapNone/>
                <wp:docPr id="4" name="Text box 4"/>
                <wp:cNvGraphicFramePr>
                  <a:graphicFrameLocks noChangeAspect="0"/>
                </wp:cNvGraphicFramePr>
                <a:graphic>
                  <a:graphicData uri="http://schemas.microsoft.com/office/word/2010/wordprocessingShape">
                    <wps:wsp>
                      <wps:cNvSpPr/>
                      <wps:spPr>
                        <a:xfrm rot="0">
                          <a:off x="0" y="0"/>
                          <a:ext cx="5731510" cy="650392"/>
                        </a:xfrm>
                        <a:prstGeom prst="rect"/>
                        <a:noFill/>
                        <a:ln w="6350" cmpd="sng" cap="flat">
                          <a:noFill/>
                          <a:prstDash val="solid"/>
                          <a:round/>
                        </a:ln>
                      </wps:spPr>
                      <wps:txbx id="5">
                        <w:txbxContent>
                          <w:sdt>
                            <w:sdtPr>
                              <w:rPr>
                                <w:caps/>
                                <w:smallCaps w:val="0"/>
                                <w:color w:val="5B9BD5"/>
                                <w:sz w:val="28"/>
                                <w:szCs w:val="28"/>
                              </w:rPr>
                              <w:id w:val="-362697786"/>
                              <w:showingPlcHdr/>
                              <w:date>
                                <w:dateFormat w:val="yyyy/M/d"/>
                                <w:lid w:val="zh-CN"/>
                                <w:storeMappedDataAs/>
                                <w:calendar w:val="gregorian"/>
                              </w:date>
                            </w:sdtPr>
                            <w:sdtContent>
                              <w:p>
                                <w:pPr>
                                  <w:pStyle w:val="15"/>
                                  <w:spacing w:after="40"/>
                                  <w:jc w:val="center"/>
                                  <w:rPr>
                                    <w:caps/>
                                    <w:smallCaps w:val="0"/>
                                    <w:color w:val="5B9BD5"/>
                                    <w:sz w:val="28"/>
                                    <w:szCs w:val="28"/>
                                  </w:rPr>
                                </w:pPr>
                                <w:r>
                                  <w:rPr>
                                    <w:caps/>
                                    <w:smallCaps w:val="0"/>
                                    <w:color w:val="5B9BD5"/>
                                    <w:sz w:val="28"/>
                                    <w:szCs w:val="28"/>
                                  </w:rPr>
                                  <w:t>[Date]</w:t>
                                </w:r>
                              </w:p>
                            </w:sdtContent>
                          </w:sdt>
                          <w:p>
                            <w:pPr>
                              <w:pStyle w:val="15"/>
                              <w:jc w:val="center"/>
                              <w:rPr>
                                <w:color w:val="5B9BD5"/>
                              </w:rPr>
                            </w:pPr>
                            <w:sdt>
                              <w:sdtPr>
                                <w:rPr>
                                  <w:caps/>
                                  <w:smallCaps w:val="0"/>
                                  <w:color w:val="5B9BD5"/>
                                </w:rPr>
                                <w:id w:val="-628512933"/>
                                <w:text/>
                              </w:sdtPr>
                              <w:sdtContent>
                                <w:r>
                                  <w:rPr>
                                    <w:caps/>
                                    <w:smallCaps w:val="0"/>
                                    <w:color w:val="5B9BD5"/>
                                    <w:lang w:val="en-GB"/>
                                  </w:rPr>
                                  <w:t>University of Wales Trinity Saint David</w:t>
                                </w:r>
                              </w:sdtContent>
                            </w:sdt>
                          </w:p>
                          <w:p>
                            <w:pPr>
                              <w:pStyle w:val="15"/>
                              <w:jc w:val="center"/>
                              <w:rPr>
                                <w:color w:val="5B9BD5"/>
                              </w:rPr>
                            </w:pPr>
                            <w:sdt>
                              <w:sdtPr>
                                <w:rPr>
                                  <w:color w:val="5B9BD5"/>
                                </w:rPr>
                                <w:id w:val="-117787733"/>
                                <w:showingPlcHdr/>
                                <w:text/>
                              </w:sdtPr>
                              <w:sdtContent>
                                <w:r>
                                  <w:rPr>
                                    <w:color w:val="5B9BD5"/>
                                  </w:rPr>
                                  <w:t xml:space="preserve">     </w:t>
                                </w:r>
                              </w:sdtContent>
                            </w:sdt>
                          </w:p>
                        </w:txbxContent>
                      </wps:txbx>
                      <wps:bodyPr vert="horz" wrap="square" lIns="0" tIns="0" rIns="0" bIns="0" anchor="b" anchorCtr="0" upright="0">
                        <a:spAutoFit/>
                      </wps:bodyPr>
                    </wps:wsp>
                  </a:graphicData>
                </a:graphic>
              </wp:anchor>
            </w:drawing>
          </mc:Choice>
          <mc:Fallback>
            <w:pict>
              <v:shape type="#_x0000_t202" id="Text box 6" o:spid="_x0000_s6" filled="f" stroked="f" strokeweight="0.5pt" style="position:absolute;&#10;margin-left:0.0pt;&#10;margin-top:0.0pt;&#10;width:451.3pt;&#10;height:51.212pt;&#10;z-index:22;&#10;mso-position-horizontal:center;&#10;mso-position-horizontal-relative:margin;&#10;mso-position-vertical:absolute;&#10;mso-position-vertical-relative:page;&#10;mso-wrap-distance-left:8.999863pt;&#10;mso-wrap-distance-right:8.999863pt;&#10;mso-wrap-style:square;">
                <v:stroke color="#000000"/>
                <v:textbox id="849" inset="0mm,0mm,0mm,0mm" o:insetmode="custom" style="layout-flow:horizontal;&#10;v-text-anchor:bottom;&#10;mso-fit-shape-to-text:t;">
                  <w:txbxContent>
                    <w:sdt>
                      <w:sdtPr>
                        <w:rPr>
                          <w:caps/>
                          <w:smallCaps w:val="0"/>
                          <w:color w:val="5B9BD5"/>
                          <w:sz w:val="28"/>
                          <w:szCs w:val="28"/>
                        </w:rPr>
                        <w:id w:val="-362697786"/>
                        <w:showingPlcHdr/>
                        <w:date>
                          <w:dateFormat w:val="yyyy/M/d"/>
                          <w:lid w:val="zh-CN"/>
                          <w:storeMappedDataAs/>
                          <w:calendar w:val="gregorian"/>
                        </w:date>
                      </w:sdtPr>
                      <w:sdtContent>
                        <w:p>
                          <w:pPr>
                            <w:pStyle w:val="15"/>
                            <w:spacing w:after="40"/>
                            <w:jc w:val="center"/>
                            <w:rPr>
                              <w:caps/>
                              <w:smallCaps w:val="0"/>
                              <w:color w:val="5B9BD5"/>
                              <w:sz w:val="28"/>
                              <w:szCs w:val="28"/>
                            </w:rPr>
                          </w:pPr>
                          <w:r>
                            <w:rPr>
                              <w:caps/>
                              <w:smallCaps w:val="0"/>
                              <w:color w:val="5B9BD5"/>
                              <w:sz w:val="28"/>
                              <w:szCs w:val="28"/>
                            </w:rPr>
                            <w:t>[Date]</w:t>
                          </w:r>
                        </w:p>
                      </w:sdtContent>
                    </w:sdt>
                    <w:p>
                      <w:pPr>
                        <w:pStyle w:val="15"/>
                        <w:jc w:val="center"/>
                        <w:rPr>
                          <w:color w:val="5B9BD5"/>
                        </w:rPr>
                      </w:pPr>
                      <w:sdt>
                        <w:sdtPr>
                          <w:rPr>
                            <w:caps/>
                            <w:smallCaps w:val="0"/>
                            <w:color w:val="5B9BD5"/>
                          </w:rPr>
                          <w:id w:val="-628512933"/>
                          <w:text/>
                        </w:sdtPr>
                        <w:sdtContent>
                          <w:r>
                            <w:rPr>
                              <w:caps/>
                              <w:smallCaps w:val="0"/>
                              <w:color w:val="5B9BD5"/>
                              <w:lang w:val="en-GB"/>
                            </w:rPr>
                            <w:t>University of Wales Trinity Saint David</w:t>
                          </w:r>
                        </w:sdtContent>
                      </w:sdt>
                    </w:p>
                    <w:p>
                      <w:pPr>
                        <w:pStyle w:val="15"/>
                        <w:jc w:val="center"/>
                        <w:rPr>
                          <w:color w:val="5B9BD5"/>
                        </w:rPr>
                      </w:pPr>
                      <w:sdt>
                        <w:sdtPr>
                          <w:rPr>
                            <w:color w:val="5B9BD5"/>
                          </w:rPr>
                          <w:id w:val="-117787733"/>
                          <w:showingPlcHdr/>
                          <w:text/>
                        </w:sdtPr>
                        <w:sdtContent>
                          <w:r>
                            <w:rPr>
                              <w:color w:val="5B9BD5"/>
                            </w:rPr>
                            <w:t xml:space="preserve">     </w:t>
                          </w:r>
                        </w:sdtContent>
                      </w:sdt>
                    </w:p>
                  </w:txbxContent>
                </v:textbox>
              </v:shape>
            </w:pict>
          </mc:Fallback>
        </mc:AlternateContent>
      </w:r>
      <w:r>
        <w:rPr>
          <w:noProof/>
        </w:rPr>
        <w:drawing>
          <wp:inline distB="0" distL="0" distR="0" distT="0">
            <wp:extent cx="758825" cy="478790"/>
            <wp:effectExtent l="0" t="0" r="0" b="0"/>
            <wp:docPr id="7" name="Image 7"/>
            <wp:cNvGraphicFramePr>
              <a:graphicFrameLocks noChangeAspect="1"/>
            </wp:cNvGraphicFramePr>
            <a:graphic>
              <a:graphicData uri="http://schemas.openxmlformats.org/drawingml/2006/picture">
                <pic:pic>
                  <pic:nvPicPr>
                    <pic:cNvPr id="9" name="Image 9"/>
                    <pic:cNvPicPr/>
                  </pic:nvPicPr>
                  <pic:blipFill>
                    <a:blip r:embed="rId15">
                      <a:duotone>
                        <a:srgbClr val="2E6CA4"/>
                        <a:prstClr val="white"/>
                      </a:duotone>
                    </a:blip>
                    <a:stretch>
                      <a:fillRect/>
                    </a:stretch>
                  </pic:blipFill>
                  <pic:spPr>
                    <a:xfrm rot="0">
                      <a:off x="0" y="0"/>
                      <a:ext cx="758952" cy="478932"/>
                    </a:xfrm>
                    <a:prstGeom prst="rect"/>
                    <a:noFill/>
                    <a:ln w="12700" cmpd="sng" cap="flat">
                      <a:noFill/>
                      <a:prstDash val="solid"/>
                      <a:miter/>
                    </a:ln>
                  </pic:spPr>
                </pic:pic>
              </a:graphicData>
            </a:graphic>
          </wp:inline>
        </w:drawing>
      </w:r>
    </w:p>
    <w:p>
      <w:pPr>
        <w:pStyle w:val="1"/>
      </w:pPr>
      <w:r>
        <w:br w:type="page"/>
      </w:r>
    </w:p>
    <w:p>
      <w:pPr>
        <w:bidi w:val="0"/>
        <w:pBdr>
          <w:top w:val="nil" w:sz="0" w:color="auto" w:space="0"/>
          <w:bottom w:val="nil" w:sz="0" w:color="auto" w:space="0"/>
          <w:left w:val="nil" w:sz="0" w:color="auto" w:space="0"/>
          <w:right w:val="nil" w:sz="0" w:color="auto" w:space="0"/>
        </w:pBdr>
        <w:pStyle w:val="23"/>
        <w:ind w:firstLine="2880"/>
        <w:spacing w:before="240" w:beforeAutospacing="0" w:after="240" w:afterAutospacing="0" w:line="26" w:lineRule="atLeast"/>
        <w:rPr>
          <w:vanish w:val="0"/>
        </w:rPr>
      </w:pPr>
      <w:r>
        <w:rPr>
          <w:bCs w:val="0"/>
          <w:iCs/>
          <w:b/>
          <w:i/>
          <w:u w:val="none"/>
          <w:strike w:val="0"/>
          <w:dstrike w:val="0"/>
          <w:color w:val="000000"/>
          <w:rFonts w:ascii="Times New Roman" w:hAnsi="Times New Roman"/>
          <w:sz w:val="24"/>
          <w:szCs w:val="24"/>
          <w:smallCaps w:val="0"/>
          <w:caps w:val="0"/>
          <w:shd w:fill="auto" w:color="auto" w:val="clear"/>
          <w:vanish w:val="0"/>
        </w:rPr>
        <w:t>    EXECUTIVE SUMMARY </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Unilever, One of the world’s leading FMCG companies having  strong earnings over last few years. It is not so but with its peers as well, due to the companys cross category product line- up that spans personal wash, foods and home care categories there by leading to robust top-line growth and insulation from market volatility. The company focus on sustainability, operational excellency and innovation allows  to a better profitability and cost management.</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Unilever Financial Analysis The firm has the strong liquidity and solvency position in a sense that current liabilities can be paid using its current assets (current ratio) and long term debts. The liquidity The ratioanalysis of Unilever reveals that they have sound management in its liquidity ratios such as current and quick ratio is correct to fulfill the short term obligations. Meanwhile, profitability ratios of the company illustrate that how much CCMO is generating profit and the way it is making its shareholders able to win more in both none other than net profit margin and return on equity (ROE). There are also efficiency ratios such as inventory turnover and receivable's turnover which can give insight into operational efficiencies. c)Working capital management. Unilever is adept at managing inventory and collecting the receivables, mitigating a risk that of being too heavy on stock or too long waiting for cash to come in. Similarly, it has a commensurate debt to equity ratio and the leverage or solvency ratio too indicates as how wisely the company keeps its bank loans that while taking help so does keep on increasing with times. An additional competitor comparison against the sector average or industry peer group proves Unilever's value. In all, the balance sheet and entire company also compare very favorably to industry benchmarks and evidences operational sinew as well as financial discipline. Emphasizing labor and government regulations like employment practices, sustainability compliance and tax requirements describe Unilever’s adherence to the rules of the game in each country in which it does business.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 conclusion, Unilever's ratio analysis proves to be strong enough in terms of its financial position, operational capability and strategic positioning to achieve a long term sustainable growth. It represents a fragile equilibrium of profitability, liquidity, and risk management that enables investors, stakeholders, and policy makers to have confidence in the long-term viability of the corporation.</w:t>
      </w:r>
    </w:p>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bCs w:val="0"/>
          <w:iCs/>
          <w:b/>
          <w:i/>
          <w:u w:val="none"/>
          <w:strike w:val="0"/>
          <w:dstrike w:val="0"/>
          <w:color w:val="000000"/>
          <w:rFonts w:ascii="Times New Roman" w:hAnsi="Times New Roman"/>
          <w:sz w:val="24"/>
          <w:szCs w:val="24"/>
          <w:smallCaps w:val="0"/>
          <w:caps w:val="0"/>
          <w:shd w:fill="auto" w:color="auto" w:val="clear"/>
          <w:vanish w:val="0"/>
        </w:rPr>
      </w:pPr>
      <w:r>
        <w:rPr>
          <w:bCs w:val="0"/>
          <w:iCs/>
          <w:b/>
          <w:i/>
          <w:u w:val="none"/>
          <w:strike w:val="0"/>
          <w:dstrike w:val="0"/>
          <w:color w:val="000000"/>
          <w:rFonts w:ascii="Times New Roman" w:hAnsi="Times New Roman"/>
          <w:sz w:val="24"/>
          <w:szCs w:val="24"/>
          <w:smallCaps w:val="0"/>
          <w:caps w:val="0"/>
          <w:shd w:fill="auto" w:color="auto" w:val="clear"/>
          <w:vanish w:val="0"/>
        </w:rPr>
        <w:t>                                                          </w:t>
      </w:r>
    </w:p>
    <w:p>
      <w:pPr>
        <w:bidi w:val="0"/>
        <w:pBdr>
          <w:top w:val="nil" w:sz="0" w:color="auto" w:space="0"/>
          <w:bottom w:val="nil" w:sz="0" w:color="auto" w:space="0"/>
          <w:left w:val="nil" w:sz="0" w:color="auto" w:space="0"/>
          <w:right w:val="nil" w:sz="0" w:color="auto" w:space="0"/>
        </w:pBdr>
        <w:pStyle w:val="23"/>
        <w:ind w:firstLine="2520"/>
        <w:spacing w:before="240" w:beforeAutospacing="0" w:after="240" w:afterAutospacing="0" w:line="26" w:lineRule="atLeast"/>
        <w:rPr>
          <w:bCs w:val="0"/>
          <w:iCs/>
          <w:b/>
          <w:i/>
          <w:u w:val="none"/>
          <w:strike w:val="0"/>
          <w:dstrike w:val="0"/>
          <w:color w:val="000000"/>
          <w:rFonts w:ascii="Times New Roman" w:hAnsi="Times New Roman"/>
          <w:sz w:val="24"/>
          <w:szCs w:val="24"/>
          <w:smallCaps w:val="0"/>
          <w:caps w:val="0"/>
          <w:shd w:fill="auto" w:color="auto" w:val="clear"/>
          <w:vanish w:val="0"/>
        </w:rPr>
      </w:pPr>
    </w:p>
    <w:p>
      <w:pPr>
        <w:bidi w:val="0"/>
        <w:pBdr>
          <w:top w:val="nil" w:sz="0" w:color="auto" w:space="0"/>
          <w:bottom w:val="nil" w:sz="0" w:color="auto" w:space="0"/>
          <w:left w:val="nil" w:sz="0" w:color="auto" w:space="0"/>
          <w:right w:val="nil" w:sz="0" w:color="auto" w:space="0"/>
        </w:pBdr>
        <w:pStyle w:val="23"/>
        <w:ind w:firstLine="2520"/>
        <w:spacing w:before="240" w:beforeAutospacing="0" w:after="240" w:afterAutospacing="0" w:line="26" w:lineRule="atLeast"/>
        <w:rPr>
          <w:bCs w:val="0"/>
          <w:iCs/>
          <w:b/>
          <w:i/>
          <w:u w:val="none"/>
          <w:strike w:val="0"/>
          <w:dstrike w:val="0"/>
          <w:color w:val="000000"/>
          <w:rFonts w:ascii="Times New Roman" w:hAnsi="Times New Roman"/>
          <w:sz w:val="24"/>
          <w:szCs w:val="24"/>
          <w:smallCaps w:val="0"/>
          <w:caps w:val="0"/>
          <w:shd w:fill="auto" w:color="auto" w:val="clear"/>
          <w:vanish w:val="0"/>
        </w:rPr>
      </w:pPr>
    </w:p>
    <w:p>
      <w:pPr>
        <w:bidi w:val="0"/>
        <w:pBdr>
          <w:top w:val="nil" w:sz="0" w:color="auto" w:space="0"/>
          <w:bottom w:val="nil" w:sz="0" w:color="auto" w:space="0"/>
          <w:left w:val="nil" w:sz="0" w:color="auto" w:space="0"/>
          <w:right w:val="nil" w:sz="0" w:color="auto" w:space="0"/>
        </w:pBdr>
        <w:pStyle w:val="23"/>
        <w:ind w:firstLine="2520"/>
        <w:spacing w:before="240" w:beforeAutospacing="0" w:after="240" w:afterAutospacing="0" w:line="26" w:lineRule="atLeast"/>
        <w:rPr>
          <w:bCs w:val="0"/>
          <w:iCs/>
          <w:b/>
          <w:i/>
          <w:u w:val="none"/>
          <w:strike w:val="0"/>
          <w:dstrike w:val="0"/>
          <w:color w:val="000000"/>
          <w:rFonts w:ascii="Times New Roman" w:hAnsi="Times New Roman"/>
          <w:sz w:val="24"/>
          <w:szCs w:val="24"/>
          <w:smallCaps w:val="0"/>
          <w:caps w:val="0"/>
          <w:shd w:fill="auto" w:color="auto" w:val="clear"/>
          <w:vanish w:val="0"/>
        </w:rPr>
      </w:pPr>
    </w:p>
    <w:p>
      <w:pPr>
        <w:bidi w:val="0"/>
        <w:pBdr>
          <w:top w:val="nil" w:sz="0" w:color="auto" w:space="0"/>
          <w:bottom w:val="nil" w:sz="0" w:color="auto" w:space="0"/>
          <w:left w:val="nil" w:sz="0" w:color="auto" w:space="0"/>
          <w:right w:val="nil" w:sz="0" w:color="auto" w:space="0"/>
        </w:pBdr>
        <w:pStyle w:val="23"/>
        <w:ind w:firstLine="2520"/>
        <w:spacing w:before="240" w:beforeAutospacing="0" w:after="240" w:afterAutospacing="0" w:line="26" w:lineRule="atLeast"/>
        <w:rPr>
          <w:bCs w:val="0"/>
          <w:iCs/>
          <w:b/>
          <w:i/>
          <w:u w:val="none"/>
          <w:strike w:val="0"/>
          <w:dstrike w:val="0"/>
          <w:color w:val="000000"/>
          <w:rFonts w:ascii="Times New Roman" w:hAnsi="Times New Roman"/>
          <w:sz w:val="24"/>
          <w:szCs w:val="24"/>
          <w:smallCaps w:val="0"/>
          <w:caps w:val="0"/>
          <w:shd w:fill="auto" w:color="auto" w:val="clear"/>
          <w:vanish w:val="0"/>
        </w:rPr>
      </w:pPr>
      <w:r>
        <w:rPr>
          <w:b/>
          <w:i/>
          <w:u w:val="none"/>
          <w:strike w:val="0"/>
          <w:dstrike w:val="0"/>
          <w:color w:val="000000"/>
          <w:rFonts w:ascii="Times New Roman"/>
          <w:sz w:val="24"/>
          <w:smallCaps w:val="0"/>
          <w:caps w:val="0"/>
          <w:shd w:fill="auto"/>
          <w:vanish w:val="0"/>
        </w:rPr>
        <w:t> List of Contents </w:t>
      </w:r>
    </w:p>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6"/>
          <w:szCs w:val="26"/>
          <w:smallCaps w:val="0"/>
          <w:caps w:val="0"/>
          <w:shd w:fill="auto" w:color="auto" w:val="clear"/>
          <w:vanish w:val="0"/>
        </w:rPr>
        <w:t>Part - I</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1.Introduction…………………………………………………………………1</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2. Ratio analysis………………………………………………………………..2</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3.Unilever: The Labor, Demand&amp;Market Forces, Government and Ethical Practices Factors................................................................................................4</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6"/>
          <w:szCs w:val="26"/>
          <w:smallCaps w:val="0"/>
          <w:caps w:val="0"/>
          <w:shd w:fill="auto" w:color="auto" w:val="clear"/>
          <w:vanish w:val="0"/>
        </w:rPr>
        <w:t>Part- II</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1. Introduction………………………………………………………………….....09</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2.NPV,Benchamrkother calculations……………………………………………10</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3.Recommendation………………………………………………………………12</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4.Conclusion,,,,,,,,,,,,,,,,,,,,,,,,,,,,,,,,,,,,,,,,,,,,,,,,,,,,,,,,,,,,,,,,,,,,,,,,,,,,,,,,,,,,,,,,,,,,,,,,,,,,,,,,,,,,14</w:t>
      </w:r>
    </w:p>
    <w:p>
      <w:pPr>
        <w:bidi w:val="0"/>
        <w:pBdr>
          <w:top w:val="nil" w:sz="0" w:color="auto" w:space="0"/>
          <w:bottom w:val="nil" w:sz="0" w:color="auto" w:space="0"/>
          <w:left w:val="nil" w:sz="0" w:color="auto" w:space="0"/>
          <w:right w:val="nil" w:sz="0" w:color="auto" w:space="0"/>
        </w:pBdr>
        <w:pStyle w:val="23"/>
        <w:ind w:left="720"/>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5.References……………………………………………………………………….15</w:t>
      </w:r>
    </w:p>
    <w:p>
      <w:r>
        <w:br/>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bCs w:val="0"/>
          <w:iCs w:val="0"/>
          <w:b/>
          <w:i w:val="0"/>
          <w:u w:val="none"/>
          <w:strike w:val="0"/>
          <w:dstrike w:val="0"/>
          <w:color w:val="000000"/>
          <w:rFonts w:ascii="Times New Roman" w:hAnsi="Times New Roman"/>
          <w:sz w:val="24"/>
          <w:szCs w:val="24"/>
          <w:smallCaps w:val="0"/>
          <w:caps w:val="0"/>
          <w:shd w:fill="auto" w:color="auto" w:val="clear"/>
          <w:vanish w:val="0"/>
        </w:rPr>
      </w:pP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bCs w:val="0"/>
          <w:iCs w:val="0"/>
          <w:b/>
          <w:i w:val="0"/>
          <w:u w:val="none"/>
          <w:strike w:val="0"/>
          <w:dstrike w:val="0"/>
          <w:color w:val="000000"/>
          <w:rFonts w:ascii="Times New Roman" w:hAnsi="Times New Roman"/>
          <w:sz w:val="24"/>
          <w:szCs w:val="24"/>
          <w:smallCaps w:val="0"/>
          <w:caps w:val="0"/>
          <w:shd w:fill="auto" w:color="auto" w:val="clear"/>
          <w:vanish w:val="0"/>
        </w:rPr>
      </w:pPr>
      <w:r>
        <w:rPr>
          <w:b/>
          <w:i w:val="0"/>
          <w:u w:val="none"/>
          <w:strike w:val="0"/>
          <w:dstrike w:val="0"/>
          <w:color w:val="000000"/>
          <w:rFonts w:ascii="Times New Roman"/>
          <w:sz w:val="24"/>
          <w:smallCaps w:val="0"/>
          <w:caps w:val="0"/>
          <w:shd w:fill="auto"/>
          <w:vanish w:val="0"/>
        </w:rPr>
        <w:t>Introduction&amp;Company Overview </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Unilever is a British Dutch transnational consumer goods company co-headquartered in London, England, and Rotterdam, Netherlands. Born of the 1929 merger between Margarine Unie and Lever Brothers, Unilever has become one of the most known and trusted brands in the world. It has operations in over 190 countries and is using more than 150,000 workers worldwide. The company’s portfolio includes food and beverages, personal care, home care and health products, with brands like Dove, Lipton, Axe and Ben&amp;Jerry’s.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Unilever’s purpose is to make sustainable living commonplace, our corporate signature and product description of Unilever Great Products for Sustainable Living. The brand focuses on sustainability in every phase of the process from responsibly-sourced raw materials to reducing environmental footprint with packaging and production. This vision coordinates with the increasing consumer consciousness of an ethical and sustainable business that puts Unilever into a role model position as a responsible corporation.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Unilever’s capability to fulfil its strategic objectives is based on financial performance. With detailed financial analysis, interested parties can assess profitability, efficiency of operations, liquidity and solvency. Evaluations of this kind are indispensable to investors, creditors and regulators for the purpose of reaching investment, lending, or regulatory decisions. The financial ratio analysis, in particular, delivers a standardized and comparative approach through which to evaluate the financial condition of a company, compare it with industry standards for various purposes, or detect any risks and opportunities.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Unilever’s latest financial reports show continue growth in revenue fuelled by innovation, portfolio of markets and acquisition power. For example, the company has used emerging markets to grow share without playing dirty in terms of pricing and overheads. Its continued move toward digitalization and supply chain efficiency has only added to productivity, saved costs, and improved performance in turn.If we have a closer look at the financial ratios of Unilever, we can learn from it in several important aspects:</w:t>
      </w:r>
    </w:p>
    <w:p>
      <w:pPr>
        <w:pBdr>
          <w:top w:val="nil" w:sz="0" w:color="auto" w:space="0"/>
          <w:bottom w:val="nil" w:sz="0" w:color="auto" w:space="0"/>
          <w:left w:val="nil" w:sz="0" w:color="auto" w:space="0"/>
          <w:right w:val="nil" w:sz="0" w:color="auto" w:space="0"/>
        </w:pBdr>
        <w:pStyle w:val="23"/>
        <w:spacing w:before="240" w:after="240" w:line="26" w:lineRule="atLeast"/>
      </w:pPr>
      <w:r>
        <w:rPr>
          <w:b w:val="0"/>
          <w:i w:val="0"/>
          <w:u w:val="none"/>
          <w:strike w:val="0"/>
          <w:dstrike w:val="0"/>
          <w:color w:val="000000"/>
          <w:rFonts w:ascii="Times New Roman"/>
          <w:sz w:val="22"/>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val="0"/>
          <w:i w:val="0"/>
          <w:u w:val="none"/>
          <w:strike w:val="0"/>
          <w:dstrike w:val="0"/>
          <w:color w:val="000000"/>
          <w:rFonts w:ascii="Times New Roman"/>
          <w:sz w:val="22"/>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val="0"/>
          <w:i w:val="0"/>
          <w:u w:val="none"/>
          <w:strike w:val="0"/>
          <w:dstrike w:val="0"/>
          <w:color w:val="000000"/>
          <w:rFonts w:ascii="Times New Roman"/>
          <w:sz w:val="22"/>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val="0"/>
          <w:i w:val="0"/>
          <w:u w:val="none"/>
          <w:strike w:val="0"/>
          <w:dstrike w:val="0"/>
          <w:color w:val="000000"/>
          <w:rFonts w:ascii="Times New Roman"/>
          <w:sz w:val="22"/>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val="0"/>
          <w:i w:val="0"/>
          <w:u w:val="none"/>
          <w:strike w:val="0"/>
          <w:dstrike w:val="0"/>
          <w:color w:val="000000"/>
          <w:rFonts w:ascii="Times New Roman"/>
          <w:sz w:val="22"/>
          <w:smallCaps w:val="0"/>
          <w:caps w:val="0"/>
          <w:shd w:fill="auto"/>
          <w:vanish w:val="0"/>
        </w:rPr>
      </w:r>
    </w:p>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 Ratios</w:t>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b/>
          <w:i w:val="0"/>
          <w:u w:val="none"/>
          <w:strike w:val="0"/>
          <w:dstrike w:val="0"/>
          <w:color w:val="000000"/>
          <w:rFonts w:ascii="Times New Roman" w:hAnsi="Times New Roman"/>
          <w:sz w:val="22"/>
          <w:szCs w:val="22"/>
          <w:smallCaps w:val="0"/>
          <w:caps w:val="0"/>
          <w:shd w:fill="auto" w:color="auto" w:val="clear"/>
          <w:vanish w:val="0"/>
        </w:rPr>
        <w:t xml:space="preserve">and analysis </w:t>
      </w:r>
      <w:r>
        <w:rPr>
          <w:bCs w:val="0"/>
          <w:iCs w:val="0"/>
          <w:b w:val="0"/>
          <w:i w:val="0"/>
          <w:u w:val="none"/>
          <w:strike w:val="0"/>
          <w:dstrike w:val="0"/>
          <w:color w:val="000000"/>
          <w:rFonts w:ascii="Times New Roman" w:hAnsi="Times New Roman"/>
          <w:sz w:val="22"/>
          <w:szCs w:val="22"/>
          <w:smallCaps w:val="0"/>
          <w:caps w:val="0"/>
          <w:shd w:fill="auto" w:color="auto" w:val="clear"/>
          <w:vanish w:val="0"/>
        </w:rPr>
        <w:t>Liquidity – assesses the firm’s capacity to fulfil its short-term obligations and maintain operational equilibrium.</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Profitability – Shows how effectively Unilever inc; generates profits compared to its revenue.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Efficiency – This measures the productivity of the company’s assets and resources in generating revenues.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Solvency – Tests the long-term financial health and ability to pay debts.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Benchmarking and Perspective – Industry perspective to compare against industry standards and evaluation of regulatory/labor perspectives.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Application of financial ratio analysis not only facilitates anaysees&amp; investors but also a source for management to make strategic decision. Unilever will also be able to allocate resources, investment and risk management in a more efficient way by recognizing the strengths and weaknesses in financial performance. If, on the other hand, liquidity ratios suggest available assets are at a surplus or standing idle, the company can reallocate resources to growth objectives. On the other hand, if debt-dependence in the leverage ratios is high, management may be able to take strategies to increase solvency and lower financial risk.The introduction lays a background for the detailed ratio analysis of Unilever. Through understanding the background of the company, how it works, its aims (strategy) and why financial analysis is important stakeholders can grasp what an analysis actually means. This summary illustrates that financial ratios critically influence an assessment of a firm's health, decision making and future growth in the increasingly competitive global marketplace.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Analysis of the company: Financials Analyzing Unilever PLC (Profitability, Efficiency Ratios and Empirical Testing) Introduction This segment analyses the effectiveness in which Unilever PLC can create an economic value added for shareholders.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Ratio analysis is a crucial tool that helps to investigate operational efficiency, financial adequacy and continuity of firm. Like all multi-national consumer good companiesUnilever has it operations across a number of regions, and so ratio analysis is important to understand its performance in-line with the industry benchmarks. This section analysis the profitability, efficiency, and financial gearing ratios of Unilever thereby ensuing a snapshot into the operational effectiveness, stakeholder interest and strategic decision making.</w:t>
      </w:r>
    </w:p>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Profitability Ratios;- Profitability ratios compare a company’s earnings with its revenue, assets, or equity. This ratio is important for the company’s outside stakeholders such as investors, creditors and the authorities to know how much return-on-investment and financial health a firm has, as well as its ability to pay dividends.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 Net Profit Margin (NPM)</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Net Profit Margin is the percentage of revenue that remains as profit after paying all the costs, taxes and interest. It shows them to be efficient operators who are very mindful of their costs.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Formula:</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Net Profit Margin (%) = Net profitsRevenue x 100Estimating the company's net profit margin, expressed as a percentage of revenue:Net profit margin examoleNTAX II September vs October = 3%It is not surprising that the cycadelic industry has the lowest profitability coefficient.</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Calculation (Example with Unilever FY2024):</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Net Profit: £6,129 million,</w:t>
      </w:r>
      <w:r>
        <w:rPr>
          <w:b w:val="0"/>
          <w:i w:val="0"/>
          <w:u w:val="none"/>
          <w:strike w:val="0"/>
          <w:dstrike w:val="0"/>
          <w:color w:val="000000"/>
          <w:rFonts w:ascii="Times New Roman"/>
          <w:sz w:val="22"/>
          <w:smallCaps w:val="0"/>
          <w:caps w:val="0"/>
          <w:shd w:fill="auto"/>
          <w:vanish w:val="0"/>
        </w:rPr>
        <w:t xml:space="preserve">Revenue: £60,070 million. </w:t>
      </w:r>
      <w:r>
        <w:rPr>
          <w:b w:val="0"/>
          <w:i w:val="0"/>
          <w:u w:val="none"/>
          <w:strike w:val="0"/>
          <w:dstrike w:val="0"/>
          <w:color w:val="000000"/>
          <w:rFonts w:ascii="Times New Roman"/>
          <w:sz w:val="22"/>
          <w:smallCaps w:val="0"/>
          <w:caps w:val="0"/>
          <w:shd w:fill="auto"/>
          <w:vanish w:val="0"/>
        </w:rPr>
        <w:t xml:space="preserve">NPM = \frac{6,129}{60,070}\times 100\approx 10.2\%NPM=606,129​×100≈10.2% </w:t>
      </w:r>
      <w:r>
        <w:rPr>
          <w:b w:val="0"/>
          <w:i w:val="0"/>
          <w:u w:val="none"/>
          <w:strike w:val="0"/>
          <w:dstrike w:val="0"/>
          <w:color w:val="000000"/>
          <w:rFonts w:ascii="Times New Roman"/>
          <w:sz w:val="22"/>
          <w:smallCaps w:val="0"/>
          <w:caps w:val="0"/>
          <w:shd w:fill="auto"/>
          <w:vanish w:val="0"/>
        </w:rPr>
        <w:t>Benchmark: FMCG companies average around 8–12% (Financial Times, 2025). At 10.2%, Unilever’s return on capital reflects earnings power that compares with other industry peers.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Analysis: High net profit margin shows that Unilever is getting more effective at converting revenue into actual profit - good for effective cost control and management of its operations. This is recognized by outsiders as a signal of financial soundness and possible dividend sustainability.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b) Return on Assets (ROA)- </w:t>
      </w:r>
      <w:r>
        <w:rPr>
          <w:b w:val="0"/>
          <w:i w:val="0"/>
          <w:u w:val="none"/>
          <w:strike w:val="0"/>
          <w:dstrike w:val="0"/>
          <w:color w:val="000000"/>
          <w:rFonts w:ascii="Times New Roman"/>
          <w:sz w:val="22"/>
          <w:smallCaps w:val="0"/>
          <w:caps w:val="0"/>
          <w:shd w:fill="auto"/>
          <w:vanish w:val="0"/>
        </w:rPr>
        <w:t>ROA is a measure of how efficiently a firm can use its assets to generate earnings. And it is a must-use tool for investors to evaluate management performance.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Formula:   </w:t>
      </w:r>
      <w:r>
        <w:rPr>
          <w:b w:val="0"/>
          <w:i w:val="0"/>
          <w:u w:val="none"/>
          <w:strike w:val="0"/>
          <w:dstrike w:val="0"/>
          <w:color w:val="000000"/>
          <w:rFonts w:ascii="Times New Roman"/>
          <w:sz w:val="22"/>
          <w:smallCaps w:val="0"/>
          <w:caps w:val="0"/>
          <w:shd w:fill="auto"/>
          <w:vanish w:val="0"/>
        </w:rPr>
        <w:t>ROA (%)=Net ProfitTotal Assets*100 Calculated financial ratio is compared to the industry benchmark to get a sense of firm’s value generation from its assets.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Calculation: Total Assets: £75,000 million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ROA=6,12975,000×100≈8.17%\text{ ROA } = \frac { 6,129 }{ 75 ,000} \times 100 \approx 8.17\%ROA=7575,0006,129​×100≈8.17% </w:t>
      </w:r>
      <w:r>
        <w:rPr>
          <w:b w:val="0"/>
          <w:i w:val="0"/>
          <w:u w:val="none"/>
          <w:strike w:val="0"/>
          <w:dstrike w:val="0"/>
          <w:color w:val="000000"/>
          <w:rFonts w:ascii="Times New Roman"/>
          <w:sz w:val="22"/>
          <w:smallCaps w:val="0"/>
          <w:caps w:val="0"/>
          <w:shd w:fill="auto"/>
          <w:vanish w:val="0"/>
        </w:rPr>
        <w:t>Benchmark: FMCG industry ROA is between 7% and 9% (Investopedia, 2025). Unilever’s returns on assets (ROA) of 8.17% indicates it makes a good use of what it owns to generate profit.</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Stakeholder Interest: Higher return on assets fosters investor certainty and enhances credit-worthiness in the supposition of bank and financial entities.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c) Return on Equity (ROE)- </w:t>
      </w:r>
      <w:r>
        <w:rPr>
          <w:b w:val="0"/>
          <w:i w:val="0"/>
          <w:u w:val="none"/>
          <w:strike w:val="0"/>
          <w:dstrike w:val="0"/>
          <w:color w:val="000000"/>
          <w:rFonts w:ascii="Times New Roman"/>
          <w:sz w:val="22"/>
          <w:smallCaps w:val="0"/>
          <w:caps w:val="0"/>
          <w:shd w:fill="auto"/>
          <w:vanish w:val="0"/>
        </w:rPr>
        <w:t>ROE compares the profitability of the company against shareholders’ equity, illustrating how well the company is generating profits on invested capital.</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Formula: </w:t>
      </w:r>
      <w:r>
        <w:rPr>
          <w:b w:val="0"/>
          <w:i w:val="0"/>
          <w:u w:val="none"/>
          <w:strike w:val="0"/>
          <w:dstrike w:val="0"/>
          <w:color w:val="000000"/>
          <w:rFonts w:ascii="Times New Roman"/>
          <w:sz w:val="22"/>
          <w:smallCaps w:val="0"/>
          <w:caps w:val="0"/>
          <w:shd w:fill="auto"/>
          <w:vanish w:val="0"/>
        </w:rPr>
        <w:t>ROE (%)=Net ProfitShareholder’s Equity×100 Discover what ROE reflects about Jinguji Corporation.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Calculation: Shareholder’s Equity: £33,000 million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\text{ROE} =\frac{ 6,129 }{33,000} \times 100 \approx 18.6\%\]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Benchmark: Average ROE in FMCG sector- 15–20% (Morningstar, 2025). Returns from Unilever’s ROE And considering that Unilever stacks up well in terms of company performance, then it would seem that the returns on equity are largely aided by that of the company. </w:t>
      </w:r>
      <w:r>
        <w:rPr>
          <w:b w:val="0"/>
          <w:i w:val="0"/>
          <w:u w:val="none"/>
          <w:strike w:val="0"/>
          <w:dstrike w:val="0"/>
          <w:color w:val="000000"/>
          <w:rFonts w:ascii="Times New Roman"/>
          <w:sz w:val="22"/>
          <w:smallCaps w:val="0"/>
          <w:caps w:val="0"/>
          <w:shd w:fill="auto"/>
          <w:vanish w:val="0"/>
        </w:rPr>
        <w:t>Commentary: High ROE is appealing to investors, as it indicates the effective allocation of capital and generation of profit confidence that the company can continue reinvesting its earnings effectively, which will only add to shareholder value.</w:t>
      </w:r>
    </w:p>
    <w:p>
      <w:r>
        <w:br/>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Efficiency Ratios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Efficiency ratios, also known as activity ratios, measure how effectively a company is using its assets and liabilities to produce income. They offer antidotes to operational efficiency and working capital management, two of the key weapons that lenders and supply chain partners look for when gauging risk.</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a) Inventory Turnover Ratio- </w:t>
      </w:r>
      <w:r>
        <w:rPr>
          <w:b w:val="0"/>
          <w:i w:val="0"/>
          <w:u w:val="none"/>
          <w:strike w:val="0"/>
          <w:dstrike w:val="0"/>
          <w:color w:val="000000"/>
          <w:rFonts w:ascii="Times New Roman"/>
          <w:sz w:val="22"/>
          <w:smallCaps w:val="0"/>
          <w:caps w:val="0"/>
          <w:shd w:fill="auto"/>
          <w:vanish w:val="0"/>
        </w:rPr>
        <w:t>This ratio measures how many times a company sells and replaces the inventory over an operating cycle and shows inventory management effectiveness.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Formula: Calculation: COGS: £36,000 million     </w:t>
      </w:r>
      <w:r>
        <w:rPr>
          <w:b w:val="0"/>
          <w:i w:val="0"/>
          <w:u w:val="none"/>
          <w:strike w:val="0"/>
          <w:dstrike w:val="0"/>
          <w:color w:val="000000"/>
          <w:rFonts w:ascii="Times New Roman"/>
          <w:sz w:val="22"/>
          <w:smallCaps w:val="0"/>
          <w:caps w:val="0"/>
          <w:shd w:fill="auto"/>
          <w:vanish w:val="0"/>
        </w:rPr>
        <w:t>Average Inventory: £4,500 million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Standard: FMCG category 7–9 times per year.</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Analysis: A "turnover" of 8 is the result of well managed inventories and storage costs are low because products do not sit on a shelf. This percentage is useful for suppliers and lenders who are concerned with the liquidity of a company.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 Receivables Turnover Ratio-</w:t>
      </w:r>
      <w:r>
        <w:rPr>
          <w:b w:val="0"/>
          <w:i w:val="0"/>
          <w:u w:val="none"/>
          <w:strike w:val="0"/>
          <w:dstrike w:val="0"/>
          <w:color w:val="000000"/>
          <w:rFonts w:ascii="Times New Roman"/>
          <w:sz w:val="22"/>
          <w:smallCaps w:val="0"/>
          <w:caps w:val="0"/>
          <w:shd w:fill="auto"/>
          <w:vanish w:val="0"/>
        </w:rPr>
        <w:t>Expressed as the ease of collecting from customer receivables.</w:t>
      </w:r>
      <w:r>
        <w:rPr>
          <w:b w:val="0"/>
          <w:i w:val="0"/>
          <w:u w:val="none"/>
          <w:strike w:val="0"/>
          <w:dstrike w:val="0"/>
          <w:color w:val="000000"/>
          <w:rFonts w:ascii="Times New Roman"/>
          <w:sz w:val="22"/>
          <w:smallCaps w:val="0"/>
          <w:caps w:val="0"/>
          <w:shd w:fill="auto"/>
          <w:vanish w:val="0"/>
        </w:rPr>
        <w:t>Formula:Calculation: Average Accounts Receivable: £4,000 million.</w:t>
      </w:r>
      <w:r>
        <w:rPr>
          <w:b w:val="0"/>
          <w:i w:val="0"/>
          <w:u w:val="none"/>
          <w:strike w:val="0"/>
          <w:dstrike w:val="0"/>
          <w:color w:val="000000"/>
          <w:rFonts w:ascii="Times New Roman"/>
          <w:sz w:val="22"/>
          <w:smallCaps w:val="0"/>
          <w:caps w:val="0"/>
          <w:shd w:fill="auto"/>
          <w:vanish w:val="0"/>
        </w:rPr>
        <w:t>Benchmark: Industry standard: 12–16 times.</w:t>
      </w:r>
      <w:r>
        <w:rPr>
          <w:b w:val="0"/>
          <w:i w:val="0"/>
          <w:u w:val="none"/>
          <w:strike w:val="0"/>
          <w:dstrike w:val="0"/>
          <w:color w:val="000000"/>
          <w:rFonts w:ascii="Times New Roman"/>
          <w:sz w:val="22"/>
          <w:smallCaps w:val="0"/>
          <w:caps w:val="0"/>
          <w:shd w:fill="auto"/>
          <w:vanish w:val="0"/>
        </w:rPr>
        <w:t>Explanation High turnover is an indicator of efficient credit policies as well as a prompt cash the firm's risk in terms of liquidity. This is considered a good thing by all those parties, including the banks, who view it as helping short-term solvency.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Financial Gearing Ratios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Financial gearing represents the balance between debt and equity, demonstrating a company's financial leverage and risk. High leverage translates into more risk but potentially higher returns to shareholders.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 Debt-to-Equity Ratio (D/E)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Formula:-</w:t>
      </w:r>
      <w:r>
        <w:rPr>
          <w:b w:val="0"/>
          <w:i w:val="0"/>
          <w:u w:val="none"/>
          <w:strike w:val="0"/>
          <w:dstrike w:val="0"/>
          <w:color w:val="000000"/>
          <w:rFonts w:ascii="Times New Roman"/>
          <w:sz w:val="22"/>
          <w:smallCaps w:val="0"/>
          <w:caps w:val="0"/>
          <w:shd w:fill="auto"/>
          <w:vanish w:val="0"/>
        </w:rPr>
        <w:t>Calculation: Total Debt: £20,000 million. Shareholder’s Equity: £33,000 million, Where: The FMCG industry: 0.5–0.7 (Financial Times, 2025).</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Analysis: "Unilever's moderate gearing reflects its balanced financing, which mitigates financial risk and supports expansion," it added. Outside investors, in particular creditors, prefer low levels of debt since it mitigates default risk.</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 Interest Coverage Ratio (ICR)-</w:t>
      </w:r>
      <w:r>
        <w:rPr>
          <w:b w:val="0"/>
          <w:i w:val="0"/>
          <w:u w:val="none"/>
          <w:strike w:val="0"/>
          <w:dstrike w:val="0"/>
          <w:color w:val="000000"/>
          <w:rFonts w:ascii="Times New Roman"/>
          <w:sz w:val="22"/>
          <w:smallCaps w:val="0"/>
          <w:caps w:val="0"/>
          <w:shd w:fill="auto"/>
          <w:vanish w:val="0"/>
        </w:rPr>
        <w:t>This measures the extent to which interest can be covered by earnings; for example, ratio of 5 means earnings are five times interest expense.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Formula:Calculation:EBIT: £8,500 millionnInterest Expense: £700 million, Industry benchmark: 8 or more times.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Analysis: A low ICR of 12.14 means that Unilever has more breathing space for interest payments, further minimising risk for lenders and boosting its credit rating.</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Unilever: The Labor, Demand&amp;Market Forces, Government and Ethical Practices Factors.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To understand Unilever, which is a multinational company, one would need to look at its financial performance the quality of its labor management its ability to respond quickly to changes in markets products or technologies regulations and ethics. These considerations relate to operational effectiveness, sustainability and confidence among stakeholders.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 xml:space="preserve">Labor Perspective;- </w:t>
      </w:r>
      <w:r>
        <w:rPr>
          <w:b w:val="0"/>
          <w:i w:val="0"/>
          <w:u w:val="none"/>
          <w:strike w:val="0"/>
          <w:dstrike w:val="0"/>
          <w:color w:val="000000"/>
          <w:rFonts w:ascii="Times New Roman"/>
          <w:sz w:val="22"/>
          <w:smallCaps w:val="0"/>
          <w:caps w:val="0"/>
          <w:shd w:fill="auto"/>
          <w:vanish w:val="0"/>
        </w:rPr>
        <w:t>Labour is the most important input for an organization, especially for a multinational consumer products company such as Unilever that employs more than a hundred and fiftythousand people all over the world (Unilever Annual Report 2024).</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 Workforce Structure and Skills-</w:t>
      </w:r>
      <w:r>
        <w:rPr>
          <w:b w:val="0"/>
          <w:i w:val="0"/>
          <w:u w:val="none"/>
          <w:strike w:val="0"/>
          <w:dstrike w:val="0"/>
          <w:color w:val="000000"/>
          <w:rFonts w:ascii="Times New Roman"/>
          <w:sz w:val="22"/>
          <w:smallCaps w:val="0"/>
          <w:caps w:val="0"/>
          <w:shd w:fill="auto"/>
          <w:vanish w:val="0"/>
        </w:rPr>
        <w:t>The Unilever staff, that consists of factory workers, R&amp;D people, sales and marketing guys and management were diverse. It invests heavily in training and development of its employees ensuring they have modern production technologies, efficient supply chain management knowledge and marketing analytics (OECD, 2025). Investment such as this will increase productivity and help mitigate inefficiencies of operations which directly affect profitability and the efficiency ratios.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 Employee Engagement and Motivation--</w:t>
      </w:r>
      <w:r>
        <w:rPr>
          <w:b w:val="0"/>
          <w:i w:val="0"/>
          <w:u w:val="none"/>
          <w:strike w:val="0"/>
          <w:dstrike w:val="0"/>
          <w:color w:val="000000"/>
          <w:rFonts w:ascii="Times New Roman"/>
          <w:sz w:val="22"/>
          <w:smallCaps w:val="0"/>
          <w:caps w:val="0"/>
          <w:shd w:fill="auto"/>
          <w:vanish w:val="0"/>
        </w:rPr>
        <w:t>Engaged employees are important for the efficiency of business operations. According to Financial Times (2025), Unilever introduces approach of flexible work pattern, skill oriented training, internal promotion structure to inspire employees. Good engagement lowers turnover costs and helps to maintain stable performance levels, which in turn affect financial stability and profitability.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 Labor Relations and Compliance--</w:t>
      </w:r>
      <w:r>
        <w:rPr>
          <w:b w:val="0"/>
          <w:i w:val="0"/>
          <w:u w:val="none"/>
          <w:strike w:val="0"/>
          <w:dstrike w:val="0"/>
          <w:color w:val="000000"/>
          <w:rFonts w:ascii="Times New Roman"/>
          <w:sz w:val="22"/>
          <w:smallCaps w:val="0"/>
          <w:caps w:val="0"/>
          <w:shd w:fill="auto"/>
          <w:vanish w:val="0"/>
        </w:rPr>
        <w:t xml:space="preserve">Unilever complies with the labor laws of all its operations in fair wage, safe working environment and equal job opportunity for both men and women (ILO, 2023). Safety, diversity and area grievance resolution committees reduce chances for disputes and strikes that could disrupt operations. Compliance </w:t>
      </w:r>
      <w:r>
        <w:rPr>
          <w:b w:val="0"/>
          <w:i w:val="0"/>
          <w:u w:val="none"/>
          <w:strike w:val="0"/>
          <w:dstrike w:val="0"/>
          <w:color w:val="000000"/>
          <w:rFonts w:ascii="Times New Roman"/>
          <w:sz w:val="22"/>
          <w:smallCaps w:val="0"/>
          <w:caps w:val="0"/>
          <w:shd w:fill="auto"/>
          <w:vanish w:val="0"/>
        </w:rPr>
        <w:t>also enhances the company’s reputation, which indirectly contributes to brand value and demand in the market.</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d) Impact on Financial Performance- Effective labor factors increase production levels, reduction in inventory turnover or better receivables management and which affect ratios such as return on assets (ROA), and return on equity (ROE) just to mention a few but also net profit margins for businesses (Investopedia, 2025). Quality manpower guarantees color continuity, in time delivery and reduces cost of operations contributing to the buoyant economic health.</w:t>
      </w:r>
    </w:p>
    <w:p>
      <w:pPr>
        <w:pBdr>
          <w:top w:val="nil" w:sz="0" w:color="auto" w:space="0"/>
          <w:bottom w:val="nil" w:sz="0" w:color="auto" w:space="0"/>
          <w:left w:val="nil" w:sz="0" w:color="auto" w:space="0"/>
          <w:right w:val="nil" w:sz="0" w:color="auto" w:space="0"/>
        </w:pBdr>
        <w:pStyle w:val="23"/>
        <w:spacing w:before="240" w:after="240" w:line="26" w:lineRule="atLeast"/>
      </w:pPr>
      <w:r>
        <w:rPr>
          <w:b w:val="0"/>
          <w:i w:val="0"/>
          <w:u w:val="none"/>
          <w:strike w:val="0"/>
          <w:dstrike w:val="0"/>
          <w:color w:val="000000"/>
          <w:rFonts w:ascii="Times New Roman"/>
          <w:sz w:val="22"/>
          <w:smallCaps w:val="0"/>
          <w:caps w:val="0"/>
          <w:shd w:fill="auto"/>
          <w:vanish w:val="0"/>
        </w:rPr>
        <w:t>e) Labor as a Stakeholder- They inter alia have an impact on productivity, operating risk and the corporate governance3 of a business (OECD, 2025). For investors, lenders and other stakeholders the ability to manage labor well signals long-run sustainability and profitability.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Market Demand Perspective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The market is the level of demand at which products are bought and sold in exchange for returns, profits, prospects (Investopedia, 2025).</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 Consumer Preferences and Innovation- Unilever is in the FMCGs space where consumer tastes change very fast. In a changing demand environment, the firm invests in consumer research, product innovation, and digital marketing (Financial Times, 2025). For example, Brand- Dove and Lifebuoy adjust with the trending consumer requirements of health, hygiene and eco-friendly to revive revenue and have net profit margin down.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 Geographic diversification and demand An analysis-Unilever is exposed to a variety of emerging and mature markets, hence diversification in risk. And volume growth is driven by emerging markets while profit stability comes from the developed world (Unilever Annual Report, 2024). Geographical diversification leads to a better allocation of resources, lower downside risk as the markets are not correlated and an improvement in efficiency ratios.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 Branding and Market Share-Branding does the work of securing customer loyalty and repurchase, hence ensuring revenue stability (OECD, 2025). By adding sustainability in its communication, message and ethics – Fro example Unilever – can strengthen brand equity and competitive advantage It guarantees the continuous market demand.</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d) Story of Demand Forecasting to Operational Plan- Precise prediction reduces overproduction and storage expense, improves working capital utilization (Investopedia, 2025). Effective demand planning also promotes increasing inventory turnover, on-time availability of products and good cash flow.' keep your lenders, investors and customers comfortable.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e) Market Demand as a Stakeholder Point of View-Customers are external stakeholders who also affect sales, market share and brand image (Financial Times 2025). Missing the market expectation can lead to decrease in revenue, liquidity and operational efficiency which further indicates strategic requirement of response pattern.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Government Perspective</w:t>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-Governments are stakeholders in it and there is a difference they make to the operational legality, social responsibility and compliance. They impose taxes, regulate labor, trade and environmental activities (OECD, 2025).</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 Regulatory Compliance-Unilever has a presence in more than 190 countries and it is subject to the local legislations as well as international regulations that codify environmental norms, labour laws and consumer protection (ILO, 2024). Legal Penalties, Reputational Risk and Operational Disruptions: when an organization meets regulatory requirements, it reduces the legal penalties it might face in case of non-compliance; protects its reputation among stakeholders due to violations of laws and industry standards; avoids seizures, hold-ups or shutdowns because it is not aligned with some rule that regulates its activity indirectly helping profitability and solvency rates.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 Tax and Financial Reporting Requirements-Unilever adopts IFRS standards of accounting and so there is transparency and accuracy in the presentation of tax liability (Unilever Annual Report, 2024). Compliance further helps to build credibility with government offices and minimize the likelihood of fines or penalties.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 Government Incentives and Support-Governments provide opportunities such as tax reduction, incentive for sustainable projects and innovation funding that Unilever make use of to improve profit and cost effectiveness (Financial Times, 2025). For instance, grants for environmentally safe production cut expenses and increase net incomes.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d) Change in Policies and Risk Management-Trade rules, minimum wage laws and import/export limitations may impact operating costs (OECD, 2025). Unilever simply minimizes these risks by using different supply chains, by maintaining continuity and not in the least financially healthy ratios to give shareholders peace of mind.</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 Government as a Stakeholder-The state criterion’s are about employment generation, tax paying and the social responsibility of companies (Investopedia, 2025). Both compliance and proactive alignment with policy improve Unilever’s corporate standing, with financial values to long term stability.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Ethical Practices Perspective;Ethical standards include CSR, eco-sustainability, ethical supply chain, and corporate governance (all fundamental for long-term growth and stakeholders’ trust) (OECD, 2025).</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 Corporate Social Responsibility (CSR)-Unilever demonstrates CSR engagement by including social activities in its strategy, i.e., community support, proactive health and sustainability Unilever Annual Report (2024). For instance, Lifebuoy's sanitation drives raise public health, and thus the credibility of its brand with little direct bearing on revenue or net profit margins.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 Environmental Sustainability-Unilever uses energy efficiency in production, renewable packaging and reducing waste (Financial Times, 2025). Regulatory supported conduct by environmentally conscious customers is simulated at levels that map onto market growth and profitability in the long run.</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 Supply Chain Ethics-Ethical sourcing, especially of palm oil and other ingredients, is a means to enforce labor and environment rules (ILO, 2024). When these supply chains are based on ethical relationships, legal and reputational risks are likewise reduced and operational efficiency is maintained, as seen through inventory and receivables turnovers.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d) Corporate Governance-Unilever: The company has got established governance structures in place including a strong board oversight and a policies on anti-corruption and clear reportage (OECD, 2025). Responsible management supports investor confidence, enhances brand value and generates steadier financial performance.Market Demand + Revenue: Consumer preferences determine revenue, maintain achievable levels of net profit margin and work on effectiveness of working capital management (Financial Times, 2025).Government + Compliance: Regulatory harmonisation mitigates the legal and financial risks, improving liquidity and debt management (OECD 2025).Ethics + Brand Value: Ethical considerations contribute to lending brand value, market share and stakeholder trust in a continual uphill climb (Unilever Annual Report, 2024).</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bCs w:val="0"/>
          <w:iCs w:val="0"/>
          <w:b w:val="0"/>
          <w:i w:val="0"/>
          <w:u w:val="none"/>
          <w:strike w:val="0"/>
          <w:dstrike w:val="0"/>
          <w:color w:val="000000"/>
          <w:rFonts w:ascii="Times New Roman" w:hAnsi="Times New Roman"/>
          <w:sz w:val="22"/>
          <w:szCs w:val="22"/>
          <w:smallCaps w:val="0"/>
          <w:caps w:val="0"/>
          <w:shd w:fill="auto" w:color="auto" w:val="clea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Together, these views drive financial and non-financial performance and support our market competitiveness and long-term confidence of our stakeholders in Unilever.Strong ability to pay interest This comparison indicates that Unilever is a financially stable and potentially low risk company, with the opportunity to generate sector leading returns for it investors, creditors, and other stakeholders.</w:t>
      </w:r>
    </w:p>
    <w:p>
      <w:pPr>
        <w:bidi w:val="0"/>
        <w:pStyle w:val="22"/>
        <w:spacing w:after="160" w:line="259" w:lineRule="auto"/>
      </w:pPr>
    </w:p>
    <w:p>
      <w:pPr>
        <w:bidi w:val="0"/>
        <w:pStyle w:val="22"/>
        <w:spacing w:after="160" w:line="259" w:lineRule="auto"/>
      </w:pPr>
    </w:p>
    <w:p>
      <w:pPr>
        <w:bidi w:val="0"/>
        <w:pStyle w:val="22"/>
        <w:spacing w:after="160" w:line="259" w:lineRule="auto"/>
      </w:pPr>
    </w:p>
    <w:p>
      <w:pPr>
        <w:bidi w:val="0"/>
        <w:pStyle w:val="22"/>
        <w:spacing w:after="160" w:line="259" w:lineRule="auto"/>
      </w:pPr>
    </w:p>
    <w:p>
      <w:pPr>
        <w:bidi w:val="0"/>
        <w:pStyle w:val="22"/>
        <w:spacing w:after="160" w:line="259" w:lineRule="auto"/>
      </w:pPr>
    </w:p>
    <w:p>
      <w:pPr>
        <w:bidi w:val="0"/>
        <w:pStyle w:val="22"/>
        <w:spacing w:after="160" w:line="259" w:lineRule="auto"/>
      </w:pPr>
    </w:p>
    <w:p>
      <w:pPr>
        <w:bidi w:val="0"/>
        <w:pStyle w:val="22"/>
        <w:spacing w:after="160" w:line="259" w:lineRule="auto"/>
      </w:pPr>
      <w:r>
        <w:rPr>
          <w:b w:val="0"/>
          <w:i w:val="0"/>
          <w:u w:val="none"/>
          <w:strike w:val="0"/>
          <w:dstrike w:val="0"/>
          <w:color w:val="000000"/>
          <w:rFonts w:ascii="Arial"/>
          <w:sz w:val="52"/>
          <w:smallCaps w:val="0"/>
          <w:caps w:val="0"/>
          <w:shd w:fill="auto"/>
          <w:vanish w:val="0"/>
        </w:rPr>
        <w:t>PART 2</w:t>
      </w:r>
    </w:p>
    <w:p>
      <w:pPr>
        <w:bidi w:val="0"/>
        <w:pBdr>
          <w:top w:val="nil" w:sz="0" w:color="auto" w:space="0"/>
          <w:bottom w:val="nil" w:sz="0" w:color="auto" w:space="0"/>
          <w:left w:val="nil" w:sz="0" w:color="auto" w:space="0"/>
          <w:right w:val="nil" w:sz="0" w:color="auto" w:space="0"/>
        </w:pBdr>
        <w:pStyle w:val="23"/>
        <w:spacing w:before="0" w:beforeAutospacing="0" w:after="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Introduction</w:t>
      </w:r>
      <w:r>
        <w:rPr>
          <w:bCs w:val="0"/>
          <w:iCs w:val="0"/>
          <w:b w:val="0"/>
          <w:i w:val="0"/>
          <w:u w:val="none"/>
          <w:strike w:val="0"/>
          <w:dstrike w:val="0"/>
          <w:color w:val="000000"/>
          <w:rFonts w:ascii="Times New Roman" w:hAnsi="Times New Roman"/>
          <w:sz w:val="22"/>
          <w:szCs w:val="22"/>
          <w:smallCaps w:val="0"/>
          <w:caps w:val="0"/>
          <w:shd w:fill="auto" w:color="auto" w:val="clear"/>
          <w:vanish w:val="0"/>
        </w:rPr>
        <w:t>:- nvestment AppraisalInvestment appraisal is a systematic evaluation of long-term capital investment decision to ascertain its potential worth to the business and consider whether it will generate value for the owners Many techniques are available to evaluate an investment Benefits The overall model of financial management has  Avoidance of loss and maximization of profit that makes such decisions crucial in investment opportunities. Investment decisions for nulti-nationals cobporations such as Unilever can be new products lines, expansion of a new market, technology update nd cost cs and sustainability activities — all requiring significant amount of capital outlay and long-term cash forecasting (Brealey, Myers Allen, 2019). Investment appraisal techniques are important because they allow decision-makers to consider the time value of money, project cash flows, estimate investment risks and rank alternative projects in terms of objective economic criteria (Ross et al., 2016).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The four basic investment appraisal methods commonly referred to by industry respectively academia are Net Present Value (NPV), Internal Rate of Return (IRR), Payback Period (PP) and Accounting Rate of Return (ARR) (Peterson&amp;Fabozzi, 2018). Each type has its pros and cons, but when combined, both forms offer a complete view of the anticipated economic performance of a project. NPV and IRR are DCF methods that consider time value of money, so they are better at looking at profitability than a one-year period. Payback Period and ARR are less complex, usually undiscouned methods which can be used to give quick indication of liquidity recovery and accounting profitability.</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 the case of Unilever, investment appraisal is especially important for a company of its size and international reach; wide range of products are developed at numerous sites across four continents and it operates under very different regulatory conditions. Such choices include whether to invest in new manufacturing technology or enhance digital commerce platforms, or favour one production process over another because it is more sustainable; here the question can no longer be asked just about operational feasibility, but also financial viability. With the expanse of Unilever’s stakeholder groups, which include shareholders, workers, creditors and government regulators, strong appraisal techniques will show that resources invested are generating value in terms of shareholder wealth while also assisting strategic and ethical objectives (Unilever Annual Report 2024.).</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The significance of thorough investment evaluation is also espoused by financial literature. Net Present Value (NPV) is generally regarded as the golden rule since it captures an absolute contribution to value of a project which is reflected in discounted future cash flows, relative to the company’s cost of capital (Ross et al., 2016). On the other hand, the IRR is also an intuitive way to express a rate of return in percentage terms that makes comparison across projects regardless their sizes. Nonetheless, as IRR may give misleading rankings if projects differ in scale and/or the timing of cash flows, it should always be used with NPV.</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Payback Period is frequently used as a quick estimate when cash flows are uncertain and for screening during preliminary project selection (e.g. risk exposure). This approach disregards the time value of money but is easily calculated and provides an approximate feel for how fast capital may be recouped. ARR is an accounting rate of return used for the purpose of internal reporting, but treats cash flows as though they occur at any instance in time rather than when expected to be realized.</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 practice, companies like Unilever will typically use a mix of these approaches to strike the right tradeoff between comprehensiveness and usability. If they satisfy the NPV/IRR criteria, then Payback Period and ARR may be applied to screen out projects that fail to meet corporate liquidity positions and internal performance targets. Combining different methods results in robust decisions in the various financial dimensions.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Investment assessment is not in Nirvana; market situation, technology trends, regulation and stakeholder (and public) expectations matter. Consumers may demand more or less sustainable projects, which will change projected cash flows and influence the value judged in an appraisal. That cost structure and potential revenue can be upended by technological advances. Those are the obvious ones that go in the cash flow projections and discount rates.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Net Present Value (NPV) </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The Net Present Value (NPV) is the most ‘theoretically’ correct investment appraisal method by virtue of its direct consideration of the time value of money — a financial theory that argues cash received sooner rather than later has greater v alue becaus e it can be invested and yield interest etc. at concessional rates (Ross et al., 2016). NPV is the present value of all future cash inflows and outflows of a project discounted at the firm’s cost of capital:</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NPV=∑t=1nCFt(1+r)t−I NPV =\sum { t=1}^{ n}\frac {CF{t}}{(1 +r)^{t}}-INPV=t=1∑n​(1+r)tCFt​​−I</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C F− n CF = − I) Where: CF is cash flow at time t r is the interest rate (discount rate or cost of capital) I is the initial investment (Brealey et al., 2019).</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Analysis: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 practice Unilever would project cash flows from projects (such as, new capacity, new product lines or manufacturing enhancements) annually. Included in these estimates are anticipated revenues, operating expenses, taxes and working capital adjustments. Discounted cash flows are then brought to present value using Unilever’s WACC (Weighted Average Cost of Capital). If an NPV is positive, then the project should add value to shareholder funds and therefore be accepted. If NPV&lt;0 the expected project return would be less than the cost of capital and, thus it induces value destruction (Peterson&amp;Fabozzi, 2018).</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For instance, if it is predicted that a £5m net cash inflow will be derived from an upgrade in production due to sustainability monitoring per annum for five years but the initial outlay is estimated at £18m and the discount rate is 8%, then discounted inflows compare against investment to calculate NPV. If the total discounted inflows is more than £18m, then the project is providing value.</w:t>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2"/>
          <w:smallCaps w:val="0"/>
          <w:caps w:val="0"/>
          <w:shd w:fill="auto"/>
          <w:vanish w:val="0"/>
        </w:rPr>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Benchmarking NPV:</w:t>
      </w:r>
      <w:r>
        <w:rPr>
          <w:b w:val="0"/>
          <w:i w:val="0"/>
          <w:u w:val="none"/>
          <w:strike w:val="0"/>
          <w:dstrike w:val="0"/>
          <w:color w:val="000000"/>
          <w:rFonts w:ascii="Times New Roman"/>
          <w:sz w:val="22"/>
          <w:smallCaps w:val="0"/>
          <w:caps w:val="0"/>
          <w:shd w:fill="auto"/>
          <w:vanish w:val="0"/>
        </w:rPr>
        <w:t>Typical industry standards may rely on the firm’s historical WACC and on market returns from similar projects in the sector. For these large FMCG organizations, NPVs well in excess of zero are the norm and internal hurdle rates are established such that they mirror risks and capital charges — often set at 7–10% in mature markets (Brealey et al., 2019).</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2"/>
          <w:szCs w:val="22"/>
          <w:smallCaps w:val="0"/>
          <w:caps w:val="0"/>
          <w:shd w:fill="auto" w:color="auto" w:val="clear"/>
          <w:vanish w:val="0"/>
        </w:rPr>
        <w:t>Limitations:-</w:t>
      </w:r>
      <w:r>
        <w:rPr>
          <w:b w:val="0"/>
          <w:i w:val="0"/>
          <w:u w:val="none"/>
          <w:strike w:val="0"/>
          <w:dstrike w:val="0"/>
          <w:color w:val="000000"/>
          <w:rFonts w:ascii="Times New Roman"/>
          <w:sz w:val="22"/>
          <w:smallCaps w:val="0"/>
          <w:caps w:val="0"/>
          <w:shd w:fill="auto"/>
          <w:vanish w:val="0"/>
        </w:rPr>
        <w:t>NPV is difficult to compute, since proper estimation of future cash flows and selection of the discount rate is very challenging. Projections errors can have a significant impact on the results. Also, NPV doesn't capture strategically realized benefits without a tangible cash flow (eg, brand value or regulatory standing).</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References: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b w:val="0"/>
          <w:i/>
          <w:u w:val="none"/>
          <w:strike w:val="0"/>
          <w:dstrike w:val="0"/>
          <w:color w:val="000000"/>
          <w:rFonts w:ascii="Times New Roman" w:hAnsi="Times New Roman"/>
          <w:sz w:val="22"/>
          <w:szCs w:val="22"/>
          <w:smallCaps w:val="0"/>
          <w:caps w:val="0"/>
          <w:shd w:fill="auto" w:color="auto" w:val="clear"/>
          <w:vanish w:val="0"/>
        </w:rPr>
        <w:t>Brealey, R.A., Myers, S.C.&amp;Allen, F. (2019). Principles of Corporate Finance.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b w:val="0"/>
          <w:i/>
          <w:u w:val="none"/>
          <w:strike w:val="0"/>
          <w:dstrike w:val="0"/>
          <w:color w:val="000000"/>
          <w:rFonts w:ascii="Times New Roman" w:hAnsi="Times New Roman"/>
          <w:sz w:val="22"/>
          <w:szCs w:val="22"/>
          <w:smallCaps w:val="0"/>
          <w:caps w:val="0"/>
          <w:shd w:fill="auto" w:color="auto" w:val="clear"/>
          <w:vanish w:val="0"/>
        </w:rPr>
        <w:t>Peterson, P.P. and Fabozzi, F.J. (2018). Capital Budgeting: Theory and Practice.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b w:val="0"/>
          <w:i/>
          <w:u w:val="none"/>
          <w:strike w:val="0"/>
          <w:dstrike w:val="0"/>
          <w:color w:val="000000"/>
          <w:rFonts w:ascii="Times New Roman" w:hAnsi="Times New Roman"/>
          <w:sz w:val="22"/>
          <w:szCs w:val="22"/>
          <w:smallCaps w:val="0"/>
          <w:caps w:val="0"/>
          <w:shd w:fill="auto" w:color="auto" w:val="clear"/>
          <w:vanish w:val="0"/>
        </w:rPr>
        <w:t xml:space="preserve">Internal Rate of Return (IRR)  </w:t>
      </w:r>
      <w:r>
        <w:rPr>
          <w:bCs w:val="0"/>
          <w:iCs w:val="0"/>
          <w:b w:val="0"/>
          <w:i w:val="0"/>
          <w:u w:val="none"/>
          <w:strike w:val="0"/>
          <w:dstrike w:val="0"/>
          <w:color w:val="000000"/>
          <w:rFonts w:ascii="Times New Roman" w:hAnsi="Times New Roman"/>
          <w:sz w:val="22"/>
          <w:szCs w:val="22"/>
          <w:smallCaps w:val="0"/>
          <w:caps w:val="0"/>
          <w:shd w:fill="auto" w:color="auto" w:val="clear"/>
          <w:vanish w:val="0"/>
        </w:rPr>
        <w:t>Concept and Benchmarking:</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Internal Rate of Return (IRR) is the discount rate at which a project's NPV equals 0. It represents an annual percentage return that can be expected from an investment over its life. IRR is the rate of interest at which : IRR solved by: or, IRR=c.f(a%) - c(1+r) f'(a-r)) = 0 a0 n (a% p.a.) the present value of cash inflows are equal to that of outflows.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0∑t=1n​CFt(1+IRR)t−I.</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If the IRR is greater than the firm\'s required return (usually WACC) then the project would be accepted (Ross et al., 2016).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single"/>
          <w:color w:val="000000"/>
          <w:rFonts w:ascii="Times New Roman" w:hAnsi="Times New Roman"/>
          <w:sz w:val="22"/>
          <w:szCs w:val="22"/>
          <w:smallCaps w:val="0"/>
          <w:caps w:val="0"/>
          <w:shd w:fill="auto" w:color="auto" w:val="clear"/>
          <w:vanish w:val="0"/>
        </w:rPr>
        <w:t xml:space="preserve">Analysis: </w:t>
      </w:r>
      <w:r>
        <w:rPr>
          <w:bCs w:val="0"/>
          <w:iCs w:val="0"/>
          <w:b w:val="0"/>
          <w:i w:val="0"/>
          <w:u w:val="none"/>
          <w:strike w:val="0"/>
          <w:dstrike w:val="0"/>
          <w:color w:val="000000"/>
          <w:rFonts w:ascii="Times New Roman" w:hAnsi="Times New Roman"/>
          <w:sz w:val="22"/>
          <w:szCs w:val="22"/>
          <w:smallCaps w:val="0"/>
          <w:caps w:val="0"/>
          <w:shd w:fill="auto" w:color="auto" w:val="clear"/>
          <w:vanish w:val="0"/>
        </w:rPr>
        <w:t>For Unilever the IRR serves to compare different investments and their different outcomes. IRR greater than the benchmark rate (e.g., WACC of 8%) implies projected returns cover both the cost of capital and risk. For example, if a digital commerce expansion is forecast to net even cash flows, and the IRR of this investment can be calculated, the company can evaluate whether the potential returns would compare favorably with other options for deploying capital.</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Benchmark Ratio: It is common practice to use the company's WACC as the lowest acceptable IRR. For instance, if the WACC for Unilever is 8%, a project which has an IRR of 12% would appear attractive. In high tech-disruptive or highly-regulated sectors, where the GEM is producing dramatically changed risk profiles, these hurdle rates may be higher (10-15% and above) to factor in additional risks premia.</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Limitations:-for non-traditional cash flows or mutually exclusive projects, IRR can be ambiguous. IRR can have multiple values whenever cash flows changes their sign, and IRR's re-investment assumption (intermediate inflows are reinvested at IRR) could be more unrealistic than the one for NPV – where re-investment takes places at cost of capital (Peterson&amp;Fabozzi, 2018).</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Payback Period (PP)&amp;Accounting Rate of Return (ARR) </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Payback Period:Payback Period indicates the time taken to repay the investment from net cash inflows. It is computed on a straight forward or compound basis when receipts fluctuate (Brealey et al., 2019). It is simple to calculate, but it ignores the value of money over time and overlooks returns after payback. It’s a useful measure to gauge how liquid funds are, especially in uncertain markets.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ARR: ARR compares average accounting profit to the average investment:</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ARR=Average Annual Profit/Average Investment​×100</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The ARR is based on accrual and not cash accounting measures. It is simplistic on the one hand and does not take account of timing or cash-flow risk.</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Both approaches are beneficial complementary indicators in capital budgeting, but should not be employed as singular or lead criteria in making medium- to long-term project decisions for a company such as Unilever.</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Market, Technology, and Regulatory Considerations</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Market Level&amp;Demand:</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Investment evaluation must take account of market dynamics. For Unilever, future flows and risk profiles are impacted by shifts in consumer preference and competition. Discount rates can be raised if markets are bumpy, lowering NPV or IRR predictions. Technology in production can be either cost-saving or costly upfront, with implications for the cash flow of firms. When uncertainty exists, up or down on the market, cash flow projections-and … [Annotation 36] … and thus appraisals are affected.</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Technology Factors: New technology frequently requires high initial investment in capital but allows for lower production costs. Pro-tech Upgrades and Why They Matter in NPV&amp;IRR Analysis Rising bids alone may not always suggest technology as a way to lower soft costs — but upgraded tech on the project efficiency side can certainly expand future cash flows that make such projects less expensive over time, even if they are slightly more expensive out of the gate.</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Government&amp;Regulatory Environment:The investment appraisal is influenced by government legislation, taxation and regulation. For instance, subsidies or tax benefits lower net cash outflows, increasing NPV and IRR. Compliance with environmental regulations can add significantly to operating costs, thereby decreasing projected cash flows and requiring the use of higher discount rates to reflect risks. The likes of Unilever, which has operations across the world, must now build regulatory impacts into their balance sheets.</w:t>
      </w:r>
    </w:p>
    <w:p>
      <w:r>
        <w:rPr>
          <w:bCs w:val="0"/>
          <w:iCs w:val="0"/>
          <w:b/>
          <w:i w:val="0"/>
          <w:u w:val="none"/>
          <w:strike w:val="0"/>
          <w:dstrike w:val="0"/>
          <w:color w:val="000000"/>
          <w:rFonts w:ascii="Times New Roman" w:hAnsi="Times New Roman"/>
          <w:sz w:val="24"/>
          <w:szCs w:val="24"/>
          <w:smallCaps w:val="0"/>
          <w:caps w:val="0"/>
          <w:shd w:fill="auto" w:color="auto" w:val="clear"/>
          <w:vanish w:val="0"/>
        </w:rPr>
        <w:t>                             </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bCs w:val="0"/>
          <w:iCs w:val="0"/>
          <w:b/>
          <w:i w:val="0"/>
          <w:u w:val="none"/>
          <w:strike w:val="0"/>
          <w:dstrike w:val="0"/>
          <w:color w:val="000000"/>
          <w:rFonts w:ascii="Times New Roman" w:hAnsi="Times New Roman"/>
          <w:sz w:val="24"/>
          <w:szCs w:val="24"/>
          <w:smallCaps w:val="0"/>
          <w:caps w:val="0"/>
          <w:shd w:fill="auto" w:color="auto" w:val="clear"/>
          <w:vanish w:val="0"/>
        </w:rPr>
      </w:pP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pBdr>
          <w:top w:val="nil" w:sz="0" w:color="auto" w:space="0"/>
          <w:bottom w:val="nil" w:sz="0" w:color="auto" w:space="0"/>
          <w:left w:val="nil" w:sz="0" w:color="auto" w:space="0"/>
          <w:right w:val="nil" w:sz="0" w:color="auto" w:space="0"/>
        </w:pBdr>
        <w:pStyle w:val="23"/>
        <w:spacing w:before="240" w:after="240" w:line="26" w:lineRule="atLeast"/>
      </w:pPr>
      <w:r>
        <w:rPr>
          <w:b/>
          <w:i w:val="0"/>
          <w:u w:val="none"/>
          <w:strike w:val="0"/>
          <w:dstrike w:val="0"/>
          <w:color w:val="000000"/>
          <w:rFonts w:ascii="Times New Roman"/>
          <w:sz w:val="24"/>
          <w:smallCaps w:val="0"/>
          <w:caps w:val="0"/>
          <w:shd w:fill="auto"/>
          <w:vanish w:val="0"/>
        </w:rPr>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i w:val="0"/>
          <w:u w:val="none"/>
          <w:strike w:val="0"/>
          <w:dstrike w:val="0"/>
          <w:color w:val="000000"/>
          <w:rFonts w:ascii="Times New Roman" w:hAnsi="Times New Roman"/>
          <w:sz w:val="24"/>
          <w:szCs w:val="24"/>
          <w:smallCaps w:val="0"/>
          <w:caps w:val="0"/>
          <w:shd w:fill="auto" w:color="auto" w:val="clear"/>
          <w:vanish w:val="0"/>
        </w:rPr>
        <w:t>Recommendations to Directors</w:t>
      </w:r>
    </w:p>
    <w:p>
      <w:pPr>
        <w:bidi w:val="0"/>
        <w:textAlignment w:val="baseline"/>
        <w:pBdr>
          <w:top w:val="nil" w:sz="0" w:color="auto" w:space="0"/>
          <w:bottom w:val="nil" w:sz="0" w:color="auto" w:space="0"/>
          <w:left w:val="nil" w:sz="0" w:color="auto" w:space="0"/>
          <w:right w:val="nil" w:sz="0" w:color="auto" w:space="0"/>
        </w:pBdr>
        <w:shd w:fill="auto" w:color="auto" w:val="clear"/>
        <w:numPr>
          <w:ilvl w:val="0"/>
          <w:numId w:val="1"/>
        </w:numPr>
        <w:spacing w:before="100" w:beforeAutospacing="1" w:after="100" w:afterAutospacing="1"/>
        <w:rPr>
          <w:bCs w:val="0"/>
          <w:iCs w:val="0"/>
          <w:b w:val="0"/>
          <w:i w:val="0"/>
          <w:u w:val="none"/>
          <w:strike w:val="0"/>
          <w:dstrike w:val="0"/>
          <w:color w:val="000000"/>
          <w:rFonts w:ascii="Times New Roman" w:hAnsi="Times New Roman"/>
          <w:sz w:val="22"/>
          <w:szCs w:val="22"/>
          <w:smallCaps w:val="0"/>
          <w:caps w:val="0"/>
          <w:vanish w:val="0"/>
        </w:rPr>
      </w:pPr>
      <w:r>
        <w:rPr>
          <w:noProof/>
        </w:rPr>
        <w:drawing>
          <wp:inline distT="0" distB="0" distL="114298" distR="114298">
            <wp:extent cx="167637" cy="167637"/>
            <wp:effectExtent l="0" t="0" r="0" b="0"/>
            <wp:docPr id="10" name="Image 10"/>
            <wp:cNvGraphicFramePr>
              <a:graphicFrameLocks noChangeAspect="1"/>
            </wp:cNvGraphicFramePr>
            <a:graphic>
              <a:graphicData uri="http://schemas.microsoft.com/office/word/2010/wordprocessingShape">
                <wps:wsp>
                  <wps:cNvSpPr>
                    <a:spLocks noChangeAspect="1" noChangeArrowheads="1"/>
                  </wps:cNvSpPr>
                  <wps:spPr bwMode="auto">
                    <a:xfrm>
                      <a:off x="0" y="0"/>
                      <a:ext cx="167637" cy="167637"/>
                    </a:xfrm>
                    <a:prstGeom prst="rect">
                      <a:avLst/>
                    </a:prstGeom>
                    <a:noFill/>
                    <a:ln>
                      <a:noFill/>
                    </a:ln>
                  </wps:spPr>
                  <wps:bodyPr/>
                </wps:wsp>
              </a:graphicData>
            </a:graphic>
          </wp:inline>
        </w:drawing>
      </w:r>
    </w:p>
    <w:p>
      <w:pPr>
        <w:bidi w:val="0"/>
        <w:textAlignment w:val="top"/>
        <w:pBdr>
          <w:top w:val="nil" w:sz="0" w:color="auto" w:space="0"/>
          <w:bottom w:val="nil" w:sz="0" w:color="auto" w:space="0"/>
          <w:left w:val="nil" w:sz="0" w:color="auto" w:space="0"/>
          <w:right w:val="nil" w:sz="0" w:color="auto" w:space="0"/>
        </w:pBdr>
        <w:shd w:fill="auto" w:color="auto" w:val="clear"/>
        <w:pStyle w:val="23"/>
        <w:ind w:left="720"/>
        <w:spacing w:before="240" w:beforeAutospacing="0" w:after="240" w:afterAutospacing="0" w:line="26" w:lineRule="atLeast"/>
        <w:rPr>
          <w:bCs w:val="0"/>
          <w:iCs w:val="0"/>
          <w:b w:val="0"/>
          <w:i w:val="0"/>
          <w:u w:val="none"/>
          <w:strike w:val="0"/>
          <w:dstrike w:val="0"/>
          <w:color w:val="000000"/>
          <w:rFonts w:ascii="Times New Roman" w:hAnsi="Times New Roman"/>
          <w:sz w:val="22"/>
          <w:szCs w:val="22"/>
          <w:smallCaps w:val="0"/>
          <w:caps w:val="0"/>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Rank Positive NPV Projects for Acceptance: The relevant projects with positive NPVs should be accepted as these are expected to create value for the firm and contribute towards maximization of shareholders wealth.</w:t>
      </w:r>
    </w:p>
    <w:p>
      <w:pPr>
        <w:bidi w:val="0"/>
        <w:textAlignment w:val="baseline"/>
        <w:pBdr>
          <w:top w:val="nil" w:sz="0" w:color="auto" w:space="0"/>
          <w:bottom w:val="nil" w:sz="0" w:color="auto" w:space="0"/>
          <w:left w:val="nil" w:sz="0" w:color="auto" w:space="0"/>
          <w:right w:val="nil" w:sz="0" w:color="auto" w:space="0"/>
        </w:pBdr>
        <w:shd w:fill="auto" w:color="auto" w:val="clear"/>
        <w:numPr>
          <w:ilvl w:val="0"/>
          <w:numId w:val="1"/>
        </w:numPr>
        <w:spacing w:before="100" w:beforeAutospacing="1" w:after="100" w:afterAutospacing="1"/>
        <w:rPr>
          <w:bCs w:val="0"/>
          <w:iCs w:val="0"/>
          <w:b w:val="0"/>
          <w:i w:val="0"/>
          <w:u w:val="none"/>
          <w:strike w:val="0"/>
          <w:dstrike w:val="0"/>
          <w:color w:val="000000"/>
          <w:rFonts w:ascii="Times New Roman" w:hAnsi="Times New Roman"/>
          <w:sz w:val="22"/>
          <w:szCs w:val="22"/>
          <w:smallCaps w:val="0"/>
          <w:caps w:val="0"/>
          <w:vanish w:val="0"/>
        </w:rPr>
      </w:pPr>
      <w:r>
        <w:rPr>
          <w:noProof/>
        </w:rPr>
        <w:drawing>
          <wp:inline distT="0" distB="0" distL="114298" distR="114298">
            <wp:extent cx="167637" cy="167637"/>
            <wp:effectExtent l="0" t="0" r="0" b="0"/>
            <wp:docPr id="11" name="Image 11"/>
            <wp:cNvGraphicFramePr>
              <a:graphicFrameLocks noChangeAspect="1"/>
            </wp:cNvGraphicFramePr>
            <a:graphic>
              <a:graphicData uri="http://schemas.microsoft.com/office/word/2010/wordprocessingShape">
                <wps:wsp>
                  <wps:cNvSpPr>
                    <a:spLocks noChangeAspect="1" noChangeArrowheads="1"/>
                  </wps:cNvSpPr>
                  <wps:spPr bwMode="auto">
                    <a:xfrm>
                      <a:off x="0" y="0"/>
                      <a:ext cx="167637" cy="167637"/>
                    </a:xfrm>
                    <a:prstGeom prst="rect">
                      <a:avLst/>
                    </a:prstGeom>
                    <a:noFill/>
                    <a:ln>
                      <a:noFill/>
                    </a:ln>
                  </wps:spPr>
                  <wps:bodyPr/>
                </wps:wsp>
              </a:graphicData>
            </a:graphic>
          </wp:inline>
        </w:drawing>
      </w:r>
    </w:p>
    <w:p>
      <w:pPr>
        <w:bidi w:val="0"/>
        <w:textAlignment w:val="top"/>
        <w:pBdr>
          <w:top w:val="nil" w:sz="0" w:color="auto" w:space="0"/>
          <w:bottom w:val="nil" w:sz="0" w:color="auto" w:space="0"/>
          <w:left w:val="nil" w:sz="0" w:color="auto" w:space="0"/>
          <w:right w:val="nil" w:sz="0" w:color="auto" w:space="0"/>
        </w:pBdr>
        <w:shd w:fill="auto" w:color="auto" w:val="clear"/>
        <w:pStyle w:val="23"/>
        <w:ind w:left="720"/>
        <w:spacing w:before="240" w:beforeAutospacing="0" w:after="240" w:afterAutospacing="0" w:line="26" w:lineRule="atLeast"/>
        <w:rPr>
          <w:bCs w:val="0"/>
          <w:iCs w:val="0"/>
          <w:b w:val="0"/>
          <w:i w:val="0"/>
          <w:u w:val="none"/>
          <w:strike w:val="0"/>
          <w:dstrike w:val="0"/>
          <w:color w:val="000000"/>
          <w:rFonts w:ascii="Times New Roman" w:hAnsi="Times New Roman"/>
          <w:sz w:val="22"/>
          <w:szCs w:val="22"/>
          <w:smallCaps w:val="0"/>
          <w:caps w:val="0"/>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Use IRR for Return Benchmarks: Use IRR to measure returns against a cost of capital. IRR greater than the experiencethe hurdle rate should be favoured.</w:t>
      </w:r>
    </w:p>
    <w:p>
      <w:pPr>
        <w:bidi w:val="0"/>
        <w:textAlignment w:val="baseline"/>
        <w:pBdr>
          <w:top w:val="nil" w:sz="0" w:color="auto" w:space="0"/>
          <w:bottom w:val="nil" w:sz="0" w:color="auto" w:space="0"/>
          <w:left w:val="nil" w:sz="0" w:color="auto" w:space="0"/>
          <w:right w:val="nil" w:sz="0" w:color="auto" w:space="0"/>
        </w:pBdr>
        <w:shd w:fill="auto" w:color="auto" w:val="clear"/>
        <w:numPr>
          <w:ilvl w:val="0"/>
          <w:numId w:val="1"/>
        </w:numPr>
        <w:spacing w:before="100" w:beforeAutospacing="1" w:after="100" w:afterAutospacing="1"/>
        <w:rPr>
          <w:bCs w:val="0"/>
          <w:iCs w:val="0"/>
          <w:b w:val="0"/>
          <w:i w:val="0"/>
          <w:u w:val="none"/>
          <w:strike w:val="0"/>
          <w:dstrike w:val="0"/>
          <w:color w:val="000000"/>
          <w:rFonts w:ascii="Times New Roman" w:hAnsi="Times New Roman"/>
          <w:sz w:val="22"/>
          <w:szCs w:val="22"/>
          <w:smallCaps w:val="0"/>
          <w:caps w:val="0"/>
          <w:vanish w:val="0"/>
        </w:rPr>
      </w:pPr>
      <w:r>
        <w:rPr>
          <w:noProof/>
        </w:rPr>
        <w:drawing>
          <wp:inline distT="0" distB="0" distL="114298" distR="114298">
            <wp:extent cx="167637" cy="167637"/>
            <wp:effectExtent l="0" t="0" r="0" b="0"/>
            <wp:docPr id="12" name="Image 12"/>
            <wp:cNvGraphicFramePr>
              <a:graphicFrameLocks noChangeAspect="1"/>
            </wp:cNvGraphicFramePr>
            <a:graphic>
              <a:graphicData uri="http://schemas.microsoft.com/office/word/2010/wordprocessingShape">
                <wps:wsp>
                  <wps:cNvSpPr>
                    <a:spLocks noChangeAspect="1" noChangeArrowheads="1"/>
                  </wps:cNvSpPr>
                  <wps:spPr bwMode="auto">
                    <a:xfrm>
                      <a:off x="0" y="0"/>
                      <a:ext cx="167637" cy="167637"/>
                    </a:xfrm>
                    <a:prstGeom prst="rect">
                      <a:avLst/>
                    </a:prstGeom>
                    <a:noFill/>
                    <a:ln>
                      <a:noFill/>
                    </a:ln>
                  </wps:spPr>
                  <wps:bodyPr/>
                </wps:wsp>
              </a:graphicData>
            </a:graphic>
          </wp:inline>
        </w:drawing>
      </w:r>
    </w:p>
    <w:p>
      <w:pPr>
        <w:bidi w:val="0"/>
        <w:textAlignment w:val="top"/>
        <w:pBdr>
          <w:top w:val="nil" w:sz="0" w:color="auto" w:space="0"/>
          <w:bottom w:val="nil" w:sz="0" w:color="auto" w:space="0"/>
          <w:left w:val="nil" w:sz="0" w:color="auto" w:space="0"/>
          <w:right w:val="nil" w:sz="0" w:color="auto" w:space="0"/>
        </w:pBdr>
        <w:shd w:fill="auto" w:color="auto" w:val="clear"/>
        <w:pStyle w:val="23"/>
        <w:ind w:left="720"/>
        <w:spacing w:before="240" w:beforeAutospacing="0" w:after="240" w:afterAutospacing="0" w:line="26" w:lineRule="atLeast"/>
        <w:rPr>
          <w:bCs w:val="0"/>
          <w:iCs w:val="0"/>
          <w:b w:val="0"/>
          <w:i w:val="0"/>
          <w:u w:val="none"/>
          <w:strike w:val="0"/>
          <w:dstrike w:val="0"/>
          <w:color w:val="000000"/>
          <w:rFonts w:ascii="Times New Roman" w:hAnsi="Times New Roman"/>
          <w:sz w:val="22"/>
          <w:szCs w:val="22"/>
          <w:smallCaps w:val="0"/>
          <w:caps w:val="0"/>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Additional Use of Payback: Use payback as a rough and ready tool, particularly in high focus on liquidity risk sectors, but not as the only method.</w:t>
      </w:r>
    </w:p>
    <w:p>
      <w:pPr>
        <w:bidi w:val="0"/>
        <w:textAlignment w:val="baseline"/>
        <w:pBdr>
          <w:top w:val="nil" w:sz="0" w:color="auto" w:space="0"/>
          <w:bottom w:val="nil" w:sz="0" w:color="auto" w:space="0"/>
          <w:left w:val="nil" w:sz="0" w:color="auto" w:space="0"/>
          <w:right w:val="nil" w:sz="0" w:color="auto" w:space="0"/>
        </w:pBdr>
        <w:shd w:fill="auto" w:color="auto" w:val="clear"/>
        <w:numPr>
          <w:ilvl w:val="0"/>
          <w:numId w:val="1"/>
        </w:numPr>
        <w:spacing w:before="100" w:beforeAutospacing="1" w:after="100" w:afterAutospacing="1"/>
        <w:rPr>
          <w:bCs w:val="0"/>
          <w:iCs w:val="0"/>
          <w:b w:val="0"/>
          <w:i w:val="0"/>
          <w:u w:val="none"/>
          <w:strike w:val="0"/>
          <w:dstrike w:val="0"/>
          <w:color w:val="000000"/>
          <w:rFonts w:ascii="Times New Roman" w:hAnsi="Times New Roman"/>
          <w:sz w:val="22"/>
          <w:szCs w:val="22"/>
          <w:smallCaps w:val="0"/>
          <w:caps w:val="0"/>
          <w:vanish w:val="0"/>
        </w:rPr>
      </w:pPr>
      <w:r>
        <w:rPr>
          <w:noProof/>
        </w:rPr>
        <w:drawing>
          <wp:inline distT="0" distB="0" distL="114298" distR="114298">
            <wp:extent cx="167637" cy="167637"/>
            <wp:effectExtent l="0" t="0" r="0" b="0"/>
            <wp:docPr id="13" name="Image 13"/>
            <wp:cNvGraphicFramePr>
              <a:graphicFrameLocks noChangeAspect="1"/>
            </wp:cNvGraphicFramePr>
            <a:graphic>
              <a:graphicData uri="http://schemas.microsoft.com/office/word/2010/wordprocessingShape">
                <wps:wsp>
                  <wps:cNvSpPr>
                    <a:spLocks noChangeAspect="1" noChangeArrowheads="1"/>
                  </wps:cNvSpPr>
                  <wps:spPr bwMode="auto">
                    <a:xfrm>
                      <a:off x="0" y="0"/>
                      <a:ext cx="167637" cy="167637"/>
                    </a:xfrm>
                    <a:prstGeom prst="rect">
                      <a:avLst/>
                    </a:prstGeom>
                    <a:noFill/>
                    <a:ln>
                      <a:noFill/>
                    </a:ln>
                  </wps:spPr>
                  <wps:bodyPr/>
                </wps:wsp>
              </a:graphicData>
            </a:graphic>
          </wp:inline>
        </w:drawing>
      </w:r>
    </w:p>
    <w:p>
      <w:pPr>
        <w:bidi w:val="0"/>
        <w:textAlignment w:val="top"/>
        <w:pBdr>
          <w:top w:val="nil" w:sz="0" w:color="auto" w:space="0"/>
          <w:bottom w:val="nil" w:sz="0" w:color="auto" w:space="0"/>
          <w:left w:val="nil" w:sz="0" w:color="auto" w:space="0"/>
          <w:right w:val="nil" w:sz="0" w:color="auto" w:space="0"/>
        </w:pBdr>
        <w:shd w:fill="auto" w:color="auto" w:val="clear"/>
        <w:pStyle w:val="23"/>
        <w:ind w:left="720"/>
        <w:spacing w:before="240" w:beforeAutospacing="0" w:after="240" w:afterAutospacing="0" w:line="26" w:lineRule="atLeast"/>
        <w:rPr>
          <w:bCs w:val="0"/>
          <w:iCs w:val="0"/>
          <w:b w:val="0"/>
          <w:i w:val="0"/>
          <w:u w:val="none"/>
          <w:strike w:val="0"/>
          <w:dstrike w:val="0"/>
          <w:color w:val="000000"/>
          <w:rFonts w:ascii="Times New Roman" w:hAnsi="Times New Roman"/>
          <w:sz w:val="22"/>
          <w:szCs w:val="22"/>
          <w:smallCaps w:val="0"/>
          <w:caps w:val="0"/>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ARR for performance reports: ARR can be used for non-financial stakeholders when wanting to give a more simplified view of profitability – without making the final investment decision.</w:t>
      </w:r>
    </w:p>
    <w:p>
      <w:r>
        <w:br/>
      </w:r>
    </w:p>
    <w:p/>
    <w:p/>
    <w:p/>
    <w:p/>
    <w:p/>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r>
    </w:p>
    <w:p>
      <w:r>
        <w:rPr>
          <w:b/>
          <w:i w:val="0"/>
          <w:u w:val="none"/>
          <w:strike w:val="0"/>
          <w:dstrike w:val="0"/>
          <w:color w:val="000000"/>
          <w:rFonts w:ascii="Times New Roman"/>
          <w:sz w:val="24"/>
          <w:smallCaps w:val="0"/>
          <w:caps w:val="0"/>
          <w:shd w:fill="auto"/>
          <w:vanish w:val="0"/>
        </w:rPr>
        <w:t>References</w:t>
      </w:r>
      <w:r>
        <w:rPr>
          <w:b w:val="0"/>
          <w:i w:val="0"/>
          <w:u w:val="none"/>
          <w:strike w:val="0"/>
          <w:dstrike w:val="0"/>
          <w:color w:val="000000"/>
          <w:rFonts w:ascii="Times New Roman"/>
          <w:sz w:val="22"/>
          <w:smallCaps w:val="0"/>
          <w:caps w:val="0"/>
          <w:shd w:fill="auto"/>
          <w:vanish w:val="0"/>
        </w:rPr>
        <w:t> </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Investopedia (2025) </w:t>
      </w:r>
      <w:r>
        <w:rPr>
          <w:bCs w:val="0"/>
          <w:iCs/>
          <w:b w:val="0"/>
          <w:i/>
          <w:u w:val="none"/>
          <w:strike w:val="0"/>
          <w:dstrike w:val="0"/>
          <w:color w:val="000000"/>
          <w:rFonts w:ascii="Times New Roman" w:hAnsi="Times New Roman"/>
          <w:sz w:val="22"/>
          <w:szCs w:val="22"/>
          <w:smallCaps w:val="0"/>
          <w:caps w:val="0"/>
          <w:shd w:fill="auto" w:color="auto" w:val="clear"/>
          <w:vanish w:val="0"/>
        </w:rPr>
        <w:t>Internal Rate of Return (IRR)</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 https://www.investopedia.com/terms/i/irr.asp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Unilever Plc (2024) </w:t>
      </w:r>
      <w:r>
        <w:rPr>
          <w:bCs w:val="0"/>
          <w:iCs/>
          <w:b w:val="0"/>
          <w:i/>
          <w:u w:val="none"/>
          <w:strike w:val="0"/>
          <w:dstrike w:val="0"/>
          <w:color w:val="000000"/>
          <w:rFonts w:ascii="Times New Roman" w:hAnsi="Times New Roman"/>
          <w:sz w:val="22"/>
          <w:szCs w:val="22"/>
          <w:smallCaps w:val="0"/>
          <w:caps w:val="0"/>
          <w:shd w:fill="auto" w:color="auto" w:val="clear"/>
          <w:vanish w:val="0"/>
        </w:rPr>
        <w:t>Annual Report and Accounts 2024</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"https://www.unilever.com/investor-relations/annual-report-and-accounts/"</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https://www.unilever.com/investor-relations/annual-report-and-accounts/</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Unilever Plc (2023) </w:t>
      </w:r>
      <w:r>
        <w:rPr>
          <w:bCs w:val="0"/>
          <w:iCs/>
          <w:b w:val="0"/>
          <w:i/>
          <w:u w:val="none"/>
          <w:strike w:val="0"/>
          <w:dstrike w:val="0"/>
          <w:color w:val="000000"/>
          <w:rFonts w:ascii="Times New Roman" w:hAnsi="Times New Roman"/>
          <w:sz w:val="22"/>
          <w:szCs w:val="22"/>
          <w:smallCaps w:val="0"/>
          <w:caps w:val="0"/>
          <w:shd w:fill="auto" w:color="auto" w:val="clear"/>
          <w:vanish w:val="0"/>
        </w:rPr>
        <w:t>Sustainability Progress Report</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"https://www.unilever.com/planet-and-society/"</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https://www.unilever.com/planet-and-society/</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Unilever Plc (2024) </w:t>
      </w:r>
      <w:r>
        <w:rPr>
          <w:bCs w:val="0"/>
          <w:iCs/>
          <w:b w:val="0"/>
          <w:i/>
          <w:u w:val="none"/>
          <w:strike w:val="0"/>
          <w:dstrike w:val="0"/>
          <w:color w:val="000000"/>
          <w:rFonts w:ascii="Times New Roman" w:hAnsi="Times New Roman"/>
          <w:sz w:val="22"/>
          <w:szCs w:val="22"/>
          <w:smallCaps w:val="0"/>
          <w:caps w:val="0"/>
          <w:shd w:fill="auto" w:color="auto" w:val="clear"/>
          <w:vanish w:val="0"/>
        </w:rPr>
        <w:t>Form 20-F</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"https://www.unilever.com/investors/"</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https://www.unilever.com/investors/</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Brealey, R.A., Myers, S.C. and Allen, F. (2019) </w:t>
      </w:r>
      <w:r>
        <w:rPr>
          <w:bCs w:val="0"/>
          <w:iCs/>
          <w:b w:val="0"/>
          <w:i/>
          <w:u w:val="none"/>
          <w:strike w:val="0"/>
          <w:dstrike w:val="0"/>
          <w:color w:val="000000"/>
          <w:rFonts w:ascii="Times New Roman" w:hAnsi="Times New Roman"/>
          <w:sz w:val="22"/>
          <w:szCs w:val="22"/>
          <w:smallCaps w:val="0"/>
          <w:caps w:val="0"/>
          <w:shd w:fill="auto" w:color="auto" w:val="clear"/>
          <w:vanish w:val="0"/>
        </w:rPr>
        <w:t>Principles of Corporate Finance</w:t>
      </w:r>
      <w:r>
        <w:rPr>
          <w:bCs w:val="0"/>
          <w:iCs w:val="0"/>
          <w:b w:val="0"/>
          <w:i w:val="0"/>
          <w:u w:val="none"/>
          <w:strike w:val="0"/>
          <w:dstrike w:val="0"/>
          <w:color w:val="000000"/>
          <w:rFonts w:ascii="Times New Roman" w:hAnsi="Times New Roman"/>
          <w:sz w:val="22"/>
          <w:szCs w:val="22"/>
          <w:smallCaps w:val="0"/>
          <w:caps w:val="0"/>
          <w:shd w:fill="auto" w:color="auto" w:val="clear"/>
          <w:vanish w:val="0"/>
        </w:rPr>
        <w:t>. 13th edn. New York: McGraw-Hill Education.</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Ross, S.A., Westerfield, R.W. and Jordan, B.D. (2018) </w:t>
      </w:r>
      <w:r>
        <w:rPr>
          <w:bCs w:val="0"/>
          <w:iCs/>
          <w:b w:val="0"/>
          <w:i/>
          <w:u w:val="none"/>
          <w:strike w:val="0"/>
          <w:dstrike w:val="0"/>
          <w:color w:val="000000"/>
          <w:rFonts w:ascii="Times New Roman" w:hAnsi="Times New Roman"/>
          <w:sz w:val="22"/>
          <w:szCs w:val="22"/>
          <w:smallCaps w:val="0"/>
          <w:caps w:val="0"/>
          <w:shd w:fill="auto" w:color="auto" w:val="clear"/>
          <w:vanish w:val="0"/>
        </w:rPr>
        <w:t>Fundamentals of Corporate Finance</w:t>
      </w:r>
      <w:r>
        <w:rPr>
          <w:bCs w:val="0"/>
          <w:iCs w:val="0"/>
          <w:b w:val="0"/>
          <w:i w:val="0"/>
          <w:u w:val="none"/>
          <w:strike w:val="0"/>
          <w:dstrike w:val="0"/>
          <w:color w:val="000000"/>
          <w:rFonts w:ascii="Times New Roman" w:hAnsi="Times New Roman"/>
          <w:sz w:val="22"/>
          <w:szCs w:val="22"/>
          <w:smallCaps w:val="0"/>
          <w:caps w:val="0"/>
          <w:shd w:fill="auto" w:color="auto" w:val="clear"/>
          <w:vanish w:val="0"/>
        </w:rPr>
        <w:t>. 12th edn. New York: McGraw-Hill Education.</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Atrill, P. and McLaney, E. (2020) </w:t>
      </w:r>
      <w:r>
        <w:rPr>
          <w:bCs w:val="0"/>
          <w:iCs/>
          <w:b w:val="0"/>
          <w:i/>
          <w:u w:val="none"/>
          <w:strike w:val="0"/>
          <w:dstrike w:val="0"/>
          <w:color w:val="000000"/>
          <w:rFonts w:ascii="Times New Roman" w:hAnsi="Times New Roman"/>
          <w:sz w:val="22"/>
          <w:szCs w:val="22"/>
          <w:smallCaps w:val="0"/>
          <w:caps w:val="0"/>
          <w:shd w:fill="auto" w:color="auto" w:val="clear"/>
          <w:vanish w:val="0"/>
        </w:rPr>
        <w:t>Accounting and Finance for Non-Specialists</w:t>
      </w:r>
      <w:r>
        <w:rPr>
          <w:bCs w:val="0"/>
          <w:iCs w:val="0"/>
          <w:b w:val="0"/>
          <w:i w:val="0"/>
          <w:u w:val="none"/>
          <w:strike w:val="0"/>
          <w:dstrike w:val="0"/>
          <w:color w:val="000000"/>
          <w:rFonts w:ascii="Times New Roman" w:hAnsi="Times New Roman"/>
          <w:sz w:val="22"/>
          <w:szCs w:val="22"/>
          <w:smallCaps w:val="0"/>
          <w:caps w:val="0"/>
          <w:shd w:fill="auto" w:color="auto" w:val="clear"/>
          <w:vanish w:val="0"/>
        </w:rPr>
        <w:t>. 11th edn. Harlow: Pearson Education.</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Arnold, G. (2013) </w:t>
      </w:r>
      <w:r>
        <w:rPr>
          <w:bCs w:val="0"/>
          <w:iCs/>
          <w:b w:val="0"/>
          <w:i/>
          <w:u w:val="none"/>
          <w:strike w:val="0"/>
          <w:dstrike w:val="0"/>
          <w:color w:val="000000"/>
          <w:rFonts w:ascii="Times New Roman" w:hAnsi="Times New Roman"/>
          <w:sz w:val="22"/>
          <w:szCs w:val="22"/>
          <w:smallCaps w:val="0"/>
          <w:caps w:val="0"/>
          <w:shd w:fill="auto" w:color="auto" w:val="clear"/>
          <w:vanish w:val="0"/>
        </w:rPr>
        <w:t>Corporate Financial Management</w:t>
      </w:r>
      <w:r>
        <w:rPr>
          <w:bCs w:val="0"/>
          <w:iCs w:val="0"/>
          <w:b w:val="0"/>
          <w:i w:val="0"/>
          <w:u w:val="none"/>
          <w:strike w:val="0"/>
          <w:dstrike w:val="0"/>
          <w:color w:val="000000"/>
          <w:rFonts w:ascii="Times New Roman" w:hAnsi="Times New Roman"/>
          <w:sz w:val="22"/>
          <w:szCs w:val="22"/>
          <w:smallCaps w:val="0"/>
          <w:caps w:val="0"/>
          <w:shd w:fill="auto" w:color="auto" w:val="clear"/>
          <w:vanish w:val="0"/>
        </w:rPr>
        <w:t>. 5th edn. Harlow: Pearson Education.</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Peterson, P.P. and Fabozzi, F.J. (2018) </w:t>
      </w:r>
      <w:r>
        <w:rPr>
          <w:bCs w:val="0"/>
          <w:iCs/>
          <w:b w:val="0"/>
          <w:i/>
          <w:u w:val="none"/>
          <w:strike w:val="0"/>
          <w:dstrike w:val="0"/>
          <w:color w:val="000000"/>
          <w:rFonts w:ascii="Times New Roman" w:hAnsi="Times New Roman"/>
          <w:sz w:val="22"/>
          <w:szCs w:val="22"/>
          <w:smallCaps w:val="0"/>
          <w:caps w:val="0"/>
          <w:shd w:fill="auto" w:color="auto" w:val="clear"/>
          <w:vanish w:val="0"/>
        </w:rPr>
        <w:t>Capital Budgeting: Theory and Practice</w:t>
      </w:r>
      <w:r>
        <w:rPr>
          <w:bCs w:val="0"/>
          <w:iCs w:val="0"/>
          <w:b w:val="0"/>
          <w:i w:val="0"/>
          <w:u w:val="none"/>
          <w:strike w:val="0"/>
          <w:dstrike w:val="0"/>
          <w:color w:val="000000"/>
          <w:rFonts w:ascii="Times New Roman" w:hAnsi="Times New Roman"/>
          <w:sz w:val="22"/>
          <w:szCs w:val="22"/>
          <w:smallCaps w:val="0"/>
          <w:caps w:val="0"/>
          <w:shd w:fill="auto" w:color="auto" w:val="clear"/>
          <w:vanish w:val="0"/>
        </w:rPr>
        <w:t>. Hoboken: Wiley.</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Brigham, E.F. and Ehrhardt, M.C. (2020) </w:t>
      </w:r>
      <w:r>
        <w:rPr>
          <w:bCs w:val="0"/>
          <w:iCs/>
          <w:b w:val="0"/>
          <w:i/>
          <w:u w:val="none"/>
          <w:strike w:val="0"/>
          <w:dstrike w:val="0"/>
          <w:color w:val="000000"/>
          <w:rFonts w:ascii="Times New Roman" w:hAnsi="Times New Roman"/>
          <w:sz w:val="22"/>
          <w:szCs w:val="22"/>
          <w:smallCaps w:val="0"/>
          <w:caps w:val="0"/>
          <w:shd w:fill="auto" w:color="auto" w:val="clear"/>
          <w:vanish w:val="0"/>
        </w:rPr>
        <w:t>Financial Management: Theory and Practice</w:t>
      </w:r>
      <w:r>
        <w:rPr>
          <w:bCs w:val="0"/>
          <w:iCs w:val="0"/>
          <w:b w:val="0"/>
          <w:i w:val="0"/>
          <w:u w:val="none"/>
          <w:strike w:val="0"/>
          <w:dstrike w:val="0"/>
          <w:color w:val="000000"/>
          <w:rFonts w:ascii="Times New Roman" w:hAnsi="Times New Roman"/>
          <w:sz w:val="22"/>
          <w:szCs w:val="22"/>
          <w:smallCaps w:val="0"/>
          <w:caps w:val="0"/>
          <w:shd w:fill="auto" w:color="auto" w:val="clear"/>
          <w:vanish w:val="0"/>
        </w:rPr>
        <w:t>. 16th edn. Boston: Cengage Learning.</w:t>
      </w: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Damodaran, A. (2012) </w:t>
      </w:r>
      <w:r>
        <w:rPr>
          <w:bCs w:val="0"/>
          <w:iCs/>
          <w:b w:val="0"/>
          <w:i/>
          <w:u w:val="none"/>
          <w:strike w:val="0"/>
          <w:dstrike w:val="0"/>
          <w:color w:val="000000"/>
          <w:rFonts w:ascii="Times New Roman" w:hAnsi="Times New Roman"/>
          <w:sz w:val="22"/>
          <w:szCs w:val="22"/>
          <w:smallCaps w:val="0"/>
          <w:caps w:val="0"/>
          <w:shd w:fill="auto" w:color="auto" w:val="clear"/>
          <w:vanish w:val="0"/>
        </w:rPr>
        <w:t>Investment Valuation</w:t>
      </w:r>
      <w:r>
        <w:rPr>
          <w:bCs w:val="0"/>
          <w:iCs w:val="0"/>
          <w:b w:val="0"/>
          <w:i w:val="0"/>
          <w:u w:val="none"/>
          <w:strike w:val="0"/>
          <w:dstrike w:val="0"/>
          <w:color w:val="000000"/>
          <w:rFonts w:ascii="Times New Roman" w:hAnsi="Times New Roman"/>
          <w:sz w:val="22"/>
          <w:szCs w:val="22"/>
          <w:smallCaps w:val="0"/>
          <w:caps w:val="0"/>
          <w:shd w:fill="auto" w:color="auto" w:val="clear"/>
          <w:vanish w:val="0"/>
        </w:rPr>
        <w:t>. 3rd edn. Hoboken: Wiley.</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Pike, R. and Neale, B. (2009) </w:t>
      </w:r>
      <w:r>
        <w:rPr>
          <w:bCs w:val="0"/>
          <w:iCs/>
          <w:b w:val="0"/>
          <w:i/>
          <w:u w:val="none"/>
          <w:strike w:val="0"/>
          <w:dstrike w:val="0"/>
          <w:color w:val="000000"/>
          <w:rFonts w:ascii="Times New Roman" w:hAnsi="Times New Roman"/>
          <w:sz w:val="22"/>
          <w:szCs w:val="22"/>
          <w:smallCaps w:val="0"/>
          <w:caps w:val="0"/>
          <w:shd w:fill="auto" w:color="auto" w:val="clear"/>
          <w:vanish w:val="0"/>
        </w:rPr>
        <w:t>Corporate Finance and Investment</w:t>
      </w:r>
      <w:r>
        <w:rPr>
          <w:bCs w:val="0"/>
          <w:iCs w:val="0"/>
          <w:b w:val="0"/>
          <w:i w:val="0"/>
          <w:u w:val="none"/>
          <w:strike w:val="0"/>
          <w:dstrike w:val="0"/>
          <w:color w:val="000000"/>
          <w:rFonts w:ascii="Times New Roman" w:hAnsi="Times New Roman"/>
          <w:sz w:val="22"/>
          <w:szCs w:val="22"/>
          <w:smallCaps w:val="0"/>
          <w:caps w:val="0"/>
          <w:shd w:fill="auto" w:color="auto" w:val="clear"/>
          <w:vanish w:val="0"/>
        </w:rPr>
        <w:t>. 6th edn. Harlow: Pearson.</w:t>
      </w: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Grant, R.M. (2020) </w:t>
      </w:r>
      <w:r>
        <w:rPr>
          <w:bCs w:val="0"/>
          <w:iCs/>
          <w:b w:val="0"/>
          <w:i/>
          <w:u w:val="none"/>
          <w:strike w:val="0"/>
          <w:dstrike w:val="0"/>
          <w:color w:val="000000"/>
          <w:rFonts w:ascii="Times New Roman" w:hAnsi="Times New Roman"/>
          <w:sz w:val="22"/>
          <w:szCs w:val="22"/>
          <w:smallCaps w:val="0"/>
          <w:caps w:val="0"/>
          <w:shd w:fill="auto" w:color="auto" w:val="clear"/>
          <w:vanish w:val="0"/>
        </w:rPr>
        <w:t>Contemporary Strategy Analysis</w:t>
      </w:r>
      <w:r>
        <w:rPr>
          <w:bCs w:val="0"/>
          <w:iCs w:val="0"/>
          <w:b w:val="0"/>
          <w:i w:val="0"/>
          <w:u w:val="none"/>
          <w:strike w:val="0"/>
          <w:dstrike w:val="0"/>
          <w:color w:val="000000"/>
          <w:rFonts w:ascii="Times New Roman" w:hAnsi="Times New Roman"/>
          <w:sz w:val="22"/>
          <w:szCs w:val="22"/>
          <w:smallCaps w:val="0"/>
          <w:caps w:val="0"/>
          <w:shd w:fill="auto" w:color="auto" w:val="clear"/>
          <w:vanish w:val="0"/>
        </w:rPr>
        <w:t>. 10th edn. Oxford: Wiley-Blackwell.</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 w:val="0"/>
          <w:i w:val="0"/>
          <w:u w:val="none"/>
          <w:strike w:val="0"/>
          <w:dstrike w:val="0"/>
          <w:color w:val="000000"/>
          <w:rFonts w:ascii="Times New Roman" w:hAnsi="Times New Roman"/>
          <w:sz w:val="22"/>
          <w:szCs w:val="22"/>
          <w:smallCaps w:val="0"/>
          <w:caps w:val="0"/>
          <w:shd w:fill="auto" w:color="auto" w:val="clear"/>
          <w:vanish w:val="0"/>
        </w:rPr>
        <w:br/>
      </w:r>
      <w:r>
        <w:rPr>
          <w:b w:val="0"/>
          <w:i w:val="0"/>
          <w:u w:val="none"/>
          <w:strike w:val="0"/>
          <w:dstrike w:val="0"/>
          <w:color w:val="000000"/>
          <w:rFonts w:ascii="Times New Roman" w:hAnsi="Times New Roman"/>
          <w:sz w:val="22"/>
          <w:szCs w:val="22"/>
          <w:smallCaps w:val="0"/>
          <w:caps w:val="0"/>
          <w:shd w:fill="auto" w:color="auto" w:val="clear"/>
          <w:vanish w:val="0"/>
        </w:rPr>
        <w:t xml:space="preserve">Johnson, G., Scholes, K. and Whittington, R. (2017) </w:t>
      </w:r>
      <w:r>
        <w:rPr>
          <w:bCs w:val="0"/>
          <w:iCs/>
          <w:b w:val="0"/>
          <w:i/>
          <w:u w:val="none"/>
          <w:strike w:val="0"/>
          <w:dstrike w:val="0"/>
          <w:color w:val="000000"/>
          <w:rFonts w:ascii="Times New Roman" w:hAnsi="Times New Roman"/>
          <w:sz w:val="22"/>
          <w:szCs w:val="22"/>
          <w:smallCaps w:val="0"/>
          <w:caps w:val="0"/>
          <w:shd w:fill="auto" w:color="auto" w:val="clear"/>
          <w:vanish w:val="0"/>
        </w:rPr>
        <w:t>Exploring Strategy</w:t>
      </w:r>
      <w:r>
        <w:rPr>
          <w:bCs w:val="0"/>
          <w:iCs w:val="0"/>
          <w:b w:val="0"/>
          <w:i w:val="0"/>
          <w:u w:val="none"/>
          <w:strike w:val="0"/>
          <w:dstrike w:val="0"/>
          <w:color w:val="000000"/>
          <w:rFonts w:ascii="Times New Roman" w:hAnsi="Times New Roman"/>
          <w:sz w:val="22"/>
          <w:szCs w:val="22"/>
          <w:smallCaps w:val="0"/>
          <w:caps w:val="0"/>
          <w:shd w:fill="auto" w:color="auto" w:val="clear"/>
          <w:vanish w:val="0"/>
        </w:rPr>
        <w:t>. 11th edn. Harlow: Pearson.</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Investopedia (2025) </w:t>
      </w:r>
      <w:r>
        <w:rPr>
          <w:bCs w:val="0"/>
          <w:iCs/>
          <w:b w:val="0"/>
          <w:i/>
          <w:u w:val="none"/>
          <w:strike w:val="0"/>
          <w:dstrike w:val="0"/>
          <w:color w:val="000000"/>
          <w:rFonts w:ascii="Times New Roman" w:hAnsi="Times New Roman"/>
          <w:sz w:val="22"/>
          <w:szCs w:val="22"/>
          <w:smallCaps w:val="0"/>
          <w:caps w:val="0"/>
          <w:shd w:fill="auto" w:color="auto" w:val="clear"/>
          <w:vanish w:val="0"/>
        </w:rPr>
        <w:t>Net Present Value (NPV)</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 https://www.investopedia.com/terms/n/npv.asp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Investopedia (2025) </w:t>
      </w:r>
      <w:r>
        <w:rPr>
          <w:bCs w:val="0"/>
          <w:iCs/>
          <w:b w:val="0"/>
          <w:i/>
          <w:u w:val="none"/>
          <w:strike w:val="0"/>
          <w:dstrike w:val="0"/>
          <w:color w:val="000000"/>
          <w:rFonts w:ascii="Times New Roman" w:hAnsi="Times New Roman"/>
          <w:sz w:val="22"/>
          <w:szCs w:val="22"/>
          <w:smallCaps w:val="0"/>
          <w:caps w:val="0"/>
          <w:shd w:fill="auto" w:color="auto" w:val="clear"/>
          <w:vanish w:val="0"/>
        </w:rPr>
        <w:t>Payback Period</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 https://www.investopedia.com/terms/p/paybackperiod.asp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Investopedia (2025) </w:t>
      </w:r>
      <w:r>
        <w:rPr>
          <w:bCs w:val="0"/>
          <w:iCs/>
          <w:b w:val="0"/>
          <w:i/>
          <w:u w:val="none"/>
          <w:strike w:val="0"/>
          <w:dstrike w:val="0"/>
          <w:color w:val="000000"/>
          <w:rFonts w:ascii="Times New Roman" w:hAnsi="Times New Roman"/>
          <w:sz w:val="22"/>
          <w:szCs w:val="22"/>
          <w:smallCaps w:val="0"/>
          <w:caps w:val="0"/>
          <w:shd w:fill="auto" w:color="auto" w:val="clear"/>
          <w:vanish w:val="0"/>
        </w:rPr>
        <w:t>Accounting Rate of Return</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 https://www.investopedia.com/terms/a/arr.asp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Statistista (2024) Global FMCG market Overview. Hamburg : statista GmbH.</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Euromonitor International (2024) Fast- Moving Consumer Goods Industry analysis. London : Euromonitor </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Euromonitor International (2024) </w:t>
      </w:r>
      <w:r>
        <w:rPr>
          <w:bCs w:val="0"/>
          <w:iCs/>
          <w:b w:val="0"/>
          <w:i/>
          <w:u w:val="none"/>
          <w:strike w:val="0"/>
          <w:dstrike w:val="0"/>
          <w:color w:val="000000"/>
          <w:rFonts w:ascii="Times New Roman" w:hAnsi="Times New Roman"/>
          <w:sz w:val="22"/>
          <w:szCs w:val="22"/>
          <w:smallCaps w:val="0"/>
          <w:caps w:val="0"/>
          <w:shd w:fill="auto" w:color="auto" w:val="clear"/>
          <w:vanish w:val="0"/>
        </w:rPr>
        <w:t>FMCG Industry Analysis</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"https://www.euromonitor.com"</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https://www.euromonitor.com</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Deloitte (2024) </w:t>
      </w:r>
      <w:r>
        <w:rPr>
          <w:bCs w:val="0"/>
          <w:iCs/>
          <w:b w:val="0"/>
          <w:i/>
          <w:u w:val="none"/>
          <w:strike w:val="0"/>
          <w:dstrike w:val="0"/>
          <w:color w:val="000000"/>
          <w:rFonts w:ascii="Times New Roman" w:hAnsi="Times New Roman"/>
          <w:sz w:val="22"/>
          <w:szCs w:val="22"/>
          <w:smallCaps w:val="0"/>
          <w:caps w:val="0"/>
          <w:shd w:fill="auto" w:color="auto" w:val="clear"/>
          <w:vanish w:val="0"/>
        </w:rPr>
        <w:t>Consumer Products Industry Outlook</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"https://www.deloitte.com"</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https://www.deloitte.com</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PwC (2024) </w:t>
      </w:r>
      <w:r>
        <w:rPr>
          <w:bCs w:val="0"/>
          <w:iCs/>
          <w:b w:val="0"/>
          <w:i/>
          <w:u w:val="none"/>
          <w:strike w:val="0"/>
          <w:dstrike w:val="0"/>
          <w:color w:val="000000"/>
          <w:rFonts w:ascii="Times New Roman" w:hAnsi="Times New Roman"/>
          <w:sz w:val="22"/>
          <w:szCs w:val="22"/>
          <w:smallCaps w:val="0"/>
          <w:caps w:val="0"/>
          <w:shd w:fill="auto" w:color="auto" w:val="clear"/>
          <w:vanish w:val="0"/>
        </w:rPr>
        <w:t>Global Consumer Markets Report</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"https://www.pwc.com"</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https://www.pwc.com</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McKinsey &amp; Company (2024) </w:t>
      </w:r>
      <w:r>
        <w:rPr>
          <w:bCs w:val="0"/>
          <w:iCs/>
          <w:b w:val="0"/>
          <w:i/>
          <w:u w:val="none"/>
          <w:strike w:val="0"/>
          <w:dstrike w:val="0"/>
          <w:color w:val="000000"/>
          <w:rFonts w:ascii="Times New Roman" w:hAnsi="Times New Roman"/>
          <w:sz w:val="22"/>
          <w:szCs w:val="22"/>
          <w:smallCaps w:val="0"/>
          <w:caps w:val="0"/>
          <w:shd w:fill="auto" w:color="auto" w:val="clear"/>
          <w:vanish w:val="0"/>
        </w:rPr>
        <w:t>Digital Transformation in FMCG</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"https://www.mckinsey.com"</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https://www.mckinsey.com</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Freeman, R.E. (1984) </w:t>
      </w:r>
      <w:r>
        <w:rPr>
          <w:bCs w:val="0"/>
          <w:iCs/>
          <w:b w:val="0"/>
          <w:i/>
          <w:u w:val="none"/>
          <w:strike w:val="0"/>
          <w:dstrike w:val="0"/>
          <w:color w:val="000000"/>
          <w:rFonts w:ascii="Times New Roman" w:hAnsi="Times New Roman"/>
          <w:sz w:val="22"/>
          <w:szCs w:val="22"/>
          <w:smallCaps w:val="0"/>
          <w:caps w:val="0"/>
          <w:shd w:fill="auto" w:color="auto" w:val="clear"/>
          <w:vanish w:val="0"/>
        </w:rPr>
        <w:t>Strategic Management: A Stakeholder Approach</w:t>
      </w:r>
      <w:r>
        <w:rPr>
          <w:bCs w:val="0"/>
          <w:iCs w:val="0"/>
          <w:b w:val="0"/>
          <w:i w:val="0"/>
          <w:u w:val="none"/>
          <w:strike w:val="0"/>
          <w:dstrike w:val="0"/>
          <w:color w:val="000000"/>
          <w:rFonts w:ascii="Times New Roman" w:hAnsi="Times New Roman"/>
          <w:sz w:val="22"/>
          <w:szCs w:val="22"/>
          <w:smallCaps w:val="0"/>
          <w:caps w:val="0"/>
          <w:shd w:fill="auto" w:color="auto" w:val="clear"/>
          <w:vanish w:val="0"/>
        </w:rPr>
        <w:t>. Boston: Pitman.</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International Labour Organization (ILO) (2023) </w:t>
      </w:r>
      <w:r>
        <w:rPr>
          <w:bCs w:val="0"/>
          <w:iCs/>
          <w:b w:val="0"/>
          <w:i/>
          <w:u w:val="none"/>
          <w:strike w:val="0"/>
          <w:dstrike w:val="0"/>
          <w:color w:val="000000"/>
          <w:rFonts w:ascii="Times New Roman" w:hAnsi="Times New Roman"/>
          <w:sz w:val="22"/>
          <w:szCs w:val="22"/>
          <w:smallCaps w:val="0"/>
          <w:caps w:val="0"/>
          <w:shd w:fill="auto" w:color="auto" w:val="clear"/>
          <w:vanish w:val="0"/>
        </w:rPr>
        <w:t>Global Employment Trends</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"https://www.ilo.org"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https://www.ilo.org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2026).OECD (2024) </w:t>
      </w:r>
      <w:r>
        <w:rPr>
          <w:bCs w:val="0"/>
          <w:iCs/>
          <w:b w:val="0"/>
          <w:i/>
          <w:u w:val="none"/>
          <w:strike w:val="0"/>
          <w:dstrike w:val="0"/>
          <w:color w:val="000000"/>
          <w:rFonts w:ascii="Times New Roman" w:hAnsi="Times New Roman"/>
          <w:sz w:val="22"/>
          <w:szCs w:val="22"/>
          <w:smallCaps w:val="0"/>
          <w:caps w:val="0"/>
          <w:shd w:fill="auto" w:color="auto" w:val="clear"/>
          <w:vanish w:val="0"/>
        </w:rPr>
        <w:t>Responsible Business Conduct</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"https://www.oecd.org"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https://www.oecd.org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OECD (2023) </w:t>
      </w:r>
      <w:r>
        <w:rPr>
          <w:bCs w:val="0"/>
          <w:iCs/>
          <w:b w:val="0"/>
          <w:i/>
          <w:u w:val="none"/>
          <w:strike w:val="0"/>
          <w:dstrike w:val="0"/>
          <w:color w:val="000000"/>
          <w:rFonts w:ascii="Times New Roman" w:hAnsi="Times New Roman"/>
          <w:sz w:val="22"/>
          <w:szCs w:val="22"/>
          <w:smallCaps w:val="0"/>
          <w:caps w:val="0"/>
          <w:shd w:fill="auto" w:color="auto" w:val="clear"/>
          <w:vanish w:val="0"/>
        </w:rPr>
        <w:t>Corporate Governance Factbook</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"https://www.oecd.org"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https://www.oecd.org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UK Government (2024) </w:t>
      </w:r>
      <w:r>
        <w:rPr>
          <w:bCs w:val="0"/>
          <w:iCs/>
          <w:b w:val="0"/>
          <w:i/>
          <w:u w:val="none"/>
          <w:strike w:val="0"/>
          <w:dstrike w:val="0"/>
          <w:color w:val="000000"/>
          <w:rFonts w:ascii="Times New Roman" w:hAnsi="Times New Roman"/>
          <w:sz w:val="22"/>
          <w:szCs w:val="22"/>
          <w:smallCaps w:val="0"/>
          <w:caps w:val="0"/>
          <w:shd w:fill="auto" w:color="auto" w:val="clear"/>
          <w:vanish w:val="0"/>
        </w:rPr>
        <w:t>Companies Act 2006</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"https://www.legislation.gov.uk"</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https://www.legislation.gov.uk</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HM Treasury (2024) </w:t>
      </w:r>
      <w:r>
        <w:rPr>
          <w:bCs w:val="0"/>
          <w:iCs/>
          <w:b w:val="0"/>
          <w:i/>
          <w:u w:val="none"/>
          <w:strike w:val="0"/>
          <w:dstrike w:val="0"/>
          <w:color w:val="000000"/>
          <w:rFonts w:ascii="Times New Roman" w:hAnsi="Times New Roman"/>
          <w:sz w:val="22"/>
          <w:szCs w:val="22"/>
          <w:smallCaps w:val="0"/>
          <w:caps w:val="0"/>
          <w:shd w:fill="auto" w:color="auto" w:val="clear"/>
          <w:vanish w:val="0"/>
        </w:rPr>
        <w:t>UK Corporate Taxation</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"https://www.gov.uk"</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https://www.gov.uk</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World Bank (2023) </w:t>
      </w:r>
      <w:r>
        <w:rPr>
          <w:bCs w:val="0"/>
          <w:iCs/>
          <w:b w:val="0"/>
          <w:i/>
          <w:u w:val="none"/>
          <w:strike w:val="0"/>
          <w:dstrike w:val="0"/>
          <w:color w:val="000000"/>
          <w:rFonts w:ascii="Times New Roman" w:hAnsi="Times New Roman"/>
          <w:sz w:val="22"/>
          <w:szCs w:val="22"/>
          <w:smallCaps w:val="0"/>
          <w:caps w:val="0"/>
          <w:shd w:fill="auto" w:color="auto" w:val="clear"/>
          <w:vanish w:val="0"/>
        </w:rPr>
        <w:t>Regulatory Quality Indicators</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"https://www.worldbank.org"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https://www.worldbank.org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Porter, M.E. (2008) ‘The five competitive forces’, </w:t>
      </w:r>
      <w:r>
        <w:rPr>
          <w:bCs w:val="0"/>
          <w:iCs/>
          <w:b w:val="0"/>
          <w:i/>
          <w:u w:val="none"/>
          <w:strike w:val="0"/>
          <w:dstrike w:val="0"/>
          <w:color w:val="000000"/>
          <w:rFonts w:ascii="Times New Roman" w:hAnsi="Times New Roman"/>
          <w:sz w:val="22"/>
          <w:szCs w:val="22"/>
          <w:smallCaps w:val="0"/>
          <w:caps w:val="0"/>
          <w:shd w:fill="auto" w:color="auto" w:val="clear"/>
          <w:vanish w:val="0"/>
        </w:rPr>
        <w:t>Harvard Business Review</w:t>
      </w:r>
      <w:r>
        <w:rPr>
          <w:bCs w:val="0"/>
          <w:iCs w:val="0"/>
          <w:b w:val="0"/>
          <w:i w:val="0"/>
          <w:u w:val="none"/>
          <w:strike w:val="0"/>
          <w:dstrike w:val="0"/>
          <w:color w:val="000000"/>
          <w:rFonts w:ascii="Times New Roman" w:hAnsi="Times New Roman"/>
          <w:sz w:val="22"/>
          <w:szCs w:val="22"/>
          <w:smallCaps w:val="0"/>
          <w:caps w:val="0"/>
          <w:shd w:fill="auto" w:color="auto" w:val="clear"/>
          <w:vanish w:val="0"/>
        </w:rPr>
        <w:t>, 86(1), pp. 78–93.</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Porter, M.E. and Kramer, M.R. (2011) ‘Creating shared value’, </w:t>
      </w:r>
      <w:r>
        <w:rPr>
          <w:bCs w:val="0"/>
          <w:iCs/>
          <w:b w:val="0"/>
          <w:i/>
          <w:u w:val="none"/>
          <w:strike w:val="0"/>
          <w:dstrike w:val="0"/>
          <w:color w:val="000000"/>
          <w:rFonts w:ascii="Times New Roman" w:hAnsi="Times New Roman"/>
          <w:sz w:val="22"/>
          <w:szCs w:val="22"/>
          <w:smallCaps w:val="0"/>
          <w:caps w:val="0"/>
          <w:shd w:fill="auto" w:color="auto" w:val="clear"/>
          <w:vanish w:val="0"/>
        </w:rPr>
        <w:t>Harvard Business Review</w:t>
      </w:r>
      <w:r>
        <w:rPr>
          <w:bCs w:val="0"/>
          <w:iCs w:val="0"/>
          <w:b w:val="0"/>
          <w:i w:val="0"/>
          <w:u w:val="none"/>
          <w:strike w:val="0"/>
          <w:dstrike w:val="0"/>
          <w:color w:val="000000"/>
          <w:rFonts w:ascii="Times New Roman" w:hAnsi="Times New Roman"/>
          <w:sz w:val="22"/>
          <w:szCs w:val="22"/>
          <w:smallCaps w:val="0"/>
          <w:caps w:val="0"/>
          <w:shd w:fill="auto" w:color="auto" w:val="clear"/>
          <w:vanish w:val="0"/>
        </w:rPr>
        <w:t>, 89(1), pp. 62–77.</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World Economic Forum (2024) </w:t>
      </w:r>
      <w:r>
        <w:rPr>
          <w:bCs w:val="0"/>
          <w:iCs/>
          <w:b w:val="0"/>
          <w:i/>
          <w:u w:val="none"/>
          <w:strike w:val="0"/>
          <w:dstrike w:val="0"/>
          <w:color w:val="000000"/>
          <w:rFonts w:ascii="Times New Roman" w:hAnsi="Times New Roman"/>
          <w:sz w:val="22"/>
          <w:szCs w:val="22"/>
          <w:smallCaps w:val="0"/>
          <w:caps w:val="0"/>
          <w:shd w:fill="auto" w:color="auto" w:val="clear"/>
          <w:vanish w:val="0"/>
        </w:rPr>
        <w:t>Global Risk Report</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"https://www.weforum.org"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https://www.weforum.org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Pr>
        <w:bidi w:val="0"/>
        <w:pBdr>
          <w:top w:val="nil" w:sz="0" w:color="auto" w:space="0"/>
          <w:bottom w:val="nil" w:sz="0" w:color="auto" w:space="0"/>
          <w:left w:val="nil" w:sz="0" w:color="auto" w:space="0"/>
          <w:right w:val="nil" w:sz="0" w:color="auto" w:space="0"/>
        </w:pBdr>
        <w:pStyle w:val="23"/>
        <w:spacing w:before="240" w:beforeAutospacing="0" w:after="24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United Nations (2023) </w:t>
      </w:r>
      <w:r>
        <w:rPr>
          <w:bCs w:val="0"/>
          <w:iCs/>
          <w:b w:val="0"/>
          <w:i/>
          <w:u w:val="none"/>
          <w:strike w:val="0"/>
          <w:dstrike w:val="0"/>
          <w:color w:val="000000"/>
          <w:rFonts w:ascii="Times New Roman" w:hAnsi="Times New Roman"/>
          <w:sz w:val="22"/>
          <w:szCs w:val="22"/>
          <w:smallCaps w:val="0"/>
          <w:caps w:val="0"/>
          <w:shd w:fill="auto" w:color="auto" w:val="clear"/>
          <w:vanish w:val="0"/>
        </w:rPr>
        <w:t>Sustainable Development Goals Report</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"https://www.un.org"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https://www.un.org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Carroll, A.B. (1991) ‘The pyramid of corporate social responsibility’, </w:t>
      </w:r>
      <w:r>
        <w:rPr>
          <w:bCs w:val="0"/>
          <w:iCs/>
          <w:b w:val="0"/>
          <w:i/>
          <w:u w:val="none"/>
          <w:strike w:val="0"/>
          <w:dstrike w:val="0"/>
          <w:color w:val="000000"/>
          <w:rFonts w:ascii="Times New Roman" w:hAnsi="Times New Roman"/>
          <w:sz w:val="22"/>
          <w:szCs w:val="22"/>
          <w:smallCaps w:val="0"/>
          <w:caps w:val="0"/>
          <w:shd w:fill="auto" w:color="auto" w:val="clear"/>
          <w:vanish w:val="0"/>
        </w:rPr>
        <w:t>Business Horizons</w:t>
      </w:r>
      <w:r>
        <w:rPr>
          <w:bCs w:val="0"/>
          <w:iCs w:val="0"/>
          <w:b w:val="0"/>
          <w:i w:val="0"/>
          <w:u w:val="none"/>
          <w:strike w:val="0"/>
          <w:dstrike w:val="0"/>
          <w:color w:val="000000"/>
          <w:rFonts w:ascii="Times New Roman" w:hAnsi="Times New Roman"/>
          <w:sz w:val="22"/>
          <w:szCs w:val="22"/>
          <w:smallCaps w:val="0"/>
          <w:caps w:val="0"/>
          <w:shd w:fill="auto" w:color="auto" w:val="clear"/>
          <w:vanish w:val="0"/>
        </w:rPr>
        <w:t>, 34(4), pp. 39–48.</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Crane, A. and Matten, D. (2016) </w:t>
      </w:r>
      <w:r>
        <w:rPr>
          <w:bCs w:val="0"/>
          <w:iCs/>
          <w:b w:val="0"/>
          <w:i/>
          <w:u w:val="none"/>
          <w:strike w:val="0"/>
          <w:dstrike w:val="0"/>
          <w:color w:val="000000"/>
          <w:rFonts w:ascii="Times New Roman" w:hAnsi="Times New Roman"/>
          <w:sz w:val="22"/>
          <w:szCs w:val="22"/>
          <w:smallCaps w:val="0"/>
          <w:caps w:val="0"/>
          <w:shd w:fill="auto" w:color="auto" w:val="clear"/>
          <w:vanish w:val="0"/>
        </w:rPr>
        <w:t>Business Ethics</w:t>
      </w:r>
      <w:r>
        <w:rPr>
          <w:bCs w:val="0"/>
          <w:iCs w:val="0"/>
          <w:b w:val="0"/>
          <w:i w:val="0"/>
          <w:u w:val="none"/>
          <w:strike w:val="0"/>
          <w:dstrike w:val="0"/>
          <w:color w:val="000000"/>
          <w:rFonts w:ascii="Times New Roman" w:hAnsi="Times New Roman"/>
          <w:sz w:val="22"/>
          <w:szCs w:val="22"/>
          <w:smallCaps w:val="0"/>
          <w:caps w:val="0"/>
          <w:shd w:fill="auto" w:color="auto" w:val="clear"/>
          <w:vanish w:val="0"/>
        </w:rPr>
        <w:t>. 4th edn. Oxford: Oxford University Press.</w:t>
      </w:r>
    </w:p>
    <w:p>
      <w:pPr>
        <w:bidi w:val="0"/>
        <w:pBdr>
          <w:top w:val="nil" w:sz="0" w:color="auto" w:space="0"/>
          <w:bottom w:val="nil" w:sz="0" w:color="auto" w:space="0"/>
          <w:left w:val="nil" w:sz="0" w:color="auto" w:space="0"/>
          <w:right w:val="nil" w:sz="0" w:color="auto" w:space="0"/>
        </w:pBdr>
        <w:pStyle w:val="23"/>
        <w:spacing w:before="240" w:beforeAutospacing="0" w:after="0" w:afterAutospacing="0" w:line="26" w:lineRule="atLeast"/>
        <w:rPr>
          <w:vanish w:val="0"/>
        </w:rPr>
      </w:pP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ISO (2018) </w:t>
      </w:r>
      <w:r>
        <w:rPr>
          <w:bCs w:val="0"/>
          <w:iCs/>
          <w:b w:val="0"/>
          <w:i/>
          <w:u w:val="none"/>
          <w:strike w:val="0"/>
          <w:dstrike w:val="0"/>
          <w:color w:val="000000"/>
          <w:rFonts w:ascii="Times New Roman" w:hAnsi="Times New Roman"/>
          <w:sz w:val="22"/>
          <w:szCs w:val="22"/>
          <w:smallCaps w:val="0"/>
          <w:caps w:val="0"/>
          <w:shd w:fill="auto" w:color="auto" w:val="clear"/>
          <w:vanish w:val="0"/>
        </w:rPr>
        <w:t>ISO 26000 Social Responsibility</w:t>
      </w:r>
      <w:r>
        <w:rPr>
          <w:bCs w:val="0"/>
          <w:iCs w:val="0"/>
          <w:b w:val="0"/>
          <w:i w:val="0"/>
          <w:u w:val="none"/>
          <w:strike w:val="0"/>
          <w:dstrike w:val="0"/>
          <w:color w:val="000000"/>
          <w:rFonts w:ascii="Times New Roman" w:hAnsi="Times New Roman"/>
          <w:sz w:val="22"/>
          <w:szCs w:val="22"/>
          <w:smallCaps w:val="0"/>
          <w:caps w:val="0"/>
          <w:shd w:fill="auto" w:color="auto" w:val="clear"/>
          <w:vanish w:val="0"/>
        </w:rPr>
        <w:t>. Available at:</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begin"/>
      </w:r>
      <w:r>
        <w:instrText>HYPERLINK "https://www.iso.org"</w:instrTex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separate"/>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t xml:space="preserve"> </w:t>
      </w:r>
      <w:r>
        <w:rPr>
          <w:bCs w:val="0"/>
          <w:iCs w:val="0"/>
          <w:rStyle w:val="18"/>
          <w:b w:val="0"/>
          <w:i w:val="0"/>
          <w:strike w:val="0"/>
          <w:dstrike w:val="0"/>
          <w:color w:val="1155CC"/>
          <w:rFonts w:ascii="Times New Roman" w:hAnsi="Times New Roman"/>
          <w:sz w:val="22"/>
          <w:szCs w:val="22"/>
          <w:smallCaps w:val="0"/>
          <w:caps w:val="0"/>
          <w:shd w:fill="auto" w:color="auto" w:val="clear"/>
          <w:vanish w:val="0"/>
        </w:rPr>
        <w:t>https://www.iso.org</w:t>
      </w:r>
      <w:r>
        <w:rPr>
          <w:bCs w:val="0"/>
          <w:iCs w:val="0"/>
          <w:rStyle w:val="18"/>
          <w:b w:val="0"/>
          <w:i w:val="0"/>
          <w:u w:val="none"/>
          <w:strike w:val="0"/>
          <w:dstrike w:val="0"/>
          <w:color w:val="000000"/>
          <w:rFonts w:ascii="Times New Roman" w:hAnsi="Times New Roman"/>
          <w:sz w:val="22"/>
          <w:szCs w:val="22"/>
          <w:smallCaps w:val="0"/>
          <w:caps w:val="0"/>
          <w:shd w:fill="auto" w:color="auto" w:val="clear"/>
          <w:vanish w:val="0"/>
        </w:rPr>
        <w:fldChar w:fldCharType="end"/>
      </w:r>
      <w:r>
        <w:rPr>
          <w:bCs w:val="0"/>
          <w:iCs w:val="0"/>
          <w:b w:val="0"/>
          <w:i w:val="0"/>
          <w:u w:val="none"/>
          <w:strike w:val="0"/>
          <w:dstrike w:val="0"/>
          <w:color w:val="000000"/>
          <w:rFonts w:ascii="Times New Roman" w:hAnsi="Times New Roman"/>
          <w:sz w:val="22"/>
          <w:szCs w:val="22"/>
          <w:smallCaps w:val="0"/>
          <w:caps w:val="0"/>
          <w:shd w:fill="auto" w:color="auto" w:val="clear"/>
          <w:vanish w:val="0"/>
        </w:rPr>
        <w:t xml:space="preserve"> (Accessed: 10 January 2026).</w:t>
      </w:r>
    </w:p>
    <w:p>
      <w:r>
        <w:br/>
      </w:r>
    </w:p>
    <w:p>
      <w:r>
        <w:t>Elkington, J. (1997) Cannibals with Forks. Oxford: Capstone.</w:t>
      </w:r>
    </w:p>
    <w:p>
      <w:r/>
    </w:p>
    <w:p>
      <w:r>
        <w:t>OECD (2022) Investment Policy Framework. Available at: https://www.oecd.org</w:t>
      </w:r>
    </w:p>
    <w:p>
      <w:r>
        <w:t xml:space="preserve"> (Accessed: 10 January 2026).</w:t>
      </w:r>
    </w:p>
    <w:p>
      <w:r/>
    </w:p>
    <w:p>
      <w:r>
        <w:t>IFRS Foundation (2023) IFRS Standards. Available at: https://www.ifrs.org</w:t>
      </w:r>
    </w:p>
    <w:p>
      <w:r>
        <w:t xml:space="preserve"> (Accessed: 10 January 2026).</w:t>
      </w:r>
    </w:p>
    <w:p>
      <w:r/>
    </w:p>
    <w:p>
      <w:r>
        <w:t>Bank of England (2024) Interest Rates &amp; Inflation. Available at: https://www.bankofengland.co.uk</w:t>
      </w:r>
    </w:p>
    <w:p>
      <w:pPr>
        <w:rPr>
          <w:i/>
        </w:rPr>
      </w:pPr>
      <w:r>
        <w:rPr>
          <w:i/>
        </w:rPr>
        <w:t xml:space="preserve"> (Accessed: 10 January 2026).</w:t>
      </w:r>
    </w:p>
    <w:p>
      <w:r/>
    </w:p>
    <w:p>
      <w:r>
        <w:t xml:space="preserve">UK Office for National Statistics (2024) </w:t>
      </w:r>
      <w:r>
        <w:rPr>
          <w:i/>
        </w:rPr>
        <w:t xml:space="preserve">Economic Indicators. Available at: </w:t>
      </w:r>
      <w:r>
        <w:t>https://www.ons.gov.uk</w:t>
      </w:r>
    </w:p>
    <w:p>
      <w:r>
        <w:t xml:space="preserve"> </w:t>
      </w:r>
      <w:r>
        <w:rPr>
          <w:i/>
        </w:rPr>
        <w:t>(Accessed: 10 January 2026).</w:t>
      </w:r>
    </w:p>
    <w:p>
      <w:r/>
    </w:p>
    <w:p>
      <w:r>
        <w:t xml:space="preserve">McKinsey Global Institute (2024) </w:t>
      </w:r>
      <w:r>
        <w:rPr>
          <w:i/>
        </w:rPr>
        <w:t xml:space="preserve">Productivity and Growth. Available at: </w:t>
      </w:r>
      <w:r>
        <w:t>https://www.mckinsey.com</w:t>
      </w:r>
    </w:p>
    <w:p>
      <w:pPr>
        <w:rPr>
          <w:i/>
        </w:rPr>
      </w:pPr>
      <w:r>
        <w:rPr>
          <w:i/>
        </w:rPr>
        <w:t xml:space="preserve"> (Accessed: 10 January 2026).</w:t>
      </w:r>
    </w:p>
    <w:p>
      <w:r/>
    </w:p>
    <w:p>
      <w:r>
        <w:t>World Trade Organization (2023) Global Trade Outlook. Available at: https://www.wto.org</w:t>
      </w:r>
    </w:p>
    <w:p>
      <w:pPr>
        <w:rPr>
          <w:i/>
        </w:rPr>
      </w:pPr>
      <w:r>
        <w:rPr>
          <w:i/>
        </w:rPr>
        <w:t xml:space="preserve"> (Accessed: 10 January 2026).</w:t>
      </w:r>
    </w:p>
    <w:p/>
    <w:p/>
    <w:p/>
    <w:p/>
    <w:p/>
    <w:p/>
    <w:p/>
    <w:p/>
    <w:p/>
    <w:p/>
    <w:p/>
    <w:p/>
    <w:p/>
    <w:p/>
    <w:p/>
    <w:p/>
    <w:p/>
    <w:p/>
    <w:p/>
    <w:p/>
    <w:p/>
    <w:p/>
    <w:p/>
    <w:p/>
    <w:p/>
    <w:p/>
    <w:p/>
    <w:p/>
    <w:p>
      <w:pPr>
        <w:pStyle w:val="1"/>
      </w:pPr>
      <w:r>
        <w:t>Bibliography</w:t>
      </w:r>
    </w:p>
    <w:p/>
    <w:p/>
    <w:p/>
    <w:p/>
    <w:p/>
    <w:p/>
    <w:p/>
    <w:p/>
    <w:p/>
    <w:p/>
    <w:p/>
    <w:p/>
    <w:p/>
    <w:p/>
    <w:p/>
    <w:p/>
    <w:p/>
    <w:p/>
    <w:p/>
    <w:p/>
    <w:p/>
    <w:p/>
    <w:p/>
    <w:p/>
    <w:p/>
    <w:p/>
    <w:p/>
    <w:p/>
    <w:p/>
    <w:p/>
    <w:p>
      <w:pPr>
        <w:pStyle w:val="1"/>
      </w:pPr>
      <w:r>
        <w:t>Appendix</w:t>
      </w:r>
    </w:p>
    <w:sectPr>
      <w:docGrid w:linePitch="360" w:charSpace="0"/>
      <w:footerReference r:id="rId2" w:type="default"/>
      <w:pgNumType w:start="0"/>
      <w:pgSz w:w="11906" w:h="16838"/>
      <w:pgMar w:left="1440" w:right="1440" w:top="1440" w:bottom="1440" w:header="708" w:footer="708" w:gutter="0"/>
      <w:titlePg/>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0000000000000000000"/>
    <w:charset w:val="00"/>
    <w:family w:val="auto"/>
    <w:pitch w:val="variable"/>
    <w:sig w:usb0="00000000" w:usb1="00000000" w:usb2="00000000" w:usb3="00000000" w:csb0="00000000" w:csb1="00000000"/>
  </w:font>
  <w:font w:name="Symbol">
    <w:panose1 w:val="00000000000000000000"/>
    <w:charset w:val="00"/>
    <w:family w:val="auto"/>
    <w:pitch w:val="variable"/>
    <w:sig w:usb0="00000000" w:usb1="00000000" w:usb2="00000000" w:usb3="00000000" w:csb0="00000000" w:csb1="00000000"/>
  </w:font>
  <w:font w:name="Calibri"/>
  <w:font w:name="Cambria"/>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768597496"/>
      <w:docPartObj>
        <w:docPartGallery/>
        <w:docPartUnique/>
      </w:docPartObj>
    </w:sdtPr>
    <w:sdtContent>
      <w:p>
        <w:pPr>
          <w:pStyle w:val="21"/>
          <w:tabs>
            <w:tab w:val="center" w:pos="4513"/>
            <w:tab w:val="right" w:pos="9026"/>
          </w:tabs>
          <w:jc w:val="center"/>
        </w:pPr>
        <w:r>
          <w:fldChar w:fldCharType="begin"/>
        </w:r>
        <w:r>
          <w:instrText xml:space="preserve"> PAGE   \* MERGEFORMAT </w:instrText>
        </w:r>
        <w:r>
          <w:fldChar w:fldCharType="separate"/>
        </w:r>
        <w:r>
          <w:fldChar w:fldCharType="end"/>
        </w:r>
      </w:p>
    </w:sdtContent>
  </w:sdt>
  <w:p>
    <w:pPr>
      <w:pStyle w:val="21"/>
      <w:tabs>
        <w:tab w:val="center" w:pos="4513"/>
        <w:tab w:val="right" w:pos="9026"/>
      </w:tabs>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pl w:val="00000000"/>
    <w:lvl w:ilvl="0">
      <w:numFmt w:val="bullet"/>
      <w:lvlText w:val="·"/>
      <w:start w:val="1"/>
      <w:rPr>
        <w:rFonts w:ascii="Symbol" w:hAnsi="Symbol" w:hint="default"/>
        <w:sz w:val="20"/>
      </w:rPr>
      <w:pPr>
        <w:ind w:left="720"/>
        <w:ind w:hanging="360"/>
        <w:tabs>
          <w:tab w:val="num" w:pos="720"/>
        </w:tabs>
      </w:pPr>
      <w:lvlRestart w:val="0"/>
      <w:lvlJc w:val="left"/>
    </w:lvl>
    <w:lvl w:ilvl="1">
      <w:numFmt w:val="bullet"/>
      <w:lvlText w:val="·"/>
      <w:start w:val="1"/>
      <w:rPr>
        <w:rFonts w:ascii="Symbol" w:hAnsi="Symbol" w:hint="default"/>
        <w:sz w:val="20"/>
      </w:rPr>
      <w:pPr>
        <w:ind w:left="720"/>
        <w:ind w:hanging="360"/>
        <w:tabs>
          <w:tab w:val="num" w:pos="720"/>
        </w:tabs>
      </w:pPr>
      <w:lvlRestart w:val="0"/>
      <w:lvlJc w:val="left"/>
    </w:lvl>
    <w:lvl w:ilvl="2">
      <w:numFmt w:val="bullet"/>
      <w:lvlText w:val="·"/>
      <w:start w:val="1"/>
      <w:rPr>
        <w:rFonts w:ascii="Symbol" w:hAnsi="Symbol" w:hint="default"/>
        <w:sz w:val="20"/>
      </w:rPr>
      <w:pPr>
        <w:ind w:left="720"/>
        <w:ind w:hanging="360"/>
        <w:tabs>
          <w:tab w:val="num" w:pos="720"/>
        </w:tabs>
      </w:pPr>
      <w:lvlRestart w:val="0"/>
      <w:lvlJc w:val="left"/>
    </w:lvl>
    <w:lvl w:ilvl="3">
      <w:numFmt w:val="bullet"/>
      <w:lvlText w:val="·"/>
      <w:start w:val="1"/>
      <w:rPr>
        <w:rFonts w:ascii="Symbol" w:hAnsi="Symbol" w:hint="default"/>
        <w:sz w:val="20"/>
      </w:rPr>
      <w:pPr>
        <w:ind w:left="720"/>
        <w:ind w:hanging="360"/>
        <w:tabs>
          <w:tab w:val="num" w:pos="720"/>
        </w:tabs>
      </w:pPr>
      <w:lvlRestart w:val="0"/>
      <w:lvlJc w:val="left"/>
    </w:lvl>
    <w:lvl w:ilvl="4">
      <w:numFmt w:val="bullet"/>
      <w:lvlText w:val="·"/>
      <w:start w:val="1"/>
      <w:rPr>
        <w:rFonts w:ascii="Symbol" w:hAnsi="Symbol" w:hint="default"/>
        <w:sz w:val="20"/>
      </w:rPr>
      <w:pPr>
        <w:ind w:left="720"/>
        <w:ind w:hanging="360"/>
        <w:tabs>
          <w:tab w:val="num" w:pos="720"/>
        </w:tabs>
      </w:pPr>
      <w:lvlRestart w:val="0"/>
      <w:lvlJc w:val="left"/>
    </w:lvl>
    <w:lvl w:ilvl="5">
      <w:numFmt w:val="bullet"/>
      <w:lvlText w:val="·"/>
      <w:start w:val="1"/>
      <w:rPr>
        <w:rFonts w:ascii="Symbol" w:hAnsi="Symbol" w:hint="default"/>
        <w:sz w:val="20"/>
      </w:rPr>
      <w:pPr>
        <w:ind w:left="720"/>
        <w:ind w:hanging="360"/>
        <w:tabs>
          <w:tab w:val="num" w:pos="720"/>
        </w:tabs>
      </w:pPr>
      <w:lvlRestart w:val="0"/>
      <w:lvlJc w:val="left"/>
    </w:lvl>
    <w:lvl w:ilvl="6">
      <w:numFmt w:val="bullet"/>
      <w:lvlText w:val="·"/>
      <w:start w:val="1"/>
      <w:rPr>
        <w:rFonts w:ascii="Symbol" w:hAnsi="Symbol" w:hint="default"/>
        <w:sz w:val="20"/>
      </w:rPr>
      <w:pPr>
        <w:ind w:left="720"/>
        <w:ind w:hanging="360"/>
        <w:tabs>
          <w:tab w:val="num" w:pos="720"/>
        </w:tabs>
      </w:pPr>
      <w:lvlRestart w:val="0"/>
      <w:lvlJc w:val="left"/>
    </w:lvl>
    <w:lvl w:ilvl="7">
      <w:numFmt w:val="bullet"/>
      <w:lvlText w:val="·"/>
      <w:start w:val="1"/>
      <w:rPr>
        <w:rFonts w:ascii="Symbol" w:hAnsi="Symbol" w:hint="default"/>
        <w:sz w:val="20"/>
      </w:rPr>
      <w:pPr>
        <w:ind w:left="720"/>
        <w:ind w:hanging="360"/>
        <w:tabs>
          <w:tab w:val="num" w:pos="720"/>
        </w:tabs>
      </w:pPr>
      <w:lvlRestart w:val="0"/>
      <w:lvlJc w:val="left"/>
    </w:lvl>
    <w:lvl w:ilvl="8">
      <w:numFmt w:val="bullet"/>
      <w:lvlText w:val="·"/>
      <w:start w:val="1"/>
      <w:rPr>
        <w:rFonts w:ascii="Symbol" w:hAnsi="Symbol" w:hint="default"/>
        <w:sz w:val="20"/>
      </w:rPr>
      <w:pPr>
        <w:ind w:left="720"/>
        <w:ind w:hanging="360"/>
        <w:tabs>
          <w:tab w:val="num" w:pos="720"/>
        </w:tabs>
      </w:pPr>
      <w:lvlRestart w:val="0"/>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91"/>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zh-CN" w:bidi="ar-SA"/>
        <w:rFonts w:ascii="Times New Roman" w:cs="Times New Roman" w:eastAsia="宋体" w:hAnsi="Times New Roma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0">
    <w:name w:val="Normal"/>
    <w:pPr>
      <w:spacing w:after="160" w:line="259" w:lineRule="auto"/>
    </w:pPr>
    <w:rPr>
      <w:lang w:val="en-GB" w:eastAsia="en-US" w:bidi="ar-SA"/>
      <w:rFonts w:ascii="Droid Sans" w:cs="Arial" w:eastAsia="Droid Sans"/>
      <w:sz w:val="22"/>
      <w:szCs w:val="22"/>
    </w:rPr>
  </w:style>
  <w:style w:type="paragraph" w:styleId="1">
    <w:name w:val="Heading 1"/>
    <w:basedOn w:val="0"/>
    <w:next w:val="0"/>
    <w:pPr>
      <w:keepNext/>
      <w:keepLines/>
      <w:outlineLvl w:val="0"/>
      <w:spacing w:before="240" w:after="0"/>
    </w:pPr>
    <w:rPr>
      <w:color w:val="2E74B5"/>
      <w:rFonts w:ascii="Droid Sans" w:cs="Times New Roman" w:eastAsia="宋体" w:hAnsi="Droid Sans"/>
      <w:sz w:val="32"/>
      <w:szCs w:val="32"/>
    </w:rPr>
  </w:style>
  <w:style w:type="paragraph" w:styleId="2">
    <w:name w:val="Heading 2"/>
    <w:basedOn w:val="0"/>
    <w:next w:val="0"/>
    <w:pPr>
      <w:keepNext/>
      <w:keepLines/>
      <w:outlineLvl w:val="1"/>
      <w:spacing w:before="40" w:after="0"/>
    </w:pPr>
    <w:rPr>
      <w:color w:val="2E74B5"/>
      <w:rFonts w:ascii="Droid Sans" w:cs="Times New Roman" w:eastAsia="宋体" w:hAnsi="Droid Sans"/>
      <w:sz w:val="26"/>
      <w:szCs w:val="26"/>
    </w:rPr>
  </w:style>
  <w:style w:type="paragraph" w:styleId="3">
    <w:name w:val="Heading 3"/>
    <w:basedOn w:val="0"/>
    <w:next w:val="0"/>
    <w:pPr>
      <w:keepNext/>
      <w:keepLines/>
      <w:outlineLvl w:val="2"/>
      <w:spacing w:before="260" w:after="260" w:line="415" w:lineRule="auto"/>
    </w:pPr>
    <w:rPr>
      <w:b/>
      <w:sz w:val="32"/>
    </w:rPr>
  </w:style>
  <w:style w:type="character" w:default="1" w:styleId="10">
    <w:name w:val="Default Paragraph Font"/>
  </w:style>
  <w:style w:type="paragraph" w:styleId="15">
    <w:name w:val="No Spacing"/>
    <w:pPr>
      <w:spacing w:after="0" w:line="240" w:lineRule="auto"/>
    </w:pPr>
    <w:rPr>
      <w:lang w:val="en-US" w:eastAsia="en-US" w:bidi="ar-SA"/>
      <w:rFonts w:ascii="Droid Sans" w:cs="Arial" w:eastAsia="宋体" w:hAnsi="Droid Sans"/>
      <w:sz w:val="22"/>
      <w:szCs w:val="22"/>
    </w:rPr>
  </w:style>
  <w:style w:type="paragraph" w:styleId="16">
    <w:name w:val="TOC Heading"/>
    <w:basedOn w:val="1"/>
    <w:next w:val="0"/>
    <w:pPr>
      <w:outlineLvl w:val="9"/>
    </w:pPr>
    <w:rPr>
      <w:lang w:val="en-US"/>
    </w:rPr>
  </w:style>
  <w:style w:type="paragraph" w:styleId="17">
    <w:name w:val="toc 1"/>
    <w:basedOn w:val="0"/>
    <w:autoRedefine/>
    <w:next w:val="0"/>
    <w:pPr>
      <w:spacing w:after="100"/>
    </w:pPr>
  </w:style>
  <w:style w:type="character" w:styleId="18">
    <w:name w:val="Hyperlink"/>
    <w:basedOn w:val="10"/>
    <w:rPr>
      <w:u w:val="single"/>
      <w:color w:val="0563C1"/>
    </w:rPr>
  </w:style>
  <w:style w:type="paragraph" w:styleId="19">
    <w:name w:val="toc 2"/>
    <w:basedOn w:val="0"/>
    <w:autoRedefine/>
    <w:next w:val="0"/>
    <w:pPr>
      <w:ind w:left="220"/>
      <w:spacing w:after="100"/>
    </w:pPr>
  </w:style>
  <w:style w:type="paragraph" w:styleId="20">
    <w:name w:val="header"/>
    <w:basedOn w:val="0"/>
    <w:pPr>
      <w:spacing w:after="0" w:line="240" w:lineRule="auto"/>
      <w:tabs>
        <w:tab w:val="center" w:pos="4513"/>
        <w:tab w:val="right" w:pos="9026"/>
      </w:tabs>
    </w:pPr>
  </w:style>
  <w:style w:type="paragraph" w:styleId="21">
    <w:name w:val="footer"/>
    <w:basedOn w:val="0"/>
    <w:pPr>
      <w:spacing w:after="0" w:line="240" w:lineRule="auto"/>
      <w:tabs>
        <w:tab w:val="center" w:pos="4513"/>
        <w:tab w:val="right" w:pos="9026"/>
      </w:tabs>
    </w:pPr>
  </w:style>
  <w:style w:type="paragraph" w:styleId="22">
    <w:name w:val="Plain Text"/>
    <w:basedOn w:val="0"/>
    <w:rPr>
      <w:rFonts w:ascii="Courier New" w:eastAsia="Droid Sans" w:hAnsi="Courier New"/>
    </w:rPr>
  </w:style>
  <w:style w:type="paragraph" w:styleId="23">
    <w:name w:val="Normal (Web)"/>
    <w:next w:val="22"/>
    <w:pPr>
      <w:widowControl w:val="0"/>
      <w:jc w:val="left"/>
      <w:spacing w:before="100" w:beforeAutospacing="1" w:after="100" w:afterAutospacing="1" w:line="240" w:lineRule="auto"/>
    </w:pPr>
    <w:rPr>
      <w:kern w:val="2"/>
      <w:lang w:val="en-US" w:eastAsia="zh-CN" w:bidi="ar-SA"/>
      <w:rFonts w:ascii="宋体" w:cs="Times New Roman" w:eastAsia="宋体"/>
      <w:sz w:val="24"/>
      <w:szCs w:val="21"/>
    </w:rPr>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8.pn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image" Target="media/2.png"/><Relationship Id="rId9" Type="http://schemas.openxmlformats.org/officeDocument/2006/relationships/image" Target="media/8.png"/><Relationship Id="rId10" Type="http://schemas.openxmlformats.org/officeDocument/2006/relationships/image" Target="media/2.png"/><Relationship Id="rId11" Type="http://schemas.openxmlformats.org/officeDocument/2006/relationships/image" Target="media/8.png"/><Relationship Id="rId12" Type="http://schemas.openxmlformats.org/officeDocument/2006/relationships/image" Target="media/2.png"/><Relationship Id="rId13" Type="http://schemas.openxmlformats.org/officeDocument/2006/relationships/image" Target="media/8.png"/><Relationship Id="rId14" Type="http://schemas.openxmlformats.org/officeDocument/2006/relationships/image" Target="media/2.png"/><Relationship Id="rId15" Type="http://schemas.openxmlformats.org/officeDocument/2006/relationships/image" Target="media/8.png"/></Relationships>
</file>

<file path=docProps/app.xml><?xml version="1.0" encoding="utf-8"?>
<Properties xmlns="http://schemas.openxmlformats.org/officeDocument/2006/extended-properties">
  <Template>Normal.eit</Template>
  <TotalTime>8</TotalTime>
  <Application>Office</Application>
  <Pages>21</Pages>
  <Words>5932</Words>
  <Characters>33821</Characters>
  <Lines>677</Lines>
  <Paragraphs>204</Paragraphs>
  <CharactersWithSpaces>39370</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0</cp:revision>
  <dcterms:modified xsi:type="dcterms:W3CDTF">2026-01-12T02:28:51Z</dcterms:modified>
</cp:coreProperties>
</file>