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35DF8" w:rsidRDefault="00D35DF8" w:rsidP="004C04AE">
      <w:pPr>
        <w:spacing w:line="480" w:lineRule="auto"/>
        <w:rPr>
          <w:b/>
          <w:i/>
        </w:rPr>
      </w:pPr>
      <w:r w:rsidRPr="00D35DF8">
        <w:rPr>
          <w:b/>
        </w:rPr>
        <w:t xml:space="preserve">In your considered opinion, what differences would emerge between a </w:t>
      </w:r>
      <w:r w:rsidRPr="00AA44AE">
        <w:rPr>
          <w:b/>
        </w:rPr>
        <w:t>New Historicist</w:t>
      </w:r>
      <w:r w:rsidRPr="00D35DF8">
        <w:rPr>
          <w:b/>
        </w:rPr>
        <w:t xml:space="preserve"> approach and a Cultural Materialist approach to Middleton and Dekker’s </w:t>
      </w:r>
      <w:r w:rsidRPr="00D35DF8">
        <w:rPr>
          <w:b/>
          <w:i/>
        </w:rPr>
        <w:t>The Roaring Girl?</w:t>
      </w:r>
    </w:p>
    <w:p w:rsidR="00D35DF8" w:rsidRDefault="00D35DF8" w:rsidP="004C04AE">
      <w:pPr>
        <w:spacing w:line="480" w:lineRule="auto"/>
        <w:rPr>
          <w:b/>
          <w:i/>
        </w:rPr>
      </w:pPr>
    </w:p>
    <w:p w:rsidR="007079F8" w:rsidRPr="00570538" w:rsidRDefault="007079F8" w:rsidP="004C04AE">
      <w:pPr>
        <w:spacing w:line="480" w:lineRule="auto"/>
      </w:pPr>
      <w:r>
        <w:t>New Historicism and Cultural Materialism are two very similar and very recent forms of theory regarding literary works and cultural theory.</w:t>
      </w:r>
      <w:r w:rsidR="00570538">
        <w:t xml:space="preserve"> Due to this being the case, it can be very difficult to distinguish between the two ideas. In this essay, I hope to find both similarities and differences between the two theories and discuss them using ideas from critics and articles. I also hope to explain the intentions of the key thinkers of both theories. Although I am unable to know what the different approaches would think of Middleton and Dekker’s </w:t>
      </w:r>
      <w:r w:rsidR="00570538">
        <w:rPr>
          <w:i/>
        </w:rPr>
        <w:t xml:space="preserve">The Roaring Girl, </w:t>
      </w:r>
      <w:r w:rsidR="00570538">
        <w:t>I hope that using my knowledge on New Historicism and Cultural Materialism, I am able to explain my thoughts and ideas, backing them up with information and research that I have done to form a cohesive argument that can be understood by many readers.</w:t>
      </w:r>
    </w:p>
    <w:p w:rsidR="007079F8" w:rsidRDefault="007079F8" w:rsidP="004C04AE">
      <w:pPr>
        <w:spacing w:line="480" w:lineRule="auto"/>
      </w:pPr>
    </w:p>
    <w:p w:rsidR="00D35DF8" w:rsidRDefault="000D44B8" w:rsidP="004C04AE">
      <w:pPr>
        <w:spacing w:line="480" w:lineRule="auto"/>
      </w:pPr>
      <w:r>
        <w:t>New H</w:t>
      </w:r>
      <w:r w:rsidR="00D35DF8">
        <w:t>istoricism is a relatively new concept and is marked as a ‘return’ to history. This suggests that we are able to look at historical pieces of literature and be more enlightened about the way that we read literary wo</w:t>
      </w:r>
      <w:r>
        <w:t xml:space="preserve">rks. New Historicism is also sometimes seen as an idea that has come from post-structuralist thoughts. We should not believe that New Historicism is a way that we can overcome problematic ideas from the past. </w:t>
      </w:r>
      <w:r>
        <w:rPr>
          <w:rStyle w:val="FootnoteReference"/>
        </w:rPr>
        <w:footnoteReference w:id="1"/>
      </w:r>
    </w:p>
    <w:p w:rsidR="00886E37" w:rsidRDefault="00886E37" w:rsidP="004C04AE">
      <w:pPr>
        <w:spacing w:line="480" w:lineRule="auto"/>
      </w:pPr>
    </w:p>
    <w:p w:rsidR="00414C02" w:rsidRDefault="00886E37" w:rsidP="004C04AE">
      <w:pPr>
        <w:spacing w:line="480" w:lineRule="auto"/>
      </w:pPr>
      <w:r>
        <w:lastRenderedPageBreak/>
        <w:t xml:space="preserve">According to work by Professor </w:t>
      </w:r>
      <w:proofErr w:type="spellStart"/>
      <w:r>
        <w:t>Veeser</w:t>
      </w:r>
      <w:proofErr w:type="spellEnd"/>
      <w:r>
        <w:t>, New Historicism has made six theoretical assumptio</w:t>
      </w:r>
      <w:r w:rsidR="00414C02">
        <w:t>ns.</w:t>
      </w:r>
      <w:r w:rsidR="004724D5">
        <w:t xml:space="preserve"> </w:t>
      </w:r>
      <w:r w:rsidR="00414C02">
        <w:t>The assumptions</w:t>
      </w:r>
      <w:r w:rsidR="004724D5">
        <w:t>, in short,</w:t>
      </w:r>
      <w:r w:rsidR="00414C02">
        <w:t xml:space="preserve"> include the idea that we are unable to understand the past although we are connected to it as we were not actually present at the time, </w:t>
      </w:r>
      <w:r w:rsidR="004724D5">
        <w:t>that market relations are embodied due to all aesthetic representations</w:t>
      </w:r>
      <w:r w:rsidR="00332DA3">
        <w:t xml:space="preserve"> (although ‘circulation of social energy’ was more of a relation to ‘force’ rather than something capitalist to later New </w:t>
      </w:r>
      <w:r w:rsidR="004A04AE">
        <w:t>Historicists)</w:t>
      </w:r>
      <w:r w:rsidR="004724D5">
        <w:t xml:space="preserve">, social acts become understood due to other social acts, stories have power in society, critics cannot always be </w:t>
      </w:r>
      <w:r w:rsidR="00393115">
        <w:t>objective,</w:t>
      </w:r>
      <w:r w:rsidR="004724D5">
        <w:t xml:space="preserve"> and the binary oppositions are only relevant due to opposed terms.</w:t>
      </w:r>
      <w:r w:rsidR="004724D5">
        <w:rPr>
          <w:rStyle w:val="FootnoteReference"/>
        </w:rPr>
        <w:footnoteReference w:id="2"/>
      </w:r>
      <w:r w:rsidR="004724D5">
        <w:t xml:space="preserve"> </w:t>
      </w:r>
    </w:p>
    <w:p w:rsidR="00FD15EE" w:rsidRDefault="00FD15EE" w:rsidP="004C04AE">
      <w:pPr>
        <w:spacing w:line="480" w:lineRule="auto"/>
      </w:pPr>
    </w:p>
    <w:p w:rsidR="004B6202" w:rsidRDefault="00FD15EE" w:rsidP="004C04AE">
      <w:pPr>
        <w:spacing w:line="480" w:lineRule="auto"/>
      </w:pPr>
      <w:r>
        <w:t>Stephen Greenblatt was a very infl</w:t>
      </w:r>
      <w:r w:rsidR="00B64F73">
        <w:t>uential writer in terms of New H</w:t>
      </w:r>
      <w:r>
        <w:t>istoricism</w:t>
      </w:r>
      <w:r w:rsidR="00B64F73">
        <w:t xml:space="preserve"> and believed that we should not shy away from the problem and idea that we are connected to the past, but we may have different reactions to those that were there at the time. He acknowledges ‘the impossibility of fully reconstructing and </w:t>
      </w:r>
      <w:proofErr w:type="spellStart"/>
      <w:r w:rsidR="00B64F73">
        <w:t>reentering</w:t>
      </w:r>
      <w:proofErr w:type="spellEnd"/>
      <w:r w:rsidR="00B64F73">
        <w:t xml:space="preserve"> the culture’</w:t>
      </w:r>
      <w:r w:rsidR="00B64F73">
        <w:rPr>
          <w:rStyle w:val="FootnoteReference"/>
        </w:rPr>
        <w:footnoteReference w:id="3"/>
      </w:r>
      <w:r w:rsidR="00EB3A6F">
        <w:t xml:space="preserve"> which suggests that due to our own historical contexts, we understand things in our own certain ways although our own views do not cancel history. Although we were not at a certain event, it does not mean that it never existed.</w:t>
      </w:r>
    </w:p>
    <w:p w:rsidR="004B6202" w:rsidRDefault="004B6202" w:rsidP="004C04AE">
      <w:pPr>
        <w:spacing w:line="480" w:lineRule="auto"/>
      </w:pPr>
    </w:p>
    <w:p w:rsidR="004B6202" w:rsidRDefault="00AF79D0" w:rsidP="004C04AE">
      <w:pPr>
        <w:spacing w:line="480" w:lineRule="auto"/>
      </w:pPr>
      <w:r>
        <w:t>A</w:t>
      </w:r>
      <w:r w:rsidR="00435A14">
        <w:t xml:space="preserve"> New Historicist idea is that we understand social acts due to other, similar social acts that are within the same society. Every act, including writing and literature, is imbedded </w:t>
      </w:r>
      <w:r>
        <w:t>in a network. ‘Thick description’, a term taken from structural anthropologist Clifford Geertz</w:t>
      </w:r>
      <w:r w:rsidR="005F1B30">
        <w:rPr>
          <w:rStyle w:val="FootnoteReference"/>
        </w:rPr>
        <w:footnoteReference w:id="4"/>
      </w:r>
      <w:r>
        <w:t xml:space="preserve"> </w:t>
      </w:r>
      <w:r w:rsidR="002D26AA">
        <w:lastRenderedPageBreak/>
        <w:t xml:space="preserve">and suggests that we try to understand </w:t>
      </w:r>
      <w:r w:rsidR="005F1B30">
        <w:t>the way that others understand what they are doing. This idea must be embedded in each individual.</w:t>
      </w:r>
    </w:p>
    <w:p w:rsidR="004B6202" w:rsidRDefault="004B6202" w:rsidP="004C04AE">
      <w:pPr>
        <w:spacing w:line="480" w:lineRule="auto"/>
      </w:pPr>
    </w:p>
    <w:p w:rsidR="004B6202" w:rsidRDefault="00F07364" w:rsidP="004C04AE">
      <w:pPr>
        <w:spacing w:line="480" w:lineRule="auto"/>
      </w:pPr>
      <w:r>
        <w:t xml:space="preserve">Many individuals, including Greenblatt, </w:t>
      </w:r>
      <w:r w:rsidR="00FD4DD1">
        <w:t>believe</w:t>
      </w:r>
      <w:r>
        <w:t xml:space="preserve"> that</w:t>
      </w:r>
      <w:r w:rsidR="00FD4DD1">
        <w:t xml:space="preserve"> New Historicism has just as much of an impact in regard to power as individuals such as</w:t>
      </w:r>
      <w:r>
        <w:t xml:space="preserve"> </w:t>
      </w:r>
      <w:r w:rsidR="008D3CA3">
        <w:t>Foucault and Marx</w:t>
      </w:r>
      <w:r w:rsidR="00FD4DD1">
        <w:t>. Greenblatt states:</w:t>
      </w:r>
    </w:p>
    <w:p w:rsidR="00FD4DD1" w:rsidRDefault="00FD4DD1" w:rsidP="004C04AE">
      <w:pPr>
        <w:spacing w:line="480" w:lineRule="auto"/>
      </w:pPr>
    </w:p>
    <w:p w:rsidR="00FD4DD1" w:rsidRDefault="00FD4DD1" w:rsidP="004C04AE">
      <w:pPr>
        <w:spacing w:line="480" w:lineRule="auto"/>
        <w:ind w:left="284"/>
      </w:pPr>
      <w:r>
        <w:t>…at once localised in particular institutions- the court, the church, the colonial administration, the patriarchal expression, recurrent narrative patters.</w:t>
      </w:r>
      <w:r>
        <w:rPr>
          <w:rStyle w:val="FootnoteReference"/>
        </w:rPr>
        <w:footnoteReference w:id="5"/>
      </w:r>
    </w:p>
    <w:p w:rsidR="00FD4DD1" w:rsidRDefault="00FD4DD1" w:rsidP="004C04AE">
      <w:pPr>
        <w:spacing w:line="480" w:lineRule="auto"/>
      </w:pPr>
    </w:p>
    <w:p w:rsidR="008B66D2" w:rsidRDefault="008B66D2" w:rsidP="004C04AE">
      <w:pPr>
        <w:spacing w:line="480" w:lineRule="auto"/>
      </w:pPr>
    </w:p>
    <w:p w:rsidR="008B66D2" w:rsidRDefault="008B66D2" w:rsidP="004C04AE">
      <w:pPr>
        <w:spacing w:line="480" w:lineRule="auto"/>
      </w:pPr>
      <w:r>
        <w:t xml:space="preserve">The New Historicist movement is not the same as any other cultural </w:t>
      </w:r>
      <w:r w:rsidR="001F73AC">
        <w:t>theory,</w:t>
      </w:r>
      <w:r>
        <w:t xml:space="preserve"> but we can confidently say that individuals that may identify as Marxists or materialist feminists would have great difficulty disagreeing with the theoretical ideas of New Historicism.</w:t>
      </w:r>
      <w:r w:rsidR="007447B2">
        <w:t xml:space="preserve"> Although this is the case, New Historicism is a theory that Marxist and feminist critics would not agree with as they believe that art must attack the dominant social, political, and economic order or ideology.</w:t>
      </w:r>
      <w:r w:rsidR="009D4183">
        <w:rPr>
          <w:rStyle w:val="FootnoteReference"/>
        </w:rPr>
        <w:footnoteReference w:id="6"/>
      </w:r>
      <w:r w:rsidR="009D4183">
        <w:t xml:space="preserve"> </w:t>
      </w:r>
      <w:r w:rsidR="00831766">
        <w:t>They believe that all social and political analysis opposition is potentially implicated in ideological oppression. New Historicists, on the other hand, reverse these assumptions. As Greenblatt states, ‘Who wants to hear that the good fight is doomed to fail?’.</w:t>
      </w:r>
      <w:r w:rsidR="00831766">
        <w:rPr>
          <w:rStyle w:val="FootnoteReference"/>
        </w:rPr>
        <w:footnoteReference w:id="7"/>
      </w:r>
    </w:p>
    <w:p w:rsidR="00831766" w:rsidRDefault="00831766" w:rsidP="004C04AE">
      <w:pPr>
        <w:spacing w:line="480" w:lineRule="auto"/>
      </w:pPr>
    </w:p>
    <w:p w:rsidR="00D93936" w:rsidRDefault="008C401B" w:rsidP="004C04AE">
      <w:pPr>
        <w:spacing w:line="480" w:lineRule="auto"/>
      </w:pPr>
      <w:r>
        <w:lastRenderedPageBreak/>
        <w:t xml:space="preserve">In relation to Renaissance Dramas, including </w:t>
      </w:r>
      <w:r>
        <w:rPr>
          <w:i/>
        </w:rPr>
        <w:t xml:space="preserve">The Roaring Girl </w:t>
      </w:r>
      <w:r>
        <w:t xml:space="preserve">by Thomas Middleton and Thomas Dekker, New Historicism is in some ways, very well equipped to deal with such topics that other cultural theories may not be. </w:t>
      </w:r>
      <w:r w:rsidR="000B3641">
        <w:t>The emergence of theatre was massive and was in-between both artistic and other social practices as many different individuals could enjoy the outdoor theatres when they originally emerged.</w:t>
      </w:r>
    </w:p>
    <w:p w:rsidR="004405CA" w:rsidRDefault="004405CA" w:rsidP="004C04AE">
      <w:pPr>
        <w:spacing w:line="480" w:lineRule="auto"/>
      </w:pPr>
    </w:p>
    <w:p w:rsidR="004405CA" w:rsidRDefault="004405CA" w:rsidP="004C04AE">
      <w:pPr>
        <w:spacing w:line="480" w:lineRule="auto"/>
      </w:pPr>
      <w:r>
        <w:t>Cultural materialism, according to Raymond Williams, has been described as ‘a Lacanian approach to literary texts’.</w:t>
      </w:r>
      <w:r>
        <w:rPr>
          <w:rStyle w:val="FootnoteReference"/>
        </w:rPr>
        <w:footnoteReference w:id="8"/>
      </w:r>
      <w:r>
        <w:t xml:space="preserve"> Lacan was a psychoanalyst whose ideas had a huge impact on psychoanalysis, literary and critical theory and linguistics. His main concepts related to Freud’s ideas which were very controversial.</w:t>
      </w:r>
      <w:r>
        <w:rPr>
          <w:rStyle w:val="FootnoteReference"/>
        </w:rPr>
        <w:footnoteReference w:id="9"/>
      </w:r>
      <w:r>
        <w:t xml:space="preserve"> Lacan introduced ‘the mirror theory’ as we know it today. Many others claim to have coined the term but Lacan states ‘…I turned the “mirror stage” in to a coat rack’.</w:t>
      </w:r>
      <w:r>
        <w:rPr>
          <w:rStyle w:val="FootnoteReference"/>
        </w:rPr>
        <w:footnoteReference w:id="10"/>
      </w:r>
    </w:p>
    <w:p w:rsidR="004405CA" w:rsidRDefault="004405CA" w:rsidP="004C04AE">
      <w:pPr>
        <w:spacing w:line="480" w:lineRule="auto"/>
      </w:pPr>
    </w:p>
    <w:p w:rsidR="004405CA" w:rsidRDefault="004405CA" w:rsidP="004C04AE">
      <w:pPr>
        <w:spacing w:line="480" w:lineRule="auto"/>
      </w:pPr>
      <w:r>
        <w:t>Lacan’s ‘mirror stage’ takes ideas from Freud’s theory of narcissism. The child, between six to eighteen months is obsessed with the image of themselves to the point where they are self-destructive. The individual is fixed on the image of themselves which then alienates them. It is all relative to the ego of the child and the image that the child can see although this is only what they can see on the surface. It is the difference between ‘that is me’ and ‘that is an image of me’.</w:t>
      </w:r>
      <w:r>
        <w:rPr>
          <w:rStyle w:val="FootnoteReference"/>
        </w:rPr>
        <w:footnoteReference w:id="11"/>
      </w:r>
      <w:r>
        <w:t xml:space="preserve"> This idea comes from Freud’s work regarding sexual ‘desire’ as well as the general idea of the economy of desire.</w:t>
      </w:r>
    </w:p>
    <w:p w:rsidR="004405CA" w:rsidRDefault="004405CA" w:rsidP="004C04AE">
      <w:pPr>
        <w:spacing w:line="480" w:lineRule="auto"/>
      </w:pPr>
    </w:p>
    <w:p w:rsidR="004405CA" w:rsidRDefault="004405CA" w:rsidP="004C04AE">
      <w:pPr>
        <w:spacing w:line="480" w:lineRule="auto"/>
      </w:pPr>
      <w:r>
        <w:t>Professor Scott Wilson created a study after hearing both Lacan and Freud’s ideas. The ideas by Freud, allowed Wilson to understand ideas of self-fashioning as well as trying to understand the Freudian concept of desire regarding the ideals of interpreting literary texts, including Shakespearean texts. He believes that cultural materialism is not strong enough alone to be seen as a literary theory as it is a theory that has been applied to other theories such as Marxism, feminism, psychoanalysis etc.</w:t>
      </w:r>
      <w:r>
        <w:rPr>
          <w:rStyle w:val="FootnoteReference"/>
        </w:rPr>
        <w:footnoteReference w:id="12"/>
      </w:r>
    </w:p>
    <w:p w:rsidR="004405CA" w:rsidRDefault="004405CA" w:rsidP="004C04AE">
      <w:pPr>
        <w:spacing w:line="480" w:lineRule="auto"/>
      </w:pPr>
    </w:p>
    <w:p w:rsidR="004405CA" w:rsidRDefault="004405CA" w:rsidP="004C04AE">
      <w:pPr>
        <w:spacing w:line="480" w:lineRule="auto"/>
      </w:pPr>
      <w:r>
        <w:t xml:space="preserve">Jonathan </w:t>
      </w:r>
      <w:proofErr w:type="spellStart"/>
      <w:r>
        <w:t>Dollimore</w:t>
      </w:r>
      <w:proofErr w:type="spellEnd"/>
      <w:r>
        <w:t>, a social theorist focussing immensely on studies within gender and sexuality immediately introduces concerns when it comes to Cultural Materialism. He states that there is a significant difference in this type of cultural analysis:</w:t>
      </w:r>
    </w:p>
    <w:p w:rsidR="004405CA" w:rsidRDefault="004405CA" w:rsidP="004C04AE">
      <w:pPr>
        <w:spacing w:line="480" w:lineRule="auto"/>
      </w:pPr>
    </w:p>
    <w:p w:rsidR="004405CA" w:rsidRDefault="004405CA" w:rsidP="004C04AE">
      <w:pPr>
        <w:spacing w:line="480" w:lineRule="auto"/>
        <w:ind w:left="284"/>
      </w:pPr>
      <w:r>
        <w:t>...between those who concentrate on culture as this making of history, and those who concentrate on the unchosen conditions which constraint and inform the process of making.</w:t>
      </w:r>
      <w:r>
        <w:rPr>
          <w:rStyle w:val="FootnoteReference"/>
        </w:rPr>
        <w:footnoteReference w:id="13"/>
      </w:r>
    </w:p>
    <w:p w:rsidR="004405CA" w:rsidRDefault="004405CA" w:rsidP="004C04AE">
      <w:pPr>
        <w:spacing w:line="480" w:lineRule="auto"/>
      </w:pPr>
    </w:p>
    <w:p w:rsidR="004405CA" w:rsidRDefault="004405CA" w:rsidP="004C04AE">
      <w:pPr>
        <w:spacing w:line="480" w:lineRule="auto"/>
      </w:pPr>
      <w:r>
        <w:t xml:space="preserve">After reading this, I personally think that the theorists of Cultural Materialism tend to focus on the former and the New Historicists are more likely to focus on the latter. I believe this as New Historicists often focus on the way that an individual gains identity and the structures </w:t>
      </w:r>
      <w:r>
        <w:lastRenderedPageBreak/>
        <w:t>that individuals are born in to. This is different, slightly, to Cultural Materialists who focus on the individual human experience rather than the individual within society.</w:t>
      </w:r>
    </w:p>
    <w:p w:rsidR="004405CA" w:rsidRDefault="004405CA" w:rsidP="004C04AE">
      <w:pPr>
        <w:spacing w:line="480" w:lineRule="auto"/>
      </w:pPr>
      <w:r>
        <w:t>In terms of literature, Cultural Materialists and New Historicists seem to have the same view, especially when Renaissance literary pieces are concerned. Cultural Materialism is almost the British version of New Historicism as both criticisms have similar ideas and concepts. In New Historicism, there are six theoretical assumptions and Cultural Materialism shares a number of the same assumptions.</w:t>
      </w:r>
    </w:p>
    <w:p w:rsidR="004405CA" w:rsidRDefault="004405CA" w:rsidP="004C04AE">
      <w:pPr>
        <w:spacing w:line="480" w:lineRule="auto"/>
        <w:rPr>
          <w:u w:val="single"/>
        </w:rPr>
      </w:pPr>
    </w:p>
    <w:p w:rsidR="004405CA" w:rsidRPr="004D1EB2" w:rsidRDefault="004405CA" w:rsidP="004C04AE">
      <w:pPr>
        <w:spacing w:line="480" w:lineRule="auto"/>
      </w:pPr>
      <w:r>
        <w:t>For example, the first theoretical assumption of New Historicism, to summarise, is that although we are connected to the past, we are unable to understand it in the same way as we were not there at the time. This is similar to an assumption within Cultural Materialism and corresponds as they give attention to historical assumptions, understanding that the idea of ‘no discourse’ is unrealistic and pushing for the view that although history cannot be changed, it does not suggest that individuals cannot change themselves and society for the future.</w:t>
      </w:r>
      <w:r>
        <w:rPr>
          <w:rStyle w:val="FootnoteReference"/>
        </w:rPr>
        <w:footnoteReference w:id="14"/>
      </w:r>
    </w:p>
    <w:p w:rsidR="004405CA" w:rsidRDefault="004405CA" w:rsidP="004C04AE">
      <w:pPr>
        <w:spacing w:line="480" w:lineRule="auto"/>
        <w:rPr>
          <w:u w:val="single"/>
        </w:rPr>
      </w:pPr>
    </w:p>
    <w:p w:rsidR="004405CA" w:rsidRDefault="004405CA" w:rsidP="004C04AE">
      <w:pPr>
        <w:spacing w:line="480" w:lineRule="auto"/>
      </w:pPr>
      <w:r>
        <w:t>There is clearly a relation between Cultural Material and Structuralism as Cultural Materialism focusses on the meaning of the way that an individual acts and lives. Structuralism then digs somewhat deeper and thinks about the way that these people use their language. They discuss how language can have an impact on an individual.</w:t>
      </w:r>
    </w:p>
    <w:p w:rsidR="000316EA" w:rsidRDefault="000316EA" w:rsidP="004C04AE">
      <w:pPr>
        <w:spacing w:line="480" w:lineRule="auto"/>
      </w:pPr>
    </w:p>
    <w:p w:rsidR="000316EA" w:rsidRDefault="00C168FC" w:rsidP="004C04AE">
      <w:pPr>
        <w:spacing w:line="480" w:lineRule="auto"/>
      </w:pPr>
      <w:r>
        <w:lastRenderedPageBreak/>
        <w:t xml:space="preserve">Roland Barthes argued that ‘all speech is classification and all </w:t>
      </w:r>
      <w:r w:rsidR="004A70A1">
        <w:t>classifications are oppressive’.</w:t>
      </w:r>
      <w:r w:rsidR="004A70A1">
        <w:rPr>
          <w:rStyle w:val="FootnoteReference"/>
        </w:rPr>
        <w:footnoteReference w:id="15"/>
      </w:r>
      <w:r w:rsidR="00113774">
        <w:t xml:space="preserve"> This is in reference to the idea of binary oppositions.</w:t>
      </w:r>
      <w:r w:rsidR="00A91341">
        <w:t xml:space="preserve"> </w:t>
      </w:r>
      <w:r w:rsidR="00053ADD">
        <w:t xml:space="preserve">If this is the </w:t>
      </w:r>
      <w:r w:rsidR="00CD0D18">
        <w:t>case, then it would suggest that freedom could only exist outside of language as language would be seen as restrictive. It is as though, not having an escape route from words would suggest that one would not have freedom from being under control and power.</w:t>
      </w:r>
    </w:p>
    <w:p w:rsidR="00BD1628" w:rsidRDefault="00BD1628" w:rsidP="004C04AE">
      <w:pPr>
        <w:spacing w:line="480" w:lineRule="auto"/>
      </w:pPr>
    </w:p>
    <w:p w:rsidR="00424304" w:rsidRDefault="00071641" w:rsidP="004C04AE">
      <w:pPr>
        <w:spacing w:line="480" w:lineRule="auto"/>
      </w:pPr>
      <w:r>
        <w:t xml:space="preserve">Cultural Materialism is connected </w:t>
      </w:r>
      <w:r w:rsidR="000F3BCC">
        <w:t>to ideology as we are constantly looking at the similarities between ‘signification’ and ‘legitimation’.</w:t>
      </w:r>
      <w:r w:rsidR="00FF0E78">
        <w:t xml:space="preserve"> Structuralists and post-structuralists</w:t>
      </w:r>
      <w:r w:rsidR="00DA3400">
        <w:t xml:space="preserve"> are more focussed on signification and the emphasis on the effect of literature through the appropriation of its meaning regarding text or literature.</w:t>
      </w:r>
      <w:r w:rsidR="000A0E26">
        <w:t xml:space="preserve"> </w:t>
      </w:r>
      <w:proofErr w:type="spellStart"/>
      <w:r w:rsidR="000A0E26">
        <w:t>Dollimore</w:t>
      </w:r>
      <w:proofErr w:type="spellEnd"/>
      <w:r w:rsidR="000A0E26">
        <w:t xml:space="preserve"> states that ‘literature is not seen as reflecting history so much as intervening in it’.</w:t>
      </w:r>
      <w:r w:rsidR="000A0E26">
        <w:rPr>
          <w:rStyle w:val="FootnoteReference"/>
        </w:rPr>
        <w:footnoteReference w:id="16"/>
      </w:r>
    </w:p>
    <w:p w:rsidR="00BC7ACD" w:rsidRDefault="00BC7ACD" w:rsidP="004C04AE">
      <w:pPr>
        <w:spacing w:line="480" w:lineRule="auto"/>
      </w:pPr>
    </w:p>
    <w:p w:rsidR="00BC7ACD" w:rsidRDefault="00BC7ACD" w:rsidP="004C04AE">
      <w:pPr>
        <w:spacing w:line="480" w:lineRule="auto"/>
      </w:pPr>
      <w:r>
        <w:t>As well as New Historicism, Cultural Materialism shares a sense that an individual’s personality and physical traits are not specific to them and are not distinct. This suggests that identity is an effect of what happens when individuals have different signification in the societal system.</w:t>
      </w:r>
      <w:r w:rsidR="00F14A83">
        <w:t xml:space="preserve"> Differences include the way that individuals live and the individuals that they are related to rather than them being different. It is as though everyone has a link to someone else and nobody is completely original through and through.</w:t>
      </w:r>
    </w:p>
    <w:p w:rsidR="007B378D" w:rsidRDefault="007B378D" w:rsidP="004C04AE">
      <w:pPr>
        <w:spacing w:line="480" w:lineRule="auto"/>
      </w:pPr>
    </w:p>
    <w:p w:rsidR="007B378D" w:rsidRDefault="007B378D" w:rsidP="004C04AE">
      <w:pPr>
        <w:spacing w:line="480" w:lineRule="auto"/>
      </w:pPr>
      <w:r>
        <w:t xml:space="preserve">Feminist critics like Lynda E. </w:t>
      </w:r>
      <w:proofErr w:type="spellStart"/>
      <w:r>
        <w:t>Boose</w:t>
      </w:r>
      <w:proofErr w:type="spellEnd"/>
      <w:r>
        <w:t xml:space="preserve"> and Carol Thomas Neely both make accusations towards both Cultural Materialism and New Historicism. They believe that both of the theories are </w:t>
      </w:r>
      <w:r>
        <w:lastRenderedPageBreak/>
        <w:t>guilty of ‘theorizing power as an unbreakable system of containment so that female identity appears to be something fathered upon women by the patriarchy’.</w:t>
      </w:r>
      <w:r>
        <w:rPr>
          <w:rStyle w:val="FootnoteReference"/>
        </w:rPr>
        <w:footnoteReference w:id="17"/>
      </w:r>
      <w:r w:rsidR="00C23FF2">
        <w:rPr>
          <w:rStyle w:val="FootnoteReference"/>
        </w:rPr>
        <w:footnoteReference w:id="18"/>
      </w:r>
      <w:r w:rsidR="002C64E7">
        <w:t xml:space="preserve"> We are aware that </w:t>
      </w:r>
      <w:r w:rsidR="005D69C3">
        <w:t xml:space="preserve">Material feminist criticism puts emphasis on the idea that there are patriarchal resistance and oppressiveness when it comes to dominant constructions of ideology of women. </w:t>
      </w:r>
      <w:r w:rsidR="00424304">
        <w:t xml:space="preserve">There is clear attention, in both cases, to both historically specific material and the ideological conditions of society. Jonathan </w:t>
      </w:r>
      <w:proofErr w:type="spellStart"/>
      <w:r w:rsidR="00424304">
        <w:t>Dollimore</w:t>
      </w:r>
      <w:proofErr w:type="spellEnd"/>
      <w:r w:rsidR="00424304">
        <w:t>, regarding this issue states:</w:t>
      </w:r>
    </w:p>
    <w:p w:rsidR="00424304" w:rsidRDefault="00424304" w:rsidP="004C04AE">
      <w:pPr>
        <w:spacing w:line="480" w:lineRule="auto"/>
      </w:pPr>
    </w:p>
    <w:p w:rsidR="00424304" w:rsidRDefault="00424304" w:rsidP="004C04AE">
      <w:pPr>
        <w:spacing w:line="480" w:lineRule="auto"/>
        <w:ind w:left="284"/>
      </w:pPr>
      <w:r>
        <w:t>A materialist feminism, rather than simply co-opting or writing off Shakespeare, follows the unstable constructions of, for example, gender and patriarchy back to the contradictions of their historical moment.</w:t>
      </w:r>
      <w:r>
        <w:rPr>
          <w:rStyle w:val="FootnoteReference"/>
        </w:rPr>
        <w:footnoteReference w:id="19"/>
      </w:r>
    </w:p>
    <w:p w:rsidR="00651E2C" w:rsidRDefault="00651E2C" w:rsidP="004C04AE">
      <w:pPr>
        <w:spacing w:line="480" w:lineRule="auto"/>
      </w:pPr>
    </w:p>
    <w:p w:rsidR="00424304" w:rsidRPr="0058576D" w:rsidRDefault="00424304" w:rsidP="004C04AE">
      <w:pPr>
        <w:spacing w:line="480" w:lineRule="auto"/>
      </w:pPr>
      <w:r>
        <w:t xml:space="preserve">In my opinion, I believe that this would suggest that Materialist Feminists, when referring to Moll in </w:t>
      </w:r>
      <w:r>
        <w:rPr>
          <w:i/>
        </w:rPr>
        <w:t>The Roaring Girl</w:t>
      </w:r>
      <w:r>
        <w:t xml:space="preserve"> would believe that Moll was not doing things for herself but was dressing up and acting inappropriately to possibly challenge the patriarchy. I also believe that they would feel as though Moll was living in a society where women were seen as “lesser” than men and therefore would have been oppressed regardless of the way that she was as men were seen as being the more important sex in society.</w:t>
      </w:r>
      <w:r w:rsidR="00386A3D">
        <w:t xml:space="preserve"> </w:t>
      </w:r>
      <w:r w:rsidR="0058576D">
        <w:t xml:space="preserve">If, for example, this statement was used as a connection to Shakespeare’s </w:t>
      </w:r>
      <w:r w:rsidR="0058576D">
        <w:rPr>
          <w:i/>
        </w:rPr>
        <w:t xml:space="preserve">Hamlet, </w:t>
      </w:r>
      <w:r w:rsidR="0058576D">
        <w:t xml:space="preserve">I believe that feminist Cultural Materialists would have many problems with the way that Hamlet spoke to both his mother and Ophelia. I believe that the critics would be very likely to break down the </w:t>
      </w:r>
      <w:r w:rsidR="0058576D">
        <w:lastRenderedPageBreak/>
        <w:t>relationship between Hamlet and his mother and would try to see whether the way that Hamlet treated his mother was necessary regarding the situation or whether he only treated her (and Ophelia) badly due to them being of the opposite sex.</w:t>
      </w:r>
    </w:p>
    <w:p w:rsidR="00424304" w:rsidRDefault="00424304" w:rsidP="004C04AE">
      <w:pPr>
        <w:spacing w:line="480" w:lineRule="auto"/>
      </w:pPr>
    </w:p>
    <w:p w:rsidR="00651E2C" w:rsidRDefault="00651E2C" w:rsidP="004C04AE">
      <w:pPr>
        <w:spacing w:line="480" w:lineRule="auto"/>
      </w:pPr>
      <w:r>
        <w:t xml:space="preserve">In the book, Moll’s transvestism shows that she was one to oppose traditional gendered binary oppositions that were often imposing on one’s biological sexual differences. The essentialist binaries are destabilised as Moll is a cross dressing woman. Moll continuously refuses to adopt any traditional gender roles due to her character and the way that she is written. This can be seen </w:t>
      </w:r>
      <w:r w:rsidR="001C1D04">
        <w:t>in Act 2, Scene 2 when Moll is speaking to Sir Alexander and Sebastian:</w:t>
      </w:r>
    </w:p>
    <w:p w:rsidR="001C1D04" w:rsidRDefault="001C1D04" w:rsidP="004C04AE">
      <w:pPr>
        <w:spacing w:line="480" w:lineRule="auto"/>
      </w:pPr>
    </w:p>
    <w:p w:rsidR="001C1D04" w:rsidRPr="008C401B" w:rsidRDefault="001C1D04" w:rsidP="004C04AE">
      <w:pPr>
        <w:spacing w:line="480" w:lineRule="auto"/>
        <w:ind w:left="284"/>
      </w:pPr>
      <w:r>
        <w:t xml:space="preserve">I have no humour to marry, I love to lie o’ both sides </w:t>
      </w:r>
      <w:proofErr w:type="spellStart"/>
      <w:r>
        <w:t>o’th’bed</w:t>
      </w:r>
      <w:proofErr w:type="spellEnd"/>
      <w:r>
        <w:t xml:space="preserve"> myself, and again </w:t>
      </w:r>
      <w:proofErr w:type="spellStart"/>
      <w:r>
        <w:t>o’th’other</w:t>
      </w:r>
      <w:proofErr w:type="spellEnd"/>
      <w:r>
        <w:t xml:space="preserve"> side; a wife you know ought to be obedient, but I fear me I am too headstrong to obey, therefore I’ll ne’er go about it.</w:t>
      </w:r>
      <w:r>
        <w:rPr>
          <w:rStyle w:val="FootnoteReference"/>
        </w:rPr>
        <w:footnoteReference w:id="20"/>
      </w:r>
    </w:p>
    <w:p w:rsidR="00831766" w:rsidRDefault="00831766" w:rsidP="004C04AE">
      <w:pPr>
        <w:spacing w:line="480" w:lineRule="auto"/>
      </w:pPr>
    </w:p>
    <w:p w:rsidR="004405CA" w:rsidRDefault="000C6BC2" w:rsidP="004C04AE">
      <w:pPr>
        <w:spacing w:line="480" w:lineRule="auto"/>
      </w:pPr>
      <w:r>
        <w:t xml:space="preserve">In this scene, Moll is refusing Sebastian as he pretends to admire her. Moll is assertive, which is a characteristic that would be seen as ‘unladylike’ for many women at the time. Moll is clear about what she wants and what she doesn’t want. Moll is clearly a character that does not want marriage as she wants to be seen as a single woman whom can do whatever she desires without having to gain acceptance from a future husband. The statement, “I fear me I am too headstrong to obey” suggests that Moll would not follow the orders of her husband even if she wanted to get married and she would be successful and </w:t>
      </w:r>
      <w:r>
        <w:lastRenderedPageBreak/>
        <w:t>self-sufficient</w:t>
      </w:r>
      <w:r w:rsidR="005F1FB1">
        <w:t xml:space="preserve"> without a man by her side as she is able to depend on herself. Moll is constantly attacking the idea of a hierarchy in marriage. The word ‘head’ as in ‘headstrong’ would often not refer to the idea of the traditional woman as the man, who would be the head of the house, would have been given this kind of title rather than the woman.</w:t>
      </w:r>
      <w:r w:rsidR="001806DE">
        <w:rPr>
          <w:rStyle w:val="FootnoteReference"/>
        </w:rPr>
        <w:footnoteReference w:id="21"/>
      </w:r>
    </w:p>
    <w:p w:rsidR="001C1D04" w:rsidRDefault="001C1D04" w:rsidP="004C04AE">
      <w:pPr>
        <w:spacing w:line="480" w:lineRule="auto"/>
      </w:pPr>
    </w:p>
    <w:p w:rsidR="004405CA" w:rsidRDefault="008F4267" w:rsidP="004C04AE">
      <w:pPr>
        <w:spacing w:line="480" w:lineRule="auto"/>
      </w:pPr>
      <w:r>
        <w:t xml:space="preserve">New Historicists may have looked at this scene and </w:t>
      </w:r>
      <w:r w:rsidR="00114CA5">
        <w:t>felt as though Moll was doing what she wanted to do and although, society now more accepting of those who cross-dress, New Historicists would try to put themselves in to the shoes of individuals at the time, although they are aware that their feelings would not be the same.</w:t>
      </w:r>
      <w:r w:rsidR="00411808">
        <w:t xml:space="preserve"> New Historicists are also clearly aware that social acts </w:t>
      </w:r>
      <w:r w:rsidR="001E4BFB">
        <w:t xml:space="preserve">are caused by other social acts and things in society cannot exist without previous versions which cause a </w:t>
      </w:r>
      <w:r w:rsidR="003A633C">
        <w:t>knock-on</w:t>
      </w:r>
      <w:r w:rsidR="001E4BFB">
        <w:t xml:space="preserve"> effect.</w:t>
      </w:r>
      <w:r w:rsidR="003A633C">
        <w:rPr>
          <w:rStyle w:val="FootnoteReference"/>
        </w:rPr>
        <w:footnoteReference w:id="22"/>
      </w:r>
      <w:r w:rsidR="00582175">
        <w:t xml:space="preserve"> In my opinion, I believe that New Historicists would feel as though Moll </w:t>
      </w:r>
      <w:r w:rsidR="004405CA">
        <w:t>was only doing what she wanted to do and was doing it to cause a butterfly effect on the society in which she was within. I think that with Cultural Materialism, their views of Moll would probably have been quite similar, especially since both types of criticisms are very modern.</w:t>
      </w:r>
    </w:p>
    <w:p w:rsidR="008F414D" w:rsidRDefault="008F414D" w:rsidP="004C04AE">
      <w:pPr>
        <w:spacing w:line="480" w:lineRule="auto"/>
      </w:pPr>
    </w:p>
    <w:p w:rsidR="004405CA" w:rsidRDefault="008F414D" w:rsidP="004C04AE">
      <w:pPr>
        <w:spacing w:line="480" w:lineRule="auto"/>
      </w:pPr>
      <w:r>
        <w:t xml:space="preserve">Cultural Materialists understand that everything in society happens for a reason and that there is no way that individuals can go through their entire lives without having opinions that would later have an impact on themselves or other people as everything happens for a reason. </w:t>
      </w:r>
      <w:r w:rsidR="008B1879">
        <w:t xml:space="preserve">Cultural Materialism is often related to Marxism although they are not the same thing. Unlike New Historicists, Cultural Materialists often use the term ‘ideology’ and are </w:t>
      </w:r>
      <w:r w:rsidR="008B1879">
        <w:lastRenderedPageBreak/>
        <w:t>interested in the way that economics and social aspects within a society.</w:t>
      </w:r>
      <w:r w:rsidR="00EE1970">
        <w:t xml:space="preserve"> I believe that due to the views and beliefs shared by Cultural Materialist, </w:t>
      </w:r>
      <w:r w:rsidR="00F942B5">
        <w:t xml:space="preserve">they seem to be more accepting compared to Marxists. Although they question the economics and </w:t>
      </w:r>
      <w:r w:rsidR="00CE57A6">
        <w:t>capitalism within society, Cultural Materialism do not view literature within an ‘ideological superstructure’, rather, they believe that literature is an expression of social rules and codes. This suggests, in my opinion, that they</w:t>
      </w:r>
      <w:r w:rsidR="003B15C1">
        <w:t xml:space="preserve"> may</w:t>
      </w:r>
      <w:r w:rsidR="00CE57A6">
        <w:t xml:space="preserve"> believe that literature is a perfect area where individuals are able to express views in a safe place.</w:t>
      </w:r>
      <w:r w:rsidR="003B15C1">
        <w:t xml:space="preserve"> If this is the belief that they follow, then it’s safe to say that Cultural Materialists would have the same view as New Historicists when it comes to the character of Moll. Although feminists may be concerned with the gender aspect of the character and </w:t>
      </w:r>
      <w:r w:rsidR="004C3841">
        <w:t>Marxists would be concerned with the society in which she was living, Cultural Materialists and New Historicists are more</w:t>
      </w:r>
      <w:r w:rsidR="00D31F0C">
        <w:t xml:space="preserve"> likely to have the belief that individuals can do whatever they want as long as they are aware that it could affect them now as well as affecting future individuals.</w:t>
      </w:r>
    </w:p>
    <w:p w:rsidR="00386A3D" w:rsidRDefault="00386A3D" w:rsidP="004C04AE">
      <w:pPr>
        <w:spacing w:line="480" w:lineRule="auto"/>
      </w:pPr>
    </w:p>
    <w:p w:rsidR="000C59FA" w:rsidRPr="007E367C" w:rsidRDefault="007E367C" w:rsidP="004C04AE">
      <w:pPr>
        <w:spacing w:line="480" w:lineRule="auto"/>
      </w:pPr>
      <w:r>
        <w:t xml:space="preserve">Gender roles are definitely very apparent in </w:t>
      </w:r>
      <w:r>
        <w:rPr>
          <w:i/>
        </w:rPr>
        <w:t xml:space="preserve">The Roaring Girl </w:t>
      </w:r>
      <w:r>
        <w:t>depending on the way that individuals act regarding their gender binaries and social class. As mentioned pre</w:t>
      </w:r>
      <w:r w:rsidR="00981DD9">
        <w:t xml:space="preserve">viously, Moll speaks in a very specific way in the play and does not seem to care about other people’s opinions. Moll is </w:t>
      </w:r>
      <w:r w:rsidR="00BB0B90">
        <w:t>a woman wearing men’s clothes which would have been very controversial in that kind of society and individuals would have been punished for doing such a thing.</w:t>
      </w:r>
      <w:r w:rsidR="00C77F0A">
        <w:t xml:space="preserve"> Moll speaks as though she does not care about the opinions of anyone else as she is constantly doing whatever she wants. Moll a</w:t>
      </w:r>
      <w:r w:rsidR="0028027E">
        <w:t xml:space="preserve">lso does not want to get married which would have been controversial at the time. I believe that New Historicists and Cultural Materialists would find this interesting as women wearing men’s clothes and transvestitism </w:t>
      </w:r>
      <w:r w:rsidR="0028027E">
        <w:lastRenderedPageBreak/>
        <w:t>is only recently an accepted concept so although they would try to understand the way that this would have affected someone at the time rather than trying to feel it themselves. This is because in a modern society, everything is far more acceptable.</w:t>
      </w:r>
    </w:p>
    <w:p w:rsidR="00386A3D" w:rsidRDefault="00386A3D" w:rsidP="004C04AE">
      <w:pPr>
        <w:spacing w:line="480" w:lineRule="auto"/>
        <w:rPr>
          <w:u w:val="single"/>
        </w:rPr>
      </w:pPr>
    </w:p>
    <w:p w:rsidR="004405CA" w:rsidRDefault="00B04999" w:rsidP="004C04AE">
      <w:pPr>
        <w:spacing w:line="480" w:lineRule="auto"/>
      </w:pPr>
      <w:r>
        <w:t xml:space="preserve">Women at the time, traditionally fit in to one of the three categories. They were either wives of men and therefore did not have their own personalities, prostitutes that were available on demand to satisfy the needs of any man or </w:t>
      </w:r>
      <w:r w:rsidR="00993439">
        <w:t>they were the traditional mercantile wife which was often seen in misogynistic literature. Moll, does not fit in to any of these three categories and is an original character in the play. As we have seen previously, Moll is not a wife and does not want to be one as she is a self-sufficient woman who does things for herself and does not need a man.</w:t>
      </w:r>
    </w:p>
    <w:p w:rsidR="00993439" w:rsidRDefault="00993439" w:rsidP="004C04AE">
      <w:pPr>
        <w:spacing w:line="480" w:lineRule="auto"/>
      </w:pPr>
    </w:p>
    <w:p w:rsidR="006B2136" w:rsidRDefault="00DD44EC" w:rsidP="004C04AE">
      <w:pPr>
        <w:spacing w:line="480" w:lineRule="auto"/>
      </w:pPr>
      <w:r>
        <w:t xml:space="preserve">Moll also refuses to give anything to </w:t>
      </w:r>
      <w:proofErr w:type="spellStart"/>
      <w:r>
        <w:t>Laxton</w:t>
      </w:r>
      <w:proofErr w:type="spellEnd"/>
      <w:r>
        <w:t xml:space="preserve"> if she doesn’t want to. Her priority is herself and nobody is able to get in the way of that as Moll is too headstrong</w:t>
      </w:r>
      <w:r w:rsidR="006B2136">
        <w:t xml:space="preserve"> to do things that she does not want to do. This can be seen when Moll states ‘Base is that mind that kneels unto her body / As if a husband stood in awe </w:t>
      </w:r>
      <w:proofErr w:type="spellStart"/>
      <w:r w:rsidR="006B2136">
        <w:t>on’s</w:t>
      </w:r>
      <w:proofErr w:type="spellEnd"/>
      <w:r w:rsidR="006B2136">
        <w:t xml:space="preserve"> wife’</w:t>
      </w:r>
      <w:r w:rsidR="006B2136">
        <w:rPr>
          <w:rStyle w:val="FootnoteReference"/>
        </w:rPr>
        <w:footnoteReference w:id="23"/>
      </w:r>
      <w:r w:rsidR="00FE6430">
        <w:t xml:space="preserve">. This quote shows that Moll is rejecting </w:t>
      </w:r>
      <w:proofErr w:type="spellStart"/>
      <w:r w:rsidR="00FE6430">
        <w:t>Laxton’s</w:t>
      </w:r>
      <w:proofErr w:type="spellEnd"/>
      <w:r w:rsidR="00FE6430">
        <w:t xml:space="preserve"> advances and does will refuse to do anything that she does not want to do. In my personal opinion, I believe that </w:t>
      </w:r>
      <w:r w:rsidR="006331DD">
        <w:t>feminist critics would be very</w:t>
      </w:r>
      <w:r w:rsidR="00715D30">
        <w:t xml:space="preserve"> pleased with the way that Moll treats men as she does not care about what they think of her as she constantly speaks her</w:t>
      </w:r>
      <w:r w:rsidR="00D43991">
        <w:t xml:space="preserve"> mind and acts how she pleases.</w:t>
      </w:r>
    </w:p>
    <w:p w:rsidR="00DD5F19" w:rsidRDefault="00DD5F19" w:rsidP="004C04AE">
      <w:pPr>
        <w:spacing w:line="480" w:lineRule="auto"/>
      </w:pPr>
    </w:p>
    <w:p w:rsidR="00DD5F19" w:rsidRDefault="00DD5F19" w:rsidP="004C04AE">
      <w:pPr>
        <w:spacing w:line="480" w:lineRule="auto"/>
      </w:pPr>
      <w:r>
        <w:lastRenderedPageBreak/>
        <w:t xml:space="preserve">Moll is contained in her environment due to </w:t>
      </w:r>
      <w:r w:rsidR="00727189">
        <w:t>subversion. Subversion also contains risks. Although one may be contained, it suggests that one may not be ready to experience things outside of their own environment.</w:t>
      </w:r>
      <w:r w:rsidR="00F00DA2">
        <w:t xml:space="preserve"> Nobody can state what the play is about as it is up to the individual interpretation of the reader. One may believe that it is all about gender identity and another may see it as a play that s</w:t>
      </w:r>
      <w:r w:rsidR="00FA402D">
        <w:t>hows the way that a real society works, it all depends on the reader. In my opinion, I believe that the play is politically contained but it also presents modern ideas that come to the foreground of the play. I’m unsure if plays like this would have been controversial. They would have been accessible to anyone and men played women all of the time which leads me to think that men playing women that are crossdressing as men may have been an expected thing for entertainment at the time.</w:t>
      </w:r>
    </w:p>
    <w:p w:rsidR="00D43991" w:rsidRDefault="00D43991" w:rsidP="004C04AE">
      <w:pPr>
        <w:spacing w:line="480" w:lineRule="auto"/>
      </w:pPr>
    </w:p>
    <w:p w:rsidR="00D43991" w:rsidRPr="00B04999" w:rsidRDefault="00D43991" w:rsidP="004C04AE">
      <w:pPr>
        <w:spacing w:line="480" w:lineRule="auto"/>
      </w:pPr>
      <w:r>
        <w:t>To conclude, New Historicists and Cultural Materialists have very similar ways of looking at things although there are some slight differences that could have a significant impact on the way that one views society if this is correct.</w:t>
      </w:r>
      <w:r w:rsidR="00AA7D3C">
        <w:t xml:space="preserve"> Personally, I think that New Historicists and Cultural Materialists are different to other critics</w:t>
      </w:r>
      <w:r w:rsidR="00DD5F19">
        <w:t xml:space="preserve"> like Marxists and Feminists because rather than looking at certain aspects of society such as social class or the patriarchy, they look at the way that society works as a whole.</w:t>
      </w:r>
    </w:p>
    <w:p w:rsidR="00BB0B90" w:rsidRDefault="00BB0B90" w:rsidP="004C04AE">
      <w:pPr>
        <w:spacing w:line="480" w:lineRule="auto"/>
        <w:rPr>
          <w:u w:val="single"/>
        </w:rPr>
      </w:pPr>
    </w:p>
    <w:p w:rsidR="00BB0B90" w:rsidRDefault="00BB0B90" w:rsidP="004C04AE">
      <w:pPr>
        <w:spacing w:line="480" w:lineRule="auto"/>
        <w:rPr>
          <w:u w:val="single"/>
        </w:rPr>
      </w:pPr>
    </w:p>
    <w:p w:rsidR="00BB0B90" w:rsidRDefault="00BB0B90" w:rsidP="004C04AE">
      <w:pPr>
        <w:spacing w:line="480" w:lineRule="auto"/>
        <w:rPr>
          <w:u w:val="single"/>
        </w:rPr>
      </w:pPr>
    </w:p>
    <w:p w:rsidR="00BB0B90" w:rsidRDefault="00BB0B90" w:rsidP="004C04AE">
      <w:pPr>
        <w:spacing w:line="480" w:lineRule="auto"/>
        <w:rPr>
          <w:u w:val="single"/>
        </w:rPr>
      </w:pPr>
    </w:p>
    <w:p w:rsidR="00BB0B90" w:rsidRDefault="00BB0B90" w:rsidP="004C04AE">
      <w:pPr>
        <w:spacing w:line="480" w:lineRule="auto"/>
        <w:rPr>
          <w:u w:val="single"/>
        </w:rPr>
      </w:pPr>
    </w:p>
    <w:p w:rsidR="004C04AE" w:rsidRDefault="004C04AE" w:rsidP="004C04AE">
      <w:pPr>
        <w:spacing w:line="480" w:lineRule="auto"/>
        <w:rPr>
          <w:u w:val="single"/>
        </w:rPr>
      </w:pPr>
    </w:p>
    <w:p w:rsidR="004B6202" w:rsidRDefault="004B6202" w:rsidP="004C04AE">
      <w:pPr>
        <w:spacing w:line="480" w:lineRule="auto"/>
        <w:rPr>
          <w:u w:val="single"/>
        </w:rPr>
      </w:pPr>
      <w:r w:rsidRPr="004B6202">
        <w:rPr>
          <w:u w:val="single"/>
        </w:rPr>
        <w:lastRenderedPageBreak/>
        <w:t>Bibliography</w:t>
      </w:r>
    </w:p>
    <w:p w:rsidR="004C04AE" w:rsidRDefault="004C04AE" w:rsidP="004C04AE">
      <w:pPr>
        <w:spacing w:line="480" w:lineRule="auto"/>
      </w:pPr>
    </w:p>
    <w:p w:rsidR="004C04AE" w:rsidRDefault="004C04AE" w:rsidP="004C04AE">
      <w:pPr>
        <w:spacing w:line="480" w:lineRule="auto"/>
      </w:pPr>
      <w:r>
        <w:t xml:space="preserve">Alexander, J. C. and Smith, P., </w:t>
      </w:r>
      <w:r>
        <w:rPr>
          <w:i/>
        </w:rPr>
        <w:t xml:space="preserve">Interpreting Clifford Geertz: Cultural Investigation in the Social Sciences </w:t>
      </w:r>
      <w:r>
        <w:t>(London: Palgrave Macmillan, 2011).</w:t>
      </w:r>
    </w:p>
    <w:p w:rsidR="004C04AE" w:rsidRDefault="004C04AE" w:rsidP="004C04AE">
      <w:pPr>
        <w:spacing w:line="480" w:lineRule="auto"/>
      </w:pPr>
    </w:p>
    <w:p w:rsidR="004C04AE" w:rsidRDefault="004C04AE" w:rsidP="004C04AE">
      <w:pPr>
        <w:spacing w:line="480" w:lineRule="auto"/>
      </w:pPr>
      <w:r>
        <w:t xml:space="preserve">Barthes, R. </w:t>
      </w:r>
      <w:r>
        <w:rPr>
          <w:i/>
        </w:rPr>
        <w:t xml:space="preserve">Selected Writings Introduced </w:t>
      </w:r>
      <w:proofErr w:type="gramStart"/>
      <w:r>
        <w:rPr>
          <w:i/>
        </w:rPr>
        <w:t>By</w:t>
      </w:r>
      <w:proofErr w:type="gramEnd"/>
      <w:r>
        <w:rPr>
          <w:i/>
        </w:rPr>
        <w:t xml:space="preserve"> Susan Sontag </w:t>
      </w:r>
      <w:r>
        <w:t>(New York: Fontana Press, 1983).</w:t>
      </w:r>
    </w:p>
    <w:p w:rsidR="004C04AE" w:rsidRDefault="004C04AE" w:rsidP="004C04AE">
      <w:pPr>
        <w:spacing w:line="480" w:lineRule="auto"/>
      </w:pPr>
    </w:p>
    <w:p w:rsidR="004C04AE" w:rsidRDefault="004C04AE" w:rsidP="004C04AE">
      <w:pPr>
        <w:spacing w:line="480" w:lineRule="auto"/>
      </w:pPr>
      <w:proofErr w:type="spellStart"/>
      <w:r>
        <w:t>Boose</w:t>
      </w:r>
      <w:proofErr w:type="spellEnd"/>
      <w:r>
        <w:t xml:space="preserve">, L. E. ‘The Family in Shakespearean Studies’, </w:t>
      </w:r>
      <w:r>
        <w:rPr>
          <w:i/>
        </w:rPr>
        <w:t xml:space="preserve">Renaissance Quarterly, </w:t>
      </w:r>
      <w:r>
        <w:t>40 (1987), pp. 707-742.</w:t>
      </w:r>
    </w:p>
    <w:p w:rsidR="004B6202" w:rsidRDefault="004B6202" w:rsidP="004C04AE">
      <w:pPr>
        <w:spacing w:line="480" w:lineRule="auto"/>
        <w:rPr>
          <w:u w:val="single"/>
        </w:rPr>
      </w:pPr>
    </w:p>
    <w:p w:rsidR="004B6202" w:rsidRDefault="004B6202" w:rsidP="004C04AE">
      <w:pPr>
        <w:spacing w:line="480" w:lineRule="auto"/>
      </w:pPr>
      <w:r>
        <w:t xml:space="preserve">Colebrook, C., </w:t>
      </w:r>
      <w:r>
        <w:rPr>
          <w:i/>
        </w:rPr>
        <w:t xml:space="preserve">New Literary Histories: New Historicism and Contemporary Criticism </w:t>
      </w:r>
      <w:r>
        <w:t>(Manchester: Manchester University Press, 1997).</w:t>
      </w:r>
    </w:p>
    <w:p w:rsidR="004C04AE" w:rsidRDefault="004C04AE" w:rsidP="004C04AE">
      <w:pPr>
        <w:spacing w:line="480" w:lineRule="auto"/>
      </w:pPr>
    </w:p>
    <w:p w:rsidR="004C04AE" w:rsidRDefault="004C04AE" w:rsidP="004C04AE">
      <w:pPr>
        <w:spacing w:line="480" w:lineRule="auto"/>
      </w:pPr>
      <w:r>
        <w:t xml:space="preserve">Dekker, T. and Middleton, T., </w:t>
      </w:r>
      <w:r>
        <w:rPr>
          <w:i/>
        </w:rPr>
        <w:t>The Roaring Girl</w:t>
      </w:r>
      <w:r>
        <w:t xml:space="preserve"> (London: Bloomsbury Publishing Plc, 1976).</w:t>
      </w:r>
    </w:p>
    <w:p w:rsidR="00393115" w:rsidRDefault="00393115" w:rsidP="004C04AE">
      <w:pPr>
        <w:spacing w:line="480" w:lineRule="auto"/>
      </w:pPr>
    </w:p>
    <w:p w:rsidR="004C04AE" w:rsidRDefault="004C04AE" w:rsidP="004C04AE">
      <w:pPr>
        <w:spacing w:line="480" w:lineRule="auto"/>
      </w:pPr>
      <w:r w:rsidRPr="00A06297">
        <w:t>Dix</w:t>
      </w:r>
      <w:r>
        <w:t xml:space="preserve">, H., </w:t>
      </w:r>
      <w:r>
        <w:rPr>
          <w:i/>
        </w:rPr>
        <w:t xml:space="preserve">After Raymond Williams: Cultural Materialism and the Break-Up of Britain </w:t>
      </w:r>
      <w:r w:rsidRPr="00A06297">
        <w:t>(</w:t>
      </w:r>
      <w:r>
        <w:t>Cardiff: Cardiff University Press, 2008)</w:t>
      </w:r>
    </w:p>
    <w:p w:rsidR="004C04AE" w:rsidRDefault="004C04AE" w:rsidP="004C04AE">
      <w:pPr>
        <w:spacing w:line="480" w:lineRule="auto"/>
      </w:pPr>
    </w:p>
    <w:p w:rsidR="004C04AE" w:rsidRPr="0077445D" w:rsidRDefault="004C04AE" w:rsidP="004C04AE">
      <w:pPr>
        <w:spacing w:line="480" w:lineRule="auto"/>
      </w:pPr>
      <w:proofErr w:type="spellStart"/>
      <w:r>
        <w:t>Dollimore</w:t>
      </w:r>
      <w:proofErr w:type="spellEnd"/>
      <w:r>
        <w:t xml:space="preserve">, J. </w:t>
      </w:r>
      <w:r>
        <w:rPr>
          <w:i/>
        </w:rPr>
        <w:t xml:space="preserve">Political Shakespeare: Essays in Cultural Materialism </w:t>
      </w:r>
      <w:r>
        <w:t>(Manchester: Manchester University Press, 1985).</w:t>
      </w:r>
    </w:p>
    <w:p w:rsidR="004C04AE" w:rsidRDefault="004C04AE" w:rsidP="004C04AE">
      <w:pPr>
        <w:spacing w:line="480" w:lineRule="auto"/>
      </w:pPr>
    </w:p>
    <w:p w:rsidR="004C04AE" w:rsidRDefault="004C04AE" w:rsidP="004C04AE">
      <w:pPr>
        <w:spacing w:line="480" w:lineRule="auto"/>
      </w:pPr>
      <w:r>
        <w:t xml:space="preserve">Gallagher, C. </w:t>
      </w:r>
      <w:r>
        <w:rPr>
          <w:i/>
        </w:rPr>
        <w:t xml:space="preserve">Practicing New Historicism </w:t>
      </w:r>
      <w:r>
        <w:t>(Chicago: Chicago University Press, 2001).</w:t>
      </w:r>
    </w:p>
    <w:p w:rsidR="004C04AE" w:rsidRDefault="004C04AE" w:rsidP="004C04AE">
      <w:pPr>
        <w:spacing w:line="480" w:lineRule="auto"/>
      </w:pPr>
    </w:p>
    <w:p w:rsidR="004C04AE" w:rsidRDefault="004C04AE" w:rsidP="004C04AE">
      <w:pPr>
        <w:spacing w:line="480" w:lineRule="auto"/>
      </w:pPr>
      <w:r>
        <w:lastRenderedPageBreak/>
        <w:t xml:space="preserve">Greenblatt, S., </w:t>
      </w:r>
      <w:r>
        <w:rPr>
          <w:i/>
        </w:rPr>
        <w:t xml:space="preserve">Renaissance Self-Fashioning: From More to Shakespeare </w:t>
      </w:r>
      <w:r>
        <w:t>(Chicago: University of Chicago Press, 1980).</w:t>
      </w:r>
    </w:p>
    <w:p w:rsidR="004C04AE" w:rsidRDefault="004C04AE" w:rsidP="004C04AE">
      <w:pPr>
        <w:spacing w:line="480" w:lineRule="auto"/>
      </w:pPr>
    </w:p>
    <w:p w:rsidR="004C04AE" w:rsidRDefault="004C04AE" w:rsidP="004C04AE">
      <w:pPr>
        <w:spacing w:line="480" w:lineRule="auto"/>
      </w:pPr>
      <w:r>
        <w:t xml:space="preserve">Lacan, J. </w:t>
      </w:r>
      <w:proofErr w:type="spellStart"/>
      <w:r w:rsidRPr="000F04B5">
        <w:rPr>
          <w:rFonts w:ascii="Calibri" w:hAnsi="Calibri"/>
          <w:i/>
        </w:rPr>
        <w:t>É</w:t>
      </w:r>
      <w:r w:rsidRPr="000F04B5">
        <w:rPr>
          <w:i/>
        </w:rPr>
        <w:t>crits</w:t>
      </w:r>
      <w:proofErr w:type="spellEnd"/>
      <w:r w:rsidRPr="000F04B5">
        <w:rPr>
          <w:i/>
        </w:rPr>
        <w:t>: A Selection</w:t>
      </w:r>
      <w:r>
        <w:rPr>
          <w:i/>
        </w:rPr>
        <w:t xml:space="preserve"> </w:t>
      </w:r>
      <w:r>
        <w:t>(London: Tavistock, 1977).</w:t>
      </w:r>
    </w:p>
    <w:p w:rsidR="004C04AE" w:rsidRDefault="004C04AE" w:rsidP="004C04AE">
      <w:pPr>
        <w:spacing w:line="480" w:lineRule="auto"/>
      </w:pPr>
    </w:p>
    <w:p w:rsidR="004C04AE" w:rsidRDefault="004C04AE" w:rsidP="004C04AE">
      <w:pPr>
        <w:spacing w:line="480" w:lineRule="auto"/>
      </w:pPr>
      <w:r>
        <w:t xml:space="preserve">Lee, J. S., </w:t>
      </w:r>
      <w:r>
        <w:rPr>
          <w:i/>
        </w:rPr>
        <w:t xml:space="preserve">Jacques Lacan </w:t>
      </w:r>
      <w:r>
        <w:t>(Massachusetts: Massachusetts University Press, 1991).</w:t>
      </w:r>
    </w:p>
    <w:p w:rsidR="004C04AE" w:rsidRDefault="004C04AE" w:rsidP="004C04AE">
      <w:pPr>
        <w:spacing w:line="480" w:lineRule="auto"/>
      </w:pPr>
    </w:p>
    <w:p w:rsidR="004C04AE" w:rsidRDefault="004C04AE" w:rsidP="004C04AE">
      <w:pPr>
        <w:spacing w:line="480" w:lineRule="auto"/>
      </w:pPr>
      <w:r>
        <w:t xml:space="preserve">Lewis, T., ‘The New Historicism and Marxism’, </w:t>
      </w:r>
      <w:r>
        <w:rPr>
          <w:i/>
        </w:rPr>
        <w:t xml:space="preserve">The Journal of the Midwest Modern Language Association, </w:t>
      </w:r>
      <w:r>
        <w:t>24(1) (Spring, 1991), pp. 14-23.</w:t>
      </w:r>
    </w:p>
    <w:p w:rsidR="004C04AE" w:rsidRDefault="004C04AE" w:rsidP="004C04AE">
      <w:pPr>
        <w:spacing w:line="480" w:lineRule="auto"/>
      </w:pPr>
    </w:p>
    <w:p w:rsidR="004C04AE" w:rsidRPr="00C23FF2" w:rsidRDefault="004C04AE" w:rsidP="004C04AE">
      <w:pPr>
        <w:spacing w:line="480" w:lineRule="auto"/>
      </w:pPr>
      <w:r>
        <w:t xml:space="preserve">Neely, C. T. ‘Constructing the Subject: Feminist Practice and the New Renaissance Discourses, </w:t>
      </w:r>
      <w:r>
        <w:rPr>
          <w:i/>
        </w:rPr>
        <w:t xml:space="preserve">English Literary Renaissance, </w:t>
      </w:r>
      <w:r>
        <w:t>18 (1988), pp. 5-18.</w:t>
      </w:r>
    </w:p>
    <w:p w:rsidR="004C04AE" w:rsidRDefault="004C04AE" w:rsidP="004C04AE">
      <w:pPr>
        <w:spacing w:line="480" w:lineRule="auto"/>
      </w:pPr>
    </w:p>
    <w:p w:rsidR="004C04AE" w:rsidRDefault="004C04AE" w:rsidP="004C04AE">
      <w:pPr>
        <w:spacing w:line="480" w:lineRule="auto"/>
      </w:pPr>
      <w:proofErr w:type="spellStart"/>
      <w:r>
        <w:t>Rabate</w:t>
      </w:r>
      <w:proofErr w:type="spellEnd"/>
      <w:r>
        <w:t xml:space="preserve">, J. </w:t>
      </w:r>
      <w:r>
        <w:rPr>
          <w:i/>
        </w:rPr>
        <w:t xml:space="preserve">The Cambridge Companion to Lacan </w:t>
      </w:r>
      <w:r>
        <w:t>(Cambridge: Cambridge University Press, 2003).</w:t>
      </w:r>
    </w:p>
    <w:p w:rsidR="004C04AE" w:rsidRDefault="004C04AE" w:rsidP="004C04AE">
      <w:pPr>
        <w:spacing w:line="480" w:lineRule="auto"/>
      </w:pPr>
    </w:p>
    <w:p w:rsidR="00393115" w:rsidRDefault="00393115" w:rsidP="004C04AE">
      <w:pPr>
        <w:spacing w:line="480" w:lineRule="auto"/>
      </w:pPr>
      <w:proofErr w:type="spellStart"/>
      <w:r>
        <w:t>Veeser</w:t>
      </w:r>
      <w:proofErr w:type="spellEnd"/>
      <w:r>
        <w:t xml:space="preserve">, H. A., ‘The New Historicism’, </w:t>
      </w:r>
      <w:r>
        <w:rPr>
          <w:i/>
        </w:rPr>
        <w:t>Th</w:t>
      </w:r>
      <w:bookmarkStart w:id="0" w:name="_GoBack"/>
      <w:bookmarkEnd w:id="0"/>
      <w:r>
        <w:rPr>
          <w:i/>
        </w:rPr>
        <w:t xml:space="preserve">e New Historicism Reader, </w:t>
      </w:r>
      <w:r>
        <w:t>(1994), pp. 1-32.</w:t>
      </w:r>
    </w:p>
    <w:p w:rsidR="004C04AE" w:rsidRDefault="004C04AE" w:rsidP="004C04AE">
      <w:pPr>
        <w:spacing w:line="480" w:lineRule="auto"/>
      </w:pPr>
    </w:p>
    <w:p w:rsidR="004C04AE" w:rsidRDefault="004C04AE" w:rsidP="004C04AE">
      <w:pPr>
        <w:spacing w:line="480" w:lineRule="auto"/>
      </w:pPr>
      <w:r>
        <w:t xml:space="preserve">Wilson, S. ‘Revisiting Keywords of Cultural Materialism’, </w:t>
      </w:r>
      <w:r>
        <w:rPr>
          <w:i/>
        </w:rPr>
        <w:t xml:space="preserve">European Journal of English Studies, </w:t>
      </w:r>
      <w:r>
        <w:t>6(3) (2002), pp. 307-326.</w:t>
      </w:r>
    </w:p>
    <w:p w:rsidR="009D4183" w:rsidRDefault="009D4183" w:rsidP="004C04AE">
      <w:pPr>
        <w:spacing w:line="480" w:lineRule="auto"/>
      </w:pPr>
    </w:p>
    <w:p w:rsidR="004C04AE" w:rsidRPr="00C23FF2" w:rsidRDefault="001806DE">
      <w:pPr>
        <w:spacing w:line="480" w:lineRule="auto"/>
      </w:pPr>
      <w:r>
        <w:t xml:space="preserve">Yang, Y., ‘Negotiation of Femininity in </w:t>
      </w:r>
      <w:r>
        <w:rPr>
          <w:i/>
        </w:rPr>
        <w:t xml:space="preserve">The Roaring Girl – </w:t>
      </w:r>
      <w:r>
        <w:t xml:space="preserve">Moll’s Cross-dressing, Mobility, and Marriage Choice, </w:t>
      </w:r>
      <w:r>
        <w:rPr>
          <w:i/>
        </w:rPr>
        <w:t>Comparative Literature: East and West</w:t>
      </w:r>
      <w:r w:rsidR="00281D99">
        <w:rPr>
          <w:i/>
        </w:rPr>
        <w:t xml:space="preserve">, </w:t>
      </w:r>
      <w:r w:rsidR="004C04AE">
        <w:t>25(1) (2016), pp. 129-140.</w:t>
      </w:r>
    </w:p>
    <w:sectPr w:rsidR="004C04AE" w:rsidRPr="00C23FF2" w:rsidSect="00F37FDE">
      <w:headerReference w:type="default" r:id="rId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D44B8" w:rsidRDefault="000D44B8" w:rsidP="000D44B8">
      <w:r>
        <w:separator/>
      </w:r>
    </w:p>
  </w:endnote>
  <w:endnote w:type="continuationSeparator" w:id="0">
    <w:p w:rsidR="000D44B8" w:rsidRDefault="000D44B8" w:rsidP="000D44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D44B8" w:rsidRDefault="000D44B8" w:rsidP="000D44B8">
      <w:r>
        <w:separator/>
      </w:r>
    </w:p>
  </w:footnote>
  <w:footnote w:type="continuationSeparator" w:id="0">
    <w:p w:rsidR="000D44B8" w:rsidRDefault="000D44B8" w:rsidP="000D44B8">
      <w:r>
        <w:continuationSeparator/>
      </w:r>
    </w:p>
  </w:footnote>
  <w:footnote w:id="1">
    <w:p w:rsidR="000D44B8" w:rsidRPr="004B6202" w:rsidRDefault="000D44B8">
      <w:pPr>
        <w:pStyle w:val="FootnoteText"/>
      </w:pPr>
      <w:r>
        <w:rPr>
          <w:rStyle w:val="FootnoteReference"/>
        </w:rPr>
        <w:footnoteRef/>
      </w:r>
      <w:r>
        <w:t xml:space="preserve"> </w:t>
      </w:r>
      <w:r w:rsidR="004B6202">
        <w:t xml:space="preserve">C. Colebrook, </w:t>
      </w:r>
      <w:r w:rsidR="004B6202">
        <w:rPr>
          <w:i/>
        </w:rPr>
        <w:t xml:space="preserve">New Literary Histories: New Historicism and Contemporary Criticism </w:t>
      </w:r>
      <w:r w:rsidR="004B6202">
        <w:t>(Manchester: Manchester University Press, 1997) p. 1-2.</w:t>
      </w:r>
    </w:p>
  </w:footnote>
  <w:footnote w:id="2">
    <w:p w:rsidR="004724D5" w:rsidRPr="00393115" w:rsidRDefault="004724D5">
      <w:pPr>
        <w:pStyle w:val="FootnoteText"/>
      </w:pPr>
      <w:r>
        <w:rPr>
          <w:rStyle w:val="FootnoteReference"/>
        </w:rPr>
        <w:footnoteRef/>
      </w:r>
      <w:r>
        <w:t xml:space="preserve"> H. A. </w:t>
      </w:r>
      <w:proofErr w:type="spellStart"/>
      <w:r>
        <w:t>Veeser</w:t>
      </w:r>
      <w:proofErr w:type="spellEnd"/>
      <w:r>
        <w:t xml:space="preserve">, ‘The New Historicism’, in </w:t>
      </w:r>
      <w:r>
        <w:rPr>
          <w:i/>
        </w:rPr>
        <w:t>The New Historicism Reader</w:t>
      </w:r>
      <w:r w:rsidR="00393115">
        <w:rPr>
          <w:i/>
        </w:rPr>
        <w:t xml:space="preserve">; </w:t>
      </w:r>
      <w:r w:rsidR="00393115">
        <w:t xml:space="preserve">ed. By H. Aram </w:t>
      </w:r>
      <w:proofErr w:type="spellStart"/>
      <w:r w:rsidR="00393115">
        <w:t>Veeser</w:t>
      </w:r>
      <w:proofErr w:type="spellEnd"/>
      <w:r w:rsidR="00393115">
        <w:t xml:space="preserve"> (London: Routledge, 1994), pp. 1-32.</w:t>
      </w:r>
    </w:p>
  </w:footnote>
  <w:footnote w:id="3">
    <w:p w:rsidR="00B64F73" w:rsidRPr="00B64F73" w:rsidRDefault="00B64F73">
      <w:pPr>
        <w:pStyle w:val="FootnoteText"/>
      </w:pPr>
      <w:r>
        <w:rPr>
          <w:rStyle w:val="FootnoteReference"/>
        </w:rPr>
        <w:footnoteRef/>
      </w:r>
      <w:r>
        <w:t xml:space="preserve"> S. Greenblatt, </w:t>
      </w:r>
      <w:r>
        <w:rPr>
          <w:i/>
        </w:rPr>
        <w:t xml:space="preserve">Renaissance Self-Fashioning: From More to Shakespeare </w:t>
      </w:r>
      <w:r>
        <w:t>(Chicago: University of Chicago, 1980), the Introduction, p. 5.</w:t>
      </w:r>
    </w:p>
  </w:footnote>
  <w:footnote w:id="4">
    <w:p w:rsidR="005F1B30" w:rsidRPr="005F1B30" w:rsidRDefault="005F1B30">
      <w:pPr>
        <w:pStyle w:val="FootnoteText"/>
      </w:pPr>
      <w:r>
        <w:rPr>
          <w:rStyle w:val="FootnoteReference"/>
        </w:rPr>
        <w:footnoteRef/>
      </w:r>
      <w:r>
        <w:t xml:space="preserve"> J. C. Alexander and P. Smith, </w:t>
      </w:r>
      <w:r>
        <w:rPr>
          <w:i/>
        </w:rPr>
        <w:t xml:space="preserve">Interpreting Clifford Geertz: Cultural Investigation in the Social Sciences </w:t>
      </w:r>
      <w:r>
        <w:t>(London: Palgrave Macmillan, 2011), the Introduction, p. 2.</w:t>
      </w:r>
    </w:p>
  </w:footnote>
  <w:footnote w:id="5">
    <w:p w:rsidR="00FD4DD1" w:rsidRPr="00FD4DD1" w:rsidRDefault="00FD4DD1">
      <w:pPr>
        <w:pStyle w:val="FootnoteText"/>
      </w:pPr>
      <w:r>
        <w:rPr>
          <w:rStyle w:val="FootnoteReference"/>
        </w:rPr>
        <w:footnoteRef/>
      </w:r>
      <w:r>
        <w:t xml:space="preserve"> S. Greenblatt, </w:t>
      </w:r>
      <w:r>
        <w:rPr>
          <w:i/>
        </w:rPr>
        <w:t xml:space="preserve">Renaissance Self-Fashioning: From More to Shakespeare </w:t>
      </w:r>
      <w:r>
        <w:t>(Chicago: University of Chicago, 1980), the Introduction, p. 6.</w:t>
      </w:r>
    </w:p>
  </w:footnote>
  <w:footnote w:id="6">
    <w:p w:rsidR="009D4183" w:rsidRPr="009D4183" w:rsidRDefault="009D4183">
      <w:pPr>
        <w:pStyle w:val="FootnoteText"/>
      </w:pPr>
      <w:r>
        <w:rPr>
          <w:rStyle w:val="FootnoteReference"/>
        </w:rPr>
        <w:footnoteRef/>
      </w:r>
      <w:r>
        <w:t xml:space="preserve"> T. Lewis, ‘The New Historicism and Marxism’, </w:t>
      </w:r>
      <w:r>
        <w:rPr>
          <w:i/>
        </w:rPr>
        <w:t xml:space="preserve">The Journal of the Midwest Modern Language Association, </w:t>
      </w:r>
      <w:r>
        <w:t>21(1) (Spring, 1991), 14-23 (p. 16).</w:t>
      </w:r>
    </w:p>
  </w:footnote>
  <w:footnote w:id="7">
    <w:p w:rsidR="00831766" w:rsidRPr="00831766" w:rsidRDefault="00831766">
      <w:pPr>
        <w:pStyle w:val="FootnoteText"/>
      </w:pPr>
      <w:r>
        <w:rPr>
          <w:rStyle w:val="FootnoteReference"/>
        </w:rPr>
        <w:footnoteRef/>
      </w:r>
      <w:r>
        <w:t xml:space="preserve"> S. Greenblatt, </w:t>
      </w:r>
      <w:r>
        <w:rPr>
          <w:i/>
        </w:rPr>
        <w:t xml:space="preserve">Renaissance Self-Fashioning: From More to Shakespeare </w:t>
      </w:r>
      <w:r>
        <w:t>(Chicago: University of Chicago, 1980), the Introduction, p. 6.</w:t>
      </w:r>
    </w:p>
  </w:footnote>
  <w:footnote w:id="8">
    <w:p w:rsidR="004405CA" w:rsidRPr="00A06297" w:rsidRDefault="004405CA" w:rsidP="004405CA">
      <w:pPr>
        <w:pStyle w:val="FootnoteText"/>
      </w:pPr>
      <w:r>
        <w:rPr>
          <w:rStyle w:val="FootnoteReference"/>
        </w:rPr>
        <w:footnoteRef/>
      </w:r>
      <w:r>
        <w:t xml:space="preserve"> H. Dix, </w:t>
      </w:r>
      <w:r>
        <w:rPr>
          <w:i/>
        </w:rPr>
        <w:t xml:space="preserve">After Raymond Williams: Cultural Materialism and the Break-Up of Britain </w:t>
      </w:r>
      <w:r>
        <w:t>(Cardiff: Cardiff University Press, 2008), p. 25.</w:t>
      </w:r>
    </w:p>
  </w:footnote>
  <w:footnote w:id="9">
    <w:p w:rsidR="004405CA" w:rsidRPr="00A06297" w:rsidRDefault="004405CA" w:rsidP="004405CA">
      <w:pPr>
        <w:pStyle w:val="FootnoteText"/>
      </w:pPr>
      <w:r>
        <w:rPr>
          <w:rStyle w:val="FootnoteReference"/>
        </w:rPr>
        <w:footnoteRef/>
      </w:r>
      <w:r>
        <w:t xml:space="preserve"> J. S. Lee, </w:t>
      </w:r>
      <w:r>
        <w:rPr>
          <w:i/>
        </w:rPr>
        <w:t xml:space="preserve">Jacques Lacan </w:t>
      </w:r>
      <w:r>
        <w:t>(Massachusetts: Massachusetts University Press, 1991) p. 3-6.</w:t>
      </w:r>
    </w:p>
  </w:footnote>
  <w:footnote w:id="10">
    <w:p w:rsidR="004405CA" w:rsidRPr="00BB17B3" w:rsidRDefault="004405CA" w:rsidP="004405CA">
      <w:pPr>
        <w:pStyle w:val="FootnoteText"/>
      </w:pPr>
      <w:r>
        <w:rPr>
          <w:rStyle w:val="FootnoteReference"/>
        </w:rPr>
        <w:footnoteRef/>
      </w:r>
      <w:r>
        <w:t xml:space="preserve"> J. </w:t>
      </w:r>
      <w:proofErr w:type="spellStart"/>
      <w:r>
        <w:t>Rabate</w:t>
      </w:r>
      <w:proofErr w:type="spellEnd"/>
      <w:r>
        <w:t xml:space="preserve">, </w:t>
      </w:r>
      <w:r>
        <w:rPr>
          <w:i/>
        </w:rPr>
        <w:t xml:space="preserve">The Cambridge Companion to Lacan </w:t>
      </w:r>
      <w:r>
        <w:t>(Cambridge: Cambridge University Press, 2003) p. 27.</w:t>
      </w:r>
    </w:p>
  </w:footnote>
  <w:footnote w:id="11">
    <w:p w:rsidR="004405CA" w:rsidRPr="000F04B5" w:rsidRDefault="004405CA" w:rsidP="004405CA">
      <w:pPr>
        <w:pStyle w:val="FootnoteText"/>
      </w:pPr>
      <w:r>
        <w:rPr>
          <w:rStyle w:val="FootnoteReference"/>
        </w:rPr>
        <w:footnoteRef/>
      </w:r>
      <w:r>
        <w:t xml:space="preserve"> J. Lacan, </w:t>
      </w:r>
      <w:proofErr w:type="spellStart"/>
      <w:r w:rsidRPr="000F04B5">
        <w:rPr>
          <w:rFonts w:ascii="Calibri" w:hAnsi="Calibri"/>
          <w:i/>
        </w:rPr>
        <w:t>É</w:t>
      </w:r>
      <w:r w:rsidRPr="000F04B5">
        <w:rPr>
          <w:i/>
        </w:rPr>
        <w:t>crits</w:t>
      </w:r>
      <w:proofErr w:type="spellEnd"/>
      <w:r w:rsidRPr="000F04B5">
        <w:rPr>
          <w:i/>
        </w:rPr>
        <w:t>: A Selection</w:t>
      </w:r>
      <w:r>
        <w:rPr>
          <w:i/>
        </w:rPr>
        <w:t xml:space="preserve">, </w:t>
      </w:r>
      <w:r w:rsidRPr="000F04B5">
        <w:t>tran</w:t>
      </w:r>
      <w:r>
        <w:t>s. Alan Sheridan (London; New York: Tavistock Publications/Norton, 1977) p. 19.</w:t>
      </w:r>
    </w:p>
  </w:footnote>
  <w:footnote w:id="12">
    <w:p w:rsidR="004405CA" w:rsidRPr="009823A9" w:rsidRDefault="004405CA" w:rsidP="004405CA">
      <w:pPr>
        <w:pStyle w:val="FootnoteText"/>
      </w:pPr>
      <w:r>
        <w:rPr>
          <w:rStyle w:val="FootnoteReference"/>
        </w:rPr>
        <w:footnoteRef/>
      </w:r>
      <w:r>
        <w:t xml:space="preserve"> Scott Wilson, ‘Revisiting Keywords of Cultural Materialism’, </w:t>
      </w:r>
      <w:r>
        <w:rPr>
          <w:i/>
        </w:rPr>
        <w:t xml:space="preserve">European Journal of English Studies, </w:t>
      </w:r>
      <w:r>
        <w:t>6 (3) (2002), 307-326 (p.307).</w:t>
      </w:r>
    </w:p>
  </w:footnote>
  <w:footnote w:id="13">
    <w:p w:rsidR="004405CA" w:rsidRPr="00BB0150" w:rsidRDefault="004405CA" w:rsidP="004405CA">
      <w:pPr>
        <w:pStyle w:val="FootnoteText"/>
      </w:pPr>
      <w:r>
        <w:rPr>
          <w:rStyle w:val="FootnoteReference"/>
        </w:rPr>
        <w:footnoteRef/>
      </w:r>
      <w:r>
        <w:t xml:space="preserve"> J. </w:t>
      </w:r>
      <w:proofErr w:type="spellStart"/>
      <w:r>
        <w:t>Dollimore</w:t>
      </w:r>
      <w:proofErr w:type="spellEnd"/>
      <w:r>
        <w:t xml:space="preserve">, </w:t>
      </w:r>
      <w:r>
        <w:rPr>
          <w:i/>
        </w:rPr>
        <w:t xml:space="preserve">Political Shakespeare: Essays in Cultural Materialism </w:t>
      </w:r>
      <w:r>
        <w:t>(Manchester: Manchester University Press, 1985) p. 3.</w:t>
      </w:r>
    </w:p>
  </w:footnote>
  <w:footnote w:id="14">
    <w:p w:rsidR="004405CA" w:rsidRDefault="004405CA" w:rsidP="004405CA">
      <w:pPr>
        <w:pStyle w:val="FootnoteText"/>
      </w:pPr>
      <w:r>
        <w:rPr>
          <w:rStyle w:val="FootnoteReference"/>
        </w:rPr>
        <w:footnoteRef/>
      </w:r>
      <w:r>
        <w:t xml:space="preserve"> J. </w:t>
      </w:r>
      <w:proofErr w:type="spellStart"/>
      <w:r>
        <w:t>Dollimore</w:t>
      </w:r>
      <w:proofErr w:type="spellEnd"/>
      <w:r>
        <w:t xml:space="preserve">, </w:t>
      </w:r>
      <w:r>
        <w:rPr>
          <w:i/>
        </w:rPr>
        <w:t xml:space="preserve">Political Shakespeare: Essays in Cultural Materialism </w:t>
      </w:r>
      <w:r>
        <w:t>(Manchester: Manchester University Press, 1985) p. 4.</w:t>
      </w:r>
    </w:p>
  </w:footnote>
  <w:footnote w:id="15">
    <w:p w:rsidR="004A70A1" w:rsidRPr="004A70A1" w:rsidRDefault="004A70A1">
      <w:pPr>
        <w:pStyle w:val="FootnoteText"/>
      </w:pPr>
      <w:r>
        <w:rPr>
          <w:rStyle w:val="FootnoteReference"/>
        </w:rPr>
        <w:footnoteRef/>
      </w:r>
      <w:r>
        <w:t xml:space="preserve"> R. Barthes, </w:t>
      </w:r>
      <w:r>
        <w:rPr>
          <w:i/>
        </w:rPr>
        <w:t xml:space="preserve">Selected Writings Introduced by Susan Sontag </w:t>
      </w:r>
      <w:r>
        <w:t>(New York: Fontana Press, 1983) p. 48</w:t>
      </w:r>
      <w:r w:rsidR="00C23FF2">
        <w:t>.</w:t>
      </w:r>
    </w:p>
  </w:footnote>
  <w:footnote w:id="16">
    <w:p w:rsidR="000A0E26" w:rsidRPr="00204C2A" w:rsidRDefault="000A0E26">
      <w:pPr>
        <w:pStyle w:val="FootnoteText"/>
      </w:pPr>
      <w:r>
        <w:rPr>
          <w:rStyle w:val="FootnoteReference"/>
        </w:rPr>
        <w:footnoteRef/>
      </w:r>
      <w:r>
        <w:t xml:space="preserve"> </w:t>
      </w:r>
      <w:r w:rsidR="00204C2A">
        <w:t xml:space="preserve">J. </w:t>
      </w:r>
      <w:proofErr w:type="spellStart"/>
      <w:r w:rsidR="00204C2A">
        <w:t>Dollimore</w:t>
      </w:r>
      <w:proofErr w:type="spellEnd"/>
      <w:r w:rsidR="00204C2A">
        <w:t xml:space="preserve">, </w:t>
      </w:r>
      <w:r w:rsidR="00204C2A">
        <w:rPr>
          <w:i/>
        </w:rPr>
        <w:t xml:space="preserve">Political Shakespeare: Essays in Cultural Materialism </w:t>
      </w:r>
      <w:r w:rsidR="00204C2A">
        <w:t>(Manchester: Manchester University Press, 1985) p. 9-10.</w:t>
      </w:r>
    </w:p>
  </w:footnote>
  <w:footnote w:id="17">
    <w:p w:rsidR="007B378D" w:rsidRPr="00C23FF2" w:rsidRDefault="007B378D">
      <w:pPr>
        <w:pStyle w:val="FootnoteText"/>
      </w:pPr>
      <w:r>
        <w:rPr>
          <w:rStyle w:val="FootnoteReference"/>
        </w:rPr>
        <w:footnoteRef/>
      </w:r>
      <w:r>
        <w:t xml:space="preserve"> L. E. </w:t>
      </w:r>
      <w:proofErr w:type="spellStart"/>
      <w:r>
        <w:t>Boose</w:t>
      </w:r>
      <w:proofErr w:type="spellEnd"/>
      <w:r>
        <w:t xml:space="preserve">, ‘The Family in </w:t>
      </w:r>
      <w:r w:rsidR="00C23FF2">
        <w:t xml:space="preserve">Shakespearean Studies’, </w:t>
      </w:r>
      <w:r w:rsidR="00C23FF2">
        <w:rPr>
          <w:i/>
        </w:rPr>
        <w:t xml:space="preserve">Renaissance Quarterly, </w:t>
      </w:r>
      <w:r w:rsidR="00C23FF2">
        <w:t>40 (1987), 707-42.</w:t>
      </w:r>
    </w:p>
  </w:footnote>
  <w:footnote w:id="18">
    <w:p w:rsidR="00C23FF2" w:rsidRPr="00C23FF2" w:rsidRDefault="00C23FF2">
      <w:pPr>
        <w:pStyle w:val="FootnoteText"/>
      </w:pPr>
      <w:r>
        <w:rPr>
          <w:rStyle w:val="FootnoteReference"/>
        </w:rPr>
        <w:footnoteRef/>
      </w:r>
      <w:r>
        <w:t xml:space="preserve"> C. T. Neely, ‘Constructing the Subject: Feminist Practice and the New Renaissance Discourses, </w:t>
      </w:r>
      <w:r>
        <w:rPr>
          <w:i/>
        </w:rPr>
        <w:t xml:space="preserve">English Literary Renaissance, </w:t>
      </w:r>
      <w:r>
        <w:t>18 (1988), 5-18.</w:t>
      </w:r>
    </w:p>
  </w:footnote>
  <w:footnote w:id="19">
    <w:p w:rsidR="00424304" w:rsidRPr="00424304" w:rsidRDefault="00424304">
      <w:pPr>
        <w:pStyle w:val="FootnoteText"/>
      </w:pPr>
      <w:r>
        <w:rPr>
          <w:rStyle w:val="FootnoteReference"/>
        </w:rPr>
        <w:footnoteRef/>
      </w:r>
      <w:r>
        <w:t xml:space="preserve"> J. </w:t>
      </w:r>
      <w:proofErr w:type="spellStart"/>
      <w:r>
        <w:t>Dollimore</w:t>
      </w:r>
      <w:proofErr w:type="spellEnd"/>
      <w:r>
        <w:t xml:space="preserve">, </w:t>
      </w:r>
      <w:r>
        <w:rPr>
          <w:i/>
        </w:rPr>
        <w:t xml:space="preserve">Political Shakespeare: Essays in Cultural Materialism </w:t>
      </w:r>
      <w:r>
        <w:t>(Manchester: Manchester University Press, 1985) p. 11.</w:t>
      </w:r>
    </w:p>
  </w:footnote>
  <w:footnote w:id="20">
    <w:p w:rsidR="001C1D04" w:rsidRPr="001C1D04" w:rsidRDefault="001C1D04">
      <w:pPr>
        <w:pStyle w:val="FootnoteText"/>
      </w:pPr>
      <w:r>
        <w:rPr>
          <w:rStyle w:val="FootnoteReference"/>
        </w:rPr>
        <w:footnoteRef/>
      </w:r>
      <w:r>
        <w:t xml:space="preserve"> T. Dekker and T. Middleton, </w:t>
      </w:r>
      <w:r>
        <w:rPr>
          <w:i/>
        </w:rPr>
        <w:t xml:space="preserve">The Roaring Girl </w:t>
      </w:r>
      <w:r>
        <w:t>(London: Bloomsbury Publishing Plc, 1976), (2.2.34-39), p. 43.</w:t>
      </w:r>
    </w:p>
  </w:footnote>
  <w:footnote w:id="21">
    <w:p w:rsidR="001806DE" w:rsidRPr="001806DE" w:rsidRDefault="001806DE">
      <w:pPr>
        <w:pStyle w:val="FootnoteText"/>
      </w:pPr>
      <w:r>
        <w:rPr>
          <w:rStyle w:val="FootnoteReference"/>
        </w:rPr>
        <w:footnoteRef/>
      </w:r>
      <w:r>
        <w:t xml:space="preserve"> Y. Yang, ‘Negotiation of Femininity in </w:t>
      </w:r>
      <w:r>
        <w:rPr>
          <w:i/>
        </w:rPr>
        <w:t xml:space="preserve">The Roaring Girl – </w:t>
      </w:r>
      <w:r>
        <w:t xml:space="preserve">Moll’s Cross-dressing, Mobility, and Marriage Choice’, </w:t>
      </w:r>
      <w:r>
        <w:rPr>
          <w:i/>
        </w:rPr>
        <w:t xml:space="preserve">Comparative Literature: East and West, </w:t>
      </w:r>
      <w:r>
        <w:t>25(1) (2016), 129-140 (p. 136).</w:t>
      </w:r>
    </w:p>
  </w:footnote>
  <w:footnote w:id="22">
    <w:p w:rsidR="003A633C" w:rsidRPr="003A633C" w:rsidRDefault="003A633C">
      <w:pPr>
        <w:pStyle w:val="FootnoteText"/>
      </w:pPr>
      <w:r>
        <w:rPr>
          <w:rStyle w:val="FootnoteReference"/>
        </w:rPr>
        <w:footnoteRef/>
      </w:r>
      <w:r>
        <w:t xml:space="preserve"> C. Gallagher, </w:t>
      </w:r>
      <w:r>
        <w:rPr>
          <w:i/>
        </w:rPr>
        <w:t xml:space="preserve">Practicing New Historicism </w:t>
      </w:r>
      <w:r>
        <w:t>(Chicago: University of Chicago Press, 2001) p. 185.</w:t>
      </w:r>
    </w:p>
  </w:footnote>
  <w:footnote w:id="23">
    <w:p w:rsidR="006B2136" w:rsidRPr="006B2136" w:rsidRDefault="006B2136">
      <w:pPr>
        <w:pStyle w:val="FootnoteText"/>
      </w:pPr>
      <w:r>
        <w:rPr>
          <w:rStyle w:val="FootnoteReference"/>
        </w:rPr>
        <w:footnoteRef/>
      </w:r>
      <w:r>
        <w:t xml:space="preserve"> T. Dekker and T. Middleton, </w:t>
      </w:r>
      <w:r>
        <w:rPr>
          <w:i/>
        </w:rPr>
        <w:t>The Roaring Girl</w:t>
      </w:r>
      <w:r>
        <w:t xml:space="preserve"> (London: Bloomsbury Publishing Plc, 1976), (3.1.37-38), p. 56.</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E6430" w:rsidRDefault="00FE6430">
    <w:pPr>
      <w:pStyle w:val="Header"/>
    </w:pPr>
    <w:r>
      <w:t>Kirsty Phillips 1704246</w:t>
    </w:r>
  </w:p>
  <w:p w:rsidR="00FE6430" w:rsidRDefault="00FE6430">
    <w:pPr>
      <w:pStyle w:val="Header"/>
    </w:pPr>
    <w:r>
      <w:t>Level 6 BA Creative Writing</w:t>
    </w:r>
  </w:p>
  <w:p w:rsidR="00FE6430" w:rsidRDefault="00FE6430">
    <w:pPr>
      <w:pStyle w:val="Header"/>
    </w:pPr>
    <w:r>
      <w:t>Psyche, Text and Society: Critical and Cultural Theory – Dr Peter Mitchell</w:t>
    </w:r>
  </w:p>
  <w:p w:rsidR="00FE6430" w:rsidRDefault="00FE643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5DF8"/>
    <w:rsid w:val="000316EA"/>
    <w:rsid w:val="00053ADD"/>
    <w:rsid w:val="00071641"/>
    <w:rsid w:val="000A0E26"/>
    <w:rsid w:val="000B3641"/>
    <w:rsid w:val="000C59FA"/>
    <w:rsid w:val="000C6BC2"/>
    <w:rsid w:val="000D44B8"/>
    <w:rsid w:val="000F3BCC"/>
    <w:rsid w:val="00113774"/>
    <w:rsid w:val="00114CA5"/>
    <w:rsid w:val="001806DE"/>
    <w:rsid w:val="001C1D04"/>
    <w:rsid w:val="001E4BFB"/>
    <w:rsid w:val="001F73AC"/>
    <w:rsid w:val="00204C2A"/>
    <w:rsid w:val="0028027E"/>
    <w:rsid w:val="00281D99"/>
    <w:rsid w:val="002C64E7"/>
    <w:rsid w:val="002D26AA"/>
    <w:rsid w:val="00332DA3"/>
    <w:rsid w:val="00386A3D"/>
    <w:rsid w:val="00393115"/>
    <w:rsid w:val="003A633C"/>
    <w:rsid w:val="003B15C1"/>
    <w:rsid w:val="00411808"/>
    <w:rsid w:val="00414C02"/>
    <w:rsid w:val="00424304"/>
    <w:rsid w:val="00426DDE"/>
    <w:rsid w:val="00435A14"/>
    <w:rsid w:val="004405CA"/>
    <w:rsid w:val="0045688C"/>
    <w:rsid w:val="004629D3"/>
    <w:rsid w:val="004724D5"/>
    <w:rsid w:val="00484481"/>
    <w:rsid w:val="004A04AE"/>
    <w:rsid w:val="004A4496"/>
    <w:rsid w:val="004A70A1"/>
    <w:rsid w:val="004B6202"/>
    <w:rsid w:val="004C04AE"/>
    <w:rsid w:val="004C3841"/>
    <w:rsid w:val="00570538"/>
    <w:rsid w:val="00582175"/>
    <w:rsid w:val="0058576D"/>
    <w:rsid w:val="005D69C3"/>
    <w:rsid w:val="005E0FD5"/>
    <w:rsid w:val="005F1B30"/>
    <w:rsid w:val="005F1FB1"/>
    <w:rsid w:val="006331DD"/>
    <w:rsid w:val="00651E2C"/>
    <w:rsid w:val="006A7465"/>
    <w:rsid w:val="006B2136"/>
    <w:rsid w:val="007079F8"/>
    <w:rsid w:val="00715D30"/>
    <w:rsid w:val="00727189"/>
    <w:rsid w:val="007447B2"/>
    <w:rsid w:val="00785CBC"/>
    <w:rsid w:val="007B378D"/>
    <w:rsid w:val="007E367C"/>
    <w:rsid w:val="00831766"/>
    <w:rsid w:val="008775A6"/>
    <w:rsid w:val="00886E37"/>
    <w:rsid w:val="008B1879"/>
    <w:rsid w:val="008B66D2"/>
    <w:rsid w:val="008C401B"/>
    <w:rsid w:val="008C4172"/>
    <w:rsid w:val="008D3CA3"/>
    <w:rsid w:val="008E3324"/>
    <w:rsid w:val="008F414D"/>
    <w:rsid w:val="008F4267"/>
    <w:rsid w:val="00936B24"/>
    <w:rsid w:val="00981DD9"/>
    <w:rsid w:val="00993439"/>
    <w:rsid w:val="009D4183"/>
    <w:rsid w:val="00A24360"/>
    <w:rsid w:val="00A91341"/>
    <w:rsid w:val="00AA44AE"/>
    <w:rsid w:val="00AA7D3C"/>
    <w:rsid w:val="00AC2A97"/>
    <w:rsid w:val="00AF79D0"/>
    <w:rsid w:val="00B04999"/>
    <w:rsid w:val="00B64F73"/>
    <w:rsid w:val="00B94C39"/>
    <w:rsid w:val="00B961B1"/>
    <w:rsid w:val="00BB0B90"/>
    <w:rsid w:val="00BC7ACD"/>
    <w:rsid w:val="00BD1628"/>
    <w:rsid w:val="00C168FC"/>
    <w:rsid w:val="00C23FF2"/>
    <w:rsid w:val="00C77F0A"/>
    <w:rsid w:val="00CD0D18"/>
    <w:rsid w:val="00CE57A6"/>
    <w:rsid w:val="00D31F0C"/>
    <w:rsid w:val="00D35DF8"/>
    <w:rsid w:val="00D43991"/>
    <w:rsid w:val="00D93936"/>
    <w:rsid w:val="00DA3400"/>
    <w:rsid w:val="00DD44EC"/>
    <w:rsid w:val="00DD5F19"/>
    <w:rsid w:val="00DE020F"/>
    <w:rsid w:val="00E21E86"/>
    <w:rsid w:val="00EB3A6F"/>
    <w:rsid w:val="00EE1970"/>
    <w:rsid w:val="00F00DA2"/>
    <w:rsid w:val="00F07364"/>
    <w:rsid w:val="00F14A83"/>
    <w:rsid w:val="00F37FDE"/>
    <w:rsid w:val="00F942B5"/>
    <w:rsid w:val="00FA402D"/>
    <w:rsid w:val="00FD15EE"/>
    <w:rsid w:val="00FD4DD1"/>
    <w:rsid w:val="00FE6430"/>
    <w:rsid w:val="00FF0E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2AE0DF"/>
  <w15:chartTrackingRefBased/>
  <w15:docId w15:val="{0C9913E3-B8AB-8249-874B-6B06EE139E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0D44B8"/>
    <w:rPr>
      <w:sz w:val="20"/>
      <w:szCs w:val="20"/>
    </w:rPr>
  </w:style>
  <w:style w:type="character" w:customStyle="1" w:styleId="FootnoteTextChar">
    <w:name w:val="Footnote Text Char"/>
    <w:basedOn w:val="DefaultParagraphFont"/>
    <w:link w:val="FootnoteText"/>
    <w:uiPriority w:val="99"/>
    <w:semiHidden/>
    <w:rsid w:val="000D44B8"/>
    <w:rPr>
      <w:sz w:val="20"/>
      <w:szCs w:val="20"/>
    </w:rPr>
  </w:style>
  <w:style w:type="character" w:styleId="FootnoteReference">
    <w:name w:val="footnote reference"/>
    <w:basedOn w:val="DefaultParagraphFont"/>
    <w:uiPriority w:val="99"/>
    <w:semiHidden/>
    <w:unhideWhenUsed/>
    <w:rsid w:val="000D44B8"/>
    <w:rPr>
      <w:vertAlign w:val="superscript"/>
    </w:rPr>
  </w:style>
  <w:style w:type="paragraph" w:styleId="Header">
    <w:name w:val="header"/>
    <w:basedOn w:val="Normal"/>
    <w:link w:val="HeaderChar"/>
    <w:uiPriority w:val="99"/>
    <w:unhideWhenUsed/>
    <w:rsid w:val="00FE6430"/>
    <w:pPr>
      <w:tabs>
        <w:tab w:val="center" w:pos="4680"/>
        <w:tab w:val="right" w:pos="9360"/>
      </w:tabs>
    </w:pPr>
  </w:style>
  <w:style w:type="character" w:customStyle="1" w:styleId="HeaderChar">
    <w:name w:val="Header Char"/>
    <w:basedOn w:val="DefaultParagraphFont"/>
    <w:link w:val="Header"/>
    <w:uiPriority w:val="99"/>
    <w:rsid w:val="00FE6430"/>
  </w:style>
  <w:style w:type="paragraph" w:styleId="Footer">
    <w:name w:val="footer"/>
    <w:basedOn w:val="Normal"/>
    <w:link w:val="FooterChar"/>
    <w:uiPriority w:val="99"/>
    <w:unhideWhenUsed/>
    <w:rsid w:val="00FE6430"/>
    <w:pPr>
      <w:tabs>
        <w:tab w:val="center" w:pos="4680"/>
        <w:tab w:val="right" w:pos="9360"/>
      </w:tabs>
    </w:pPr>
  </w:style>
  <w:style w:type="character" w:customStyle="1" w:styleId="FooterChar">
    <w:name w:val="Footer Char"/>
    <w:basedOn w:val="DefaultParagraphFont"/>
    <w:link w:val="Footer"/>
    <w:uiPriority w:val="99"/>
    <w:rsid w:val="00FE64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521</TotalTime>
  <Pages>15</Pages>
  <Words>3436</Words>
  <Characters>17941</Characters>
  <Application>Microsoft Office Word</Application>
  <DocSecurity>0</DocSecurity>
  <Lines>345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Phillips (1704246)</dc:creator>
  <cp:keywords/>
  <dc:description/>
  <cp:lastModifiedBy>Kirsty Phillips (1704246)</cp:lastModifiedBy>
  <cp:revision>75</cp:revision>
  <dcterms:created xsi:type="dcterms:W3CDTF">2019-11-09T15:22:00Z</dcterms:created>
  <dcterms:modified xsi:type="dcterms:W3CDTF">2019-11-14T14:29:00Z</dcterms:modified>
</cp:coreProperties>
</file>