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A656D" w14:textId="202E8DE4" w:rsidR="00244589" w:rsidRDefault="00244589" w:rsidP="00244589">
      <w:pPr>
        <w:rPr>
          <w:b/>
          <w:bCs/>
          <w:sz w:val="32"/>
          <w:szCs w:val="32"/>
        </w:rPr>
      </w:pPr>
      <w:r>
        <w:rPr>
          <w:b/>
          <w:bCs/>
          <w:noProof/>
          <w:sz w:val="32"/>
          <w:szCs w:val="32"/>
        </w:rPr>
        <w:drawing>
          <wp:inline distT="0" distB="0" distL="0" distR="0" wp14:anchorId="350623F8" wp14:editId="0B0C2D34">
            <wp:extent cx="2019719" cy="2019719"/>
            <wp:effectExtent l="0" t="0" r="0" b="0"/>
            <wp:docPr id="348265737" name="Picture 2" descr="Mechanical Engineering BEng Hons -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65737" name="Picture 348265737" descr="Mechanical Engineering BEng Hons - University of Wales Trinity Saint ..."/>
                    <pic:cNvPicPr/>
                  </pic:nvPicPr>
                  <pic:blipFill>
                    <a:blip r:embed="rId8">
                      <a:extLst>
                        <a:ext uri="{837473B0-CC2E-450A-ABE3-18F120FF3D39}">
                          <a1611:picAttrSrcUrl xmlns:a1611="http://schemas.microsoft.com/office/drawing/2016/11/main" r:id="rId9"/>
                        </a:ext>
                      </a:extLst>
                    </a:blip>
                    <a:stretch>
                      <a:fillRect/>
                    </a:stretch>
                  </pic:blipFill>
                  <pic:spPr>
                    <a:xfrm>
                      <a:off x="0" y="0"/>
                      <a:ext cx="2032005" cy="2032005"/>
                    </a:xfrm>
                    <a:prstGeom prst="rect">
                      <a:avLst/>
                    </a:prstGeom>
                  </pic:spPr>
                </pic:pic>
              </a:graphicData>
            </a:graphic>
          </wp:inline>
        </w:drawing>
      </w:r>
    </w:p>
    <w:p w14:paraId="2D1BF436" w14:textId="77777777" w:rsidR="00244589" w:rsidRDefault="00244589" w:rsidP="00244589">
      <w:pPr>
        <w:jc w:val="center"/>
        <w:rPr>
          <w:b/>
          <w:bCs/>
          <w:sz w:val="32"/>
          <w:szCs w:val="32"/>
        </w:rPr>
      </w:pPr>
    </w:p>
    <w:p w14:paraId="2391697A" w14:textId="77777777" w:rsidR="00244589" w:rsidRDefault="00244589" w:rsidP="00244589">
      <w:pPr>
        <w:jc w:val="center"/>
        <w:rPr>
          <w:b/>
          <w:bCs/>
          <w:sz w:val="32"/>
          <w:szCs w:val="32"/>
        </w:rPr>
      </w:pPr>
    </w:p>
    <w:p w14:paraId="2FEE664C" w14:textId="77777777" w:rsidR="00244589" w:rsidRDefault="00244589" w:rsidP="00244589">
      <w:pPr>
        <w:jc w:val="center"/>
        <w:rPr>
          <w:b/>
          <w:bCs/>
          <w:sz w:val="32"/>
          <w:szCs w:val="32"/>
        </w:rPr>
      </w:pPr>
    </w:p>
    <w:p w14:paraId="75826A43" w14:textId="537E3D53" w:rsidR="003D4CAE" w:rsidRPr="00244589" w:rsidRDefault="00000000" w:rsidP="00244589">
      <w:pPr>
        <w:jc w:val="center"/>
        <w:rPr>
          <w:b/>
          <w:bCs/>
          <w:sz w:val="32"/>
          <w:szCs w:val="32"/>
        </w:rPr>
      </w:pPr>
      <w:r w:rsidRPr="00244589">
        <w:rPr>
          <w:b/>
          <w:bCs/>
          <w:sz w:val="32"/>
          <w:szCs w:val="32"/>
        </w:rPr>
        <w:t xml:space="preserve">Student Name: </w:t>
      </w:r>
      <w:r w:rsidR="00244589" w:rsidRPr="00244589">
        <w:rPr>
          <w:b/>
          <w:bCs/>
          <w:sz w:val="32"/>
          <w:szCs w:val="32"/>
        </w:rPr>
        <w:t>Mihaela Sprincean</w:t>
      </w:r>
    </w:p>
    <w:p w14:paraId="273378D6" w14:textId="0911808D" w:rsidR="003D4CAE" w:rsidRPr="00244589" w:rsidRDefault="00000000" w:rsidP="00244589">
      <w:pPr>
        <w:jc w:val="center"/>
        <w:rPr>
          <w:b/>
          <w:bCs/>
          <w:sz w:val="32"/>
          <w:szCs w:val="32"/>
        </w:rPr>
      </w:pPr>
      <w:r w:rsidRPr="00244589">
        <w:rPr>
          <w:b/>
          <w:bCs/>
          <w:sz w:val="32"/>
          <w:szCs w:val="32"/>
        </w:rPr>
        <w:t xml:space="preserve">Student Number: </w:t>
      </w:r>
      <w:r w:rsidR="00244589" w:rsidRPr="00244589">
        <w:rPr>
          <w:b/>
          <w:bCs/>
          <w:sz w:val="32"/>
          <w:szCs w:val="32"/>
        </w:rPr>
        <w:t>2429956</w:t>
      </w:r>
    </w:p>
    <w:p w14:paraId="7CAF842D" w14:textId="57C7FCC0" w:rsidR="003D4CAE" w:rsidRPr="00244589" w:rsidRDefault="00000000" w:rsidP="00244589">
      <w:pPr>
        <w:jc w:val="center"/>
        <w:rPr>
          <w:b/>
          <w:bCs/>
          <w:sz w:val="32"/>
          <w:szCs w:val="32"/>
        </w:rPr>
      </w:pPr>
      <w:r w:rsidRPr="00244589">
        <w:rPr>
          <w:b/>
          <w:bCs/>
          <w:sz w:val="32"/>
          <w:szCs w:val="32"/>
        </w:rPr>
        <w:t xml:space="preserve">Module Code and Title: </w:t>
      </w:r>
      <w:r w:rsidR="00244589" w:rsidRPr="00244589">
        <w:rPr>
          <w:b/>
          <w:bCs/>
          <w:sz w:val="32"/>
          <w:szCs w:val="32"/>
        </w:rPr>
        <w:t>LHS40</w:t>
      </w:r>
      <w:r w:rsidR="000A6CC3">
        <w:rPr>
          <w:b/>
          <w:bCs/>
          <w:sz w:val="32"/>
          <w:szCs w:val="32"/>
        </w:rPr>
        <w:t>10</w:t>
      </w:r>
    </w:p>
    <w:p w14:paraId="746EBBC3" w14:textId="630FE819" w:rsidR="003D4CAE" w:rsidRPr="00244589" w:rsidRDefault="00000000" w:rsidP="00244589">
      <w:pPr>
        <w:jc w:val="center"/>
        <w:rPr>
          <w:b/>
          <w:bCs/>
          <w:sz w:val="32"/>
          <w:szCs w:val="32"/>
        </w:rPr>
      </w:pPr>
      <w:r w:rsidRPr="00244589">
        <w:rPr>
          <w:b/>
          <w:bCs/>
          <w:sz w:val="32"/>
          <w:szCs w:val="32"/>
        </w:rPr>
        <w:t xml:space="preserve">Lecturer’s Name: </w:t>
      </w:r>
      <w:r w:rsidR="000A6CC3">
        <w:rPr>
          <w:b/>
          <w:bCs/>
          <w:sz w:val="32"/>
          <w:szCs w:val="32"/>
        </w:rPr>
        <w:t xml:space="preserve">Peace </w:t>
      </w:r>
      <w:proofErr w:type="spellStart"/>
      <w:r w:rsidR="000A6CC3">
        <w:rPr>
          <w:b/>
          <w:bCs/>
          <w:sz w:val="32"/>
          <w:szCs w:val="32"/>
        </w:rPr>
        <w:t>Ukachukwu</w:t>
      </w:r>
      <w:proofErr w:type="spellEnd"/>
    </w:p>
    <w:p w14:paraId="6CBB4C86" w14:textId="77777777" w:rsidR="000A6CC3" w:rsidRPr="001A6359" w:rsidRDefault="00000000" w:rsidP="000A6CC3">
      <w:pPr>
        <w:spacing w:after="0"/>
      </w:pPr>
      <w:r w:rsidRPr="00244589">
        <w:rPr>
          <w:b/>
          <w:bCs/>
          <w:sz w:val="32"/>
          <w:szCs w:val="32"/>
        </w:rPr>
        <w:t xml:space="preserve">Assignment Title: </w:t>
      </w:r>
      <w:r w:rsidR="000A6CC3" w:rsidRPr="001A6359">
        <w:rPr>
          <w:b/>
          <w:bCs/>
          <w:sz w:val="32"/>
          <w:szCs w:val="32"/>
        </w:rPr>
        <w:t>Using Psychological Theories to Support Adults Aged 65 and Over Living in Dementia Care Homes</w:t>
      </w:r>
    </w:p>
    <w:p w14:paraId="57262CFD" w14:textId="68739D66" w:rsidR="003D4CAE" w:rsidRPr="00244589" w:rsidRDefault="003D4CAE" w:rsidP="00244589">
      <w:pPr>
        <w:jc w:val="center"/>
        <w:rPr>
          <w:b/>
          <w:bCs/>
          <w:sz w:val="32"/>
          <w:szCs w:val="32"/>
        </w:rPr>
      </w:pPr>
    </w:p>
    <w:p w14:paraId="73B9492A" w14:textId="77777777" w:rsidR="003D4CAE" w:rsidRDefault="00000000" w:rsidP="00244589">
      <w:pPr>
        <w:jc w:val="center"/>
      </w:pPr>
      <w:r>
        <w:br w:type="page"/>
      </w:r>
    </w:p>
    <w:p w14:paraId="585C2A5D" w14:textId="281378DD" w:rsidR="000A6CC3" w:rsidRPr="001A6359" w:rsidRDefault="00207E7B" w:rsidP="000A6CC3">
      <w:pPr>
        <w:rPr>
          <w:b/>
          <w:bCs/>
          <w:sz w:val="40"/>
          <w:szCs w:val="40"/>
          <w:lang w:val="en-GB"/>
        </w:rPr>
      </w:pPr>
      <w:r w:rsidRPr="00207E7B">
        <w:rPr>
          <w:b/>
          <w:bCs/>
          <w:sz w:val="40"/>
          <w:szCs w:val="40"/>
          <w:lang w:val="en-GB"/>
        </w:rPr>
        <w:lastRenderedPageBreak/>
        <w:t>Introduction</w:t>
      </w:r>
    </w:p>
    <w:p w14:paraId="62D21BE2" w14:textId="77777777" w:rsidR="000A6CC3" w:rsidRPr="001A6359" w:rsidRDefault="000A6CC3" w:rsidP="000A6CC3">
      <w:pPr>
        <w:spacing w:after="0"/>
      </w:pPr>
      <w:r w:rsidRPr="001A6359">
        <w:t xml:space="preserve">Psychological health conditions are increasingly prevalent among adults aged 65 and over, particularly those living in residential dementia care homes. Dementia, depression, anxiety, and </w:t>
      </w:r>
      <w:proofErr w:type="spellStart"/>
      <w:r w:rsidRPr="001A6359">
        <w:t>behavioural</w:t>
      </w:r>
      <w:proofErr w:type="spellEnd"/>
      <w:r w:rsidRPr="001A6359">
        <w:t xml:space="preserve"> changes represent significant challenges for both residents and staff. Health and social care professionals require a strong understanding of psychological theories and research to provide effective, person-</w:t>
      </w:r>
      <w:proofErr w:type="spellStart"/>
      <w:r w:rsidRPr="001A6359">
        <w:t>centred</w:t>
      </w:r>
      <w:proofErr w:type="spellEnd"/>
      <w:r w:rsidRPr="001A6359">
        <w:t xml:space="preserve"> care. This report examines how two key theories—</w:t>
      </w:r>
      <w:r w:rsidRPr="001A6359">
        <w:rPr>
          <w:b/>
          <w:bCs/>
        </w:rPr>
        <w:t>Erikson’s Psychosocial Theory (Stage 8: Integrity vs. Despair)</w:t>
      </w:r>
      <w:r w:rsidRPr="001A6359">
        <w:t> and </w:t>
      </w:r>
      <w:r w:rsidRPr="001A6359">
        <w:rPr>
          <w:b/>
          <w:bCs/>
        </w:rPr>
        <w:t>Bandura’s Social Learning Theory</w:t>
      </w:r>
      <w:r w:rsidRPr="001A6359">
        <w:t>—can inform practice and improve psychological wellbeing in dementia care settings. The report critically evaluates the practical application of each theory, highlights potential challenges, and proposes strategies to manage them.</w:t>
      </w:r>
    </w:p>
    <w:p w14:paraId="31848EBC" w14:textId="77777777" w:rsidR="000A6CC3" w:rsidRPr="001A6359" w:rsidRDefault="000A6CC3" w:rsidP="000A6CC3"/>
    <w:p w14:paraId="45648FC6" w14:textId="77777777" w:rsidR="000A6CC3" w:rsidRPr="001A6359" w:rsidRDefault="000A6CC3" w:rsidP="000A6CC3">
      <w:pPr>
        <w:spacing w:after="0"/>
        <w:rPr>
          <w:b/>
          <w:bCs/>
          <w:sz w:val="28"/>
          <w:szCs w:val="28"/>
        </w:rPr>
      </w:pPr>
      <w:r w:rsidRPr="001A6359">
        <w:rPr>
          <w:b/>
          <w:bCs/>
          <w:sz w:val="28"/>
          <w:szCs w:val="28"/>
        </w:rPr>
        <w:t>1. Psychological Theory 1: Erikson’s Psychosocial Theory (Integrity vs. Despair)</w:t>
      </w:r>
    </w:p>
    <w:p w14:paraId="3DEC71BA" w14:textId="77777777" w:rsidR="000A6CC3" w:rsidRPr="001A6359" w:rsidRDefault="000A6CC3" w:rsidP="000A6CC3">
      <w:pPr>
        <w:spacing w:after="0"/>
      </w:pPr>
      <w:r w:rsidRPr="001A6359">
        <w:t>Erik Erikson’s (1950) psychosocial model outlines eight stages of development, with the final stage—</w:t>
      </w:r>
      <w:r w:rsidRPr="001A6359">
        <w:rPr>
          <w:b/>
          <w:bCs/>
        </w:rPr>
        <w:t>Integrity vs. Despair</w:t>
      </w:r>
      <w:r w:rsidRPr="001A6359">
        <w:t>—occurring from approximately age 65 onwards. During this stage, older adults reflect on their life and evaluate whether their experiences create a sense of fulfilment (integrity) or regret and dissatisfaction (despair). Positive resolution results in wisdom, acceptance, and psychological wellbeing, while negative resolution can lead to depression, hopelessness, and fear of death (McAdams, 2001).</w:t>
      </w:r>
    </w:p>
    <w:p w14:paraId="32D3BB65" w14:textId="77777777" w:rsidR="000A6CC3" w:rsidRPr="001A6359" w:rsidRDefault="000A6CC3" w:rsidP="000A6CC3">
      <w:pPr>
        <w:spacing w:after="0"/>
      </w:pPr>
      <w:r w:rsidRPr="001A6359">
        <w:t xml:space="preserve">In dementia care homes, the progression of cognitive impairment influences how residents experience this life stage. Individuals may struggle to maintain identity, recall life events, or evaluate personal achievements. This can increase confusion, distress, and feelings of despair. Nonetheless, Erikson’s model remains valuable because it </w:t>
      </w:r>
      <w:proofErr w:type="spellStart"/>
      <w:r w:rsidRPr="001A6359">
        <w:t>emphasises</w:t>
      </w:r>
      <w:proofErr w:type="spellEnd"/>
      <w:r w:rsidRPr="001A6359">
        <w:t xml:space="preserve"> the need for older adults to maintain a sense of self, meaning, and dignity, even when cognitive decline is present.</w:t>
      </w:r>
    </w:p>
    <w:p w14:paraId="7FC8EED3" w14:textId="77777777" w:rsidR="000A6CC3" w:rsidRPr="001A6359" w:rsidRDefault="000A6CC3" w:rsidP="000A6CC3"/>
    <w:p w14:paraId="5A7F0C63" w14:textId="77777777" w:rsidR="000A6CC3" w:rsidRPr="001A6359" w:rsidRDefault="000A6CC3" w:rsidP="000A6CC3">
      <w:pPr>
        <w:spacing w:after="0"/>
        <w:rPr>
          <w:b/>
          <w:bCs/>
          <w:sz w:val="28"/>
          <w:szCs w:val="28"/>
        </w:rPr>
      </w:pPr>
      <w:r w:rsidRPr="001A6359">
        <w:rPr>
          <w:b/>
          <w:bCs/>
          <w:sz w:val="28"/>
          <w:szCs w:val="28"/>
        </w:rPr>
        <w:t>Application of Erikson’s Theory in Dementia Care Settings</w:t>
      </w:r>
    </w:p>
    <w:p w14:paraId="570B15D8" w14:textId="77777777" w:rsidR="000A6CC3" w:rsidRPr="001A6359" w:rsidRDefault="000A6CC3" w:rsidP="000A6CC3">
      <w:pPr>
        <w:spacing w:after="0"/>
      </w:pPr>
      <w:r w:rsidRPr="001A6359">
        <w:rPr>
          <w:b/>
          <w:bCs/>
        </w:rPr>
        <w:t>Life Review and Reminiscence Therapy</w:t>
      </w:r>
    </w:p>
    <w:p w14:paraId="5F51DE2D" w14:textId="77777777" w:rsidR="000A6CC3" w:rsidRPr="001A6359" w:rsidRDefault="000A6CC3" w:rsidP="000A6CC3">
      <w:pPr>
        <w:spacing w:after="0"/>
      </w:pPr>
      <w:r w:rsidRPr="001A6359">
        <w:t>Life review interventions help residents reconstruct meaningful narratives. Staff may use photographs, music, familiar objects, or sensory prompts to stimulate memory recall. Research shows that reminiscence therapy can improve mood, cognitive engagement, and sense of identity in older adults with dementia (Woods et al., 2018).</w:t>
      </w:r>
    </w:p>
    <w:p w14:paraId="62C554F7" w14:textId="77777777" w:rsidR="000A6CC3" w:rsidRPr="001A6359" w:rsidRDefault="000A6CC3" w:rsidP="000A6CC3">
      <w:pPr>
        <w:spacing w:after="0"/>
      </w:pPr>
      <w:r w:rsidRPr="001A6359">
        <w:rPr>
          <w:i/>
          <w:iCs/>
        </w:rPr>
        <w:t>Example:</w:t>
      </w:r>
      <w:r w:rsidRPr="001A6359">
        <w:br/>
        <w:t>A care worker facilitates weekly reminiscence sessions where residents discuss past jobs, family events, or cultural traditions. This supports integrity by affirming personal histories and reducing distress linked to memory loss.</w:t>
      </w:r>
    </w:p>
    <w:p w14:paraId="475961CB" w14:textId="77777777" w:rsidR="000A6CC3" w:rsidRPr="001A6359" w:rsidRDefault="000A6CC3" w:rsidP="000A6CC3">
      <w:pPr>
        <w:spacing w:after="0"/>
      </w:pPr>
      <w:proofErr w:type="spellStart"/>
      <w:r w:rsidRPr="001A6359">
        <w:rPr>
          <w:b/>
          <w:bCs/>
        </w:rPr>
        <w:t>Personalised</w:t>
      </w:r>
      <w:proofErr w:type="spellEnd"/>
      <w:r w:rsidRPr="001A6359">
        <w:rPr>
          <w:b/>
          <w:bCs/>
        </w:rPr>
        <w:t xml:space="preserve"> Care Planning</w:t>
      </w:r>
    </w:p>
    <w:p w14:paraId="4B098F53" w14:textId="77777777" w:rsidR="000A6CC3" w:rsidRPr="001A6359" w:rsidRDefault="000A6CC3" w:rsidP="000A6CC3">
      <w:pPr>
        <w:spacing w:after="0"/>
      </w:pPr>
      <w:r w:rsidRPr="001A6359">
        <w:lastRenderedPageBreak/>
        <w:t>Erikson’s theory supports a </w:t>
      </w:r>
      <w:r w:rsidRPr="001A6359">
        <w:rPr>
          <w:i/>
          <w:iCs/>
        </w:rPr>
        <w:t>person-</w:t>
      </w:r>
      <w:proofErr w:type="spellStart"/>
      <w:r w:rsidRPr="001A6359">
        <w:rPr>
          <w:i/>
          <w:iCs/>
        </w:rPr>
        <w:t>centred</w:t>
      </w:r>
      <w:proofErr w:type="spellEnd"/>
      <w:r w:rsidRPr="001A6359">
        <w:t> approach. Understanding a resident’s background, preferences, and values allows staff to provide care that aligns with their identity. This is particularly important for individuals who may feel a loss of autonomy.</w:t>
      </w:r>
    </w:p>
    <w:p w14:paraId="48CC302E" w14:textId="77777777" w:rsidR="000A6CC3" w:rsidRPr="001A6359" w:rsidRDefault="000A6CC3" w:rsidP="000A6CC3">
      <w:pPr>
        <w:spacing w:after="0"/>
      </w:pPr>
      <w:r w:rsidRPr="001A6359">
        <w:rPr>
          <w:i/>
          <w:iCs/>
        </w:rPr>
        <w:t>Example:</w:t>
      </w:r>
      <w:r w:rsidRPr="001A6359">
        <w:br/>
        <w:t>A resident who previously valued independence may experience despair when relying on others. Staff can promote integrity by involving them in decision-making, such as choosing clothing or meal options.</w:t>
      </w:r>
    </w:p>
    <w:p w14:paraId="5C61240F" w14:textId="77777777" w:rsidR="000A6CC3" w:rsidRPr="001A6359" w:rsidRDefault="000A6CC3" w:rsidP="000A6CC3">
      <w:pPr>
        <w:rPr>
          <w:sz w:val="28"/>
          <w:szCs w:val="28"/>
        </w:rPr>
      </w:pPr>
    </w:p>
    <w:p w14:paraId="15B13B01" w14:textId="77777777" w:rsidR="000A6CC3" w:rsidRPr="001A6359" w:rsidRDefault="000A6CC3" w:rsidP="000A6CC3">
      <w:pPr>
        <w:spacing w:after="0"/>
        <w:rPr>
          <w:b/>
          <w:bCs/>
          <w:sz w:val="28"/>
          <w:szCs w:val="28"/>
        </w:rPr>
      </w:pPr>
      <w:r w:rsidRPr="001A6359">
        <w:rPr>
          <w:b/>
          <w:bCs/>
          <w:sz w:val="28"/>
          <w:szCs w:val="28"/>
        </w:rPr>
        <w:t>Challenges in Applying Erikson’s Theory</w:t>
      </w:r>
    </w:p>
    <w:p w14:paraId="4B3149E3" w14:textId="77777777" w:rsidR="000A6CC3" w:rsidRPr="001A6359" w:rsidRDefault="000A6CC3" w:rsidP="000A6CC3">
      <w:pPr>
        <w:spacing w:after="0"/>
      </w:pPr>
      <w:r w:rsidRPr="001A6359">
        <w:rPr>
          <w:b/>
          <w:bCs/>
        </w:rPr>
        <w:t>1. Cognitive Decline Makes Life Reflection Difficult</w:t>
      </w:r>
      <w:r w:rsidRPr="001A6359">
        <w:br/>
        <w:t>Moderate to severe dementia may limit residents’ ability to engage in meaningful self-reflection. For some, memory loss triggers frustration rather than fulfilment.</w:t>
      </w:r>
    </w:p>
    <w:p w14:paraId="3CEC6FF8" w14:textId="77777777" w:rsidR="000A6CC3" w:rsidRPr="001A6359" w:rsidRDefault="000A6CC3" w:rsidP="000A6CC3">
      <w:pPr>
        <w:spacing w:after="0"/>
      </w:pPr>
      <w:r w:rsidRPr="001A6359">
        <w:rPr>
          <w:b/>
          <w:bCs/>
        </w:rPr>
        <w:t>Strategy:</w:t>
      </w:r>
      <w:r w:rsidRPr="001A6359">
        <w:br/>
        <w:t>Use </w:t>
      </w:r>
      <w:r w:rsidRPr="001A6359">
        <w:rPr>
          <w:i/>
          <w:iCs/>
        </w:rPr>
        <w:t>multi-sensory cues</w:t>
      </w:r>
      <w:r w:rsidRPr="001A6359">
        <w:t> and maintain short, focused conversations. Even partial memories can evoke positive emotions and strengthen identity.</w:t>
      </w:r>
    </w:p>
    <w:p w14:paraId="55904327" w14:textId="77777777" w:rsidR="000A6CC3" w:rsidRPr="001A6359" w:rsidRDefault="000A6CC3" w:rsidP="000A6CC3">
      <w:pPr>
        <w:spacing w:after="0"/>
      </w:pPr>
      <w:r w:rsidRPr="001A6359">
        <w:rPr>
          <w:b/>
          <w:bCs/>
        </w:rPr>
        <w:t>2. Time and Staffing Constraints</w:t>
      </w:r>
      <w:r w:rsidRPr="001A6359">
        <w:br/>
        <w:t xml:space="preserve">Reminiscence therapy and </w:t>
      </w:r>
      <w:proofErr w:type="spellStart"/>
      <w:r w:rsidRPr="001A6359">
        <w:t>personalised</w:t>
      </w:r>
      <w:proofErr w:type="spellEnd"/>
      <w:r w:rsidRPr="001A6359">
        <w:t xml:space="preserve"> care require time and continuity, which may be limited in busy care homes.</w:t>
      </w:r>
    </w:p>
    <w:p w14:paraId="1A6D02A4" w14:textId="77777777" w:rsidR="000A6CC3" w:rsidRPr="001A6359" w:rsidRDefault="000A6CC3" w:rsidP="000A6CC3">
      <w:pPr>
        <w:spacing w:after="0"/>
      </w:pPr>
      <w:r w:rsidRPr="001A6359">
        <w:rPr>
          <w:b/>
          <w:bCs/>
        </w:rPr>
        <w:t>Strategy:</w:t>
      </w:r>
      <w:r w:rsidRPr="001A6359">
        <w:br/>
        <w:t>Integrate life-story work into routine activities (e.g., discussing family photos during personal care). Train staff in quick, effective communication techniques.</w:t>
      </w:r>
    </w:p>
    <w:p w14:paraId="630B0E64" w14:textId="77777777" w:rsidR="000A6CC3" w:rsidRPr="001A6359" w:rsidRDefault="000A6CC3" w:rsidP="000A6CC3">
      <w:pPr>
        <w:spacing w:after="0"/>
      </w:pPr>
      <w:r w:rsidRPr="001A6359">
        <w:rPr>
          <w:b/>
          <w:bCs/>
        </w:rPr>
        <w:t>3. Emotional Distress</w:t>
      </w:r>
      <w:r w:rsidRPr="001A6359">
        <w:br/>
        <w:t>Some residents may revisit traumatic or painful life events.</w:t>
      </w:r>
    </w:p>
    <w:p w14:paraId="3A33F0BD" w14:textId="77777777" w:rsidR="000A6CC3" w:rsidRPr="001A6359" w:rsidRDefault="000A6CC3" w:rsidP="000A6CC3">
      <w:pPr>
        <w:spacing w:after="0"/>
      </w:pPr>
      <w:r w:rsidRPr="001A6359">
        <w:rPr>
          <w:b/>
          <w:bCs/>
        </w:rPr>
        <w:t>Strategy:</w:t>
      </w:r>
      <w:r w:rsidRPr="001A6359">
        <w:br/>
        <w:t xml:space="preserve">Staff should receive training in trauma-informed care and </w:t>
      </w:r>
      <w:proofErr w:type="spellStart"/>
      <w:r w:rsidRPr="001A6359">
        <w:t>recognise</w:t>
      </w:r>
      <w:proofErr w:type="spellEnd"/>
      <w:r w:rsidRPr="001A6359">
        <w:t xml:space="preserve"> when redirection or emotional support is needed.</w:t>
      </w:r>
    </w:p>
    <w:p w14:paraId="75A75767" w14:textId="77777777" w:rsidR="000A6CC3" w:rsidRPr="001A6359" w:rsidRDefault="000A6CC3" w:rsidP="000A6CC3"/>
    <w:p w14:paraId="2FD0F4F8" w14:textId="77777777" w:rsidR="000A6CC3" w:rsidRPr="001A6359" w:rsidRDefault="000A6CC3" w:rsidP="000A6CC3">
      <w:pPr>
        <w:spacing w:after="0"/>
        <w:rPr>
          <w:b/>
          <w:bCs/>
          <w:sz w:val="28"/>
          <w:szCs w:val="28"/>
        </w:rPr>
      </w:pPr>
      <w:r w:rsidRPr="001A6359">
        <w:rPr>
          <w:b/>
          <w:bCs/>
          <w:sz w:val="28"/>
          <w:szCs w:val="28"/>
        </w:rPr>
        <w:t>2. Psychological Theory 2: Bandura’s Social Learning Theory</w:t>
      </w:r>
    </w:p>
    <w:p w14:paraId="7E528CCE" w14:textId="77777777" w:rsidR="000A6CC3" w:rsidRPr="001A6359" w:rsidRDefault="000A6CC3" w:rsidP="000A6CC3">
      <w:pPr>
        <w:spacing w:after="0"/>
      </w:pPr>
      <w:r w:rsidRPr="001A6359">
        <w:t xml:space="preserve">Bandura’s Social Learning Theory (1977) highlights that </w:t>
      </w:r>
      <w:proofErr w:type="spellStart"/>
      <w:r w:rsidRPr="001A6359">
        <w:t>behaviour</w:t>
      </w:r>
      <w:proofErr w:type="spellEnd"/>
      <w:r w:rsidRPr="001A6359">
        <w:t xml:space="preserve"> is learned through observation, imitation, and reinforcement. Although dementia reduces cognitive capacity, many older adults still respond to emotional cues, social </w:t>
      </w:r>
      <w:proofErr w:type="spellStart"/>
      <w:r w:rsidRPr="001A6359">
        <w:t>behaviours</w:t>
      </w:r>
      <w:proofErr w:type="spellEnd"/>
      <w:r w:rsidRPr="001A6359">
        <w:t>, and environmental modelling.</w:t>
      </w:r>
    </w:p>
    <w:p w14:paraId="3FF0BC50" w14:textId="77777777" w:rsidR="000A6CC3" w:rsidRPr="001A6359" w:rsidRDefault="000A6CC3" w:rsidP="000A6CC3">
      <w:pPr>
        <w:spacing w:after="0"/>
      </w:pPr>
      <w:r w:rsidRPr="001A6359">
        <w:t>Key components include:</w:t>
      </w:r>
    </w:p>
    <w:p w14:paraId="11751E1C" w14:textId="77777777" w:rsidR="000A6CC3" w:rsidRPr="001A6359" w:rsidRDefault="000A6CC3" w:rsidP="000A6CC3">
      <w:pPr>
        <w:numPr>
          <w:ilvl w:val="0"/>
          <w:numId w:val="15"/>
        </w:numPr>
        <w:spacing w:after="0" w:line="240" w:lineRule="auto"/>
      </w:pPr>
      <w:r w:rsidRPr="001A6359">
        <w:rPr>
          <w:b/>
          <w:bCs/>
        </w:rPr>
        <w:t>Observational learning</w:t>
      </w:r>
      <w:r w:rsidRPr="001A6359">
        <w:t> – people learn by watching others.</w:t>
      </w:r>
    </w:p>
    <w:p w14:paraId="5510D1DE" w14:textId="77777777" w:rsidR="000A6CC3" w:rsidRPr="001A6359" w:rsidRDefault="000A6CC3" w:rsidP="000A6CC3">
      <w:pPr>
        <w:numPr>
          <w:ilvl w:val="0"/>
          <w:numId w:val="15"/>
        </w:numPr>
        <w:spacing w:after="0" w:line="240" w:lineRule="auto"/>
      </w:pPr>
      <w:r w:rsidRPr="001A6359">
        <w:rPr>
          <w:b/>
          <w:bCs/>
        </w:rPr>
        <w:t>Modelling</w:t>
      </w:r>
      <w:r w:rsidRPr="001A6359">
        <w:t xml:space="preserve"> – </w:t>
      </w:r>
      <w:proofErr w:type="spellStart"/>
      <w:r w:rsidRPr="001A6359">
        <w:t>behaviour</w:t>
      </w:r>
      <w:proofErr w:type="spellEnd"/>
      <w:r w:rsidRPr="001A6359">
        <w:t xml:space="preserve"> is influenced by the actions of those around them.</w:t>
      </w:r>
    </w:p>
    <w:p w14:paraId="0150063F" w14:textId="77777777" w:rsidR="000A6CC3" w:rsidRPr="001A6359" w:rsidRDefault="000A6CC3" w:rsidP="000A6CC3">
      <w:pPr>
        <w:numPr>
          <w:ilvl w:val="0"/>
          <w:numId w:val="15"/>
        </w:numPr>
        <w:spacing w:after="0" w:line="240" w:lineRule="auto"/>
      </w:pPr>
      <w:r w:rsidRPr="001A6359">
        <w:rPr>
          <w:b/>
          <w:bCs/>
        </w:rPr>
        <w:t>Self-efficacy</w:t>
      </w:r>
      <w:r w:rsidRPr="001A6359">
        <w:t> – belief in one’s ability to perform tasks (Bandura, 1997).</w:t>
      </w:r>
    </w:p>
    <w:p w14:paraId="760C5522" w14:textId="77777777" w:rsidR="000A6CC3" w:rsidRPr="001A6359" w:rsidRDefault="000A6CC3" w:rsidP="000A6CC3">
      <w:pPr>
        <w:spacing w:after="0"/>
      </w:pPr>
      <w:r w:rsidRPr="001A6359">
        <w:t xml:space="preserve">For adults with dementia, self-efficacy may be significantly reduced due to memory loss, physical decline, or dependence on support. Nevertheless, even those with cognitive impairment continue to copy </w:t>
      </w:r>
      <w:proofErr w:type="spellStart"/>
      <w:r w:rsidRPr="001A6359">
        <w:t>behaviours</w:t>
      </w:r>
      <w:proofErr w:type="spellEnd"/>
      <w:r w:rsidRPr="001A6359">
        <w:t xml:space="preserve"> and respond to social environments. This makes Bandura’s theory especially relevant for care home settings.</w:t>
      </w:r>
    </w:p>
    <w:p w14:paraId="522AE6AC" w14:textId="77777777" w:rsidR="000A6CC3" w:rsidRPr="001A6359" w:rsidRDefault="000A6CC3" w:rsidP="000A6CC3"/>
    <w:p w14:paraId="52E03A50" w14:textId="77777777" w:rsidR="000A6CC3" w:rsidRPr="001A6359" w:rsidRDefault="000A6CC3" w:rsidP="000A6CC3">
      <w:pPr>
        <w:spacing w:after="0"/>
        <w:rPr>
          <w:b/>
          <w:bCs/>
          <w:sz w:val="28"/>
          <w:szCs w:val="28"/>
        </w:rPr>
      </w:pPr>
      <w:r w:rsidRPr="001A6359">
        <w:rPr>
          <w:b/>
          <w:bCs/>
          <w:sz w:val="28"/>
          <w:szCs w:val="28"/>
        </w:rPr>
        <w:lastRenderedPageBreak/>
        <w:t>Application of Social Learning Theory in Dementia Care Homes</w:t>
      </w:r>
    </w:p>
    <w:p w14:paraId="7F29E321" w14:textId="77777777" w:rsidR="000A6CC3" w:rsidRPr="001A6359" w:rsidRDefault="000A6CC3" w:rsidP="000A6CC3">
      <w:pPr>
        <w:spacing w:after="0"/>
      </w:pPr>
      <w:r w:rsidRPr="001A6359">
        <w:rPr>
          <w:b/>
          <w:bCs/>
        </w:rPr>
        <w:t xml:space="preserve">1. Promoting Positive </w:t>
      </w:r>
      <w:proofErr w:type="spellStart"/>
      <w:r w:rsidRPr="001A6359">
        <w:rPr>
          <w:b/>
          <w:bCs/>
        </w:rPr>
        <w:t>Behaviour</w:t>
      </w:r>
      <w:proofErr w:type="spellEnd"/>
      <w:r w:rsidRPr="001A6359">
        <w:rPr>
          <w:b/>
          <w:bCs/>
        </w:rPr>
        <w:t xml:space="preserve"> Through Modelling</w:t>
      </w:r>
    </w:p>
    <w:p w14:paraId="04FB618D" w14:textId="77777777" w:rsidR="000A6CC3" w:rsidRPr="001A6359" w:rsidRDefault="000A6CC3" w:rsidP="000A6CC3">
      <w:pPr>
        <w:spacing w:after="0"/>
      </w:pPr>
      <w:r w:rsidRPr="001A6359">
        <w:t>Care staff serve as models of emotional regulation, respectful communication, and calm responses. Residents often mirror staff tone, body language, and emotional expressions.</w:t>
      </w:r>
    </w:p>
    <w:p w14:paraId="3ADA1BBD" w14:textId="77777777" w:rsidR="000A6CC3" w:rsidRPr="001A6359" w:rsidRDefault="000A6CC3" w:rsidP="000A6CC3">
      <w:pPr>
        <w:spacing w:after="0"/>
      </w:pPr>
      <w:r w:rsidRPr="001A6359">
        <w:rPr>
          <w:i/>
          <w:iCs/>
        </w:rPr>
        <w:t>Example:</w:t>
      </w:r>
      <w:r w:rsidRPr="001A6359">
        <w:br/>
        <w:t>During an episode of agitation, a staff member remains calm, uses slow movements, and speaks softly. Residents often imitate this calmness, reducing distress.</w:t>
      </w:r>
    </w:p>
    <w:p w14:paraId="5C67005E" w14:textId="77777777" w:rsidR="000A6CC3" w:rsidRPr="001A6359" w:rsidRDefault="000A6CC3" w:rsidP="000A6CC3">
      <w:pPr>
        <w:spacing w:after="0"/>
      </w:pPr>
      <w:r w:rsidRPr="001A6359">
        <w:rPr>
          <w:b/>
          <w:bCs/>
        </w:rPr>
        <w:t>2. Group Activities and Social Engagement</w:t>
      </w:r>
    </w:p>
    <w:p w14:paraId="768606C3" w14:textId="77777777" w:rsidR="000A6CC3" w:rsidRPr="001A6359" w:rsidRDefault="000A6CC3" w:rsidP="000A6CC3">
      <w:pPr>
        <w:spacing w:after="0"/>
      </w:pPr>
      <w:r w:rsidRPr="001A6359">
        <w:t>Group activities such as music therapy, chair-based exercise, or crafts allow residents to observe and imitate peers. This can increase participation, reduce isolation, and enhance mood.</w:t>
      </w:r>
    </w:p>
    <w:p w14:paraId="0EBE6745" w14:textId="77777777" w:rsidR="000A6CC3" w:rsidRPr="001A6359" w:rsidRDefault="000A6CC3" w:rsidP="000A6CC3">
      <w:pPr>
        <w:spacing w:after="0"/>
      </w:pPr>
      <w:r w:rsidRPr="001A6359">
        <w:rPr>
          <w:i/>
          <w:iCs/>
        </w:rPr>
        <w:t>Example:</w:t>
      </w:r>
      <w:r w:rsidRPr="001A6359">
        <w:br/>
        <w:t>A resident reluctant to join exercise sessions may start participating after observing others moving to music and receiving positive reinforcement from staff.</w:t>
      </w:r>
    </w:p>
    <w:p w14:paraId="398C8248" w14:textId="77777777" w:rsidR="000A6CC3" w:rsidRPr="001A6359" w:rsidRDefault="000A6CC3" w:rsidP="000A6CC3">
      <w:pPr>
        <w:spacing w:after="0"/>
      </w:pPr>
      <w:r w:rsidRPr="001A6359">
        <w:rPr>
          <w:b/>
          <w:bCs/>
        </w:rPr>
        <w:t>3. Reinforcing Self-Efficacy</w:t>
      </w:r>
    </w:p>
    <w:p w14:paraId="5E6ED12E" w14:textId="77777777" w:rsidR="000A6CC3" w:rsidRPr="001A6359" w:rsidRDefault="000A6CC3" w:rsidP="000A6CC3">
      <w:pPr>
        <w:spacing w:after="0"/>
      </w:pPr>
      <w:r w:rsidRPr="001A6359">
        <w:t>Encouraging residents to complete small tasks—such as arranging flowers or folding laundry—helps maintain independence and supports cognitive function. Positive reinforcement strengthens confidence.</w:t>
      </w:r>
    </w:p>
    <w:p w14:paraId="5C5BC76C" w14:textId="77777777" w:rsidR="000A6CC3" w:rsidRPr="001A6359" w:rsidRDefault="000A6CC3" w:rsidP="000A6CC3">
      <w:pPr>
        <w:spacing w:after="0"/>
      </w:pPr>
      <w:r w:rsidRPr="001A6359">
        <w:rPr>
          <w:i/>
          <w:iCs/>
        </w:rPr>
        <w:t>Example:</w:t>
      </w:r>
      <w:r w:rsidRPr="001A6359">
        <w:br/>
        <w:t>A resident with mild dementia is encouraged to pour their own drink during meals. Staff praise their efforts, reinforcing a sense of competence.</w:t>
      </w:r>
    </w:p>
    <w:p w14:paraId="47FE61C9" w14:textId="77777777" w:rsidR="000A6CC3" w:rsidRPr="001A6359" w:rsidRDefault="000A6CC3" w:rsidP="000A6CC3"/>
    <w:p w14:paraId="04FA36E9" w14:textId="77777777" w:rsidR="000A6CC3" w:rsidRPr="001A6359" w:rsidRDefault="000A6CC3" w:rsidP="000A6CC3">
      <w:pPr>
        <w:spacing w:after="0"/>
        <w:rPr>
          <w:b/>
          <w:bCs/>
          <w:sz w:val="28"/>
          <w:szCs w:val="28"/>
        </w:rPr>
      </w:pPr>
      <w:r w:rsidRPr="001A6359">
        <w:rPr>
          <w:b/>
          <w:bCs/>
          <w:sz w:val="28"/>
          <w:szCs w:val="28"/>
        </w:rPr>
        <w:t>Challenges in Applying Social Learning Theory</w:t>
      </w:r>
    </w:p>
    <w:p w14:paraId="0E1948C9" w14:textId="77777777" w:rsidR="000A6CC3" w:rsidRPr="001A6359" w:rsidRDefault="000A6CC3" w:rsidP="000A6CC3">
      <w:pPr>
        <w:spacing w:after="0"/>
      </w:pPr>
      <w:r w:rsidRPr="001A6359">
        <w:rPr>
          <w:b/>
          <w:bCs/>
        </w:rPr>
        <w:t>1. Reduced Cognitive Capacity</w:t>
      </w:r>
    </w:p>
    <w:p w14:paraId="7B0A0D13" w14:textId="77777777" w:rsidR="000A6CC3" w:rsidRPr="001A6359" w:rsidRDefault="000A6CC3" w:rsidP="000A6CC3">
      <w:pPr>
        <w:spacing w:after="0"/>
      </w:pPr>
      <w:r w:rsidRPr="001A6359">
        <w:t xml:space="preserve">Individuals with advanced dementia may struggle to imitate complex </w:t>
      </w:r>
      <w:proofErr w:type="spellStart"/>
      <w:r w:rsidRPr="001A6359">
        <w:t>behaviours</w:t>
      </w:r>
      <w:proofErr w:type="spellEnd"/>
      <w:r w:rsidRPr="001A6359">
        <w:t xml:space="preserve"> or understand instructions.</w:t>
      </w:r>
    </w:p>
    <w:p w14:paraId="4BA48BBC" w14:textId="77777777" w:rsidR="000A6CC3" w:rsidRPr="001A6359" w:rsidRDefault="000A6CC3" w:rsidP="000A6CC3">
      <w:pPr>
        <w:spacing w:after="0"/>
      </w:pPr>
      <w:r w:rsidRPr="001A6359">
        <w:rPr>
          <w:b/>
          <w:bCs/>
        </w:rPr>
        <w:t>Strategy:</w:t>
      </w:r>
      <w:r w:rsidRPr="001A6359">
        <w:br/>
        <w:t>Use simple, repetitive demonstrations. Focus on non-verbal modelling (gestures, facial expressions).</w:t>
      </w:r>
    </w:p>
    <w:p w14:paraId="0291927A" w14:textId="77777777" w:rsidR="000A6CC3" w:rsidRPr="001A6359" w:rsidRDefault="000A6CC3" w:rsidP="000A6CC3">
      <w:pPr>
        <w:spacing w:after="0"/>
      </w:pPr>
      <w:r w:rsidRPr="001A6359">
        <w:rPr>
          <w:b/>
          <w:bCs/>
        </w:rPr>
        <w:t>2. Negative Modelling in the Environment</w:t>
      </w:r>
    </w:p>
    <w:p w14:paraId="25AD0A5E" w14:textId="77777777" w:rsidR="000A6CC3" w:rsidRPr="001A6359" w:rsidRDefault="000A6CC3" w:rsidP="000A6CC3">
      <w:pPr>
        <w:spacing w:after="0"/>
      </w:pPr>
      <w:r w:rsidRPr="001A6359">
        <w:t xml:space="preserve">Residents may observe and imitate distressed </w:t>
      </w:r>
      <w:proofErr w:type="spellStart"/>
      <w:r w:rsidRPr="001A6359">
        <w:t>behaviour</w:t>
      </w:r>
      <w:proofErr w:type="spellEnd"/>
      <w:r w:rsidRPr="001A6359">
        <w:t xml:space="preserve"> in others, such as shouting or wandering.</w:t>
      </w:r>
    </w:p>
    <w:p w14:paraId="7A738CE4" w14:textId="77777777" w:rsidR="000A6CC3" w:rsidRPr="001A6359" w:rsidRDefault="000A6CC3" w:rsidP="000A6CC3">
      <w:pPr>
        <w:spacing w:after="0"/>
      </w:pPr>
      <w:r w:rsidRPr="001A6359">
        <w:rPr>
          <w:b/>
          <w:bCs/>
        </w:rPr>
        <w:t>Strategy:</w:t>
      </w:r>
      <w:r w:rsidRPr="001A6359">
        <w:br/>
        <w:t>Create calm, structured environments. Use small group activities rather than large communal spaces when possible.</w:t>
      </w:r>
    </w:p>
    <w:p w14:paraId="3DF10861" w14:textId="77777777" w:rsidR="000A6CC3" w:rsidRPr="001A6359" w:rsidRDefault="000A6CC3" w:rsidP="000A6CC3">
      <w:pPr>
        <w:spacing w:after="0"/>
      </w:pPr>
      <w:r w:rsidRPr="001A6359">
        <w:rPr>
          <w:b/>
          <w:bCs/>
        </w:rPr>
        <w:t>3. Maintaining Staff Consistency</w:t>
      </w:r>
    </w:p>
    <w:p w14:paraId="62DB4D53" w14:textId="77777777" w:rsidR="000A6CC3" w:rsidRPr="001A6359" w:rsidRDefault="000A6CC3" w:rsidP="000A6CC3">
      <w:pPr>
        <w:spacing w:after="0"/>
      </w:pPr>
      <w:r w:rsidRPr="001A6359">
        <w:t xml:space="preserve">Social learning relies on consistent </w:t>
      </w:r>
      <w:proofErr w:type="spellStart"/>
      <w:r w:rsidRPr="001A6359">
        <w:t>behavioural</w:t>
      </w:r>
      <w:proofErr w:type="spellEnd"/>
      <w:r w:rsidRPr="001A6359">
        <w:t xml:space="preserve"> reinforcement from staff. High turnover or reliance on agency workers can disrupt modelling patterns.</w:t>
      </w:r>
    </w:p>
    <w:p w14:paraId="12324C10" w14:textId="77777777" w:rsidR="000A6CC3" w:rsidRPr="001A6359" w:rsidRDefault="000A6CC3" w:rsidP="000A6CC3">
      <w:pPr>
        <w:spacing w:after="0"/>
      </w:pPr>
      <w:r w:rsidRPr="001A6359">
        <w:rPr>
          <w:b/>
          <w:bCs/>
        </w:rPr>
        <w:t>Strategy:</w:t>
      </w:r>
      <w:r w:rsidRPr="001A6359">
        <w:br/>
        <w:t xml:space="preserve">Implement clear </w:t>
      </w:r>
      <w:proofErr w:type="spellStart"/>
      <w:r w:rsidRPr="001A6359">
        <w:t>behavioural</w:t>
      </w:r>
      <w:proofErr w:type="spellEnd"/>
      <w:r w:rsidRPr="001A6359">
        <w:t xml:space="preserve"> guidelines and provide regular training on communication techniques.</w:t>
      </w:r>
    </w:p>
    <w:p w14:paraId="2E9CAC4C" w14:textId="77777777" w:rsidR="000A6CC3" w:rsidRPr="001A6359" w:rsidRDefault="000A6CC3" w:rsidP="000A6CC3"/>
    <w:p w14:paraId="4B8AB913" w14:textId="77777777" w:rsidR="000A6CC3" w:rsidRPr="001A6359" w:rsidRDefault="000A6CC3" w:rsidP="000A6CC3">
      <w:pPr>
        <w:spacing w:after="0"/>
        <w:rPr>
          <w:b/>
          <w:bCs/>
          <w:sz w:val="28"/>
          <w:szCs w:val="28"/>
        </w:rPr>
      </w:pPr>
      <w:r w:rsidRPr="001A6359">
        <w:rPr>
          <w:b/>
          <w:bCs/>
          <w:sz w:val="28"/>
          <w:szCs w:val="28"/>
        </w:rPr>
        <w:lastRenderedPageBreak/>
        <w:t>Critical Evaluation of Both Theories in Context</w:t>
      </w:r>
    </w:p>
    <w:p w14:paraId="23EAE319" w14:textId="77777777" w:rsidR="000A6CC3" w:rsidRPr="001A6359" w:rsidRDefault="000A6CC3" w:rsidP="000A6CC3">
      <w:pPr>
        <w:spacing w:after="0"/>
      </w:pPr>
      <w:r w:rsidRPr="001A6359">
        <w:t>Both Erikson’s and Bandura’s theories provide valuable frameworks for understanding older adults’ psychological needs, but they also have limitations when applied to dementia care.</w:t>
      </w:r>
    </w:p>
    <w:p w14:paraId="0516FDB8" w14:textId="77777777" w:rsidR="000A6CC3" w:rsidRPr="001A6359" w:rsidRDefault="000A6CC3" w:rsidP="000A6CC3">
      <w:pPr>
        <w:spacing w:after="0"/>
      </w:pPr>
      <w:r w:rsidRPr="001A6359">
        <w:rPr>
          <w:b/>
          <w:bCs/>
        </w:rPr>
        <w:t>Erikson’s Theory Strengths and Limitations</w:t>
      </w:r>
    </w:p>
    <w:p w14:paraId="5E1021D5" w14:textId="77777777" w:rsidR="000A6CC3" w:rsidRPr="001A6359" w:rsidRDefault="000A6CC3" w:rsidP="000A6CC3">
      <w:pPr>
        <w:numPr>
          <w:ilvl w:val="0"/>
          <w:numId w:val="16"/>
        </w:numPr>
        <w:spacing w:after="0" w:line="240" w:lineRule="auto"/>
      </w:pPr>
      <w:r w:rsidRPr="001A6359">
        <w:t xml:space="preserve">Strength: </w:t>
      </w:r>
      <w:proofErr w:type="spellStart"/>
      <w:r w:rsidRPr="001A6359">
        <w:t>Emphasises</w:t>
      </w:r>
      <w:proofErr w:type="spellEnd"/>
      <w:r w:rsidRPr="001A6359">
        <w:t xml:space="preserve"> identity, meaning, and dignity—core components of person-</w:t>
      </w:r>
      <w:proofErr w:type="spellStart"/>
      <w:r w:rsidRPr="001A6359">
        <w:t>centred</w:t>
      </w:r>
      <w:proofErr w:type="spellEnd"/>
      <w:r w:rsidRPr="001A6359">
        <w:t xml:space="preserve"> care.</w:t>
      </w:r>
    </w:p>
    <w:p w14:paraId="2BEEC5BE" w14:textId="77777777" w:rsidR="000A6CC3" w:rsidRPr="001A6359" w:rsidRDefault="000A6CC3" w:rsidP="000A6CC3">
      <w:pPr>
        <w:numPr>
          <w:ilvl w:val="0"/>
          <w:numId w:val="16"/>
        </w:numPr>
        <w:spacing w:after="0" w:line="240" w:lineRule="auto"/>
      </w:pPr>
      <w:r w:rsidRPr="001A6359">
        <w:t>Strength: Reminds professionals that older adults continue to experience developmental needs despite cognitive decline.</w:t>
      </w:r>
    </w:p>
    <w:p w14:paraId="0224C9F1" w14:textId="77777777" w:rsidR="000A6CC3" w:rsidRPr="001A6359" w:rsidRDefault="000A6CC3" w:rsidP="000A6CC3">
      <w:pPr>
        <w:numPr>
          <w:ilvl w:val="0"/>
          <w:numId w:val="16"/>
        </w:numPr>
        <w:spacing w:after="0" w:line="240" w:lineRule="auto"/>
      </w:pPr>
      <w:r w:rsidRPr="001A6359">
        <w:t>Limitation: Assumes cognitive ability to reflect on life history, which is impaired in dementia.</w:t>
      </w:r>
    </w:p>
    <w:p w14:paraId="5863D3B4" w14:textId="77777777" w:rsidR="000A6CC3" w:rsidRPr="001A6359" w:rsidRDefault="000A6CC3" w:rsidP="000A6CC3">
      <w:pPr>
        <w:numPr>
          <w:ilvl w:val="0"/>
          <w:numId w:val="16"/>
        </w:numPr>
        <w:spacing w:after="0" w:line="240" w:lineRule="auto"/>
      </w:pPr>
      <w:r w:rsidRPr="001A6359">
        <w:t>Limitation: Not all individuals progress predictably through stages.</w:t>
      </w:r>
    </w:p>
    <w:p w14:paraId="08BD803B" w14:textId="77777777" w:rsidR="000A6CC3" w:rsidRPr="001A6359" w:rsidRDefault="000A6CC3" w:rsidP="000A6CC3">
      <w:pPr>
        <w:spacing w:after="0"/>
      </w:pPr>
      <w:r w:rsidRPr="001A6359">
        <w:rPr>
          <w:b/>
          <w:bCs/>
        </w:rPr>
        <w:t>Bandura’s Theory Strengths and Limitations</w:t>
      </w:r>
    </w:p>
    <w:p w14:paraId="68ED07C3" w14:textId="77777777" w:rsidR="000A6CC3" w:rsidRPr="001A6359" w:rsidRDefault="000A6CC3" w:rsidP="000A6CC3">
      <w:pPr>
        <w:numPr>
          <w:ilvl w:val="0"/>
          <w:numId w:val="17"/>
        </w:numPr>
        <w:spacing w:after="0" w:line="240" w:lineRule="auto"/>
      </w:pPr>
      <w:r w:rsidRPr="001A6359">
        <w:t xml:space="preserve">Strength: Highlights the importance of social environment, which strongly influences </w:t>
      </w:r>
      <w:proofErr w:type="spellStart"/>
      <w:r w:rsidRPr="001A6359">
        <w:t>behaviour</w:t>
      </w:r>
      <w:proofErr w:type="spellEnd"/>
      <w:r w:rsidRPr="001A6359">
        <w:t xml:space="preserve"> in care homes.</w:t>
      </w:r>
    </w:p>
    <w:p w14:paraId="684FA3BF" w14:textId="77777777" w:rsidR="000A6CC3" w:rsidRPr="001A6359" w:rsidRDefault="000A6CC3" w:rsidP="000A6CC3">
      <w:pPr>
        <w:numPr>
          <w:ilvl w:val="0"/>
          <w:numId w:val="17"/>
        </w:numPr>
        <w:spacing w:after="0" w:line="240" w:lineRule="auto"/>
      </w:pPr>
      <w:r w:rsidRPr="001A6359">
        <w:t>Strength: Practical and easily applied through modelling, routine, and group activities.</w:t>
      </w:r>
    </w:p>
    <w:p w14:paraId="5249C368" w14:textId="77777777" w:rsidR="000A6CC3" w:rsidRPr="001A6359" w:rsidRDefault="000A6CC3" w:rsidP="000A6CC3">
      <w:pPr>
        <w:numPr>
          <w:ilvl w:val="0"/>
          <w:numId w:val="17"/>
        </w:numPr>
        <w:spacing w:after="0" w:line="240" w:lineRule="auto"/>
      </w:pPr>
      <w:r w:rsidRPr="001A6359">
        <w:t>Limitation: Does not account for neurological decline that affects memory and imitation.</w:t>
      </w:r>
    </w:p>
    <w:p w14:paraId="72DA51A2" w14:textId="77777777" w:rsidR="000A6CC3" w:rsidRPr="001A6359" w:rsidRDefault="000A6CC3" w:rsidP="000A6CC3">
      <w:pPr>
        <w:numPr>
          <w:ilvl w:val="0"/>
          <w:numId w:val="17"/>
        </w:numPr>
        <w:spacing w:after="0" w:line="240" w:lineRule="auto"/>
      </w:pPr>
      <w:r w:rsidRPr="001A6359">
        <w:t>Limitation: Requires careful control of environmental triggers to avoid negative modelling.</w:t>
      </w:r>
    </w:p>
    <w:p w14:paraId="3C7AA06C" w14:textId="77777777" w:rsidR="000A6CC3" w:rsidRPr="001A6359" w:rsidRDefault="000A6CC3" w:rsidP="000A6CC3">
      <w:pPr>
        <w:spacing w:after="0"/>
      </w:pPr>
      <w:r w:rsidRPr="001A6359">
        <w:rPr>
          <w:b/>
          <w:bCs/>
        </w:rPr>
        <w:t>Combined Application</w:t>
      </w:r>
    </w:p>
    <w:p w14:paraId="476930B7" w14:textId="77777777" w:rsidR="000A6CC3" w:rsidRPr="001A6359" w:rsidRDefault="000A6CC3" w:rsidP="000A6CC3">
      <w:pPr>
        <w:spacing w:after="0"/>
      </w:pPr>
      <w:r w:rsidRPr="001A6359">
        <w:t>When combined, the two theories support a holistic approach:</w:t>
      </w:r>
    </w:p>
    <w:p w14:paraId="297EC262" w14:textId="77777777" w:rsidR="000A6CC3" w:rsidRPr="001A6359" w:rsidRDefault="000A6CC3" w:rsidP="000A6CC3">
      <w:pPr>
        <w:numPr>
          <w:ilvl w:val="0"/>
          <w:numId w:val="18"/>
        </w:numPr>
        <w:spacing w:after="0" w:line="240" w:lineRule="auto"/>
      </w:pPr>
      <w:r w:rsidRPr="001A6359">
        <w:rPr>
          <w:b/>
          <w:bCs/>
        </w:rPr>
        <w:t>Erikson</w:t>
      </w:r>
      <w:r w:rsidRPr="001A6359">
        <w:t> → focuses on </w:t>
      </w:r>
      <w:r w:rsidRPr="001A6359">
        <w:rPr>
          <w:i/>
          <w:iCs/>
        </w:rPr>
        <w:t>identity, meaning, emotional needs</w:t>
      </w:r>
      <w:r w:rsidRPr="001A6359">
        <w:t>.</w:t>
      </w:r>
    </w:p>
    <w:p w14:paraId="7EF404A3" w14:textId="77777777" w:rsidR="000A6CC3" w:rsidRPr="001A6359" w:rsidRDefault="000A6CC3" w:rsidP="000A6CC3">
      <w:pPr>
        <w:numPr>
          <w:ilvl w:val="0"/>
          <w:numId w:val="18"/>
        </w:numPr>
        <w:spacing w:after="0" w:line="240" w:lineRule="auto"/>
      </w:pPr>
      <w:r w:rsidRPr="001A6359">
        <w:rPr>
          <w:b/>
          <w:bCs/>
        </w:rPr>
        <w:t>Bandura</w:t>
      </w:r>
      <w:r w:rsidRPr="001A6359">
        <w:t> → focuses on </w:t>
      </w:r>
      <w:proofErr w:type="spellStart"/>
      <w:r w:rsidRPr="001A6359">
        <w:rPr>
          <w:i/>
          <w:iCs/>
        </w:rPr>
        <w:t>behaviour</w:t>
      </w:r>
      <w:proofErr w:type="spellEnd"/>
      <w:r w:rsidRPr="001A6359">
        <w:rPr>
          <w:i/>
          <w:iCs/>
        </w:rPr>
        <w:t>, social interaction, environmental influence</w:t>
      </w:r>
      <w:r w:rsidRPr="001A6359">
        <w:t>.</w:t>
      </w:r>
    </w:p>
    <w:p w14:paraId="7262D5A7" w14:textId="77777777" w:rsidR="000A6CC3" w:rsidRPr="001A6359" w:rsidRDefault="000A6CC3" w:rsidP="000A6CC3">
      <w:pPr>
        <w:spacing w:after="0"/>
      </w:pPr>
      <w:r w:rsidRPr="001A6359">
        <w:t xml:space="preserve">Together they encourage staff to </w:t>
      </w:r>
      <w:proofErr w:type="spellStart"/>
      <w:r w:rsidRPr="001A6359">
        <w:t>recognise</w:t>
      </w:r>
      <w:proofErr w:type="spellEnd"/>
      <w:r w:rsidRPr="001A6359">
        <w:t xml:space="preserve"> residents as individuals with histories while shaping supportive care environments that promote calmness, participation, and positive </w:t>
      </w:r>
      <w:proofErr w:type="spellStart"/>
      <w:r w:rsidRPr="001A6359">
        <w:t>behaviour</w:t>
      </w:r>
      <w:proofErr w:type="spellEnd"/>
      <w:r w:rsidRPr="001A6359">
        <w:t>.</w:t>
      </w:r>
    </w:p>
    <w:p w14:paraId="54AB4BD9" w14:textId="77777777" w:rsidR="000A6CC3" w:rsidRPr="001A6359" w:rsidRDefault="000A6CC3" w:rsidP="000A6CC3"/>
    <w:p w14:paraId="4A899820" w14:textId="77777777" w:rsidR="000A6CC3" w:rsidRPr="001A6359" w:rsidRDefault="000A6CC3" w:rsidP="000A6CC3">
      <w:pPr>
        <w:spacing w:after="0"/>
        <w:rPr>
          <w:b/>
          <w:bCs/>
          <w:sz w:val="32"/>
          <w:szCs w:val="32"/>
        </w:rPr>
      </w:pPr>
      <w:r w:rsidRPr="001A6359">
        <w:rPr>
          <w:b/>
          <w:bCs/>
          <w:sz w:val="32"/>
          <w:szCs w:val="32"/>
        </w:rPr>
        <w:t>Conclusion</w:t>
      </w:r>
    </w:p>
    <w:p w14:paraId="1B9DEABB" w14:textId="77777777" w:rsidR="000A6CC3" w:rsidRPr="001A6359" w:rsidRDefault="000A6CC3" w:rsidP="000A6CC3">
      <w:pPr>
        <w:spacing w:after="0"/>
      </w:pPr>
      <w:r w:rsidRPr="001A6359">
        <w:t>Psychological theories play a crucial role in supporting adults aged 65+ living in dementia care homes. Erikson’s Psychosocial Theory provides insight into the emotional and identity-related challenges faced by older adults, guiding person-</w:t>
      </w:r>
      <w:proofErr w:type="spellStart"/>
      <w:r w:rsidRPr="001A6359">
        <w:t>centred</w:t>
      </w:r>
      <w:proofErr w:type="spellEnd"/>
      <w:r w:rsidRPr="001A6359">
        <w:t xml:space="preserve"> approaches that promote integrity and reduce despair. Bandura’s Social Learning Theory offers practical strategies for shaping </w:t>
      </w:r>
      <w:proofErr w:type="spellStart"/>
      <w:r w:rsidRPr="001A6359">
        <w:t>behaviour</w:t>
      </w:r>
      <w:proofErr w:type="spellEnd"/>
      <w:r w:rsidRPr="001A6359">
        <w:t xml:space="preserve"> and encouraging positive social engagement through modelling and reinforcement.</w:t>
      </w:r>
    </w:p>
    <w:p w14:paraId="1442B904" w14:textId="77777777" w:rsidR="000A6CC3" w:rsidRPr="001A6359" w:rsidRDefault="000A6CC3" w:rsidP="000A6CC3">
      <w:pPr>
        <w:spacing w:after="0"/>
      </w:pPr>
      <w:r w:rsidRPr="001A6359">
        <w:t xml:space="preserve">While both theories face challenges in application—particularly due to cognitive decline, environmental factors, and staffing constraints—appropriate strategies such as </w:t>
      </w:r>
      <w:proofErr w:type="spellStart"/>
      <w:r w:rsidRPr="001A6359">
        <w:t>personalised</w:t>
      </w:r>
      <w:proofErr w:type="spellEnd"/>
      <w:r w:rsidRPr="001A6359">
        <w:t xml:space="preserve"> care plans, multi-sensory communication, structured routines, and staff training can enhance effectiveness. Health and social care professionals equipped with these theoretical insights are better positioned to deliver compassionate, evidence-based care that improves quality of life for older adults experiencing psychological health conditions such as dementia.</w:t>
      </w:r>
    </w:p>
    <w:p w14:paraId="5EC080F4" w14:textId="77777777" w:rsidR="000A6CC3" w:rsidRPr="001A6359" w:rsidRDefault="000A6CC3" w:rsidP="000A6CC3"/>
    <w:p w14:paraId="1A1FFAD1" w14:textId="77777777" w:rsidR="000A6CC3" w:rsidRPr="001A6359" w:rsidRDefault="000A6CC3" w:rsidP="000A6CC3">
      <w:pPr>
        <w:spacing w:after="0"/>
        <w:rPr>
          <w:b/>
          <w:bCs/>
          <w:sz w:val="32"/>
          <w:szCs w:val="32"/>
        </w:rPr>
      </w:pPr>
      <w:r w:rsidRPr="001A6359">
        <w:rPr>
          <w:b/>
          <w:bCs/>
          <w:sz w:val="32"/>
          <w:szCs w:val="32"/>
        </w:rPr>
        <w:lastRenderedPageBreak/>
        <w:t xml:space="preserve">References </w:t>
      </w:r>
    </w:p>
    <w:p w14:paraId="57E5E629" w14:textId="77777777" w:rsidR="000A6CC3" w:rsidRPr="001A6359" w:rsidRDefault="000A6CC3" w:rsidP="000A6CC3">
      <w:pPr>
        <w:spacing w:after="0"/>
      </w:pPr>
      <w:r w:rsidRPr="001A6359">
        <w:t>Bandura, A. (1977) </w:t>
      </w:r>
      <w:r w:rsidRPr="001A6359">
        <w:rPr>
          <w:i/>
          <w:iCs/>
        </w:rPr>
        <w:t>Social Learning Theory</w:t>
      </w:r>
      <w:r w:rsidRPr="001A6359">
        <w:t>. Englewood Cliffs, NJ: Prentice Hall.</w:t>
      </w:r>
      <w:r w:rsidRPr="001A6359">
        <w:br/>
        <w:t>Bandura, A. (1997) </w:t>
      </w:r>
      <w:r w:rsidRPr="001A6359">
        <w:rPr>
          <w:i/>
          <w:iCs/>
        </w:rPr>
        <w:t>Self-Efficacy: The Exercise of Control</w:t>
      </w:r>
      <w:r w:rsidRPr="001A6359">
        <w:t>. New York: W.H. Freeman.</w:t>
      </w:r>
      <w:r w:rsidRPr="001A6359">
        <w:br/>
        <w:t>Erikson, E.H. (1950) </w:t>
      </w:r>
      <w:r w:rsidRPr="001A6359">
        <w:rPr>
          <w:i/>
          <w:iCs/>
        </w:rPr>
        <w:t>Childhood and Society</w:t>
      </w:r>
      <w:r w:rsidRPr="001A6359">
        <w:t>. New York: W.W. Norton.</w:t>
      </w:r>
      <w:r w:rsidRPr="001A6359">
        <w:br/>
        <w:t>McAdams, D.P. (2001) ‘The psychology of life stories’, </w:t>
      </w:r>
      <w:r w:rsidRPr="001A6359">
        <w:rPr>
          <w:i/>
          <w:iCs/>
        </w:rPr>
        <w:t>Review of General Psychology</w:t>
      </w:r>
      <w:r w:rsidRPr="001A6359">
        <w:t>, 5(2), pp. 100–122.</w:t>
      </w:r>
      <w:r w:rsidRPr="001A6359">
        <w:br/>
        <w:t xml:space="preserve">Woods, B., </w:t>
      </w:r>
      <w:proofErr w:type="spellStart"/>
      <w:r w:rsidRPr="001A6359">
        <w:t>O’Philbin</w:t>
      </w:r>
      <w:proofErr w:type="spellEnd"/>
      <w:r w:rsidRPr="001A6359">
        <w:t xml:space="preserve">, L., Farrell, E., Spector, A. and </w:t>
      </w:r>
      <w:proofErr w:type="spellStart"/>
      <w:r w:rsidRPr="001A6359">
        <w:t>Orrell</w:t>
      </w:r>
      <w:proofErr w:type="spellEnd"/>
      <w:r w:rsidRPr="001A6359">
        <w:t>, M. (2018) ‘Reminiscence therapy for dementia’, </w:t>
      </w:r>
      <w:r w:rsidRPr="001A6359">
        <w:rPr>
          <w:i/>
          <w:iCs/>
        </w:rPr>
        <w:t>Cochrane Database of Systematic Reviews</w:t>
      </w:r>
      <w:r w:rsidRPr="001A6359">
        <w:t>, 2018(3), pp. 1–50.</w:t>
      </w:r>
      <w:r w:rsidRPr="001A6359">
        <w:br/>
      </w:r>
      <w:proofErr w:type="spellStart"/>
      <w:r w:rsidRPr="001A6359">
        <w:t>Kitwood</w:t>
      </w:r>
      <w:proofErr w:type="spellEnd"/>
      <w:r w:rsidRPr="001A6359">
        <w:t>, T. (1997) </w:t>
      </w:r>
      <w:r w:rsidRPr="001A6359">
        <w:rPr>
          <w:i/>
          <w:iCs/>
        </w:rPr>
        <w:t>Dementia Reconsidered: The Person Comes First</w:t>
      </w:r>
      <w:r w:rsidRPr="001A6359">
        <w:t>. Buckingham: Open University Press.</w:t>
      </w:r>
      <w:r w:rsidRPr="001A6359">
        <w:br/>
        <w:t>NICE (2022) </w:t>
      </w:r>
      <w:r w:rsidRPr="001A6359">
        <w:rPr>
          <w:i/>
          <w:iCs/>
        </w:rPr>
        <w:t>Dementia: Assessment, Management and Support for People Living with Dementia and their Carers</w:t>
      </w:r>
      <w:r w:rsidRPr="001A6359">
        <w:t>. London: National Institute for Health and Care Excellence.</w:t>
      </w:r>
    </w:p>
    <w:p w14:paraId="669CA9DF" w14:textId="6A431056" w:rsidR="003D4CAE" w:rsidRPr="000A6CC3" w:rsidRDefault="003D4CAE"/>
    <w:sectPr w:rsidR="003D4CAE" w:rsidRPr="000A6CC3" w:rsidSect="00034616">
      <w:footerReference w:type="even"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B6A51" w14:textId="77777777" w:rsidR="00C66382" w:rsidRDefault="00C66382" w:rsidP="00174611">
      <w:pPr>
        <w:spacing w:after="0" w:line="240" w:lineRule="auto"/>
      </w:pPr>
      <w:r>
        <w:separator/>
      </w:r>
    </w:p>
  </w:endnote>
  <w:endnote w:type="continuationSeparator" w:id="0">
    <w:p w14:paraId="3AE28A09" w14:textId="77777777" w:rsidR="00C66382" w:rsidRDefault="00C66382" w:rsidP="00174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65916107"/>
      <w:docPartObj>
        <w:docPartGallery w:val="Page Numbers (Bottom of Page)"/>
        <w:docPartUnique/>
      </w:docPartObj>
    </w:sdtPr>
    <w:sdtContent>
      <w:p w14:paraId="35674257" w14:textId="309D0BC3" w:rsidR="00174611" w:rsidRDefault="00174611" w:rsidP="00CC18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08B07C" w14:textId="77777777" w:rsidR="00174611" w:rsidRDefault="00174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24238655"/>
      <w:docPartObj>
        <w:docPartGallery w:val="Page Numbers (Bottom of Page)"/>
        <w:docPartUnique/>
      </w:docPartObj>
    </w:sdtPr>
    <w:sdtContent>
      <w:p w14:paraId="37DEA753" w14:textId="1AA7D956" w:rsidR="00174611" w:rsidRDefault="00174611" w:rsidP="00CC18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10C190" w14:textId="77777777" w:rsidR="00174611" w:rsidRDefault="00174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C59B2" w14:textId="77777777" w:rsidR="00C66382" w:rsidRDefault="00C66382" w:rsidP="00174611">
      <w:pPr>
        <w:spacing w:after="0" w:line="240" w:lineRule="auto"/>
      </w:pPr>
      <w:r>
        <w:separator/>
      </w:r>
    </w:p>
  </w:footnote>
  <w:footnote w:type="continuationSeparator" w:id="0">
    <w:p w14:paraId="11D4A2EA" w14:textId="77777777" w:rsidR="00C66382" w:rsidRDefault="00C66382" w:rsidP="00174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FF7854"/>
    <w:multiLevelType w:val="multilevel"/>
    <w:tmpl w:val="E116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C78B8"/>
    <w:multiLevelType w:val="multilevel"/>
    <w:tmpl w:val="D790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CE2696"/>
    <w:multiLevelType w:val="multilevel"/>
    <w:tmpl w:val="E5EE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82997"/>
    <w:multiLevelType w:val="multilevel"/>
    <w:tmpl w:val="9A48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E1662"/>
    <w:multiLevelType w:val="multilevel"/>
    <w:tmpl w:val="CB8C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34734B"/>
    <w:multiLevelType w:val="multilevel"/>
    <w:tmpl w:val="B302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361E7D"/>
    <w:multiLevelType w:val="multilevel"/>
    <w:tmpl w:val="B016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3E5977"/>
    <w:multiLevelType w:val="multilevel"/>
    <w:tmpl w:val="DA74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D21533"/>
    <w:multiLevelType w:val="multilevel"/>
    <w:tmpl w:val="0996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6205183">
    <w:abstractNumId w:val="8"/>
  </w:num>
  <w:num w:numId="2" w16cid:durableId="836847320">
    <w:abstractNumId w:val="6"/>
  </w:num>
  <w:num w:numId="3" w16cid:durableId="1270891494">
    <w:abstractNumId w:val="5"/>
  </w:num>
  <w:num w:numId="4" w16cid:durableId="1599483497">
    <w:abstractNumId w:val="4"/>
  </w:num>
  <w:num w:numId="5" w16cid:durableId="882330900">
    <w:abstractNumId w:val="7"/>
  </w:num>
  <w:num w:numId="6" w16cid:durableId="1564175746">
    <w:abstractNumId w:val="3"/>
  </w:num>
  <w:num w:numId="7" w16cid:durableId="528298510">
    <w:abstractNumId w:val="2"/>
  </w:num>
  <w:num w:numId="8" w16cid:durableId="1764689963">
    <w:abstractNumId w:val="1"/>
  </w:num>
  <w:num w:numId="9" w16cid:durableId="669142482">
    <w:abstractNumId w:val="0"/>
  </w:num>
  <w:num w:numId="10" w16cid:durableId="1706565587">
    <w:abstractNumId w:val="9"/>
  </w:num>
  <w:num w:numId="11" w16cid:durableId="1258060131">
    <w:abstractNumId w:val="13"/>
  </w:num>
  <w:num w:numId="12" w16cid:durableId="439183742">
    <w:abstractNumId w:val="12"/>
  </w:num>
  <w:num w:numId="13" w16cid:durableId="289435362">
    <w:abstractNumId w:val="15"/>
  </w:num>
  <w:num w:numId="14" w16cid:durableId="546339261">
    <w:abstractNumId w:val="17"/>
  </w:num>
  <w:num w:numId="15" w16cid:durableId="407311346">
    <w:abstractNumId w:val="14"/>
  </w:num>
  <w:num w:numId="16" w16cid:durableId="1633367661">
    <w:abstractNumId w:val="11"/>
  </w:num>
  <w:num w:numId="17" w16cid:durableId="1865244226">
    <w:abstractNumId w:val="10"/>
  </w:num>
  <w:num w:numId="18" w16cid:durableId="14912182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033A"/>
    <w:rsid w:val="00034616"/>
    <w:rsid w:val="0006063C"/>
    <w:rsid w:val="000A6CC3"/>
    <w:rsid w:val="0015074B"/>
    <w:rsid w:val="00174611"/>
    <w:rsid w:val="00207E7B"/>
    <w:rsid w:val="00244589"/>
    <w:rsid w:val="0029639D"/>
    <w:rsid w:val="00326F90"/>
    <w:rsid w:val="003B3AA5"/>
    <w:rsid w:val="003D4CAE"/>
    <w:rsid w:val="004046E4"/>
    <w:rsid w:val="004E6BFB"/>
    <w:rsid w:val="008B4510"/>
    <w:rsid w:val="00972889"/>
    <w:rsid w:val="00AA1D8D"/>
    <w:rsid w:val="00B47730"/>
    <w:rsid w:val="00C526BC"/>
    <w:rsid w:val="00C632BF"/>
    <w:rsid w:val="00C66382"/>
    <w:rsid w:val="00CB0664"/>
    <w:rsid w:val="00CE74AF"/>
    <w:rsid w:val="00D64020"/>
    <w:rsid w:val="00E75D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A1BF1A"/>
  <w14:defaultImageDpi w14:val="300"/>
  <w15:docId w15:val="{E00F7683-4B2A-214B-8116-52187446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44589"/>
    <w:rPr>
      <w:color w:val="0000FF" w:themeColor="hyperlink"/>
      <w:u w:val="single"/>
    </w:rPr>
  </w:style>
  <w:style w:type="character" w:styleId="UnresolvedMention">
    <w:name w:val="Unresolved Mention"/>
    <w:basedOn w:val="DefaultParagraphFont"/>
    <w:uiPriority w:val="99"/>
    <w:semiHidden/>
    <w:unhideWhenUsed/>
    <w:rsid w:val="00244589"/>
    <w:rPr>
      <w:color w:val="605E5C"/>
      <w:shd w:val="clear" w:color="auto" w:fill="E1DFDD"/>
    </w:rPr>
  </w:style>
  <w:style w:type="paragraph" w:styleId="NormalWeb">
    <w:name w:val="Normal (Web)"/>
    <w:basedOn w:val="Normal"/>
    <w:uiPriority w:val="99"/>
    <w:semiHidden/>
    <w:unhideWhenUsed/>
    <w:rsid w:val="003B3AA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174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803833">
      <w:bodyDiv w:val="1"/>
      <w:marLeft w:val="0"/>
      <w:marRight w:val="0"/>
      <w:marTop w:val="0"/>
      <w:marBottom w:val="0"/>
      <w:divBdr>
        <w:top w:val="none" w:sz="0" w:space="0" w:color="auto"/>
        <w:left w:val="none" w:sz="0" w:space="0" w:color="auto"/>
        <w:bottom w:val="none" w:sz="0" w:space="0" w:color="auto"/>
        <w:right w:val="none" w:sz="0" w:space="0" w:color="auto"/>
      </w:divBdr>
    </w:div>
    <w:div w:id="432094240">
      <w:bodyDiv w:val="1"/>
      <w:marLeft w:val="0"/>
      <w:marRight w:val="0"/>
      <w:marTop w:val="0"/>
      <w:marBottom w:val="0"/>
      <w:divBdr>
        <w:top w:val="none" w:sz="0" w:space="0" w:color="auto"/>
        <w:left w:val="none" w:sz="0" w:space="0" w:color="auto"/>
        <w:bottom w:val="none" w:sz="0" w:space="0" w:color="auto"/>
        <w:right w:val="none" w:sz="0" w:space="0" w:color="auto"/>
      </w:divBdr>
    </w:div>
    <w:div w:id="433551693">
      <w:bodyDiv w:val="1"/>
      <w:marLeft w:val="0"/>
      <w:marRight w:val="0"/>
      <w:marTop w:val="0"/>
      <w:marBottom w:val="0"/>
      <w:divBdr>
        <w:top w:val="none" w:sz="0" w:space="0" w:color="auto"/>
        <w:left w:val="none" w:sz="0" w:space="0" w:color="auto"/>
        <w:bottom w:val="none" w:sz="0" w:space="0" w:color="auto"/>
        <w:right w:val="none" w:sz="0" w:space="0" w:color="auto"/>
      </w:divBdr>
    </w:div>
    <w:div w:id="511651493">
      <w:bodyDiv w:val="1"/>
      <w:marLeft w:val="0"/>
      <w:marRight w:val="0"/>
      <w:marTop w:val="0"/>
      <w:marBottom w:val="0"/>
      <w:divBdr>
        <w:top w:val="none" w:sz="0" w:space="0" w:color="auto"/>
        <w:left w:val="none" w:sz="0" w:space="0" w:color="auto"/>
        <w:bottom w:val="none" w:sz="0" w:space="0" w:color="auto"/>
        <w:right w:val="none" w:sz="0" w:space="0" w:color="auto"/>
      </w:divBdr>
    </w:div>
    <w:div w:id="1108309075">
      <w:bodyDiv w:val="1"/>
      <w:marLeft w:val="0"/>
      <w:marRight w:val="0"/>
      <w:marTop w:val="0"/>
      <w:marBottom w:val="0"/>
      <w:divBdr>
        <w:top w:val="none" w:sz="0" w:space="0" w:color="auto"/>
        <w:left w:val="none" w:sz="0" w:space="0" w:color="auto"/>
        <w:bottom w:val="none" w:sz="0" w:space="0" w:color="auto"/>
        <w:right w:val="none" w:sz="0" w:space="0" w:color="auto"/>
      </w:divBdr>
    </w:div>
    <w:div w:id="1791705270">
      <w:bodyDiv w:val="1"/>
      <w:marLeft w:val="0"/>
      <w:marRight w:val="0"/>
      <w:marTop w:val="0"/>
      <w:marBottom w:val="0"/>
      <w:divBdr>
        <w:top w:val="none" w:sz="0" w:space="0" w:color="auto"/>
        <w:left w:val="none" w:sz="0" w:space="0" w:color="auto"/>
        <w:bottom w:val="none" w:sz="0" w:space="0" w:color="auto"/>
        <w:right w:val="none" w:sz="0" w:space="0" w:color="auto"/>
      </w:divBdr>
    </w:div>
    <w:div w:id="181575702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udentcrowd.com/university-of-wales-trinity-saint-david/mechanical-engineering-beng-hons-c59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1562</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Mihaela Sprincean</cp:lastModifiedBy>
  <cp:revision>2</cp:revision>
  <dcterms:created xsi:type="dcterms:W3CDTF">2025-12-06T12:25:00Z</dcterms:created>
  <dcterms:modified xsi:type="dcterms:W3CDTF">2025-12-06T12:25:00Z</dcterms:modified>
  <cp:category/>
</cp:coreProperties>
</file>