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392D" w:rsidRDefault="00A93D1D">
      <w:pPr>
        <w:widowControl w:val="0"/>
        <w:pBdr>
          <w:top w:val="nil"/>
          <w:left w:val="nil"/>
          <w:bottom w:val="nil"/>
          <w:right w:val="nil"/>
          <w:between w:val="nil"/>
        </w:pBdr>
        <w:spacing w:before="0" w:after="0" w:line="360" w:lineRule="auto"/>
        <w:ind w:left="220"/>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GB"/>
        </w:rPr>
        <w:drawing>
          <wp:inline distT="0" distB="0" distL="0" distR="0">
            <wp:extent cx="2967947" cy="1292732"/>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4"/>
                    <a:srcRect/>
                    <a:stretch>
                      <a:fillRect/>
                    </a:stretch>
                  </pic:blipFill>
                  <pic:spPr>
                    <a:xfrm>
                      <a:off x="0" y="0"/>
                      <a:ext cx="2967947" cy="1292732"/>
                    </a:xfrm>
                    <a:prstGeom prst="rect">
                      <a:avLst/>
                    </a:prstGeom>
                    <a:ln/>
                  </pic:spPr>
                </pic:pic>
              </a:graphicData>
            </a:graphic>
          </wp:inline>
        </w:drawing>
      </w:r>
    </w:p>
    <w:p w:rsidR="007C392D" w:rsidRDefault="007C392D">
      <w:pPr>
        <w:widowControl w:val="0"/>
        <w:pBdr>
          <w:top w:val="nil"/>
          <w:left w:val="nil"/>
          <w:bottom w:val="nil"/>
          <w:right w:val="nil"/>
          <w:between w:val="nil"/>
        </w:pBdr>
        <w:spacing w:before="0" w:after="0" w:line="360" w:lineRule="auto"/>
        <w:jc w:val="both"/>
        <w:rPr>
          <w:rFonts w:ascii="Times New Roman" w:eastAsia="Times New Roman" w:hAnsi="Times New Roman" w:cs="Times New Roman"/>
          <w:color w:val="000000"/>
          <w:sz w:val="24"/>
          <w:szCs w:val="24"/>
        </w:rPr>
      </w:pPr>
    </w:p>
    <w:p w:rsidR="007C392D" w:rsidRDefault="007C392D">
      <w:pPr>
        <w:widowControl w:val="0"/>
        <w:pBdr>
          <w:top w:val="nil"/>
          <w:left w:val="nil"/>
          <w:bottom w:val="nil"/>
          <w:right w:val="nil"/>
          <w:between w:val="nil"/>
        </w:pBdr>
        <w:spacing w:before="0" w:after="0" w:line="360" w:lineRule="auto"/>
        <w:jc w:val="both"/>
        <w:rPr>
          <w:rFonts w:ascii="Times New Roman" w:eastAsia="Times New Roman" w:hAnsi="Times New Roman" w:cs="Times New Roman"/>
          <w:color w:val="000000"/>
          <w:sz w:val="24"/>
          <w:szCs w:val="24"/>
        </w:rPr>
      </w:pPr>
    </w:p>
    <w:p w:rsidR="007C392D" w:rsidRDefault="007C392D">
      <w:pPr>
        <w:widowControl w:val="0"/>
        <w:pBdr>
          <w:top w:val="nil"/>
          <w:left w:val="nil"/>
          <w:bottom w:val="nil"/>
          <w:right w:val="nil"/>
          <w:between w:val="nil"/>
        </w:pBdr>
        <w:spacing w:before="4" w:after="0" w:line="360" w:lineRule="auto"/>
        <w:jc w:val="both"/>
        <w:rPr>
          <w:rFonts w:ascii="Times New Roman" w:eastAsia="Times New Roman" w:hAnsi="Times New Roman" w:cs="Times New Roman"/>
          <w:color w:val="000000"/>
          <w:sz w:val="24"/>
          <w:szCs w:val="24"/>
        </w:rPr>
      </w:pPr>
    </w:p>
    <w:p w:rsidR="007C392D" w:rsidRDefault="00A93D1D">
      <w:pPr>
        <w:spacing w:before="20" w:line="360" w:lineRule="auto"/>
        <w:ind w:right="63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School of Hospitality and Tourism Management</w:t>
      </w:r>
    </w:p>
    <w:p w:rsidR="007C392D" w:rsidRDefault="00A93D1D">
      <w:pPr>
        <w:spacing w:before="272" w:line="360" w:lineRule="auto"/>
        <w:ind w:right="63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 International Hotel Management</w:t>
      </w:r>
    </w:p>
    <w:p w:rsidR="007C392D" w:rsidRDefault="007C392D">
      <w:pPr>
        <w:widowControl w:val="0"/>
        <w:pBdr>
          <w:top w:val="nil"/>
          <w:left w:val="nil"/>
          <w:bottom w:val="nil"/>
          <w:right w:val="nil"/>
          <w:between w:val="nil"/>
        </w:pBdr>
        <w:spacing w:before="0" w:after="0" w:line="360" w:lineRule="auto"/>
        <w:ind w:right="630"/>
        <w:jc w:val="both"/>
        <w:rPr>
          <w:rFonts w:ascii="Times New Roman" w:eastAsia="Times New Roman" w:hAnsi="Times New Roman" w:cs="Times New Roman"/>
          <w:b/>
          <w:color w:val="000000"/>
          <w:sz w:val="24"/>
          <w:szCs w:val="24"/>
        </w:rPr>
      </w:pPr>
    </w:p>
    <w:p w:rsidR="007C392D" w:rsidRDefault="007C392D">
      <w:pPr>
        <w:widowControl w:val="0"/>
        <w:pBdr>
          <w:top w:val="nil"/>
          <w:left w:val="nil"/>
          <w:bottom w:val="nil"/>
          <w:right w:val="nil"/>
          <w:between w:val="nil"/>
        </w:pBdr>
        <w:spacing w:before="8" w:after="0" w:line="360" w:lineRule="auto"/>
        <w:ind w:right="630"/>
        <w:jc w:val="both"/>
        <w:rPr>
          <w:rFonts w:ascii="Times New Roman" w:eastAsia="Times New Roman" w:hAnsi="Times New Roman" w:cs="Times New Roman"/>
          <w:b/>
          <w:color w:val="000000"/>
          <w:sz w:val="24"/>
          <w:szCs w:val="24"/>
        </w:rPr>
      </w:pPr>
    </w:p>
    <w:p w:rsidR="007C392D" w:rsidRDefault="007C392D">
      <w:pPr>
        <w:spacing w:line="360" w:lineRule="auto"/>
        <w:ind w:right="630"/>
        <w:jc w:val="both"/>
        <w:rPr>
          <w:rFonts w:ascii="Times New Roman" w:eastAsia="Times New Roman" w:hAnsi="Times New Roman" w:cs="Times New Roman"/>
          <w:b/>
          <w:sz w:val="24"/>
          <w:szCs w:val="24"/>
          <w:u w:val="single"/>
        </w:rPr>
      </w:pPr>
    </w:p>
    <w:p w:rsidR="007C392D" w:rsidRDefault="007C392D">
      <w:pPr>
        <w:spacing w:line="360" w:lineRule="auto"/>
        <w:ind w:right="630"/>
        <w:jc w:val="both"/>
        <w:rPr>
          <w:rFonts w:ascii="Times New Roman" w:eastAsia="Times New Roman" w:hAnsi="Times New Roman" w:cs="Times New Roman"/>
          <w:b/>
          <w:sz w:val="24"/>
          <w:szCs w:val="24"/>
          <w:u w:val="single"/>
        </w:rPr>
      </w:pPr>
    </w:p>
    <w:p w:rsidR="007C392D" w:rsidRDefault="00A93D1D">
      <w:pPr>
        <w:spacing w:before="288" w:line="360" w:lineRule="auto"/>
        <w:ind w:right="63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BMIH5007 - Financial Management for the Hotel Industry</w:t>
      </w:r>
    </w:p>
    <w:p w:rsidR="007C392D" w:rsidRDefault="00A93D1D">
      <w:pPr>
        <w:spacing w:before="288" w:line="360" w:lineRule="auto"/>
        <w:ind w:right="63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Gabriel </w:t>
      </w:r>
      <w:proofErr w:type="spellStart"/>
      <w:r>
        <w:rPr>
          <w:rFonts w:ascii="Times New Roman" w:eastAsia="Times New Roman" w:hAnsi="Times New Roman" w:cs="Times New Roman"/>
          <w:b/>
          <w:sz w:val="24"/>
          <w:szCs w:val="24"/>
        </w:rPr>
        <w:t>Neagu</w:t>
      </w:r>
      <w:proofErr w:type="spellEnd"/>
    </w:p>
    <w:p w:rsidR="00A93D1D" w:rsidRDefault="00A93D1D">
      <w:pPr>
        <w:spacing w:before="288" w:line="360" w:lineRule="auto"/>
        <w:ind w:right="63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2121349</w:t>
      </w:r>
      <w:bookmarkStart w:id="0" w:name="_GoBack"/>
      <w:bookmarkEnd w:id="0"/>
    </w:p>
    <w:p w:rsidR="007C392D" w:rsidRDefault="00A93D1D">
      <w:pPr>
        <w:spacing w:line="360" w:lineRule="auto"/>
        <w:jc w:val="both"/>
        <w:rPr>
          <w:rFonts w:ascii="Times New Roman" w:eastAsia="Times New Roman" w:hAnsi="Times New Roman" w:cs="Times New Roman"/>
          <w:b/>
          <w:i/>
          <w:smallCaps/>
          <w:sz w:val="24"/>
          <w:szCs w:val="24"/>
        </w:rPr>
      </w:pPr>
      <w:r>
        <w:br w:type="page"/>
      </w:r>
    </w:p>
    <w:p w:rsidR="007C392D" w:rsidRDefault="00A93D1D">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Introduction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management shall refer to planning,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regulation and monitoring of funding so that organizational targets and goals could be achieved. There are different aspects included in this process including effective management of the sustaina</w:t>
      </w:r>
      <w:r>
        <w:rPr>
          <w:rFonts w:ascii="Times New Roman" w:eastAsia="Times New Roman" w:hAnsi="Times New Roman" w:cs="Times New Roman"/>
          <w:sz w:val="24"/>
          <w:szCs w:val="24"/>
        </w:rPr>
        <w:t xml:space="preserve">bility of the business, ensuring profitability on a long-term basis and management of financial resources such as investment and money within the company </w:t>
      </w:r>
      <w:r>
        <w:rPr>
          <w:rFonts w:ascii="Times New Roman" w:eastAsia="Times New Roman" w:hAnsi="Times New Roman" w:cs="Times New Roman"/>
          <w:color w:val="222222"/>
          <w:sz w:val="24"/>
          <w:szCs w:val="24"/>
          <w:highlight w:val="white"/>
        </w:rPr>
        <w:t>(Grundy, Johnson and Scholes, 2022)</w:t>
      </w:r>
      <w:r>
        <w:rPr>
          <w:rFonts w:ascii="Times New Roman" w:eastAsia="Times New Roman" w:hAnsi="Times New Roman" w:cs="Times New Roman"/>
          <w:sz w:val="24"/>
          <w:szCs w:val="24"/>
        </w:rPr>
        <w:t xml:space="preserve">.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multinational hotel group named Intercontinental Hotel Group b</w:t>
      </w:r>
      <w:r>
        <w:rPr>
          <w:rFonts w:ascii="Times New Roman" w:eastAsia="Times New Roman" w:hAnsi="Times New Roman" w:cs="Times New Roman"/>
          <w:sz w:val="24"/>
          <w:szCs w:val="24"/>
        </w:rPr>
        <w:t xml:space="preserve">ased in Denham, Buckinghamshire, UK. The hotel management has many other substitute organizations and business corporation of hotel chains globally. The hotel has franchises in more than 100 different countries with 6000 hotel branches in different market </w:t>
      </w:r>
      <w:r>
        <w:rPr>
          <w:rFonts w:ascii="Times New Roman" w:eastAsia="Times New Roman" w:hAnsi="Times New Roman" w:cs="Times New Roman"/>
          <w:sz w:val="24"/>
          <w:szCs w:val="24"/>
        </w:rPr>
        <w:t>segments. Most of the properties and hotel chains of IHG are operated by the third party and provide leverage to the local expertise. The main vision and primary aim of the IHG is to satisfy the guests with its quality services and diversity and is the pro</w:t>
      </w:r>
      <w:r>
        <w:rPr>
          <w:rFonts w:ascii="Times New Roman" w:eastAsia="Times New Roman" w:hAnsi="Times New Roman" w:cs="Times New Roman"/>
          <w:sz w:val="24"/>
          <w:szCs w:val="24"/>
        </w:rPr>
        <w:t xml:space="preserve">minent player in the hotel sector </w:t>
      </w:r>
      <w:r>
        <w:rPr>
          <w:rFonts w:ascii="Times New Roman" w:eastAsia="Times New Roman" w:hAnsi="Times New Roman" w:cs="Times New Roman"/>
          <w:color w:val="222222"/>
          <w:sz w:val="24"/>
          <w:szCs w:val="24"/>
          <w:highlight w:val="white"/>
        </w:rPr>
        <w:t xml:space="preserve">(Chang, </w:t>
      </w:r>
      <w:proofErr w:type="spellStart"/>
      <w:r>
        <w:rPr>
          <w:rFonts w:ascii="Times New Roman" w:eastAsia="Times New Roman" w:hAnsi="Times New Roman" w:cs="Times New Roman"/>
          <w:color w:val="222222"/>
          <w:sz w:val="24"/>
          <w:szCs w:val="24"/>
          <w:highlight w:val="white"/>
        </w:rPr>
        <w:t>McAleer</w:t>
      </w:r>
      <w:proofErr w:type="spellEnd"/>
      <w:r>
        <w:rPr>
          <w:rFonts w:ascii="Times New Roman" w:eastAsia="Times New Roman" w:hAnsi="Times New Roman" w:cs="Times New Roman"/>
          <w:color w:val="222222"/>
          <w:sz w:val="24"/>
          <w:szCs w:val="24"/>
          <w:highlight w:val="white"/>
        </w:rPr>
        <w:t xml:space="preserve"> and Wong, 2020)</w:t>
      </w:r>
      <w:r>
        <w:rPr>
          <w:rFonts w:ascii="Times New Roman" w:eastAsia="Times New Roman" w:hAnsi="Times New Roman" w:cs="Times New Roman"/>
          <w:sz w:val="24"/>
          <w:szCs w:val="24"/>
        </w:rPr>
        <w:t xml:space="preserve">.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American multinational operating in the hospitality sector that is known with the name of Hyatt Hotels is currently operating luxury resorts and hotels at the global level. The company is operating under headquartered in Chicago, Illinois and it was fou</w:t>
      </w:r>
      <w:r>
        <w:rPr>
          <w:rFonts w:ascii="Times New Roman" w:eastAsia="Times New Roman" w:hAnsi="Times New Roman" w:cs="Times New Roman"/>
          <w:sz w:val="24"/>
          <w:szCs w:val="24"/>
        </w:rPr>
        <w:t xml:space="preserve">nded and established in 1957. Hyatt Hotels manages thousands of hotels, resorts and homes across several countries (Marino-Romero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The Hyatt Hotels have taken a significant interest in the management of its finances, and are implementing seve</w:t>
      </w:r>
      <w:r>
        <w:rPr>
          <w:rFonts w:ascii="Times New Roman" w:eastAsia="Times New Roman" w:hAnsi="Times New Roman" w:cs="Times New Roman"/>
          <w:sz w:val="24"/>
          <w:szCs w:val="24"/>
        </w:rPr>
        <w:t xml:space="preserve">ral plans that will enhance their profitability and deliver long-term growth </w:t>
      </w:r>
      <w:r>
        <w:rPr>
          <w:rFonts w:ascii="Times New Roman" w:eastAsia="Times New Roman" w:hAnsi="Times New Roman" w:cs="Times New Roman"/>
          <w:color w:val="222222"/>
          <w:sz w:val="24"/>
          <w:szCs w:val="24"/>
          <w:highlight w:val="white"/>
        </w:rPr>
        <w:t>(Ivanov, 2019)</w:t>
      </w:r>
      <w:r>
        <w:rPr>
          <w:rFonts w:ascii="Times New Roman" w:eastAsia="Times New Roman" w:hAnsi="Times New Roman" w:cs="Times New Roman"/>
          <w:sz w:val="24"/>
          <w:szCs w:val="24"/>
        </w:rPr>
        <w:t>.</w:t>
      </w: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A93D1D">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Total revenue </w:t>
      </w:r>
    </w:p>
    <w:p w:rsidR="007C392D" w:rsidRDefault="007C392D">
      <w:pPr>
        <w:spacing w:line="360" w:lineRule="auto"/>
        <w:jc w:val="both"/>
        <w:rPr>
          <w:rFonts w:ascii="Times New Roman" w:eastAsia="Times New Roman" w:hAnsi="Times New Roman" w:cs="Times New Roman"/>
          <w:sz w:val="24"/>
          <w:szCs w:val="24"/>
        </w:rPr>
      </w:pP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extent cx="5943600" cy="166814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943600" cy="1668145"/>
                    </a:xfrm>
                    <a:prstGeom prst="rect">
                      <a:avLst/>
                    </a:prstGeom>
                    <a:ln/>
                  </pic:spPr>
                </pic:pic>
              </a:graphicData>
            </a:graphic>
          </wp:inline>
        </w:drawing>
      </w:r>
    </w:p>
    <w:p w:rsidR="007C392D" w:rsidRDefault="007C392D">
      <w:pPr>
        <w:spacing w:line="360" w:lineRule="auto"/>
        <w:jc w:val="both"/>
        <w:rPr>
          <w:rFonts w:ascii="Times New Roman" w:eastAsia="Times New Roman" w:hAnsi="Times New Roman" w:cs="Times New Roman"/>
          <w:sz w:val="24"/>
          <w:szCs w:val="24"/>
        </w:rPr>
      </w:pP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C392D" w:rsidRDefault="00A93D1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Annual Report Hyatt and IHG</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46.6% of the growth rate recorded for </w:t>
      </w:r>
      <w:proofErr w:type="spellStart"/>
      <w:r>
        <w:rPr>
          <w:rFonts w:ascii="Times New Roman" w:eastAsia="Times New Roman" w:hAnsi="Times New Roman" w:cs="Times New Roman"/>
          <w:sz w:val="24"/>
          <w:szCs w:val="24"/>
        </w:rPr>
        <w:t>Hayyat</w:t>
      </w:r>
      <w:proofErr w:type="spellEnd"/>
      <w:r>
        <w:rPr>
          <w:rFonts w:ascii="Times New Roman" w:eastAsia="Times New Roman" w:hAnsi="Times New Roman" w:cs="Times New Roman"/>
          <w:sz w:val="24"/>
          <w:szCs w:val="24"/>
        </w:rPr>
        <w:t xml:space="preserve"> from 2020 to 2021 suggest that the revenue of the indus</w:t>
      </w:r>
      <w:r>
        <w:rPr>
          <w:rFonts w:ascii="Times New Roman" w:eastAsia="Times New Roman" w:hAnsi="Times New Roman" w:cs="Times New Roman"/>
          <w:sz w:val="24"/>
          <w:szCs w:val="24"/>
        </w:rPr>
        <w:t>try increased and from 2021 to 2022, the annual growth revenue is recorded as 94.6% which also indicate a progressive growth of the business. On the contrary, the growth rate of revenue from 2020 to 2021 is recorded as -12.41 suggest a downfall in the tota</w:t>
      </w:r>
      <w:r>
        <w:rPr>
          <w:rFonts w:ascii="Times New Roman" w:eastAsia="Times New Roman" w:hAnsi="Times New Roman" w:cs="Times New Roman"/>
          <w:sz w:val="24"/>
          <w:szCs w:val="24"/>
        </w:rPr>
        <w:t xml:space="preserve">l revenue profit but during the time period from 2021 to 2022 indicate an increase in the 85.60% annual revenue </w:t>
      </w:r>
      <w:r>
        <w:rPr>
          <w:rFonts w:ascii="Times New Roman" w:eastAsia="Times New Roman" w:hAnsi="Times New Roman" w:cs="Times New Roman"/>
          <w:color w:val="222222"/>
          <w:sz w:val="24"/>
          <w:szCs w:val="24"/>
          <w:highlight w:val="white"/>
        </w:rPr>
        <w:t xml:space="preserve">(Franco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IHG also reported an approximate revenue of $2.39 billion USD in 2020. The period of COVID-9 impacted the hospitality se</w:t>
      </w:r>
      <w:r>
        <w:rPr>
          <w:rFonts w:ascii="Times New Roman" w:eastAsia="Times New Roman" w:hAnsi="Times New Roman" w:cs="Times New Roman"/>
          <w:sz w:val="24"/>
          <w:szCs w:val="24"/>
        </w:rPr>
        <w:t>ctor as lead to a significant decline in the annual revenue during that period (</w:t>
      </w:r>
      <w:proofErr w:type="spellStart"/>
      <w:r>
        <w:rPr>
          <w:rFonts w:ascii="Times New Roman" w:eastAsia="Times New Roman" w:hAnsi="Times New Roman" w:cs="Times New Roman"/>
          <w:sz w:val="24"/>
          <w:szCs w:val="24"/>
        </w:rPr>
        <w:t>Yagmur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Demirel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Kilic</w:t>
      </w:r>
      <w:proofErr w:type="spellEnd"/>
      <w:r>
        <w:rPr>
          <w:rFonts w:ascii="Times New Roman" w:eastAsia="Times New Roman" w:hAnsi="Times New Roman" w:cs="Times New Roman"/>
          <w:sz w:val="24"/>
          <w:szCs w:val="24"/>
        </w:rPr>
        <w:t>, 2023). The total revenue decrease from 2020 to 2021 with 12.41% decrease in the annual revenue but IHG rebounded the progress in the year of 2022 wit</w:t>
      </w:r>
      <w:r>
        <w:rPr>
          <w:rFonts w:ascii="Times New Roman" w:eastAsia="Times New Roman" w:hAnsi="Times New Roman" w:cs="Times New Roman"/>
          <w:sz w:val="24"/>
          <w:szCs w:val="24"/>
        </w:rPr>
        <w:t xml:space="preserve">h total revenue of $3.89 billion USD indicating growth rate of 85.60%. The whole data of the annual revenue fluctuation indicates that during COVID-19, IHG faced many challenges and conflicting situations but strive a substantial revenue growth over time. </w:t>
      </w:r>
      <w:r>
        <w:rPr>
          <w:rFonts w:ascii="Times New Roman" w:eastAsia="Times New Roman" w:hAnsi="Times New Roman" w:cs="Times New Roman"/>
          <w:sz w:val="24"/>
          <w:szCs w:val="24"/>
        </w:rPr>
        <w:t xml:space="preserve">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sources are associated with the revenue streams of Hyatt including the sale of beverages, foods, room revenue and other services related to the hotel (</w:t>
      </w:r>
      <w:proofErr w:type="spellStart"/>
      <w:r>
        <w:rPr>
          <w:rFonts w:ascii="Times New Roman" w:eastAsia="Times New Roman" w:hAnsi="Times New Roman" w:cs="Times New Roman"/>
          <w:color w:val="222222"/>
          <w:sz w:val="24"/>
          <w:szCs w:val="24"/>
          <w:highlight w:val="white"/>
        </w:rPr>
        <w:t>Egbide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Revenue is also generated by the company based on a loyalty program tha</w:t>
      </w:r>
      <w:r>
        <w:rPr>
          <w:rFonts w:ascii="Times New Roman" w:eastAsia="Times New Roman" w:hAnsi="Times New Roman" w:cs="Times New Roman"/>
          <w:sz w:val="24"/>
          <w:szCs w:val="24"/>
        </w:rPr>
        <w:t xml:space="preserve">t is named as World of Hyatt which at the global level has associated over 20 million members. Presence in the vacation rental market is also expanding by Hyatt based on its partnership created with </w:t>
      </w:r>
      <w:proofErr w:type="spellStart"/>
      <w:r>
        <w:rPr>
          <w:rFonts w:ascii="Times New Roman" w:eastAsia="Times New Roman" w:hAnsi="Times New Roman" w:cs="Times New Roman"/>
          <w:sz w:val="24"/>
          <w:szCs w:val="24"/>
        </w:rPr>
        <w:t>HomeAway</w:t>
      </w:r>
      <w:proofErr w:type="spellEnd"/>
      <w:r>
        <w:rPr>
          <w:rFonts w:ascii="Times New Roman" w:eastAsia="Times New Roman" w:hAnsi="Times New Roman" w:cs="Times New Roman"/>
          <w:sz w:val="24"/>
          <w:szCs w:val="24"/>
        </w:rPr>
        <w:t xml:space="preserve"> and the acquisition of Oasis Collections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Susant</w:t>
      </w:r>
      <w:r>
        <w:rPr>
          <w:rFonts w:ascii="Times New Roman" w:eastAsia="Times New Roman" w:hAnsi="Times New Roman" w:cs="Times New Roman"/>
          <w:color w:val="222222"/>
          <w:sz w:val="24"/>
          <w:szCs w:val="24"/>
          <w:highlight w:val="white"/>
        </w:rPr>
        <w:t>o</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diverse substitute portfolio of IHG as InterContinental, Holiday Inn, and Crowne Plaza with the company’s global offerings and diverse services to the customers contributing to the overall revenue of the growth performance. Moreover, </w:t>
      </w:r>
      <w:r>
        <w:rPr>
          <w:rFonts w:ascii="Times New Roman" w:eastAsia="Times New Roman" w:hAnsi="Times New Roman" w:cs="Times New Roman"/>
          <w:sz w:val="24"/>
          <w:szCs w:val="24"/>
        </w:rPr>
        <w:t>IHG Reward Club also offers discounts and leverage offers to potential customers to bring loyalty and repetitive business (</w:t>
      </w:r>
      <w:proofErr w:type="spellStart"/>
      <w:r>
        <w:rPr>
          <w:rFonts w:ascii="Times New Roman" w:eastAsia="Times New Roman" w:hAnsi="Times New Roman" w:cs="Times New Roman"/>
          <w:sz w:val="24"/>
          <w:szCs w:val="24"/>
        </w:rPr>
        <w:t>Polukhina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w:t>
      </w: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A93D1D">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 Position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position can be evaluated using the EPS and dividend yield ratio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extent cx="5867908" cy="1722269"/>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867908" cy="1722269"/>
                    </a:xfrm>
                    <a:prstGeom prst="rect">
                      <a:avLst/>
                    </a:prstGeom>
                    <a:ln/>
                  </pic:spPr>
                </pic:pic>
              </a:graphicData>
            </a:graphic>
          </wp:inline>
        </w:drawing>
      </w:r>
    </w:p>
    <w:p w:rsidR="007C392D" w:rsidRDefault="00A93D1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Annual Report Hyatt and IHG</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-17.22% of EPS fluctuate over the period of 3 years for Hyatt Hotel and it designates that the EPS average rate has negative value and over the period of 5 years, the value of EPS for the Hyatt Hotel is 15.73% shows a po</w:t>
      </w:r>
      <w:r>
        <w:rPr>
          <w:rFonts w:ascii="Times New Roman" w:eastAsia="Times New Roman" w:hAnsi="Times New Roman" w:cs="Times New Roman"/>
          <w:sz w:val="24"/>
          <w:szCs w:val="24"/>
        </w:rPr>
        <w:t xml:space="preserve">sitive average growth rate and over the tome period of 190 years, the EPS growth rate of EPS for Hyatt Hotel is 22.67% which indicate an overall positive growth rate.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contrary, the EPS percentage fluctuates and varies from 2021 to 2022 at 42.26% as</w:t>
      </w:r>
      <w:r>
        <w:rPr>
          <w:rFonts w:ascii="Times New Roman" w:eastAsia="Times New Roman" w:hAnsi="Times New Roman" w:cs="Times New Roman"/>
          <w:sz w:val="24"/>
          <w:szCs w:val="24"/>
        </w:rPr>
        <w:t xml:space="preserve"> a significant increase in the EPS during these years of growth. But the average EPS over the 3-years period, EPS value is -9.08% representing a prominent decline over the three years. The EPS value of IHG over the time period of 5 years also has a negativ</w:t>
      </w:r>
      <w:r>
        <w:rPr>
          <w:rFonts w:ascii="Times New Roman" w:eastAsia="Times New Roman" w:hAnsi="Times New Roman" w:cs="Times New Roman"/>
          <w:sz w:val="24"/>
          <w:szCs w:val="24"/>
        </w:rPr>
        <w:t>e value of -7.43% and -5.14% is the EPS value over the 10 years of the period indicating that the total growth rate of the IHG is negative and it is noteworthy that to EPS is not only depend on the financial growth of the business but also all different fa</w:t>
      </w:r>
      <w:r>
        <w:rPr>
          <w:rFonts w:ascii="Times New Roman" w:eastAsia="Times New Roman" w:hAnsi="Times New Roman" w:cs="Times New Roman"/>
          <w:sz w:val="24"/>
          <w:szCs w:val="24"/>
        </w:rPr>
        <w:t xml:space="preserve">ctors are mandatory to consider the performance and profitability of the company while calculating EPS for any business sectors like Hyatt and IHG hotel Companies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Dogru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buyback yield percentage for Hyatt Hotels in 2022 is 2.71%. This in</w:t>
      </w:r>
      <w:r>
        <w:rPr>
          <w:rFonts w:ascii="Times New Roman" w:eastAsia="Times New Roman" w:hAnsi="Times New Roman" w:cs="Times New Roman"/>
          <w:sz w:val="24"/>
          <w:szCs w:val="24"/>
        </w:rPr>
        <w:t>dicates the percentage of the company's shares repurchased by the company in relation to its market capitalization. The total yield percentage for Hyatt Hotels in 2022 is 2.71%. This includes both the dividend yield and the buyback yield.</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extent cx="5791702" cy="2011854"/>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91702" cy="2011854"/>
                    </a:xfrm>
                    <a:prstGeom prst="rect">
                      <a:avLst/>
                    </a:prstGeom>
                    <a:ln/>
                  </pic:spPr>
                </pic:pic>
              </a:graphicData>
            </a:graphic>
          </wp:inline>
        </w:drawing>
      </w:r>
    </w:p>
    <w:p w:rsidR="007C392D" w:rsidRDefault="00A93D1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Annual </w:t>
      </w:r>
      <w:r>
        <w:rPr>
          <w:rFonts w:ascii="Times New Roman" w:eastAsia="Times New Roman" w:hAnsi="Times New Roman" w:cs="Times New Roman"/>
          <w:sz w:val="24"/>
          <w:szCs w:val="24"/>
        </w:rPr>
        <w:t>Report Hyatt and IHG</w:t>
      </w:r>
    </w:p>
    <w:p w:rsidR="007C392D" w:rsidRDefault="007C392D">
      <w:pPr>
        <w:spacing w:line="360" w:lineRule="auto"/>
        <w:jc w:val="both"/>
        <w:rPr>
          <w:rFonts w:ascii="Times New Roman" w:eastAsia="Times New Roman" w:hAnsi="Times New Roman" w:cs="Times New Roman"/>
          <w:sz w:val="24"/>
          <w:szCs w:val="24"/>
        </w:rPr>
      </w:pP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2022, the recorded dividend per share is $1.03 for IHG and it represent the amount of the dividend per share in the company market of shareholders. In 2022, the trailing dividend yield percentage is of 2.22% as a company dividend payment in terms of sto</w:t>
      </w:r>
      <w:r>
        <w:rPr>
          <w:rFonts w:ascii="Times New Roman" w:eastAsia="Times New Roman" w:hAnsi="Times New Roman" w:cs="Times New Roman"/>
          <w:sz w:val="24"/>
          <w:szCs w:val="24"/>
        </w:rPr>
        <w:t xml:space="preserve">ck exchange price.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IHG dividend information is not available in literature but the yield percentage of buyback of IHG is 2.71% in the year of 2022 to combine the dividend yield and buyback yield has the same value proportion for both IHG and Hyatt Com</w:t>
      </w:r>
      <w:r>
        <w:rPr>
          <w:rFonts w:ascii="Times New Roman" w:eastAsia="Times New Roman" w:hAnsi="Times New Roman" w:cs="Times New Roman"/>
          <w:sz w:val="24"/>
          <w:szCs w:val="24"/>
        </w:rPr>
        <w:t xml:space="preserve">pany in the year of 2022.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Position of Hyatt Hotels: One of the world's largest hospitality companies, Hyatt Hotel Corporation has a strong presence in the luxury hotel sector. Across over 60 countries, it is identified that more than 1000 hotels ar</w:t>
      </w:r>
      <w:r>
        <w:rPr>
          <w:rFonts w:ascii="Times New Roman" w:eastAsia="Times New Roman" w:hAnsi="Times New Roman" w:cs="Times New Roman"/>
          <w:sz w:val="24"/>
          <w:szCs w:val="24"/>
        </w:rPr>
        <w:t xml:space="preserve">e operated by the company, with an emphasis on luxury hotel brands like the </w:t>
      </w:r>
      <w:proofErr w:type="spellStart"/>
      <w:r>
        <w:rPr>
          <w:rFonts w:ascii="Times New Roman" w:eastAsia="Times New Roman" w:hAnsi="Times New Roman" w:cs="Times New Roman"/>
          <w:sz w:val="24"/>
          <w:szCs w:val="24"/>
        </w:rPr>
        <w:t>Andaz</w:t>
      </w:r>
      <w:proofErr w:type="spellEnd"/>
      <w:r>
        <w:rPr>
          <w:rFonts w:ascii="Times New Roman" w:eastAsia="Times New Roman" w:hAnsi="Times New Roman" w:cs="Times New Roman"/>
          <w:sz w:val="24"/>
          <w:szCs w:val="24"/>
        </w:rPr>
        <w:t xml:space="preserve">, Grand Hyatt, and Park Hyatt </w:t>
      </w:r>
      <w:r>
        <w:rPr>
          <w:rFonts w:ascii="Times New Roman" w:eastAsia="Times New Roman" w:hAnsi="Times New Roman" w:cs="Times New Roman"/>
          <w:color w:val="222222"/>
          <w:sz w:val="24"/>
          <w:szCs w:val="24"/>
          <w:highlight w:val="white"/>
        </w:rPr>
        <w:t xml:space="preserve">(Akron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a total of $4.4 billion in revenue by 2021, Hyatt will be the world's 9th biggest hotel chain based on market share. I</w:t>
      </w:r>
      <w:r>
        <w:rPr>
          <w:rFonts w:ascii="Times New Roman" w:eastAsia="Times New Roman" w:hAnsi="Times New Roman" w:cs="Times New Roman"/>
          <w:sz w:val="24"/>
          <w:szCs w:val="24"/>
        </w:rPr>
        <w:t>t has 546 properties in the USA, of which there is a strong presence, followed by 267 office buildings in Asia Pacific. Hyatt also enjoys a significant presence within the EMEA region, having 209 hotels (</w:t>
      </w:r>
      <w:proofErr w:type="spellStart"/>
      <w:r>
        <w:rPr>
          <w:rFonts w:ascii="Times New Roman" w:eastAsia="Times New Roman" w:hAnsi="Times New Roman" w:cs="Times New Roman"/>
          <w:sz w:val="24"/>
          <w:szCs w:val="24"/>
        </w:rPr>
        <w:t>Dewi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Sudiyatno</w:t>
      </w:r>
      <w:proofErr w:type="spellEnd"/>
      <w:r>
        <w:rPr>
          <w:rFonts w:ascii="Times New Roman" w:eastAsia="Times New Roman" w:hAnsi="Times New Roman" w:cs="Times New Roman"/>
          <w:sz w:val="24"/>
          <w:szCs w:val="24"/>
        </w:rPr>
        <w:t>, 2023).</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Hyatt's dominant position</w:t>
      </w:r>
      <w:r>
        <w:rPr>
          <w:rFonts w:ascii="Times New Roman" w:eastAsia="Times New Roman" w:hAnsi="Times New Roman" w:cs="Times New Roman"/>
          <w:sz w:val="24"/>
          <w:szCs w:val="24"/>
        </w:rPr>
        <w:t xml:space="preserve"> in the market has been reinforced by the World of Hyatt loyalty program, with over 20 million members around the world. During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members can avail themselves of special privileges such as access to rare experiences, free nights and accommodat</w:t>
      </w:r>
      <w:r>
        <w:rPr>
          <w:rFonts w:ascii="Times New Roman" w:eastAsia="Times New Roman" w:hAnsi="Times New Roman" w:cs="Times New Roman"/>
          <w:sz w:val="24"/>
          <w:szCs w:val="24"/>
        </w:rPr>
        <w:t xml:space="preserve">ion upgrades </w:t>
      </w:r>
      <w:r>
        <w:rPr>
          <w:rFonts w:ascii="Times New Roman" w:eastAsia="Times New Roman" w:hAnsi="Times New Roman" w:cs="Times New Roman"/>
          <w:color w:val="222222"/>
          <w:sz w:val="24"/>
          <w:szCs w:val="24"/>
          <w:highlight w:val="white"/>
        </w:rPr>
        <w:t>(Ivanov and Webster, 2019)</w:t>
      </w:r>
      <w:r>
        <w:rPr>
          <w:rFonts w:ascii="Times New Roman" w:eastAsia="Times New Roman" w:hAnsi="Times New Roman" w:cs="Times New Roman"/>
          <w:sz w:val="24"/>
          <w:szCs w:val="24"/>
        </w:rPr>
        <w:t>.</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Market Position of IHG: the brand diversity of IHG can be examined by the diverse portfolio of services of upscale, midscale, and extended luxury stay by including some of its chains of the hotel and restaurants of </w:t>
      </w:r>
      <w:r>
        <w:rPr>
          <w:rFonts w:ascii="Times New Roman" w:eastAsia="Times New Roman" w:hAnsi="Times New Roman" w:cs="Times New Roman"/>
          <w:sz w:val="24"/>
          <w:szCs w:val="24"/>
        </w:rPr>
        <w:t xml:space="preserve">Crowne Plaza Hotels, Holiday Inn Express, and InterContinental Hotels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Egbide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of IHG operates in more than 100 different countries with operational hotel branches and franchises of 6000 in different emerging market to cater various</w:t>
      </w:r>
      <w:r>
        <w:rPr>
          <w:rFonts w:ascii="Times New Roman" w:eastAsia="Times New Roman" w:hAnsi="Times New Roman" w:cs="Times New Roman"/>
          <w:sz w:val="24"/>
          <w:szCs w:val="24"/>
        </w:rPr>
        <w:t xml:space="preserve"> markets and approach potential clients globally. The total revenue growth of IHG in the year of 2022 is recorded as 2.39$ B with decrease in the revenue by 12.41% from 2021. Although the total revenue of $3.89 billion USD, showcasing an 85.60% growth rate</w:t>
      </w:r>
      <w:r>
        <w:rPr>
          <w:rFonts w:ascii="Times New Roman" w:eastAsia="Times New Roman" w:hAnsi="Times New Roman" w:cs="Times New Roman"/>
          <w:sz w:val="24"/>
          <w:szCs w:val="24"/>
        </w:rPr>
        <w:t>.</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of the properties of IHG are operated and managed by a third party and are franchised. The business strategy of IHG helps the company to expand in the global emerging market to leverage local expertise. There is a diverse substitute portfolio of IHG</w:t>
      </w:r>
      <w:r>
        <w:rPr>
          <w:rFonts w:ascii="Times New Roman" w:eastAsia="Times New Roman" w:hAnsi="Times New Roman" w:cs="Times New Roman"/>
          <w:sz w:val="24"/>
          <w:szCs w:val="24"/>
        </w:rPr>
        <w:t xml:space="preserve"> as InterContinental, Holiday Inn, and Crowne Plaza with the company’s global offerings and diverse services to the customers contributing to the overall revenue of the growth performance. Moreover, IHG Reward Club also offers discounts and leverage offers</w:t>
      </w:r>
      <w:r>
        <w:rPr>
          <w:rFonts w:ascii="Times New Roman" w:eastAsia="Times New Roman" w:hAnsi="Times New Roman" w:cs="Times New Roman"/>
          <w:sz w:val="24"/>
          <w:szCs w:val="24"/>
        </w:rPr>
        <w:t xml:space="preserve"> to potential customers to bring loyalty and repetitive business (Hamza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7C392D">
      <w:pPr>
        <w:spacing w:line="360" w:lineRule="auto"/>
        <w:jc w:val="both"/>
        <w:rPr>
          <w:rFonts w:ascii="Times New Roman" w:eastAsia="Times New Roman" w:hAnsi="Times New Roman" w:cs="Times New Roman"/>
          <w:sz w:val="24"/>
          <w:szCs w:val="24"/>
        </w:rPr>
      </w:pPr>
    </w:p>
    <w:p w:rsidR="007C392D" w:rsidRDefault="00A93D1D">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Growth </w:t>
      </w:r>
      <w:proofErr w:type="spellStart"/>
      <w:r>
        <w:rPr>
          <w:rFonts w:ascii="Times New Roman" w:eastAsia="Times New Roman" w:hAnsi="Times New Roman" w:cs="Times New Roman"/>
          <w:sz w:val="24"/>
          <w:szCs w:val="24"/>
        </w:rPr>
        <w:t>Protentional</w:t>
      </w:r>
      <w:proofErr w:type="spellEnd"/>
    </w:p>
    <w:p w:rsidR="007C392D" w:rsidRDefault="007C392D">
      <w:pPr>
        <w:spacing w:line="360" w:lineRule="auto"/>
        <w:jc w:val="both"/>
        <w:rPr>
          <w:rFonts w:ascii="Times New Roman" w:eastAsia="Times New Roman" w:hAnsi="Times New Roman" w:cs="Times New Roman"/>
          <w:sz w:val="24"/>
          <w:szCs w:val="24"/>
        </w:rPr>
      </w:pP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extent cx="5890770" cy="3589331"/>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890770" cy="3589331"/>
                    </a:xfrm>
                    <a:prstGeom prst="rect">
                      <a:avLst/>
                    </a:prstGeom>
                    <a:ln/>
                  </pic:spPr>
                </pic:pic>
              </a:graphicData>
            </a:graphic>
          </wp:inline>
        </w:drawing>
      </w:r>
    </w:p>
    <w:p w:rsidR="007C392D" w:rsidRDefault="007C392D">
      <w:pPr>
        <w:spacing w:line="360" w:lineRule="auto"/>
        <w:jc w:val="both"/>
        <w:rPr>
          <w:rFonts w:ascii="Times New Roman" w:eastAsia="Times New Roman" w:hAnsi="Times New Roman" w:cs="Times New Roman"/>
          <w:sz w:val="24"/>
          <w:szCs w:val="24"/>
        </w:rPr>
      </w:pP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strong revenue growth of Hyatt Hotel from 2021 to 2022 with the total growth rate of 46.5% and 94.55% respectively. On the contr</w:t>
      </w:r>
      <w:r>
        <w:rPr>
          <w:rFonts w:ascii="Times New Roman" w:eastAsia="Times New Roman" w:hAnsi="Times New Roman" w:cs="Times New Roman"/>
          <w:sz w:val="24"/>
          <w:szCs w:val="24"/>
        </w:rPr>
        <w:t>ary, revenue growth rates of IHG in 2021 were recorded as 21.43% and 33.88% in 2022 which represent that the company of Hyatt Hotel is more favorable in the generation of annual revenue growth as compared to IHG in both years of 2021 to 2022. EPS percentag</w:t>
      </w:r>
      <w:r>
        <w:rPr>
          <w:rFonts w:ascii="Times New Roman" w:eastAsia="Times New Roman" w:hAnsi="Times New Roman" w:cs="Times New Roman"/>
          <w:sz w:val="24"/>
          <w:szCs w:val="24"/>
        </w:rPr>
        <w:t xml:space="preserve">e fluctuates and varies from 2021 to 2022 at 42.26% as a significant increase in the EPS during these years of growth. But the average EPS over the 3-years period, EPS value is -12.07% for Hyatt Hotel representing a prominent decline over the three years. </w:t>
      </w:r>
      <w:r>
        <w:rPr>
          <w:rFonts w:ascii="Times New Roman" w:eastAsia="Times New Roman" w:hAnsi="Times New Roman" w:cs="Times New Roman"/>
          <w:sz w:val="24"/>
          <w:szCs w:val="24"/>
        </w:rPr>
        <w:t>The EPS value of IHG over the time period of 5 years also has a negative value of -12.07 indicate that the total growth rate of the Hyatt Hotel is declining. 5-year revenue growth of Hyatt Hotel represent a negative value of EPS of -7.32% but IHG 5-years E</w:t>
      </w:r>
      <w:r>
        <w:rPr>
          <w:rFonts w:ascii="Times New Roman" w:eastAsia="Times New Roman" w:hAnsi="Times New Roman" w:cs="Times New Roman"/>
          <w:sz w:val="24"/>
          <w:szCs w:val="24"/>
        </w:rPr>
        <w:t xml:space="preserve">PS and revenue growth is of 11.13%.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2022, the operating rate of IHG had an increase in the growth rate with the total revenue of 198.14% whereas, in the Hyatt Hotel, the annual revenue growth was not available but 3-year average data of the revenue growth also indicate that the IHG has fa</w:t>
      </w:r>
      <w:r>
        <w:rPr>
          <w:rFonts w:ascii="Times New Roman" w:eastAsia="Times New Roman" w:hAnsi="Times New Roman" w:cs="Times New Roman"/>
          <w:sz w:val="24"/>
          <w:szCs w:val="24"/>
        </w:rPr>
        <w:t xml:space="preserve">ced a decline in 3-year average records with -8.98% of the revenue growth and IHG, 5 years revenue growth has indicated a significant decrease in the revenue growth with -6.25% of the IHG hotel. In 2022, the net income </w:t>
      </w:r>
      <w:r>
        <w:rPr>
          <w:rFonts w:ascii="Times New Roman" w:eastAsia="Times New Roman" w:hAnsi="Times New Roman" w:cs="Times New Roman"/>
          <w:sz w:val="24"/>
          <w:szCs w:val="24"/>
        </w:rPr>
        <w:lastRenderedPageBreak/>
        <w:t>of IHG is 40.98% but unfortunately, t</w:t>
      </w:r>
      <w:r>
        <w:rPr>
          <w:rFonts w:ascii="Times New Roman" w:eastAsia="Times New Roman" w:hAnsi="Times New Roman" w:cs="Times New Roman"/>
          <w:sz w:val="24"/>
          <w:szCs w:val="24"/>
        </w:rPr>
        <w:t>he net income figures of the Hyatt is not recorded and available of these years. The net-income growth of 3-years of Hyatt Hotels was negative at -8.47% as representing a decline in the growth of the revenue. Whereas, the average net income growth of the H</w:t>
      </w:r>
      <w:r>
        <w:rPr>
          <w:rFonts w:ascii="Times New Roman" w:eastAsia="Times New Roman" w:hAnsi="Times New Roman" w:cs="Times New Roman"/>
          <w:sz w:val="24"/>
          <w:szCs w:val="24"/>
        </w:rPr>
        <w:t>yatt Hotel was -8.73% (</w:t>
      </w:r>
      <w:r>
        <w:rPr>
          <w:rFonts w:ascii="Times New Roman" w:eastAsia="Times New Roman" w:hAnsi="Times New Roman" w:cs="Times New Roman"/>
          <w:color w:val="222222"/>
          <w:sz w:val="24"/>
          <w:szCs w:val="24"/>
          <w:highlight w:val="white"/>
        </w:rPr>
        <w:t>Grundy, Johnson and Scholes, 2022)</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Hotel Corporation and IHG both have scope for further expansion in the hospitality industry, despite their differing market position and business structures (FABIYANI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rsidR="007C392D" w:rsidRDefault="00A93D1D">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w:t>
      </w:r>
      <w:r>
        <w:rPr>
          <w:rFonts w:ascii="Times New Roman" w:eastAsia="Times New Roman" w:hAnsi="Times New Roman" w:cs="Times New Roman"/>
          <w:sz w:val="24"/>
          <w:szCs w:val="24"/>
        </w:rPr>
        <w:t>Commitment to CSR</w:t>
      </w:r>
    </w:p>
    <w:p w:rsidR="007C392D" w:rsidRDefault="00A93D1D">
      <w:pPr>
        <w:pStyle w:val="Heading2"/>
        <w:spacing w:line="360" w:lineRule="auto"/>
        <w:jc w:val="both"/>
        <w:rPr>
          <w:rFonts w:ascii="Times New Roman" w:eastAsia="Times New Roman" w:hAnsi="Times New Roman" w:cs="Times New Roman"/>
        </w:rPr>
      </w:pPr>
      <w:r>
        <w:rPr>
          <w:rFonts w:ascii="Times New Roman" w:eastAsia="Times New Roman" w:hAnsi="Times New Roman" w:cs="Times New Roman"/>
        </w:rPr>
        <w:t>Financial Commitment to CSR</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show their dedication to sustainability, environmental preservation, and social responsibility, businesses are placing an increasing emphasis on corporate social responsibility (CSR). Hyatt Hotel Corporation</w:t>
      </w:r>
      <w:r>
        <w:rPr>
          <w:rFonts w:ascii="Times New Roman" w:eastAsia="Times New Roman" w:hAnsi="Times New Roman" w:cs="Times New Roman"/>
          <w:sz w:val="24"/>
          <w:szCs w:val="24"/>
        </w:rPr>
        <w:t xml:space="preserve"> and IHG have both made financial commitments to corporate social responsibility via several initiatives and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(Zhu, 2021).</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Three key areas are addressed in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"Hyatt Thrive"</w:t>
      </w:r>
      <w:r>
        <w:rPr>
          <w:rFonts w:ascii="Times New Roman" w:eastAsia="Times New Roman" w:hAnsi="Times New Roman" w:cs="Times New Roman"/>
          <w:sz w:val="24"/>
          <w:szCs w:val="24"/>
        </w:rPr>
        <w:t xml:space="preserve"> by Hyatt Hotels Corporation, which is known for its Corporate Social Responsibility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development of employee ecologies, community involvement and sustainability. These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were funded by the corporation in a significant way, with an empha</w:t>
      </w:r>
      <w:r>
        <w:rPr>
          <w:rFonts w:ascii="Times New Roman" w:eastAsia="Times New Roman" w:hAnsi="Times New Roman" w:cs="Times New Roman"/>
          <w:sz w:val="24"/>
          <w:szCs w:val="24"/>
        </w:rPr>
        <w:t xml:space="preserve">sis on social engagement efforts like support for education and youth development as well as eco-friendly practices such as reducing waste and improving energy efficiency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Cerchione</w:t>
      </w:r>
      <w:proofErr w:type="spellEnd"/>
      <w:r>
        <w:rPr>
          <w:rFonts w:ascii="Times New Roman" w:eastAsia="Times New Roman" w:hAnsi="Times New Roman" w:cs="Times New Roman"/>
          <w:color w:val="222222"/>
          <w:sz w:val="24"/>
          <w:szCs w:val="24"/>
          <w:highlight w:val="white"/>
        </w:rPr>
        <w:t xml:space="preserve"> and Bansal, 2020)</w:t>
      </w:r>
      <w:r>
        <w:rPr>
          <w:rFonts w:ascii="Times New Roman" w:eastAsia="Times New Roman" w:hAnsi="Times New Roman" w:cs="Times New Roman"/>
          <w:sz w:val="24"/>
          <w:szCs w:val="24"/>
        </w:rPr>
        <w:t xml:space="preserve">.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its CSR program, which delivers grants and </w:t>
      </w:r>
      <w:r>
        <w:rPr>
          <w:rFonts w:ascii="Times New Roman" w:eastAsia="Times New Roman" w:hAnsi="Times New Roman" w:cs="Times New Roman"/>
          <w:sz w:val="24"/>
          <w:szCs w:val="24"/>
        </w:rPr>
        <w:t>charitable contributions to several social and environmental issues, Hyatt Hotel Foundation has been set up. In particular, funding initiatives aiming at supporting the creation of lively communities, opportunities for learning and training as well as disa</w:t>
      </w:r>
      <w:r>
        <w:rPr>
          <w:rFonts w:ascii="Times New Roman" w:eastAsia="Times New Roman" w:hAnsi="Times New Roman" w:cs="Times New Roman"/>
          <w:sz w:val="24"/>
          <w:szCs w:val="24"/>
        </w:rPr>
        <w:t>ster relief are prioritized by the organization (</w:t>
      </w:r>
      <w:proofErr w:type="spellStart"/>
      <w:r>
        <w:rPr>
          <w:rFonts w:ascii="Times New Roman" w:eastAsia="Times New Roman" w:hAnsi="Times New Roman" w:cs="Times New Roman"/>
          <w:sz w:val="24"/>
          <w:szCs w:val="24"/>
        </w:rPr>
        <w:t>Vivel-Búa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Lado-Sestayo</w:t>
      </w:r>
      <w:proofErr w:type="spellEnd"/>
      <w:r>
        <w:rPr>
          <w:rFonts w:ascii="Times New Roman" w:eastAsia="Times New Roman" w:hAnsi="Times New Roman" w:cs="Times New Roman"/>
          <w:sz w:val="24"/>
          <w:szCs w:val="24"/>
        </w:rPr>
        <w:t xml:space="preserve"> and Otero-González, 2019).</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significant financial commitment in the management of the Intercontinental Hotel Group to initiate Corporate Social Responsibility as an integral</w:t>
      </w:r>
      <w:r>
        <w:rPr>
          <w:rFonts w:ascii="Times New Roman" w:eastAsia="Times New Roman" w:hAnsi="Times New Roman" w:cs="Times New Roman"/>
          <w:sz w:val="24"/>
          <w:szCs w:val="24"/>
        </w:rPr>
        <w:t xml:space="preserve"> part of IHG’s business to have various steps to promote and motivate sustainability, community engagement, and social responsibilities but I have no access to the financial figures of the hotel sectors without my prior knowledge of </w:t>
      </w:r>
      <w:r>
        <w:rPr>
          <w:rFonts w:ascii="Times New Roman" w:eastAsia="Times New Roman" w:hAnsi="Times New Roman" w:cs="Times New Roman"/>
          <w:sz w:val="24"/>
          <w:szCs w:val="24"/>
        </w:rPr>
        <w:lastRenderedPageBreak/>
        <w:t>September 2021 and I ca</w:t>
      </w:r>
      <w:r>
        <w:rPr>
          <w:rFonts w:ascii="Times New Roman" w:eastAsia="Times New Roman" w:hAnsi="Times New Roman" w:cs="Times New Roman"/>
          <w:sz w:val="24"/>
          <w:szCs w:val="24"/>
        </w:rPr>
        <w:t>n also provide an overview of IHG to promote and motivate CSR and some of the key elements of CSR initiatives:</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IHG Green Engage: IHG has implemented and installed a management system of Proprietary environmental management system to called IHG Green Engage</w:t>
      </w:r>
      <w:r>
        <w:rPr>
          <w:rFonts w:ascii="Times New Roman" w:eastAsia="Times New Roman" w:hAnsi="Times New Roman" w:cs="Times New Roman"/>
          <w:sz w:val="24"/>
          <w:szCs w:val="24"/>
        </w:rPr>
        <w:t xml:space="preserve"> to help IHG to mitigate environmental factors and operate in more sustainable techniques. Different tools, guidance, and resources also have been associated with the IHG Green technology to monitor and enhance energy usage, waste management, carbon footpr</w:t>
      </w:r>
      <w:r>
        <w:rPr>
          <w:rFonts w:ascii="Times New Roman" w:eastAsia="Times New Roman" w:hAnsi="Times New Roman" w:cs="Times New Roman"/>
          <w:sz w:val="24"/>
          <w:szCs w:val="24"/>
        </w:rPr>
        <w:t xml:space="preserve">int, and water consumption to promote social care facilities and activities to enhance the hotel services to attract more potential customers.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Development Goals (SDGs): To support and help in commanding the United Nation’s Sustainable Developm</w:t>
      </w:r>
      <w:r>
        <w:rPr>
          <w:rFonts w:ascii="Times New Roman" w:eastAsia="Times New Roman" w:hAnsi="Times New Roman" w:cs="Times New Roman"/>
          <w:sz w:val="24"/>
          <w:szCs w:val="24"/>
        </w:rPr>
        <w:t xml:space="preserve">ent Goals as to align the CSR initiatives with the focus on areas of responsible consumption and produce to climate action and partnership. </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Water Stewardship: A comprehensive program of water stewardship to mitigate the water consumption in different subs</w:t>
      </w:r>
      <w:r>
        <w:rPr>
          <w:rFonts w:ascii="Times New Roman" w:eastAsia="Times New Roman" w:hAnsi="Times New Roman" w:cs="Times New Roman"/>
          <w:sz w:val="24"/>
          <w:szCs w:val="24"/>
        </w:rPr>
        <w:t xml:space="preserve">titute sectors of the business to focus on water conservation, recycling, and engagement of the local communities to maintain sustainable water management as serious practices in the continuous processing </w:t>
      </w:r>
      <w:r>
        <w:rPr>
          <w:rFonts w:ascii="Times New Roman" w:eastAsia="Times New Roman" w:hAnsi="Times New Roman" w:cs="Times New Roman"/>
          <w:color w:val="222222"/>
          <w:sz w:val="24"/>
          <w:szCs w:val="24"/>
          <w:highlight w:val="white"/>
        </w:rPr>
        <w:t>(Cain, Thomas and Alonso Jr, 2019)</w:t>
      </w:r>
      <w:r>
        <w:rPr>
          <w:rFonts w:ascii="Times New Roman" w:eastAsia="Times New Roman" w:hAnsi="Times New Roman" w:cs="Times New Roman"/>
          <w:sz w:val="24"/>
          <w:szCs w:val="24"/>
        </w:rPr>
        <w:t>.</w:t>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Sup</w:t>
      </w:r>
      <w:r>
        <w:rPr>
          <w:rFonts w:ascii="Times New Roman" w:eastAsia="Times New Roman" w:hAnsi="Times New Roman" w:cs="Times New Roman"/>
          <w:sz w:val="24"/>
          <w:szCs w:val="24"/>
        </w:rPr>
        <w:t>ply Chain: There is a responsible act of the sourcing and ethical business practices incurred in the company supply chain management and processing. The suppliers also motivate the company to encourage social, governance, and environmental standards and to</w:t>
      </w:r>
      <w:r>
        <w:rPr>
          <w:rFonts w:ascii="Times New Roman" w:eastAsia="Times New Roman" w:hAnsi="Times New Roman" w:cs="Times New Roman"/>
          <w:sz w:val="24"/>
          <w:szCs w:val="24"/>
        </w:rPr>
        <w:t xml:space="preserve"> actively participate in responsible procurement practices in the business sector or department (</w:t>
      </w:r>
      <w:proofErr w:type="spellStart"/>
      <w:r>
        <w:rPr>
          <w:rFonts w:ascii="Times New Roman" w:eastAsia="Times New Roman" w:hAnsi="Times New Roman" w:cs="Times New Roman"/>
          <w:sz w:val="24"/>
          <w:szCs w:val="24"/>
        </w:rPr>
        <w:t>Panno</w:t>
      </w:r>
      <w:proofErr w:type="spellEnd"/>
      <w:r>
        <w:rPr>
          <w:rFonts w:ascii="Times New Roman" w:eastAsia="Times New Roman" w:hAnsi="Times New Roman" w:cs="Times New Roman"/>
          <w:sz w:val="24"/>
          <w:szCs w:val="24"/>
        </w:rPr>
        <w:t>, 2020).</w:t>
      </w:r>
    </w:p>
    <w:p w:rsidR="007C392D" w:rsidRDefault="00A93D1D">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Conclusion </w:t>
      </w:r>
      <w:r>
        <w:rPr>
          <w:rFonts w:ascii="Times New Roman" w:eastAsia="Times New Roman" w:hAnsi="Times New Roman" w:cs="Times New Roman"/>
          <w:sz w:val="24"/>
          <w:szCs w:val="24"/>
        </w:rPr>
        <w:tab/>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revenue growth of IHG in 2022 as of 33.88% with the ability to recover from the drastic situation and uncertain circumstanc</w:t>
      </w:r>
      <w:r>
        <w:rPr>
          <w:rFonts w:ascii="Times New Roman" w:eastAsia="Times New Roman" w:hAnsi="Times New Roman" w:cs="Times New Roman"/>
          <w:sz w:val="24"/>
          <w:szCs w:val="24"/>
        </w:rPr>
        <w:t>es as to asset-light strategy, loyalty program, and diverse brand portfolio to play a crucial role in market penetration and striving growth of the company to adapt and install CSR responsibilities to focus on the sustainability business practices to enhan</w:t>
      </w:r>
      <w:r>
        <w:rPr>
          <w:rFonts w:ascii="Times New Roman" w:eastAsia="Times New Roman" w:hAnsi="Times New Roman" w:cs="Times New Roman"/>
          <w:sz w:val="24"/>
          <w:szCs w:val="24"/>
        </w:rPr>
        <w:t>ce the growth potential of the organization of IHG Company. There were many records related to the IHG’s operational and net income as an income of 2022 to represent the positive financial performances and increase the growth of the potential business thro</w:t>
      </w:r>
      <w:r>
        <w:rPr>
          <w:rFonts w:ascii="Times New Roman" w:eastAsia="Times New Roman" w:hAnsi="Times New Roman" w:cs="Times New Roman"/>
          <w:sz w:val="24"/>
          <w:szCs w:val="24"/>
        </w:rPr>
        <w:t xml:space="preserve">ugh responsible CSR and other </w:t>
      </w:r>
      <w:r>
        <w:rPr>
          <w:rFonts w:ascii="Times New Roman" w:eastAsia="Times New Roman" w:hAnsi="Times New Roman" w:cs="Times New Roman"/>
          <w:sz w:val="24"/>
          <w:szCs w:val="24"/>
        </w:rPr>
        <w:lastRenderedPageBreak/>
        <w:t xml:space="preserve">Green IHG activities to boost and enhance the performance in the rigorous and challenging competitive market of business </w:t>
      </w:r>
    </w:p>
    <w:p w:rsidR="007C392D" w:rsidRDefault="00A93D1D">
      <w:pPr>
        <w:spacing w:line="360" w:lineRule="auto"/>
        <w:jc w:val="both"/>
        <w:rPr>
          <w:rFonts w:ascii="Times New Roman" w:eastAsia="Times New Roman" w:hAnsi="Times New Roman" w:cs="Times New Roman"/>
          <w:sz w:val="24"/>
          <w:szCs w:val="24"/>
        </w:rPr>
      </w:pPr>
      <w:r>
        <w:br w:type="page"/>
      </w:r>
    </w:p>
    <w:p w:rsidR="007C392D" w:rsidRDefault="00A93D1D">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References</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Akron, S., </w:t>
      </w:r>
      <w:proofErr w:type="spellStart"/>
      <w:r>
        <w:rPr>
          <w:rFonts w:ascii="Times New Roman" w:eastAsia="Times New Roman" w:hAnsi="Times New Roman" w:cs="Times New Roman"/>
          <w:color w:val="222222"/>
          <w:sz w:val="24"/>
          <w:szCs w:val="24"/>
          <w:highlight w:val="white"/>
        </w:rPr>
        <w:t>Demir</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Díez</w:t>
      </w:r>
      <w:proofErr w:type="spellEnd"/>
      <w:r>
        <w:rPr>
          <w:rFonts w:ascii="Times New Roman" w:eastAsia="Times New Roman" w:hAnsi="Times New Roman" w:cs="Times New Roman"/>
          <w:color w:val="222222"/>
          <w:sz w:val="24"/>
          <w:szCs w:val="24"/>
          <w:highlight w:val="white"/>
        </w:rPr>
        <w:t xml:space="preserve">-Esteban, J.M. and </w:t>
      </w:r>
      <w:proofErr w:type="spellStart"/>
      <w:r>
        <w:rPr>
          <w:rFonts w:ascii="Times New Roman" w:eastAsia="Times New Roman" w:hAnsi="Times New Roman" w:cs="Times New Roman"/>
          <w:color w:val="222222"/>
          <w:sz w:val="24"/>
          <w:szCs w:val="24"/>
          <w:highlight w:val="white"/>
        </w:rPr>
        <w:t>García</w:t>
      </w:r>
      <w:proofErr w:type="spellEnd"/>
      <w:r>
        <w:rPr>
          <w:rFonts w:ascii="Times New Roman" w:eastAsia="Times New Roman" w:hAnsi="Times New Roman" w:cs="Times New Roman"/>
          <w:color w:val="222222"/>
          <w:sz w:val="24"/>
          <w:szCs w:val="24"/>
          <w:highlight w:val="white"/>
        </w:rPr>
        <w:t>-Gómez, C.D., 2020. Economic policy unce</w:t>
      </w:r>
      <w:r>
        <w:rPr>
          <w:rFonts w:ascii="Times New Roman" w:eastAsia="Times New Roman" w:hAnsi="Times New Roman" w:cs="Times New Roman"/>
          <w:color w:val="222222"/>
          <w:sz w:val="24"/>
          <w:szCs w:val="24"/>
          <w:highlight w:val="white"/>
        </w:rPr>
        <w:t>rtainty and corporate investment: Evidence from the US hospitality industry.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77</w:t>
      </w:r>
      <w:r>
        <w:rPr>
          <w:rFonts w:ascii="Times New Roman" w:eastAsia="Times New Roman" w:hAnsi="Times New Roman" w:cs="Times New Roman"/>
          <w:color w:val="222222"/>
          <w:sz w:val="24"/>
          <w:szCs w:val="24"/>
          <w:highlight w:val="white"/>
        </w:rPr>
        <w:t>, p.104019.</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Cain, L.N., Thomas, J.H. and Alonso Jr, M., 2019. From sci-fi to </w:t>
      </w:r>
      <w:proofErr w:type="spellStart"/>
      <w:r>
        <w:rPr>
          <w:rFonts w:ascii="Times New Roman" w:eastAsia="Times New Roman" w:hAnsi="Times New Roman" w:cs="Times New Roman"/>
          <w:color w:val="222222"/>
          <w:sz w:val="24"/>
          <w:szCs w:val="24"/>
          <w:highlight w:val="white"/>
        </w:rPr>
        <w:t>sci</w:t>
      </w:r>
      <w:proofErr w:type="spellEnd"/>
      <w:r>
        <w:rPr>
          <w:rFonts w:ascii="Times New Roman" w:eastAsia="Times New Roman" w:hAnsi="Times New Roman" w:cs="Times New Roman"/>
          <w:color w:val="222222"/>
          <w:sz w:val="24"/>
          <w:szCs w:val="24"/>
          <w:highlight w:val="white"/>
        </w:rPr>
        <w:t>-fact: the state of robotics and AI in the hospitality industry. </w:t>
      </w:r>
      <w:r>
        <w:rPr>
          <w:rFonts w:ascii="Times New Roman" w:eastAsia="Times New Roman" w:hAnsi="Times New Roman" w:cs="Times New Roman"/>
          <w:i/>
          <w:color w:val="222222"/>
          <w:sz w:val="24"/>
          <w:szCs w:val="24"/>
          <w:highlight w:val="white"/>
        </w:rPr>
        <w:t>Journal of H</w:t>
      </w:r>
      <w:r>
        <w:rPr>
          <w:rFonts w:ascii="Times New Roman" w:eastAsia="Times New Roman" w:hAnsi="Times New Roman" w:cs="Times New Roman"/>
          <w:i/>
          <w:color w:val="222222"/>
          <w:sz w:val="24"/>
          <w:szCs w:val="24"/>
          <w:highlight w:val="white"/>
        </w:rPr>
        <w:t>ospitality and Tourism Technology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(4), pp.624-650.</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Cerchione</w:t>
      </w:r>
      <w:proofErr w:type="spellEnd"/>
      <w:r>
        <w:rPr>
          <w:rFonts w:ascii="Times New Roman" w:eastAsia="Times New Roman" w:hAnsi="Times New Roman" w:cs="Times New Roman"/>
          <w:color w:val="222222"/>
          <w:sz w:val="24"/>
          <w:szCs w:val="24"/>
          <w:highlight w:val="white"/>
        </w:rPr>
        <w:t>, R. and Bansal, H., 2020. Measuring the impact of sustainability policy and practices in tourism and hospitality industry. </w:t>
      </w:r>
      <w:r>
        <w:rPr>
          <w:rFonts w:ascii="Times New Roman" w:eastAsia="Times New Roman" w:hAnsi="Times New Roman" w:cs="Times New Roman"/>
          <w:i/>
          <w:color w:val="222222"/>
          <w:sz w:val="24"/>
          <w:szCs w:val="24"/>
          <w:highlight w:val="white"/>
        </w:rPr>
        <w:t>Business Strategy and the Environment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(3), pp.1109-1126.</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Chang, C.</w:t>
      </w:r>
      <w:r>
        <w:rPr>
          <w:rFonts w:ascii="Times New Roman" w:eastAsia="Times New Roman" w:hAnsi="Times New Roman" w:cs="Times New Roman"/>
          <w:color w:val="222222"/>
          <w:sz w:val="24"/>
          <w:szCs w:val="24"/>
          <w:highlight w:val="white"/>
        </w:rPr>
        <w:t xml:space="preserve">L., </w:t>
      </w:r>
      <w:proofErr w:type="spellStart"/>
      <w:r>
        <w:rPr>
          <w:rFonts w:ascii="Times New Roman" w:eastAsia="Times New Roman" w:hAnsi="Times New Roman" w:cs="Times New Roman"/>
          <w:color w:val="222222"/>
          <w:sz w:val="24"/>
          <w:szCs w:val="24"/>
          <w:highlight w:val="white"/>
        </w:rPr>
        <w:t>McAleer</w:t>
      </w:r>
      <w:proofErr w:type="spellEnd"/>
      <w:r>
        <w:rPr>
          <w:rFonts w:ascii="Times New Roman" w:eastAsia="Times New Roman" w:hAnsi="Times New Roman" w:cs="Times New Roman"/>
          <w:color w:val="222222"/>
          <w:sz w:val="24"/>
          <w:szCs w:val="24"/>
          <w:highlight w:val="white"/>
        </w:rPr>
        <w:t>, M. and Wong, W.K., 2020. Risk and financial management of COVID-19 in business, economics and finance. </w:t>
      </w:r>
      <w:r>
        <w:rPr>
          <w:rFonts w:ascii="Times New Roman" w:eastAsia="Times New Roman" w:hAnsi="Times New Roman" w:cs="Times New Roman"/>
          <w:i/>
          <w:color w:val="222222"/>
          <w:sz w:val="24"/>
          <w:szCs w:val="24"/>
          <w:highlight w:val="white"/>
        </w:rPr>
        <w:t>Journal of Risk and Financial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(5), p.102.</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Dogru</w:t>
      </w:r>
      <w:proofErr w:type="spellEnd"/>
      <w:r>
        <w:rPr>
          <w:rFonts w:ascii="Times New Roman" w:eastAsia="Times New Roman" w:hAnsi="Times New Roman" w:cs="Times New Roman"/>
          <w:color w:val="222222"/>
          <w:sz w:val="24"/>
          <w:szCs w:val="24"/>
          <w:highlight w:val="white"/>
        </w:rPr>
        <w:t xml:space="preserve">, T., McGinley, S., Sharma, A., </w:t>
      </w:r>
      <w:proofErr w:type="spellStart"/>
      <w:r>
        <w:rPr>
          <w:rFonts w:ascii="Times New Roman" w:eastAsia="Times New Roman" w:hAnsi="Times New Roman" w:cs="Times New Roman"/>
          <w:color w:val="222222"/>
          <w:sz w:val="24"/>
          <w:szCs w:val="24"/>
          <w:highlight w:val="white"/>
        </w:rPr>
        <w:t>Isık</w:t>
      </w:r>
      <w:proofErr w:type="spellEnd"/>
      <w:r>
        <w:rPr>
          <w:rFonts w:ascii="Times New Roman" w:eastAsia="Times New Roman" w:hAnsi="Times New Roman" w:cs="Times New Roman"/>
          <w:color w:val="222222"/>
          <w:sz w:val="24"/>
          <w:szCs w:val="24"/>
          <w:highlight w:val="white"/>
        </w:rPr>
        <w:t>, C. and Hanks, L., 2023. Employee turnover</w:t>
      </w:r>
      <w:r>
        <w:rPr>
          <w:rFonts w:ascii="Times New Roman" w:eastAsia="Times New Roman" w:hAnsi="Times New Roman" w:cs="Times New Roman"/>
          <w:color w:val="222222"/>
          <w:sz w:val="24"/>
          <w:szCs w:val="24"/>
          <w:highlight w:val="white"/>
        </w:rPr>
        <w:t xml:space="preserve"> dynamics in the hospitality industry vs. the overall economy.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99</w:t>
      </w:r>
      <w:r>
        <w:rPr>
          <w:rFonts w:ascii="Times New Roman" w:eastAsia="Times New Roman" w:hAnsi="Times New Roman" w:cs="Times New Roman"/>
          <w:color w:val="222222"/>
          <w:sz w:val="24"/>
          <w:szCs w:val="24"/>
          <w:highlight w:val="white"/>
        </w:rPr>
        <w:t>, p.104783.</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Egbide</w:t>
      </w:r>
      <w:proofErr w:type="spellEnd"/>
      <w:r>
        <w:rPr>
          <w:rFonts w:ascii="Times New Roman" w:eastAsia="Times New Roman" w:hAnsi="Times New Roman" w:cs="Times New Roman"/>
          <w:color w:val="222222"/>
          <w:sz w:val="24"/>
          <w:szCs w:val="24"/>
          <w:highlight w:val="white"/>
        </w:rPr>
        <w:t xml:space="preserve">, B.C., </w:t>
      </w:r>
      <w:proofErr w:type="spellStart"/>
      <w:r>
        <w:rPr>
          <w:rFonts w:ascii="Times New Roman" w:eastAsia="Times New Roman" w:hAnsi="Times New Roman" w:cs="Times New Roman"/>
          <w:color w:val="222222"/>
          <w:sz w:val="24"/>
          <w:szCs w:val="24"/>
          <w:highlight w:val="white"/>
        </w:rPr>
        <w:t>Agi-IIochi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Madugba</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Taiwo</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Ayomide</w:t>
      </w:r>
      <w:proofErr w:type="spellEnd"/>
      <w:r>
        <w:rPr>
          <w:rFonts w:ascii="Times New Roman" w:eastAsia="Times New Roman" w:hAnsi="Times New Roman" w:cs="Times New Roman"/>
          <w:color w:val="222222"/>
          <w:sz w:val="24"/>
          <w:szCs w:val="24"/>
          <w:highlight w:val="white"/>
        </w:rPr>
        <w:t>, I., 2022. Budgeting approaches and employee motivation in the hospitality industry. </w:t>
      </w:r>
      <w:r>
        <w:rPr>
          <w:rFonts w:ascii="Times New Roman" w:eastAsia="Times New Roman" w:hAnsi="Times New Roman" w:cs="Times New Roman"/>
          <w:i/>
          <w:color w:val="222222"/>
          <w:sz w:val="24"/>
          <w:szCs w:val="24"/>
          <w:highlight w:val="white"/>
        </w:rPr>
        <w:t xml:space="preserve">Problems </w:t>
      </w:r>
      <w:r>
        <w:rPr>
          <w:rFonts w:ascii="Times New Roman" w:eastAsia="Times New Roman" w:hAnsi="Times New Roman" w:cs="Times New Roman"/>
          <w:i/>
          <w:color w:val="222222"/>
          <w:sz w:val="24"/>
          <w:szCs w:val="24"/>
          <w:highlight w:val="white"/>
        </w:rPr>
        <w:t>and Perspectives in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(4), pp.602-613.</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FABIYANI, N.N., SUDIRO, A., MOKO, W. and SOELTON, M., 2021. Conceptualizing the role of work engagement: a case study of the hotel sector in Surabaya during the COVID-19. </w:t>
      </w:r>
      <w:r>
        <w:rPr>
          <w:rFonts w:ascii="Times New Roman" w:eastAsia="Times New Roman" w:hAnsi="Times New Roman" w:cs="Times New Roman"/>
          <w:i/>
          <w:color w:val="222222"/>
          <w:sz w:val="24"/>
          <w:szCs w:val="24"/>
          <w:highlight w:val="white"/>
        </w:rPr>
        <w:t>The Journal of Asian Finance, Economics and Business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(5), pp.485-494.</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Franco, S., </w:t>
      </w:r>
      <w:proofErr w:type="spellStart"/>
      <w:r>
        <w:rPr>
          <w:rFonts w:ascii="Times New Roman" w:eastAsia="Times New Roman" w:hAnsi="Times New Roman" w:cs="Times New Roman"/>
          <w:color w:val="222222"/>
          <w:sz w:val="24"/>
          <w:szCs w:val="24"/>
          <w:highlight w:val="white"/>
        </w:rPr>
        <w:t>Caroli</w:t>
      </w:r>
      <w:proofErr w:type="spellEnd"/>
      <w:r>
        <w:rPr>
          <w:rFonts w:ascii="Times New Roman" w:eastAsia="Times New Roman" w:hAnsi="Times New Roman" w:cs="Times New Roman"/>
          <w:color w:val="222222"/>
          <w:sz w:val="24"/>
          <w:szCs w:val="24"/>
          <w:highlight w:val="white"/>
        </w:rPr>
        <w:t xml:space="preserve">, M.G., </w:t>
      </w:r>
      <w:proofErr w:type="spellStart"/>
      <w:r>
        <w:rPr>
          <w:rFonts w:ascii="Times New Roman" w:eastAsia="Times New Roman" w:hAnsi="Times New Roman" w:cs="Times New Roman"/>
          <w:color w:val="222222"/>
          <w:sz w:val="24"/>
          <w:szCs w:val="24"/>
          <w:highlight w:val="white"/>
        </w:rPr>
        <w:t>Cappa</w:t>
      </w:r>
      <w:proofErr w:type="spellEnd"/>
      <w:r>
        <w:rPr>
          <w:rFonts w:ascii="Times New Roman" w:eastAsia="Times New Roman" w:hAnsi="Times New Roman" w:cs="Times New Roman"/>
          <w:color w:val="222222"/>
          <w:sz w:val="24"/>
          <w:szCs w:val="24"/>
          <w:highlight w:val="white"/>
        </w:rPr>
        <w:t xml:space="preserve">, F. and Del </w:t>
      </w:r>
      <w:proofErr w:type="spellStart"/>
      <w:r>
        <w:rPr>
          <w:rFonts w:ascii="Times New Roman" w:eastAsia="Times New Roman" w:hAnsi="Times New Roman" w:cs="Times New Roman"/>
          <w:color w:val="222222"/>
          <w:sz w:val="24"/>
          <w:szCs w:val="24"/>
          <w:highlight w:val="white"/>
        </w:rPr>
        <w:t>Chiappa</w:t>
      </w:r>
      <w:proofErr w:type="spellEnd"/>
      <w:r>
        <w:rPr>
          <w:rFonts w:ascii="Times New Roman" w:eastAsia="Times New Roman" w:hAnsi="Times New Roman" w:cs="Times New Roman"/>
          <w:color w:val="222222"/>
          <w:sz w:val="24"/>
          <w:szCs w:val="24"/>
          <w:highlight w:val="white"/>
        </w:rPr>
        <w:t>, G., 2020. Are you good enough? CSR, quality management and corporate financial performance in the hospitality industry. </w:t>
      </w:r>
      <w:r>
        <w:rPr>
          <w:rFonts w:ascii="Times New Roman" w:eastAsia="Times New Roman" w:hAnsi="Times New Roman" w:cs="Times New Roman"/>
          <w:i/>
          <w:color w:val="222222"/>
          <w:sz w:val="24"/>
          <w:szCs w:val="24"/>
          <w:highlight w:val="white"/>
        </w:rPr>
        <w:t>Internation</w:t>
      </w:r>
      <w:r>
        <w:rPr>
          <w:rFonts w:ascii="Times New Roman" w:eastAsia="Times New Roman" w:hAnsi="Times New Roman" w:cs="Times New Roman"/>
          <w:i/>
          <w:color w:val="222222"/>
          <w:sz w:val="24"/>
          <w:szCs w:val="24"/>
          <w:highlight w:val="white"/>
        </w:rPr>
        <w:t>al Journal of Hospitality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88</w:t>
      </w:r>
      <w:r>
        <w:rPr>
          <w:rFonts w:ascii="Times New Roman" w:eastAsia="Times New Roman" w:hAnsi="Times New Roman" w:cs="Times New Roman"/>
          <w:color w:val="222222"/>
          <w:sz w:val="24"/>
          <w:szCs w:val="24"/>
          <w:highlight w:val="white"/>
        </w:rPr>
        <w:t>, p.102395.</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Grundy, T., Johnson, G. and Scholes, K., 2022. Strategic Financial Management. </w:t>
      </w:r>
      <w:r>
        <w:rPr>
          <w:rFonts w:ascii="Times New Roman" w:eastAsia="Times New Roman" w:hAnsi="Times New Roman" w:cs="Times New Roman"/>
          <w:i/>
          <w:color w:val="222222"/>
          <w:sz w:val="24"/>
          <w:szCs w:val="24"/>
          <w:highlight w:val="white"/>
        </w:rPr>
        <w:t xml:space="preserve">Bachelor of Business Administration </w:t>
      </w:r>
      <w:proofErr w:type="spellStart"/>
      <w:r>
        <w:rPr>
          <w:rFonts w:ascii="Times New Roman" w:eastAsia="Times New Roman" w:hAnsi="Times New Roman" w:cs="Times New Roman"/>
          <w:i/>
          <w:color w:val="222222"/>
          <w:sz w:val="24"/>
          <w:szCs w:val="24"/>
          <w:highlight w:val="white"/>
        </w:rPr>
        <w:t>Programme</w:t>
      </w:r>
      <w:proofErr w:type="spellEnd"/>
      <w:r>
        <w:rPr>
          <w:rFonts w:ascii="Times New Roman" w:eastAsia="Times New Roman" w:hAnsi="Times New Roman" w:cs="Times New Roman"/>
          <w:i/>
          <w:color w:val="222222"/>
          <w:sz w:val="24"/>
          <w:szCs w:val="24"/>
          <w:highlight w:val="white"/>
        </w:rPr>
        <w:t xml:space="preserve"> Code: BBA Duration–3 Years Full Time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Hamza, P.A., Hamad, H.A., </w:t>
      </w:r>
      <w:proofErr w:type="spellStart"/>
      <w:r>
        <w:rPr>
          <w:rFonts w:ascii="Times New Roman" w:eastAsia="Times New Roman" w:hAnsi="Times New Roman" w:cs="Times New Roman"/>
          <w:color w:val="222222"/>
          <w:sz w:val="24"/>
          <w:szCs w:val="24"/>
          <w:highlight w:val="white"/>
        </w:rPr>
        <w:t>Qader</w:t>
      </w:r>
      <w:proofErr w:type="spellEnd"/>
      <w:r>
        <w:rPr>
          <w:rFonts w:ascii="Times New Roman" w:eastAsia="Times New Roman" w:hAnsi="Times New Roman" w:cs="Times New Roman"/>
          <w:color w:val="222222"/>
          <w:sz w:val="24"/>
          <w:szCs w:val="24"/>
          <w:highlight w:val="white"/>
        </w:rPr>
        <w:t xml:space="preserve">, K.S., </w:t>
      </w:r>
      <w:proofErr w:type="spellStart"/>
      <w:r>
        <w:rPr>
          <w:rFonts w:ascii="Times New Roman" w:eastAsia="Times New Roman" w:hAnsi="Times New Roman" w:cs="Times New Roman"/>
          <w:color w:val="222222"/>
          <w:sz w:val="24"/>
          <w:szCs w:val="24"/>
          <w:highlight w:val="white"/>
        </w:rPr>
        <w:t>Gardi</w:t>
      </w:r>
      <w:proofErr w:type="spellEnd"/>
      <w:r>
        <w:rPr>
          <w:rFonts w:ascii="Times New Roman" w:eastAsia="Times New Roman" w:hAnsi="Times New Roman" w:cs="Times New Roman"/>
          <w:color w:val="222222"/>
          <w:sz w:val="24"/>
          <w:szCs w:val="24"/>
          <w:highlight w:val="white"/>
        </w:rPr>
        <w:t>, B. and Anwar, G., 2021. Management of outsourcing and its relationship with hotels’ performance: An empirical analysis of selected hotels in Erbil. </w:t>
      </w:r>
      <w:r>
        <w:rPr>
          <w:rFonts w:ascii="Times New Roman" w:eastAsia="Times New Roman" w:hAnsi="Times New Roman" w:cs="Times New Roman"/>
          <w:i/>
          <w:color w:val="222222"/>
          <w:sz w:val="24"/>
          <w:szCs w:val="24"/>
          <w:highlight w:val="white"/>
        </w:rPr>
        <w:t>International Journal of Advanced Engineering Research and Sci</w:t>
      </w:r>
      <w:r>
        <w:rPr>
          <w:rFonts w:ascii="Times New Roman" w:eastAsia="Times New Roman" w:hAnsi="Times New Roman" w:cs="Times New Roman"/>
          <w:i/>
          <w:color w:val="222222"/>
          <w:sz w:val="24"/>
          <w:szCs w:val="24"/>
          <w:highlight w:val="white"/>
        </w:rPr>
        <w:t>ence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(10).</w:t>
      </w:r>
    </w:p>
    <w:p w:rsidR="007C392D" w:rsidRDefault="00A93D1D">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Ivanov, S. and Webster, C., 2019. Economic fundamentals of the use of robots, artificial intelligence, and service automation in travel, tourism, and hospitality. In </w:t>
      </w:r>
      <w:r>
        <w:rPr>
          <w:rFonts w:ascii="Times New Roman" w:eastAsia="Times New Roman" w:hAnsi="Times New Roman" w:cs="Times New Roman"/>
          <w:i/>
          <w:color w:val="222222"/>
          <w:sz w:val="24"/>
          <w:szCs w:val="24"/>
          <w:highlight w:val="white"/>
        </w:rPr>
        <w:t>Robots, artificial intelligence, and service automation in travel, tourism an</w:t>
      </w:r>
      <w:r>
        <w:rPr>
          <w:rFonts w:ascii="Times New Roman" w:eastAsia="Times New Roman" w:hAnsi="Times New Roman" w:cs="Times New Roman"/>
          <w:i/>
          <w:color w:val="222222"/>
          <w:sz w:val="24"/>
          <w:szCs w:val="24"/>
          <w:highlight w:val="white"/>
        </w:rPr>
        <w:t>d hospitality</w:t>
      </w:r>
      <w:r>
        <w:rPr>
          <w:rFonts w:ascii="Times New Roman" w:eastAsia="Times New Roman" w:hAnsi="Times New Roman" w:cs="Times New Roman"/>
          <w:color w:val="222222"/>
          <w:sz w:val="24"/>
          <w:szCs w:val="24"/>
          <w:highlight w:val="white"/>
        </w:rPr>
        <w:t>. Emerald Publishing limited.</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Ivanov, S., 2019. Ultimate transformation: how will automation technologies disrupt the travel, tourism and hospitality industries</w:t>
      </w:r>
      <w:proofErr w:type="gramStart"/>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w:t>
      </w:r>
      <w:proofErr w:type="spellStart"/>
      <w:r>
        <w:rPr>
          <w:rFonts w:ascii="Times New Roman" w:eastAsia="Times New Roman" w:hAnsi="Times New Roman" w:cs="Times New Roman"/>
          <w:i/>
          <w:color w:val="222222"/>
          <w:sz w:val="24"/>
          <w:szCs w:val="24"/>
          <w:highlight w:val="white"/>
        </w:rPr>
        <w:t>Zeitschrift</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für</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Tourismuswissenschaft</w:t>
      </w:r>
      <w:proofErr w:type="spell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pp.25-43.</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Panno</w:t>
      </w:r>
      <w:proofErr w:type="spellEnd"/>
      <w:r>
        <w:rPr>
          <w:rFonts w:ascii="Times New Roman" w:eastAsia="Times New Roman" w:hAnsi="Times New Roman" w:cs="Times New Roman"/>
          <w:color w:val="222222"/>
          <w:sz w:val="24"/>
          <w:szCs w:val="24"/>
          <w:highlight w:val="white"/>
        </w:rPr>
        <w:t>, A., 2020. Perform</w:t>
      </w:r>
      <w:r>
        <w:rPr>
          <w:rFonts w:ascii="Times New Roman" w:eastAsia="Times New Roman" w:hAnsi="Times New Roman" w:cs="Times New Roman"/>
          <w:color w:val="222222"/>
          <w:sz w:val="24"/>
          <w:szCs w:val="24"/>
          <w:highlight w:val="white"/>
        </w:rPr>
        <w:t>ance measurement and management in small companies of the service sector; evidence from a sample of Italian hotels. </w:t>
      </w:r>
      <w:r>
        <w:rPr>
          <w:rFonts w:ascii="Times New Roman" w:eastAsia="Times New Roman" w:hAnsi="Times New Roman" w:cs="Times New Roman"/>
          <w:i/>
          <w:color w:val="222222"/>
          <w:sz w:val="24"/>
          <w:szCs w:val="24"/>
          <w:highlight w:val="white"/>
        </w:rPr>
        <w:t>Measuring business excellence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(2), pp.133-160.</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Polukhina</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Sheresheva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Efremova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Suranova</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Agalakova</w:t>
      </w:r>
      <w:proofErr w:type="spellEnd"/>
      <w:r>
        <w:rPr>
          <w:rFonts w:ascii="Times New Roman" w:eastAsia="Times New Roman" w:hAnsi="Times New Roman" w:cs="Times New Roman"/>
          <w:color w:val="222222"/>
          <w:sz w:val="24"/>
          <w:szCs w:val="24"/>
          <w:highlight w:val="white"/>
        </w:rPr>
        <w:t xml:space="preserve">, O. and </w:t>
      </w:r>
      <w:proofErr w:type="spellStart"/>
      <w:r>
        <w:rPr>
          <w:rFonts w:ascii="Times New Roman" w:eastAsia="Times New Roman" w:hAnsi="Times New Roman" w:cs="Times New Roman"/>
          <w:color w:val="222222"/>
          <w:sz w:val="24"/>
          <w:szCs w:val="24"/>
          <w:highlight w:val="white"/>
        </w:rPr>
        <w:t>Antonov-Ovsee</w:t>
      </w:r>
      <w:r>
        <w:rPr>
          <w:rFonts w:ascii="Times New Roman" w:eastAsia="Times New Roman" w:hAnsi="Times New Roman" w:cs="Times New Roman"/>
          <w:color w:val="222222"/>
          <w:sz w:val="24"/>
          <w:szCs w:val="24"/>
          <w:highlight w:val="white"/>
        </w:rPr>
        <w:t>nko</w:t>
      </w:r>
      <w:proofErr w:type="spellEnd"/>
      <w:r>
        <w:rPr>
          <w:rFonts w:ascii="Times New Roman" w:eastAsia="Times New Roman" w:hAnsi="Times New Roman" w:cs="Times New Roman"/>
          <w:color w:val="222222"/>
          <w:sz w:val="24"/>
          <w:szCs w:val="24"/>
          <w:highlight w:val="white"/>
        </w:rPr>
        <w:t>, A., 2021. The concept of sustainable rural tourism development in the face of COVID-19 crisis: Evidence from Russia. </w:t>
      </w:r>
      <w:r>
        <w:rPr>
          <w:rFonts w:ascii="Times New Roman" w:eastAsia="Times New Roman" w:hAnsi="Times New Roman" w:cs="Times New Roman"/>
          <w:i/>
          <w:color w:val="222222"/>
          <w:sz w:val="24"/>
          <w:szCs w:val="24"/>
          <w:highlight w:val="white"/>
        </w:rPr>
        <w:t>Journal of Risk and Financial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 p.38.</w:t>
      </w:r>
    </w:p>
    <w:p w:rsidR="007C392D" w:rsidRDefault="00A93D1D">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Vivel-Búa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Lado-Sestayo</w:t>
      </w:r>
      <w:proofErr w:type="spellEnd"/>
      <w:r>
        <w:rPr>
          <w:rFonts w:ascii="Times New Roman" w:eastAsia="Times New Roman" w:hAnsi="Times New Roman" w:cs="Times New Roman"/>
          <w:color w:val="222222"/>
          <w:sz w:val="24"/>
          <w:szCs w:val="24"/>
          <w:highlight w:val="white"/>
        </w:rPr>
        <w:t>, R. and Otero-González, L., 2019. Influence of firm</w:t>
      </w:r>
      <w:r>
        <w:rPr>
          <w:rFonts w:ascii="Times New Roman" w:eastAsia="Times New Roman" w:hAnsi="Times New Roman" w:cs="Times New Roman"/>
          <w:color w:val="222222"/>
          <w:sz w:val="24"/>
          <w:szCs w:val="24"/>
          <w:highlight w:val="white"/>
        </w:rPr>
        <w:t xml:space="preserve"> characteristics and the environment on hotel survival across MSMES segments during the 2007–2015 period.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75</w:t>
      </w:r>
      <w:r>
        <w:rPr>
          <w:rFonts w:ascii="Times New Roman" w:eastAsia="Times New Roman" w:hAnsi="Times New Roman" w:cs="Times New Roman"/>
          <w:color w:val="222222"/>
          <w:sz w:val="24"/>
          <w:szCs w:val="24"/>
          <w:highlight w:val="white"/>
        </w:rPr>
        <w:t>, pp.477-490.</w:t>
      </w:r>
    </w:p>
    <w:p w:rsidR="007C392D" w:rsidRDefault="007C392D">
      <w:pPr>
        <w:spacing w:line="360" w:lineRule="auto"/>
        <w:ind w:left="720" w:hanging="720"/>
        <w:jc w:val="both"/>
        <w:rPr>
          <w:rFonts w:ascii="Times New Roman" w:eastAsia="Times New Roman" w:hAnsi="Times New Roman" w:cs="Times New Roman"/>
          <w:color w:val="222222"/>
          <w:sz w:val="24"/>
          <w:szCs w:val="24"/>
          <w:highlight w:val="white"/>
        </w:rPr>
      </w:pPr>
    </w:p>
    <w:p w:rsidR="007C392D" w:rsidRDefault="007C392D">
      <w:pPr>
        <w:spacing w:line="360" w:lineRule="auto"/>
        <w:ind w:left="720" w:hanging="720"/>
        <w:jc w:val="both"/>
        <w:rPr>
          <w:rFonts w:ascii="Times New Roman" w:eastAsia="Times New Roman" w:hAnsi="Times New Roman" w:cs="Times New Roman"/>
          <w:color w:val="222222"/>
          <w:sz w:val="24"/>
          <w:szCs w:val="24"/>
          <w:highlight w:val="white"/>
        </w:rPr>
      </w:pPr>
    </w:p>
    <w:p w:rsidR="007C392D" w:rsidRDefault="007C392D">
      <w:pPr>
        <w:spacing w:line="360" w:lineRule="auto"/>
        <w:ind w:left="720" w:hanging="720"/>
        <w:jc w:val="both"/>
        <w:rPr>
          <w:rFonts w:ascii="Times New Roman" w:eastAsia="Times New Roman" w:hAnsi="Times New Roman" w:cs="Times New Roman"/>
          <w:color w:val="222222"/>
          <w:sz w:val="24"/>
          <w:szCs w:val="24"/>
          <w:highlight w:val="white"/>
        </w:rPr>
      </w:pPr>
    </w:p>
    <w:p w:rsidR="007C392D" w:rsidRDefault="007C392D">
      <w:pPr>
        <w:spacing w:line="360" w:lineRule="auto"/>
        <w:ind w:left="720" w:hanging="720"/>
        <w:jc w:val="both"/>
        <w:rPr>
          <w:rFonts w:ascii="Times New Roman" w:eastAsia="Times New Roman" w:hAnsi="Times New Roman" w:cs="Times New Roman"/>
          <w:color w:val="222222"/>
          <w:sz w:val="24"/>
          <w:szCs w:val="24"/>
          <w:highlight w:val="white"/>
        </w:rPr>
      </w:pPr>
    </w:p>
    <w:p w:rsidR="007C392D" w:rsidRDefault="007C392D">
      <w:pPr>
        <w:spacing w:line="360" w:lineRule="auto"/>
        <w:ind w:left="720" w:hanging="720"/>
        <w:jc w:val="both"/>
        <w:rPr>
          <w:rFonts w:ascii="Times New Roman" w:eastAsia="Times New Roman" w:hAnsi="Times New Roman" w:cs="Times New Roman"/>
          <w:color w:val="222222"/>
          <w:sz w:val="24"/>
          <w:szCs w:val="24"/>
          <w:highlight w:val="white"/>
        </w:rPr>
      </w:pPr>
    </w:p>
    <w:p w:rsidR="007C392D" w:rsidRDefault="007C392D">
      <w:pPr>
        <w:spacing w:line="360" w:lineRule="auto"/>
        <w:ind w:left="720" w:hanging="720"/>
        <w:jc w:val="both"/>
        <w:rPr>
          <w:rFonts w:ascii="Times New Roman" w:eastAsia="Times New Roman" w:hAnsi="Times New Roman" w:cs="Times New Roman"/>
          <w:color w:val="222222"/>
          <w:sz w:val="24"/>
          <w:szCs w:val="24"/>
          <w:highlight w:val="white"/>
        </w:rPr>
      </w:pPr>
    </w:p>
    <w:p w:rsidR="007C392D" w:rsidRDefault="00A93D1D">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Appendix </w:t>
      </w:r>
    </w:p>
    <w:p w:rsidR="007C392D" w:rsidRDefault="00A93D1D">
      <w:r>
        <w:rPr>
          <w:rFonts w:ascii="Times New Roman" w:eastAsia="Times New Roman" w:hAnsi="Times New Roman" w:cs="Times New Roman"/>
          <w:noProof/>
          <w:sz w:val="24"/>
          <w:szCs w:val="24"/>
          <w:lang w:val="en-GB"/>
        </w:rPr>
        <w:lastRenderedPageBreak/>
        <w:drawing>
          <wp:inline distT="0" distB="0" distL="0" distR="0">
            <wp:extent cx="5980297" cy="6293386"/>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80297" cy="6293386"/>
                    </a:xfrm>
                    <a:prstGeom prst="rect">
                      <a:avLst/>
                    </a:prstGeom>
                    <a:ln/>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lang w:val="en-GB"/>
        </w:rPr>
        <w:lastRenderedPageBreak/>
        <w:drawing>
          <wp:inline distT="0" distB="0" distL="0" distR="0">
            <wp:extent cx="5934075" cy="6791325"/>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34075" cy="6791325"/>
                    </a:xfrm>
                    <a:prstGeom prst="rect">
                      <a:avLst/>
                    </a:prstGeom>
                    <a:ln/>
                  </pic:spPr>
                </pic:pic>
              </a:graphicData>
            </a:graphic>
          </wp:inline>
        </w:drawing>
      </w:r>
    </w:p>
    <w:p w:rsidR="007C392D" w:rsidRDefault="00A93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extent cx="5943600" cy="5476875"/>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5476875"/>
                    </a:xfrm>
                    <a:prstGeom prst="rect">
                      <a:avLst/>
                    </a:prstGeom>
                    <a:ln/>
                  </pic:spPr>
                </pic:pic>
              </a:graphicData>
            </a:graphic>
          </wp:inline>
        </w:drawing>
      </w:r>
    </w:p>
    <w:p w:rsidR="007C392D" w:rsidRDefault="00A93D1D">
      <w:pPr>
        <w:spacing w:line="360" w:lineRule="auto"/>
        <w:jc w:val="both"/>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noProof/>
          <w:sz w:val="24"/>
          <w:szCs w:val="24"/>
          <w:lang w:val="en-GB"/>
        </w:rPr>
        <w:lastRenderedPageBreak/>
        <w:drawing>
          <wp:inline distT="0" distB="0" distL="0" distR="0">
            <wp:extent cx="5943600" cy="413385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943600" cy="4133850"/>
                    </a:xfrm>
                    <a:prstGeom prst="rect">
                      <a:avLst/>
                    </a:prstGeom>
                    <a:ln/>
                  </pic:spPr>
                </pic:pic>
              </a:graphicData>
            </a:graphic>
          </wp:inline>
        </w:drawing>
      </w:r>
    </w:p>
    <w:sectPr w:rsidR="007C392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92D"/>
    <w:rsid w:val="007C392D"/>
    <w:rsid w:val="00A93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2DFB8E-EF0B-478E-BC40-758509B03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en-US" w:eastAsia="en-GB"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Bdr>
        <w:top w:val="single" w:sz="24" w:space="0" w:color="4472C4"/>
        <w:left w:val="single" w:sz="24" w:space="0" w:color="4472C4"/>
        <w:bottom w:val="single" w:sz="24" w:space="0" w:color="4472C4"/>
        <w:right w:val="single" w:sz="24" w:space="0" w:color="4472C4"/>
      </w:pBdr>
      <w:shd w:val="clear" w:color="auto" w:fill="4472C4"/>
      <w:spacing w:after="0"/>
      <w:outlineLvl w:val="0"/>
    </w:pPr>
    <w:rPr>
      <w:b/>
      <w:i/>
      <w:smallCaps/>
      <w:sz w:val="28"/>
      <w:szCs w:val="28"/>
    </w:rPr>
  </w:style>
  <w:style w:type="paragraph" w:styleId="Heading2">
    <w:name w:val="heading 2"/>
    <w:basedOn w:val="Normal"/>
    <w:next w:val="Normal"/>
    <w:pPr>
      <w:pBdr>
        <w:top w:val="single" w:sz="24" w:space="0" w:color="D9E2F3"/>
        <w:left w:val="single" w:sz="24" w:space="0" w:color="D9E2F3"/>
        <w:bottom w:val="single" w:sz="24" w:space="0" w:color="D9E2F3"/>
        <w:right w:val="single" w:sz="24" w:space="0" w:color="D9E2F3"/>
      </w:pBdr>
      <w:shd w:val="clear" w:color="auto" w:fill="D9E2F3"/>
      <w:spacing w:after="0"/>
      <w:outlineLvl w:val="1"/>
    </w:pPr>
    <w:rPr>
      <w:smallCaps/>
      <w:sz w:val="24"/>
      <w:szCs w:val="24"/>
      <w:u w:val="single"/>
    </w:rPr>
  </w:style>
  <w:style w:type="paragraph" w:styleId="Heading3">
    <w:name w:val="heading 3"/>
    <w:basedOn w:val="Normal"/>
    <w:next w:val="Normal"/>
    <w:pPr>
      <w:pBdr>
        <w:top w:val="single" w:sz="6" w:space="2" w:color="4472C4"/>
      </w:pBdr>
      <w:spacing w:before="300" w:after="0"/>
      <w:outlineLvl w:val="2"/>
    </w:pPr>
    <w:rPr>
      <w:smallCaps/>
      <w:color w:val="1F3863"/>
    </w:rPr>
  </w:style>
  <w:style w:type="paragraph" w:styleId="Heading4">
    <w:name w:val="heading 4"/>
    <w:basedOn w:val="Normal"/>
    <w:next w:val="Normal"/>
    <w:pPr>
      <w:pBdr>
        <w:top w:val="dotted" w:sz="6" w:space="2" w:color="4472C4"/>
      </w:pBdr>
      <w:spacing w:before="200" w:after="0"/>
      <w:outlineLvl w:val="3"/>
    </w:pPr>
    <w:rPr>
      <w:smallCaps/>
      <w:color w:val="2F5496"/>
    </w:rPr>
  </w:style>
  <w:style w:type="paragraph" w:styleId="Heading5">
    <w:name w:val="heading 5"/>
    <w:basedOn w:val="Normal"/>
    <w:next w:val="Normal"/>
    <w:pPr>
      <w:pBdr>
        <w:bottom w:val="single" w:sz="6" w:space="1" w:color="4472C4"/>
      </w:pBdr>
      <w:spacing w:before="200" w:after="0"/>
      <w:outlineLvl w:val="4"/>
    </w:pPr>
    <w:rPr>
      <w:smallCaps/>
      <w:color w:val="2F5496"/>
    </w:rPr>
  </w:style>
  <w:style w:type="paragraph" w:styleId="Heading6">
    <w:name w:val="heading 6"/>
    <w:basedOn w:val="Normal"/>
    <w:next w:val="Normal"/>
    <w:pPr>
      <w:pBdr>
        <w:bottom w:val="dotted" w:sz="6" w:space="1" w:color="4472C4"/>
      </w:pBdr>
      <w:spacing w:before="200" w:after="0"/>
      <w:outlineLvl w:val="5"/>
    </w:pPr>
    <w:rPr>
      <w:smallCap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0" w:after="0"/>
    </w:pPr>
    <w:rPr>
      <w:smallCaps/>
      <w:color w:val="4472C4"/>
      <w:sz w:val="52"/>
      <w:szCs w:val="52"/>
    </w:rPr>
  </w:style>
  <w:style w:type="paragraph" w:styleId="Subtitle">
    <w:name w:val="Subtitle"/>
    <w:basedOn w:val="Normal"/>
    <w:next w:val="Normal"/>
    <w:pPr>
      <w:spacing w:before="0" w:after="500" w:line="240" w:lineRule="auto"/>
    </w:pPr>
    <w:rPr>
      <w:smallCaps/>
      <w:color w:val="595959"/>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office%202016-2019\2023\May%202023\Amendment\FM\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Revenue Growth</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0.11609492563429571"/>
          <c:y val="0.19486111111111112"/>
          <c:w val="0.85334951881014875"/>
          <c:h val="0.77736111111111106"/>
        </c:manualLayout>
      </c:layout>
      <c:barChart>
        <c:barDir val="col"/>
        <c:grouping val="stacked"/>
        <c:varyColors val="0"/>
        <c:ser>
          <c:idx val="0"/>
          <c:order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(Sheet1!$D$6:$E$6,Sheet1!$G$6:$H$6)</c:f>
              <c:numCache>
                <c:formatCode>General</c:formatCode>
                <c:ptCount val="4"/>
                <c:pt idx="0">
                  <c:v>2021</c:v>
                </c:pt>
                <c:pt idx="1">
                  <c:v>2022</c:v>
                </c:pt>
                <c:pt idx="2">
                  <c:v>2021</c:v>
                </c:pt>
                <c:pt idx="3">
                  <c:v>2022</c:v>
                </c:pt>
              </c:numCache>
            </c:numRef>
          </c:cat>
          <c:val>
            <c:numRef>
              <c:f>(Sheet1!$D$9:$E$9,Sheet1!$G$9:$H$9)</c:f>
              <c:numCache>
                <c:formatCode>0.0%</c:formatCode>
                <c:ptCount val="4"/>
                <c:pt idx="0">
                  <c:v>0.46563407550822844</c:v>
                </c:pt>
                <c:pt idx="1">
                  <c:v>0.94550858652575953</c:v>
                </c:pt>
                <c:pt idx="2" formatCode="0.00%">
                  <c:v>-0.12406015037593984</c:v>
                </c:pt>
                <c:pt idx="3" formatCode="0.00%">
                  <c:v>0.85598474010491177</c:v>
                </c:pt>
              </c:numCache>
            </c:numRef>
          </c:val>
          <c:extLst xmlns:c16r2="http://schemas.microsoft.com/office/drawing/2015/06/chart">
            <c:ext xmlns:c16="http://schemas.microsoft.com/office/drawing/2014/chart" uri="{C3380CC4-5D6E-409C-BE32-E72D297353CC}">
              <c16:uniqueId val="{00000000-104C-4778-A889-D7B4158463B8}"/>
            </c:ext>
          </c:extLst>
        </c:ser>
        <c:dLbls>
          <c:dLblPos val="ctr"/>
          <c:showLegendKey val="0"/>
          <c:showVal val="1"/>
          <c:showCatName val="0"/>
          <c:showSerName val="0"/>
          <c:showPercent val="0"/>
          <c:showBubbleSize val="0"/>
        </c:dLbls>
        <c:gapWidth val="150"/>
        <c:overlap val="100"/>
        <c:axId val="2108461600"/>
        <c:axId val="2108471936"/>
      </c:barChart>
      <c:catAx>
        <c:axId val="2108461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108471936"/>
        <c:crosses val="autoZero"/>
        <c:auto val="1"/>
        <c:lblAlgn val="ctr"/>
        <c:lblOffset val="100"/>
        <c:noMultiLvlLbl val="0"/>
      </c:catAx>
      <c:valAx>
        <c:axId val="210847193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10846160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2690</Words>
  <Characters>15337</Characters>
  <Application>Microsoft Office Word</Application>
  <DocSecurity>0</DocSecurity>
  <Lines>127</Lines>
  <Paragraphs>35</Paragraphs>
  <ScaleCrop>false</ScaleCrop>
  <Company/>
  <LinksUpToDate>false</LinksUpToDate>
  <CharactersWithSpaces>17992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2</cp:revision>
  <dcterms:created xsi:type="dcterms:W3CDTF">2023-05-21T10:33:00Z</dcterms:created>
  <dcterms:modified xsi:type="dcterms:W3CDTF">2023-05-21T10:34:00Z</dcterms:modified>
</cp:coreProperties>
</file>