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4E78E"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43E42B85" w14:textId="77777777" w:rsidR="00C34CC6" w:rsidRDefault="003E27FF" w:rsidP="003E27FF">
      <w:pPr>
        <w:spacing w:before="100" w:beforeAutospacing="1" w:after="100" w:afterAutospacing="1" w:line="360" w:lineRule="auto"/>
        <w:ind w:left="5040"/>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449012B6" wp14:editId="21793124">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E27FF" w:rsidRPr="00A72441" w14:paraId="627079A8" w14:textId="77777777" w:rsidTr="00833580">
        <w:trPr>
          <w:trHeight w:val="179"/>
          <w:jc w:val="center"/>
        </w:trPr>
        <w:tc>
          <w:tcPr>
            <w:tcW w:w="0" w:type="auto"/>
            <w:hideMark/>
          </w:tcPr>
          <w:p w14:paraId="23666DC0" w14:textId="77777777" w:rsidR="003E27FF" w:rsidRPr="00A72441" w:rsidRDefault="003E27FF" w:rsidP="00833580">
            <w:pPr>
              <w:tabs>
                <w:tab w:val="right" w:pos="2299"/>
              </w:tabs>
              <w:spacing w:line="360" w:lineRule="auto"/>
              <w:jc w:val="both"/>
              <w:rPr>
                <w:rFonts w:ascii="Arial" w:eastAsia="Times New Roman" w:hAnsi="Arial" w:cs="Arial"/>
                <w:b/>
                <w:bCs/>
              </w:rPr>
            </w:pPr>
            <w:r w:rsidRPr="00A72441">
              <w:rPr>
                <w:rFonts w:ascii="Arial" w:eastAsia="Times New Roman" w:hAnsi="Arial" w:cs="Arial"/>
                <w:b/>
                <w:bCs/>
              </w:rPr>
              <w:t>Student Name:</w:t>
            </w:r>
            <w:r w:rsidRPr="00A72441">
              <w:rPr>
                <w:rFonts w:ascii="Arial" w:eastAsia="Times New Roman" w:hAnsi="Arial" w:cs="Arial"/>
                <w:b/>
                <w:bCs/>
              </w:rPr>
              <w:tab/>
            </w:r>
          </w:p>
        </w:tc>
        <w:tc>
          <w:tcPr>
            <w:tcW w:w="5825" w:type="dxa"/>
            <w:hideMark/>
          </w:tcPr>
          <w:p w14:paraId="2B8D2FD3" w14:textId="77777777" w:rsidR="003E27FF" w:rsidRPr="00A72441" w:rsidRDefault="003E27FF" w:rsidP="00833580">
            <w:pPr>
              <w:spacing w:line="360" w:lineRule="auto"/>
              <w:jc w:val="both"/>
              <w:rPr>
                <w:rFonts w:ascii="Arial" w:eastAsia="Times New Roman" w:hAnsi="Arial" w:cs="Arial"/>
                <w:bCs/>
              </w:rPr>
            </w:pPr>
          </w:p>
        </w:tc>
      </w:tr>
      <w:tr w:rsidR="003E27FF" w:rsidRPr="00A72441" w14:paraId="7F41D4CD" w14:textId="77777777" w:rsidTr="00833580">
        <w:trPr>
          <w:jc w:val="center"/>
        </w:trPr>
        <w:tc>
          <w:tcPr>
            <w:tcW w:w="0" w:type="auto"/>
            <w:hideMark/>
          </w:tcPr>
          <w:p w14:paraId="0FF8113A" w14:textId="77777777" w:rsidR="003E27FF" w:rsidRPr="00A72441" w:rsidRDefault="003E27FF" w:rsidP="00833580">
            <w:pPr>
              <w:spacing w:line="360" w:lineRule="auto"/>
              <w:jc w:val="both"/>
              <w:rPr>
                <w:rFonts w:ascii="Arial" w:eastAsia="Times New Roman" w:hAnsi="Arial" w:cs="Arial"/>
              </w:rPr>
            </w:pPr>
            <w:r w:rsidRPr="00A72441">
              <w:rPr>
                <w:rFonts w:ascii="Arial" w:eastAsia="Times New Roman" w:hAnsi="Arial" w:cs="Arial"/>
                <w:b/>
                <w:bCs/>
              </w:rPr>
              <w:t>Student ID Number:</w:t>
            </w:r>
          </w:p>
        </w:tc>
        <w:tc>
          <w:tcPr>
            <w:tcW w:w="5825" w:type="dxa"/>
            <w:hideMark/>
          </w:tcPr>
          <w:p w14:paraId="3AB9A6D4" w14:textId="77777777" w:rsidR="003E27FF" w:rsidRPr="00A72441" w:rsidRDefault="003E27FF" w:rsidP="00833580">
            <w:pPr>
              <w:spacing w:line="360" w:lineRule="auto"/>
              <w:jc w:val="both"/>
              <w:rPr>
                <w:rFonts w:ascii="Arial" w:eastAsia="Times New Roman" w:hAnsi="Arial" w:cs="Arial"/>
              </w:rPr>
            </w:pPr>
          </w:p>
        </w:tc>
      </w:tr>
      <w:tr w:rsidR="003E27FF" w:rsidRPr="00A72441" w14:paraId="2D5542A9" w14:textId="77777777" w:rsidTr="00833580">
        <w:trPr>
          <w:jc w:val="center"/>
        </w:trPr>
        <w:tc>
          <w:tcPr>
            <w:tcW w:w="0" w:type="auto"/>
            <w:hideMark/>
          </w:tcPr>
          <w:p w14:paraId="1B8DA8BF" w14:textId="77777777" w:rsidR="003E27FF" w:rsidRPr="00A72441" w:rsidRDefault="003E27FF" w:rsidP="00833580">
            <w:pPr>
              <w:spacing w:line="360" w:lineRule="auto"/>
              <w:jc w:val="both"/>
              <w:rPr>
                <w:rFonts w:ascii="Arial" w:eastAsia="Times New Roman" w:hAnsi="Arial" w:cs="Arial"/>
              </w:rPr>
            </w:pPr>
            <w:proofErr w:type="spellStart"/>
            <w:r w:rsidRPr="00A72441">
              <w:rPr>
                <w:rFonts w:ascii="Arial" w:eastAsia="Times New Roman" w:hAnsi="Arial" w:cs="Arial"/>
                <w:b/>
                <w:bCs/>
              </w:rPr>
              <w:t>Programme</w:t>
            </w:r>
            <w:proofErr w:type="spellEnd"/>
            <w:r w:rsidRPr="00A72441">
              <w:rPr>
                <w:rFonts w:ascii="Arial" w:eastAsia="Times New Roman" w:hAnsi="Arial" w:cs="Arial"/>
                <w:b/>
                <w:bCs/>
              </w:rPr>
              <w:t>:</w:t>
            </w:r>
          </w:p>
        </w:tc>
        <w:tc>
          <w:tcPr>
            <w:tcW w:w="5825" w:type="dxa"/>
            <w:hideMark/>
          </w:tcPr>
          <w:p w14:paraId="248F6CFF" w14:textId="77777777" w:rsidR="003E27FF" w:rsidRPr="00A72441" w:rsidRDefault="003E27FF" w:rsidP="00833580">
            <w:pPr>
              <w:spacing w:line="360" w:lineRule="auto"/>
              <w:jc w:val="both"/>
              <w:rPr>
                <w:rFonts w:ascii="Arial" w:eastAsia="Times New Roman" w:hAnsi="Arial" w:cs="Arial"/>
                <w:b/>
              </w:rPr>
            </w:pPr>
            <w:r w:rsidRPr="00A72441">
              <w:rPr>
                <w:rFonts w:ascii="Arial" w:hAnsi="Arial" w:cs="Arial"/>
                <w:b/>
              </w:rPr>
              <w:t>Certificate of Higher Education Skills for the Workplace (Health &amp; Social Care)</w:t>
            </w:r>
          </w:p>
        </w:tc>
      </w:tr>
      <w:tr w:rsidR="003E27FF" w:rsidRPr="00A72441" w14:paraId="6D17FF6B" w14:textId="77777777" w:rsidTr="00833580">
        <w:trPr>
          <w:jc w:val="center"/>
        </w:trPr>
        <w:tc>
          <w:tcPr>
            <w:tcW w:w="0" w:type="auto"/>
            <w:hideMark/>
          </w:tcPr>
          <w:p w14:paraId="3AEB26EF" w14:textId="77777777" w:rsidR="003E27FF" w:rsidRPr="00A72441" w:rsidRDefault="003E27FF" w:rsidP="00833580">
            <w:pPr>
              <w:spacing w:line="360" w:lineRule="auto"/>
              <w:jc w:val="both"/>
              <w:rPr>
                <w:rFonts w:ascii="Arial" w:eastAsia="Times New Roman" w:hAnsi="Arial" w:cs="Arial"/>
              </w:rPr>
            </w:pPr>
            <w:r w:rsidRPr="00A72441">
              <w:rPr>
                <w:rFonts w:ascii="Arial" w:eastAsia="Times New Roman" w:hAnsi="Arial" w:cs="Arial"/>
                <w:b/>
                <w:bCs/>
              </w:rPr>
              <w:t>Module Title:</w:t>
            </w:r>
          </w:p>
        </w:tc>
        <w:tc>
          <w:tcPr>
            <w:tcW w:w="5825" w:type="dxa"/>
            <w:hideMark/>
          </w:tcPr>
          <w:p w14:paraId="6A417AFC" w14:textId="77777777" w:rsidR="003E27FF" w:rsidRPr="00A72441" w:rsidRDefault="003E27FF" w:rsidP="00833580">
            <w:pPr>
              <w:spacing w:line="360" w:lineRule="auto"/>
              <w:jc w:val="both"/>
              <w:rPr>
                <w:rFonts w:ascii="Arial" w:eastAsia="Times New Roman" w:hAnsi="Arial" w:cs="Arial"/>
                <w:b/>
              </w:rPr>
            </w:pPr>
            <w:r w:rsidRPr="00A72441">
              <w:rPr>
                <w:rFonts w:ascii="Arial" w:hAnsi="Arial" w:cs="Arial"/>
                <w:b/>
              </w:rPr>
              <w:t>Introduction to Health</w:t>
            </w:r>
            <w:r>
              <w:rPr>
                <w:rFonts w:ascii="Arial" w:hAnsi="Arial" w:cs="Arial"/>
                <w:b/>
              </w:rPr>
              <w:t xml:space="preserve"> and Social Care</w:t>
            </w:r>
          </w:p>
        </w:tc>
      </w:tr>
      <w:tr w:rsidR="003E27FF" w:rsidRPr="00A72441" w14:paraId="5F0E4BED" w14:textId="77777777" w:rsidTr="00833580">
        <w:trPr>
          <w:jc w:val="center"/>
        </w:trPr>
        <w:tc>
          <w:tcPr>
            <w:tcW w:w="0" w:type="auto"/>
            <w:hideMark/>
          </w:tcPr>
          <w:p w14:paraId="4CAE9EF6" w14:textId="77777777" w:rsidR="003E27FF" w:rsidRPr="00A72441" w:rsidRDefault="003E27FF" w:rsidP="00833580">
            <w:pPr>
              <w:spacing w:line="360" w:lineRule="auto"/>
              <w:jc w:val="both"/>
              <w:rPr>
                <w:rFonts w:ascii="Arial" w:eastAsia="Times New Roman" w:hAnsi="Arial" w:cs="Arial"/>
              </w:rPr>
            </w:pPr>
            <w:r w:rsidRPr="00A72441">
              <w:rPr>
                <w:rFonts w:ascii="Arial" w:eastAsia="Times New Roman" w:hAnsi="Arial" w:cs="Arial"/>
                <w:b/>
                <w:bCs/>
              </w:rPr>
              <w:t>Module Code:</w:t>
            </w:r>
          </w:p>
        </w:tc>
        <w:tc>
          <w:tcPr>
            <w:tcW w:w="5825" w:type="dxa"/>
            <w:hideMark/>
          </w:tcPr>
          <w:p w14:paraId="62151D34" w14:textId="77777777" w:rsidR="003E27FF" w:rsidRPr="00A72441" w:rsidRDefault="003E27FF" w:rsidP="00833580">
            <w:pPr>
              <w:spacing w:line="360" w:lineRule="auto"/>
              <w:jc w:val="both"/>
              <w:rPr>
                <w:rFonts w:ascii="Arial" w:eastAsia="Times New Roman" w:hAnsi="Arial" w:cs="Arial"/>
                <w:b/>
              </w:rPr>
            </w:pPr>
            <w:r>
              <w:rPr>
                <w:rFonts w:ascii="Arial" w:hAnsi="Arial" w:cs="Arial"/>
                <w:b/>
              </w:rPr>
              <w:t>LCHS4003</w:t>
            </w:r>
          </w:p>
        </w:tc>
      </w:tr>
      <w:tr w:rsidR="003E27FF" w:rsidRPr="00A72441" w14:paraId="6B7179F7" w14:textId="77777777" w:rsidTr="00833580">
        <w:trPr>
          <w:jc w:val="center"/>
        </w:trPr>
        <w:tc>
          <w:tcPr>
            <w:tcW w:w="0" w:type="auto"/>
            <w:hideMark/>
          </w:tcPr>
          <w:p w14:paraId="42839C7D" w14:textId="77777777" w:rsidR="003E27FF" w:rsidRPr="00A72441" w:rsidRDefault="003E27FF" w:rsidP="00833580">
            <w:pPr>
              <w:spacing w:line="360" w:lineRule="auto"/>
              <w:jc w:val="both"/>
              <w:rPr>
                <w:rFonts w:ascii="Arial" w:eastAsia="Times New Roman" w:hAnsi="Arial" w:cs="Arial"/>
              </w:rPr>
            </w:pPr>
            <w:r w:rsidRPr="00A72441">
              <w:rPr>
                <w:rFonts w:ascii="Arial" w:eastAsia="Times New Roman" w:hAnsi="Arial" w:cs="Arial"/>
                <w:b/>
                <w:bCs/>
              </w:rPr>
              <w:t>Lecturer:</w:t>
            </w:r>
          </w:p>
        </w:tc>
        <w:tc>
          <w:tcPr>
            <w:tcW w:w="5825" w:type="dxa"/>
            <w:hideMark/>
          </w:tcPr>
          <w:p w14:paraId="4E1735A2" w14:textId="77777777" w:rsidR="003E27FF" w:rsidRPr="00A72441" w:rsidRDefault="003E27FF" w:rsidP="00833580">
            <w:pPr>
              <w:spacing w:line="360" w:lineRule="auto"/>
              <w:jc w:val="both"/>
              <w:rPr>
                <w:rFonts w:ascii="Arial" w:eastAsia="Times New Roman" w:hAnsi="Arial" w:cs="Arial"/>
              </w:rPr>
            </w:pPr>
          </w:p>
        </w:tc>
      </w:tr>
    </w:tbl>
    <w:p w14:paraId="7B60EB11"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5026F292"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0134AD93"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5CF38E68"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06AB19DB"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6D0B9EFA"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71DED467"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0C876FBA"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42D5F33C"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24E11546"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69F9D50D"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306F3D86"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36980370" w14:textId="77777777" w:rsidR="003E27FF" w:rsidRPr="00B54E4B" w:rsidRDefault="003E27FF" w:rsidP="003E27FF">
      <w:pPr>
        <w:pStyle w:val="NormalWeb"/>
        <w:rPr>
          <w:rFonts w:ascii="Arial" w:hAnsi="Arial" w:cs="Arial"/>
          <w:sz w:val="28"/>
          <w:szCs w:val="28"/>
        </w:rPr>
      </w:pPr>
      <w:r w:rsidRPr="00B54E4B">
        <w:rPr>
          <w:rStyle w:val="Strong"/>
          <w:rFonts w:ascii="Arial" w:hAnsi="Arial" w:cs="Arial"/>
          <w:sz w:val="28"/>
          <w:szCs w:val="28"/>
        </w:rPr>
        <w:t>Table of Contents</w:t>
      </w:r>
    </w:p>
    <w:p w14:paraId="00C8BDA7"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Introduction</w:t>
      </w:r>
      <w:r w:rsidRPr="00B54E4B">
        <w:rPr>
          <w:rFonts w:ascii="Arial" w:hAnsi="Arial" w:cs="Arial"/>
          <w:sz w:val="28"/>
          <w:szCs w:val="28"/>
        </w:rPr>
        <w:t xml:space="preserve"> ......................................</w:t>
      </w:r>
      <w:r>
        <w:rPr>
          <w:rFonts w:ascii="Arial" w:hAnsi="Arial" w:cs="Arial"/>
          <w:sz w:val="28"/>
          <w:szCs w:val="28"/>
        </w:rPr>
        <w:t>................................................ 3</w:t>
      </w:r>
    </w:p>
    <w:p w14:paraId="30205A9A"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Importance of Effective Communication</w:t>
      </w:r>
      <w:r w:rsidRPr="00B54E4B">
        <w:rPr>
          <w:rFonts w:ascii="Arial" w:hAnsi="Arial" w:cs="Arial"/>
          <w:sz w:val="28"/>
          <w:szCs w:val="28"/>
        </w:rPr>
        <w:t xml:space="preserve"> ..........</w:t>
      </w:r>
      <w:r>
        <w:rPr>
          <w:rFonts w:ascii="Arial" w:hAnsi="Arial" w:cs="Arial"/>
          <w:sz w:val="28"/>
          <w:szCs w:val="28"/>
        </w:rPr>
        <w:t>.....................</w:t>
      </w:r>
      <w:r w:rsidRPr="00B54E4B">
        <w:rPr>
          <w:rFonts w:ascii="Arial" w:hAnsi="Arial" w:cs="Arial"/>
          <w:sz w:val="28"/>
          <w:szCs w:val="28"/>
        </w:rPr>
        <w:t xml:space="preserve">........ </w:t>
      </w:r>
      <w:r>
        <w:rPr>
          <w:rFonts w:ascii="Arial" w:hAnsi="Arial" w:cs="Arial"/>
          <w:sz w:val="28"/>
          <w:szCs w:val="28"/>
        </w:rPr>
        <w:t>3</w:t>
      </w:r>
      <w:r w:rsidRPr="00B54E4B">
        <w:rPr>
          <w:rFonts w:ascii="Arial" w:hAnsi="Arial" w:cs="Arial"/>
          <w:sz w:val="28"/>
          <w:szCs w:val="28"/>
        </w:rPr>
        <w:br/>
        <w:t>2.1 Application of Shannon–Weaver Communication Model .....</w:t>
      </w:r>
      <w:r>
        <w:rPr>
          <w:rFonts w:ascii="Arial" w:hAnsi="Arial" w:cs="Arial"/>
          <w:sz w:val="28"/>
          <w:szCs w:val="28"/>
        </w:rPr>
        <w:t>....... 4</w:t>
      </w:r>
    </w:p>
    <w:p w14:paraId="6440A2DB"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Importance of Good Administrative Skills in Professional Practice</w:t>
      </w:r>
      <w:r w:rsidRPr="00B54E4B">
        <w:rPr>
          <w:rFonts w:ascii="Arial" w:hAnsi="Arial" w:cs="Arial"/>
          <w:sz w:val="28"/>
          <w:szCs w:val="28"/>
        </w:rPr>
        <w:t xml:space="preserve"> </w:t>
      </w:r>
      <w:r>
        <w:rPr>
          <w:rFonts w:ascii="Arial" w:hAnsi="Arial" w:cs="Arial"/>
          <w:sz w:val="28"/>
          <w:szCs w:val="28"/>
        </w:rPr>
        <w:t>…………………………………………………………………... 5</w:t>
      </w:r>
    </w:p>
    <w:p w14:paraId="1EB499E5"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Importance of Inter-Professional Collaboration</w:t>
      </w:r>
      <w:r w:rsidRPr="00B54E4B">
        <w:rPr>
          <w:rFonts w:ascii="Arial" w:hAnsi="Arial" w:cs="Arial"/>
          <w:sz w:val="28"/>
          <w:szCs w:val="28"/>
        </w:rPr>
        <w:t xml:space="preserve"> ...........</w:t>
      </w:r>
      <w:r>
        <w:rPr>
          <w:rFonts w:ascii="Arial" w:hAnsi="Arial" w:cs="Arial"/>
          <w:sz w:val="28"/>
          <w:szCs w:val="28"/>
        </w:rPr>
        <w:t>......</w:t>
      </w:r>
      <w:r w:rsidRPr="00B54E4B">
        <w:rPr>
          <w:rFonts w:ascii="Arial" w:hAnsi="Arial" w:cs="Arial"/>
          <w:sz w:val="28"/>
          <w:szCs w:val="28"/>
        </w:rPr>
        <w:t xml:space="preserve">.......... </w:t>
      </w:r>
      <w:r>
        <w:rPr>
          <w:rFonts w:ascii="Arial" w:hAnsi="Arial" w:cs="Arial"/>
          <w:sz w:val="28"/>
          <w:szCs w:val="28"/>
        </w:rPr>
        <w:t>6</w:t>
      </w:r>
      <w:r w:rsidRPr="00B54E4B">
        <w:rPr>
          <w:rFonts w:ascii="Arial" w:hAnsi="Arial" w:cs="Arial"/>
          <w:sz w:val="28"/>
          <w:szCs w:val="28"/>
        </w:rPr>
        <w:br/>
        <w:t>4.1 Key Roles of Healthcare Professionals ..............................</w:t>
      </w:r>
      <w:r>
        <w:rPr>
          <w:rFonts w:ascii="Arial" w:hAnsi="Arial" w:cs="Arial"/>
          <w:sz w:val="28"/>
          <w:szCs w:val="28"/>
        </w:rPr>
        <w:t>......... 7</w:t>
      </w:r>
    </w:p>
    <w:p w14:paraId="11809866"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Conclusion</w:t>
      </w:r>
      <w:r w:rsidRPr="00B54E4B">
        <w:rPr>
          <w:rFonts w:ascii="Arial" w:hAnsi="Arial" w:cs="Arial"/>
          <w:sz w:val="28"/>
          <w:szCs w:val="28"/>
        </w:rPr>
        <w:t xml:space="preserve"> ...........................................................</w:t>
      </w:r>
      <w:r>
        <w:rPr>
          <w:rFonts w:ascii="Arial" w:hAnsi="Arial" w:cs="Arial"/>
          <w:sz w:val="28"/>
          <w:szCs w:val="28"/>
        </w:rPr>
        <w:t>............................ 8</w:t>
      </w:r>
    </w:p>
    <w:p w14:paraId="0D6328FF" w14:textId="77777777" w:rsidR="003E27FF" w:rsidRPr="00B54E4B" w:rsidRDefault="003E27FF" w:rsidP="003E27FF">
      <w:pPr>
        <w:pStyle w:val="NormalWeb"/>
        <w:numPr>
          <w:ilvl w:val="0"/>
          <w:numId w:val="1"/>
        </w:numPr>
        <w:rPr>
          <w:rFonts w:ascii="Arial" w:hAnsi="Arial" w:cs="Arial"/>
          <w:sz w:val="28"/>
          <w:szCs w:val="28"/>
        </w:rPr>
      </w:pPr>
      <w:r w:rsidRPr="00B54E4B">
        <w:rPr>
          <w:rStyle w:val="Strong"/>
          <w:rFonts w:ascii="Arial" w:hAnsi="Arial" w:cs="Arial"/>
          <w:sz w:val="28"/>
          <w:szCs w:val="28"/>
        </w:rPr>
        <w:t>References</w:t>
      </w:r>
      <w:r w:rsidRPr="00B54E4B">
        <w:rPr>
          <w:rFonts w:ascii="Arial" w:hAnsi="Arial" w:cs="Arial"/>
          <w:sz w:val="28"/>
          <w:szCs w:val="28"/>
        </w:rPr>
        <w:t xml:space="preserve"> ........................................................</w:t>
      </w:r>
      <w:r>
        <w:rPr>
          <w:rFonts w:ascii="Arial" w:hAnsi="Arial" w:cs="Arial"/>
          <w:sz w:val="28"/>
          <w:szCs w:val="28"/>
        </w:rPr>
        <w:t>............................... 9</w:t>
      </w:r>
    </w:p>
    <w:p w14:paraId="30286AFF"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199D807F"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4A574308"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10B35AE8"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4BB33752"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355E11BE"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74DB6E67"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21275118"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7C5EB9F1"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5910438B"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5FFC0209"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61E70B9A" w14:textId="77777777" w:rsidR="00C34CC6" w:rsidRDefault="00C34CC6" w:rsidP="00C34CC6">
      <w:pPr>
        <w:spacing w:before="100" w:beforeAutospacing="1" w:after="100" w:afterAutospacing="1" w:line="360" w:lineRule="auto"/>
        <w:jc w:val="both"/>
        <w:outlineLvl w:val="0"/>
        <w:rPr>
          <w:rFonts w:ascii="Arial" w:eastAsia="Times New Roman" w:hAnsi="Arial" w:cs="Arial"/>
          <w:b/>
          <w:bCs/>
          <w:kern w:val="36"/>
        </w:rPr>
      </w:pPr>
    </w:p>
    <w:p w14:paraId="77B50834" w14:textId="77777777" w:rsidR="003E27FF" w:rsidRDefault="003E27FF" w:rsidP="00C34CC6">
      <w:pPr>
        <w:spacing w:before="100" w:beforeAutospacing="1" w:after="100" w:afterAutospacing="1" w:line="360" w:lineRule="auto"/>
        <w:jc w:val="both"/>
        <w:outlineLvl w:val="0"/>
        <w:rPr>
          <w:rFonts w:ascii="Arial" w:eastAsia="Times New Roman" w:hAnsi="Arial" w:cs="Arial"/>
          <w:b/>
          <w:bCs/>
          <w:kern w:val="36"/>
        </w:rPr>
      </w:pPr>
    </w:p>
    <w:p w14:paraId="7708BD5B" w14:textId="77777777" w:rsidR="00C34CC6" w:rsidRPr="00C34CC6" w:rsidRDefault="00C34CC6" w:rsidP="00C34CC6">
      <w:pPr>
        <w:spacing w:before="100" w:beforeAutospacing="1" w:after="100" w:afterAutospacing="1" w:line="360" w:lineRule="auto"/>
        <w:jc w:val="both"/>
        <w:outlineLvl w:val="0"/>
        <w:rPr>
          <w:rFonts w:ascii="Arial" w:eastAsia="Times New Roman" w:hAnsi="Arial" w:cs="Arial"/>
          <w:b/>
          <w:bCs/>
          <w:kern w:val="36"/>
        </w:rPr>
      </w:pPr>
      <w:r w:rsidRPr="00C34CC6">
        <w:rPr>
          <w:rFonts w:ascii="Arial" w:eastAsia="Times New Roman" w:hAnsi="Arial" w:cs="Arial"/>
          <w:b/>
          <w:bCs/>
          <w:kern w:val="36"/>
        </w:rPr>
        <w:lastRenderedPageBreak/>
        <w:t xml:space="preserve">INTRODUCTION </w:t>
      </w:r>
    </w:p>
    <w:p w14:paraId="25553FAD"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Professional practice in health and social care depends on clear communication, robust administrative procedures and seamless collaboration among multidisciplinary teams to deliver safe, coordinated and person</w:t>
      </w:r>
      <w:r w:rsidRPr="00C34CC6">
        <w:rPr>
          <w:rFonts w:ascii="Arial" w:eastAsia="Times New Roman" w:hAnsi="Arial" w:cs="Arial"/>
        </w:rPr>
        <w:noBreakHyphen/>
      </w:r>
      <w:proofErr w:type="spellStart"/>
      <w:r w:rsidRPr="00C34CC6">
        <w:rPr>
          <w:rFonts w:ascii="Arial" w:eastAsia="Times New Roman" w:hAnsi="Arial" w:cs="Arial"/>
        </w:rPr>
        <w:t>centred</w:t>
      </w:r>
      <w:proofErr w:type="spellEnd"/>
      <w:r w:rsidRPr="00C34CC6">
        <w:rPr>
          <w:rFonts w:ascii="Arial" w:eastAsia="Times New Roman" w:hAnsi="Arial" w:cs="Arial"/>
        </w:rPr>
        <w:t xml:space="preserve"> care. This report explores these key areas through the case of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a 68</w:t>
      </w:r>
      <w:r w:rsidRPr="00C34CC6">
        <w:rPr>
          <w:rFonts w:ascii="Arial" w:eastAsia="Times New Roman" w:hAnsi="Arial" w:cs="Arial"/>
        </w:rPr>
        <w:noBreakHyphen/>
        <w:t>year</w:t>
      </w:r>
      <w:r w:rsidRPr="00C34CC6">
        <w:rPr>
          <w:rFonts w:ascii="Arial" w:eastAsia="Times New Roman" w:hAnsi="Arial" w:cs="Arial"/>
        </w:rPr>
        <w:noBreakHyphen/>
        <w:t>old man discharged after a stroke who now receives domiciliary support at home. Stroke frequently impairs communication abilities, such as expressive language and comprehension, and can compromise a patient’s capacity to engage fully in healthcare interactions if not adequately supported (Simmons</w:t>
      </w:r>
      <w:r w:rsidRPr="00C34CC6">
        <w:rPr>
          <w:rFonts w:ascii="Arial" w:eastAsia="Times New Roman" w:hAnsi="Arial" w:cs="Arial"/>
        </w:rPr>
        <w:noBreakHyphen/>
        <w:t xml:space="preserve">Mackie et al., 2022). In addition,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faces language barriers, as Bengali is his first language while most clinicians use English, increasing risk of miscommunication. Accordingly, this report examines three professional practice dimensions relevant to his care: effective communication using the Shannon–Weaver Communication Model</w:t>
      </w:r>
      <w:r w:rsidR="0041729A">
        <w:rPr>
          <w:rFonts w:ascii="Arial" w:eastAsia="Times New Roman" w:hAnsi="Arial" w:cs="Arial"/>
        </w:rPr>
        <w:t>,</w:t>
      </w:r>
      <w:r w:rsidRPr="00C34CC6">
        <w:rPr>
          <w:rFonts w:ascii="Arial" w:eastAsia="Times New Roman" w:hAnsi="Arial" w:cs="Arial"/>
        </w:rPr>
        <w:t xml:space="preserve"> the role of administrative skills with emphasis on electronic health record interoperability a</w:t>
      </w:r>
      <w:r w:rsidR="0041729A">
        <w:rPr>
          <w:rFonts w:ascii="Arial" w:eastAsia="Times New Roman" w:hAnsi="Arial" w:cs="Arial"/>
        </w:rPr>
        <w:t>nd the Data Protection Act 2018,</w:t>
      </w:r>
      <w:r w:rsidRPr="00C34CC6">
        <w:rPr>
          <w:rFonts w:ascii="Arial" w:eastAsia="Times New Roman" w:hAnsi="Arial" w:cs="Arial"/>
        </w:rPr>
        <w:t xml:space="preserve"> and the importance of inter</w:t>
      </w:r>
      <w:r w:rsidRPr="00C34CC6">
        <w:rPr>
          <w:rFonts w:ascii="Arial" w:eastAsia="Times New Roman" w:hAnsi="Arial" w:cs="Arial"/>
        </w:rPr>
        <w:noBreakHyphen/>
        <w:t>professional collaboration in coordinating multidisciplinary care for complex health needs.</w:t>
      </w:r>
    </w:p>
    <w:p w14:paraId="52788DD0" w14:textId="77777777" w:rsidR="00C34CC6" w:rsidRPr="00C34CC6" w:rsidRDefault="00C34CC6" w:rsidP="00C34CC6">
      <w:pPr>
        <w:spacing w:before="100" w:beforeAutospacing="1" w:after="100" w:afterAutospacing="1" w:line="360" w:lineRule="auto"/>
        <w:jc w:val="both"/>
        <w:outlineLvl w:val="0"/>
        <w:rPr>
          <w:rFonts w:ascii="Arial" w:eastAsia="Times New Roman" w:hAnsi="Arial" w:cs="Arial"/>
          <w:b/>
          <w:bCs/>
          <w:kern w:val="36"/>
        </w:rPr>
      </w:pPr>
      <w:r w:rsidRPr="00C34CC6">
        <w:rPr>
          <w:rFonts w:ascii="Arial" w:eastAsia="Times New Roman" w:hAnsi="Arial" w:cs="Arial"/>
          <w:b/>
          <w:bCs/>
          <w:kern w:val="36"/>
        </w:rPr>
        <w:t xml:space="preserve">IMPORTANCE OF EFFECTIVE COMMUNICATION </w:t>
      </w:r>
    </w:p>
    <w:p w14:paraId="75E546B7"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Effective communication lies at the heart of patient</w:t>
      </w:r>
      <w:r w:rsidRPr="00C34CC6">
        <w:rPr>
          <w:rFonts w:ascii="Arial" w:eastAsia="Times New Roman" w:hAnsi="Arial" w:cs="Arial"/>
        </w:rPr>
        <w:noBreakHyphen/>
      </w:r>
      <w:proofErr w:type="spellStart"/>
      <w:r w:rsidRPr="00C34CC6">
        <w:rPr>
          <w:rFonts w:ascii="Arial" w:eastAsia="Times New Roman" w:hAnsi="Arial" w:cs="Arial"/>
        </w:rPr>
        <w:t>centred</w:t>
      </w:r>
      <w:proofErr w:type="spellEnd"/>
      <w:r w:rsidRPr="00C34CC6">
        <w:rPr>
          <w:rFonts w:ascii="Arial" w:eastAsia="Times New Roman" w:hAnsi="Arial" w:cs="Arial"/>
        </w:rPr>
        <w:t xml:space="preserve"> practice. It enables healthcare providers to exchange critical clinical information with patients, families and other professionals, which is particularly vital for individuals with stroke, who often experience aphasia, processing difficulties and reduced expressive ability. A systematic review found that communication impairments significantly affect rehabilitation engagement and health outcomes, and that tailored communication strategies improve clinical participation and satisfaction (Dickson et al., 2023).</w:t>
      </w:r>
    </w:p>
    <w:p w14:paraId="77D6D8BB"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In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case, language challenges compound these issues: as a native Bengali speaker, he may misinterpret English clinical terminology, leading to confusion about medication changes, therapy instructions or follow</w:t>
      </w:r>
      <w:r w:rsidRPr="00C34CC6">
        <w:rPr>
          <w:rFonts w:ascii="Arial" w:eastAsia="Times New Roman" w:hAnsi="Arial" w:cs="Arial"/>
        </w:rPr>
        <w:noBreakHyphen/>
        <w:t>up plans. Research in multilingual health settings indicates that patients with limited proficiency in the dominant language are at greater risk of misunderstanding healthcare information and non</w:t>
      </w:r>
      <w:r w:rsidRPr="00C34CC6">
        <w:rPr>
          <w:rFonts w:ascii="Arial" w:eastAsia="Times New Roman" w:hAnsi="Arial" w:cs="Arial"/>
        </w:rPr>
        <w:noBreakHyphen/>
        <w:t>adherence to care recommendations (Flores, 2021). These findings underscore the need for communication approaches that go beyond basic conversation and incorporate accessible tools and culturally sensitive practices.</w:t>
      </w:r>
    </w:p>
    <w:p w14:paraId="084580B0"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The </w:t>
      </w:r>
      <w:r w:rsidRPr="00C34CC6">
        <w:rPr>
          <w:rFonts w:ascii="Arial" w:eastAsia="Times New Roman" w:hAnsi="Arial" w:cs="Arial"/>
          <w:bCs/>
        </w:rPr>
        <w:t>Shannon–Weaver Communication Model (1948)</w:t>
      </w:r>
      <w:r w:rsidRPr="00C34CC6">
        <w:rPr>
          <w:rFonts w:ascii="Arial" w:eastAsia="Times New Roman" w:hAnsi="Arial" w:cs="Arial"/>
        </w:rPr>
        <w:t xml:space="preserve"> provides a structured lens for </w:t>
      </w:r>
      <w:proofErr w:type="spellStart"/>
      <w:r w:rsidRPr="00C34CC6">
        <w:rPr>
          <w:rFonts w:ascii="Arial" w:eastAsia="Times New Roman" w:hAnsi="Arial" w:cs="Arial"/>
        </w:rPr>
        <w:t>analysing</w:t>
      </w:r>
      <w:proofErr w:type="spellEnd"/>
      <w:r w:rsidRPr="00C34CC6">
        <w:rPr>
          <w:rFonts w:ascii="Arial" w:eastAsia="Times New Roman" w:hAnsi="Arial" w:cs="Arial"/>
        </w:rPr>
        <w:t xml:space="preserve"> healthcare communication. The model </w:t>
      </w:r>
      <w:proofErr w:type="spellStart"/>
      <w:r w:rsidRPr="00C34CC6">
        <w:rPr>
          <w:rFonts w:ascii="Arial" w:eastAsia="Times New Roman" w:hAnsi="Arial" w:cs="Arial"/>
        </w:rPr>
        <w:t>conceptualises</w:t>
      </w:r>
      <w:proofErr w:type="spellEnd"/>
      <w:r w:rsidRPr="00C34CC6">
        <w:rPr>
          <w:rFonts w:ascii="Arial" w:eastAsia="Times New Roman" w:hAnsi="Arial" w:cs="Arial"/>
        </w:rPr>
        <w:t xml:space="preserve"> communication as a system of </w:t>
      </w:r>
      <w:r w:rsidR="003E27FF">
        <w:rPr>
          <w:rFonts w:ascii="Arial" w:eastAsia="Times New Roman" w:hAnsi="Arial" w:cs="Arial"/>
        </w:rPr>
        <w:lastRenderedPageBreak/>
        <w:t xml:space="preserve">components: </w:t>
      </w:r>
      <w:r w:rsidRPr="00C34CC6">
        <w:rPr>
          <w:rFonts w:ascii="Arial" w:eastAsia="Times New Roman" w:hAnsi="Arial" w:cs="Arial"/>
        </w:rPr>
        <w:t>sender, messag</w:t>
      </w:r>
      <w:r w:rsidR="003E27FF">
        <w:rPr>
          <w:rFonts w:ascii="Arial" w:eastAsia="Times New Roman" w:hAnsi="Arial" w:cs="Arial"/>
        </w:rPr>
        <w:t>e, channel, receiver, feedback</w:t>
      </w:r>
      <w:r w:rsidRPr="00C34CC6">
        <w:rPr>
          <w:rFonts w:ascii="Arial" w:eastAsia="Times New Roman" w:hAnsi="Arial" w:cs="Arial"/>
        </w:rPr>
        <w:t xml:space="preserve"> and identifies “noise” as anything that distorts the intended message. Applying this to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w:t>
      </w:r>
    </w:p>
    <w:p w14:paraId="6D669210"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b/>
          <w:bCs/>
        </w:rPr>
        <w:t xml:space="preserve">Table 1: Application of Shannon–Weaver Communication Model in </w:t>
      </w:r>
      <w:proofErr w:type="spellStart"/>
      <w:r w:rsidRPr="00C34CC6">
        <w:rPr>
          <w:rFonts w:ascii="Arial" w:eastAsia="Times New Roman" w:hAnsi="Arial" w:cs="Arial"/>
          <w:b/>
          <w:bCs/>
        </w:rPr>
        <w:t>Mr</w:t>
      </w:r>
      <w:proofErr w:type="spellEnd"/>
      <w:r w:rsidRPr="00C34CC6">
        <w:rPr>
          <w:rFonts w:ascii="Arial" w:eastAsia="Times New Roman" w:hAnsi="Arial" w:cs="Arial"/>
          <w:b/>
          <w:bCs/>
        </w:rPr>
        <w:t xml:space="preserve"> Ahmed’s Care</w:t>
      </w:r>
    </w:p>
    <w:tbl>
      <w:tblPr>
        <w:tblStyle w:val="TableGrid1"/>
        <w:tblW w:w="0" w:type="auto"/>
        <w:tblLook w:val="04A0" w:firstRow="1" w:lastRow="0" w:firstColumn="1" w:lastColumn="0" w:noHBand="0" w:noVBand="1"/>
      </w:tblPr>
      <w:tblGrid>
        <w:gridCol w:w="9350"/>
      </w:tblGrid>
      <w:tr w:rsidR="003E27FF" w14:paraId="458226E7" w14:textId="77777777" w:rsidTr="003E27FF">
        <w:tc>
          <w:tcPr>
            <w:tcW w:w="9350" w:type="dxa"/>
          </w:tcPr>
          <w:tbl>
            <w:tblPr>
              <w:tblStyle w:val="TableGrid1"/>
              <w:tblW w:w="0" w:type="auto"/>
              <w:tblLook w:val="04A0" w:firstRow="1" w:lastRow="0" w:firstColumn="1" w:lastColumn="0" w:noHBand="0" w:noVBand="1"/>
            </w:tblPr>
            <w:tblGrid>
              <w:gridCol w:w="1681"/>
              <w:gridCol w:w="4578"/>
              <w:gridCol w:w="2865"/>
            </w:tblGrid>
            <w:tr w:rsidR="003E27FF" w:rsidRPr="00C34CC6" w14:paraId="51532998" w14:textId="77777777" w:rsidTr="003E27FF">
              <w:tc>
                <w:tcPr>
                  <w:tcW w:w="0" w:type="auto"/>
                  <w:hideMark/>
                </w:tcPr>
                <w:p w14:paraId="12FE5D83" w14:textId="77777777" w:rsidR="003E27FF" w:rsidRPr="00C34CC6" w:rsidRDefault="003E27FF" w:rsidP="00B21518">
                  <w:pPr>
                    <w:jc w:val="both"/>
                    <w:rPr>
                      <w:rFonts w:ascii="Arial" w:eastAsia="Times New Roman" w:hAnsi="Arial" w:cs="Arial"/>
                      <w:b/>
                      <w:bCs/>
                    </w:rPr>
                  </w:pPr>
                  <w:r w:rsidRPr="00C34CC6">
                    <w:rPr>
                      <w:rFonts w:ascii="Arial" w:eastAsia="Times New Roman" w:hAnsi="Arial" w:cs="Arial"/>
                      <w:b/>
                      <w:bCs/>
                    </w:rPr>
                    <w:t>Model Element</w:t>
                  </w:r>
                </w:p>
              </w:tc>
              <w:tc>
                <w:tcPr>
                  <w:tcW w:w="0" w:type="auto"/>
                  <w:hideMark/>
                </w:tcPr>
                <w:p w14:paraId="43561B12" w14:textId="77777777" w:rsidR="003E27FF" w:rsidRPr="00C34CC6" w:rsidRDefault="003E27FF" w:rsidP="00B21518">
                  <w:pPr>
                    <w:jc w:val="both"/>
                    <w:rPr>
                      <w:rFonts w:ascii="Arial" w:eastAsia="Times New Roman" w:hAnsi="Arial" w:cs="Arial"/>
                      <w:b/>
                      <w:bCs/>
                    </w:rPr>
                  </w:pPr>
                  <w:r w:rsidRPr="00C34CC6">
                    <w:rPr>
                      <w:rFonts w:ascii="Arial" w:eastAsia="Times New Roman" w:hAnsi="Arial" w:cs="Arial"/>
                      <w:b/>
                      <w:bCs/>
                    </w:rPr>
                    <w:t xml:space="preserve">Application </w:t>
                  </w:r>
                  <w:proofErr w:type="gramStart"/>
                  <w:r w:rsidRPr="00C34CC6">
                    <w:rPr>
                      <w:rFonts w:ascii="Arial" w:eastAsia="Times New Roman" w:hAnsi="Arial" w:cs="Arial"/>
                      <w:b/>
                      <w:bCs/>
                    </w:rPr>
                    <w:t>in</w:t>
                  </w:r>
                  <w:proofErr w:type="gramEnd"/>
                  <w:r w:rsidRPr="00C34CC6">
                    <w:rPr>
                      <w:rFonts w:ascii="Arial" w:eastAsia="Times New Roman" w:hAnsi="Arial" w:cs="Arial"/>
                      <w:b/>
                      <w:bCs/>
                    </w:rPr>
                    <w:t xml:space="preserve"> </w:t>
                  </w:r>
                  <w:proofErr w:type="spellStart"/>
                  <w:r w:rsidRPr="00C34CC6">
                    <w:rPr>
                      <w:rFonts w:ascii="Arial" w:eastAsia="Times New Roman" w:hAnsi="Arial" w:cs="Arial"/>
                      <w:b/>
                      <w:bCs/>
                    </w:rPr>
                    <w:t>Mr</w:t>
                  </w:r>
                  <w:proofErr w:type="spellEnd"/>
                  <w:r w:rsidRPr="00C34CC6">
                    <w:rPr>
                      <w:rFonts w:ascii="Arial" w:eastAsia="Times New Roman" w:hAnsi="Arial" w:cs="Arial"/>
                      <w:b/>
                      <w:bCs/>
                    </w:rPr>
                    <w:t xml:space="preserve"> Ahmed’s Care</w:t>
                  </w:r>
                </w:p>
              </w:tc>
              <w:tc>
                <w:tcPr>
                  <w:tcW w:w="0" w:type="auto"/>
                  <w:hideMark/>
                </w:tcPr>
                <w:p w14:paraId="59594905" w14:textId="77777777" w:rsidR="003E27FF" w:rsidRPr="00C34CC6" w:rsidRDefault="003E27FF" w:rsidP="00B21518">
                  <w:pPr>
                    <w:jc w:val="both"/>
                    <w:rPr>
                      <w:rFonts w:ascii="Arial" w:eastAsia="Times New Roman" w:hAnsi="Arial" w:cs="Arial"/>
                      <w:b/>
                      <w:bCs/>
                    </w:rPr>
                  </w:pPr>
                  <w:r w:rsidRPr="00C34CC6">
                    <w:rPr>
                      <w:rFonts w:ascii="Arial" w:eastAsia="Times New Roman" w:hAnsi="Arial" w:cs="Arial"/>
                      <w:b/>
                      <w:bCs/>
                    </w:rPr>
                    <w:t>Reference</w:t>
                  </w:r>
                </w:p>
              </w:tc>
            </w:tr>
            <w:tr w:rsidR="003E27FF" w:rsidRPr="00C34CC6" w14:paraId="2743A19A" w14:textId="77777777" w:rsidTr="003E27FF">
              <w:tc>
                <w:tcPr>
                  <w:tcW w:w="0" w:type="auto"/>
                  <w:hideMark/>
                </w:tcPr>
                <w:p w14:paraId="7E6F91D1"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Sender</w:t>
                  </w:r>
                </w:p>
              </w:tc>
              <w:tc>
                <w:tcPr>
                  <w:tcW w:w="0" w:type="auto"/>
                  <w:hideMark/>
                </w:tcPr>
                <w:p w14:paraId="193A0AD2"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Healthcare professionals providing clinical updates</w:t>
                  </w:r>
                </w:p>
              </w:tc>
              <w:tc>
                <w:tcPr>
                  <w:tcW w:w="0" w:type="auto"/>
                  <w:hideMark/>
                </w:tcPr>
                <w:p w14:paraId="62BDD28F"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Chen et al., 2022</w:t>
                  </w:r>
                </w:p>
              </w:tc>
            </w:tr>
            <w:tr w:rsidR="003E27FF" w:rsidRPr="00C34CC6" w14:paraId="62F81D78" w14:textId="77777777" w:rsidTr="003E27FF">
              <w:tc>
                <w:tcPr>
                  <w:tcW w:w="0" w:type="auto"/>
                  <w:hideMark/>
                </w:tcPr>
                <w:p w14:paraId="689B48C4"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Message</w:t>
                  </w:r>
                </w:p>
              </w:tc>
              <w:tc>
                <w:tcPr>
                  <w:tcW w:w="0" w:type="auto"/>
                  <w:hideMark/>
                </w:tcPr>
                <w:p w14:paraId="28436D68"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Instructions on medication, therapy, appointments</w:t>
                  </w:r>
                </w:p>
              </w:tc>
              <w:tc>
                <w:tcPr>
                  <w:tcW w:w="0" w:type="auto"/>
                  <w:hideMark/>
                </w:tcPr>
                <w:p w14:paraId="3DC8FF54"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Kim &amp; Lee, 2023</w:t>
                  </w:r>
                </w:p>
              </w:tc>
            </w:tr>
            <w:tr w:rsidR="003E27FF" w:rsidRPr="00C34CC6" w14:paraId="5C574BCE" w14:textId="77777777" w:rsidTr="003E27FF">
              <w:tc>
                <w:tcPr>
                  <w:tcW w:w="0" w:type="auto"/>
                  <w:hideMark/>
                </w:tcPr>
                <w:p w14:paraId="638F6A45"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Channel</w:t>
                  </w:r>
                </w:p>
              </w:tc>
              <w:tc>
                <w:tcPr>
                  <w:tcW w:w="0" w:type="auto"/>
                  <w:hideMark/>
                </w:tcPr>
                <w:p w14:paraId="0FECC591"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Spoken language, digital platforms, visual aids</w:t>
                  </w:r>
                </w:p>
              </w:tc>
              <w:tc>
                <w:tcPr>
                  <w:tcW w:w="0" w:type="auto"/>
                  <w:hideMark/>
                </w:tcPr>
                <w:p w14:paraId="0963FFC1"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Patel et al., 2024</w:t>
                  </w:r>
                </w:p>
              </w:tc>
            </w:tr>
            <w:tr w:rsidR="003E27FF" w:rsidRPr="00C34CC6" w14:paraId="1503E75D" w14:textId="77777777" w:rsidTr="003E27FF">
              <w:tc>
                <w:tcPr>
                  <w:tcW w:w="0" w:type="auto"/>
                  <w:hideMark/>
                </w:tcPr>
                <w:p w14:paraId="1C03FC9F"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Receiver</w:t>
                  </w:r>
                </w:p>
              </w:tc>
              <w:tc>
                <w:tcPr>
                  <w:tcW w:w="0" w:type="auto"/>
                  <w:hideMark/>
                </w:tcPr>
                <w:p w14:paraId="5FFF30FB" w14:textId="77777777" w:rsidR="003E27FF" w:rsidRPr="00C34CC6" w:rsidRDefault="003E27FF" w:rsidP="00B21518">
                  <w:pPr>
                    <w:jc w:val="both"/>
                    <w:rPr>
                      <w:rFonts w:ascii="Arial" w:eastAsia="Times New Roman" w:hAnsi="Arial" w:cs="Arial"/>
                    </w:rPr>
                  </w:pP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and his wife (as interpreter)</w:t>
                  </w:r>
                </w:p>
              </w:tc>
              <w:tc>
                <w:tcPr>
                  <w:tcW w:w="0" w:type="auto"/>
                  <w:hideMark/>
                </w:tcPr>
                <w:p w14:paraId="5C07097D"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Simmons</w:t>
                  </w:r>
                  <w:r w:rsidRPr="00C34CC6">
                    <w:rPr>
                      <w:rFonts w:ascii="Arial" w:eastAsia="Times New Roman" w:hAnsi="Arial" w:cs="Arial"/>
                    </w:rPr>
                    <w:noBreakHyphen/>
                    <w:t>Mackie et al., 2022</w:t>
                  </w:r>
                </w:p>
              </w:tc>
            </w:tr>
            <w:tr w:rsidR="003E27FF" w:rsidRPr="00C34CC6" w14:paraId="453C7686" w14:textId="77777777" w:rsidTr="003E27FF">
              <w:tc>
                <w:tcPr>
                  <w:tcW w:w="0" w:type="auto"/>
                  <w:hideMark/>
                </w:tcPr>
                <w:p w14:paraId="51CFA44A"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Feedback</w:t>
                  </w:r>
                </w:p>
              </w:tc>
              <w:tc>
                <w:tcPr>
                  <w:tcW w:w="0" w:type="auto"/>
                  <w:hideMark/>
                </w:tcPr>
                <w:p w14:paraId="25DE8BFE"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Patient questions, confirmations of understanding</w:t>
                  </w:r>
                </w:p>
              </w:tc>
              <w:tc>
                <w:tcPr>
                  <w:tcW w:w="0" w:type="auto"/>
                  <w:hideMark/>
                </w:tcPr>
                <w:p w14:paraId="65AD5255"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Chen et al., 2022</w:t>
                  </w:r>
                </w:p>
              </w:tc>
            </w:tr>
            <w:tr w:rsidR="003E27FF" w:rsidRPr="00C34CC6" w14:paraId="2D5E1D4C" w14:textId="77777777" w:rsidTr="003E27FF">
              <w:tc>
                <w:tcPr>
                  <w:tcW w:w="0" w:type="auto"/>
                  <w:hideMark/>
                </w:tcPr>
                <w:p w14:paraId="3B9BBEE2" w14:textId="77777777" w:rsidR="003E27FF" w:rsidRPr="00C34CC6" w:rsidRDefault="003E27FF" w:rsidP="00B21518">
                  <w:pPr>
                    <w:jc w:val="both"/>
                    <w:rPr>
                      <w:rFonts w:ascii="Arial" w:eastAsia="Times New Roman" w:hAnsi="Arial" w:cs="Arial"/>
                    </w:rPr>
                  </w:pPr>
                  <w:r w:rsidRPr="00C34CC6">
                    <w:rPr>
                      <w:rFonts w:ascii="Arial" w:eastAsia="Times New Roman" w:hAnsi="Arial" w:cs="Arial"/>
                      <w:b/>
                      <w:bCs/>
                    </w:rPr>
                    <w:t>Noise</w:t>
                  </w:r>
                </w:p>
              </w:tc>
              <w:tc>
                <w:tcPr>
                  <w:tcW w:w="0" w:type="auto"/>
                  <w:hideMark/>
                </w:tcPr>
                <w:p w14:paraId="60F6B386"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Language barriers, stroke effects, medical jargon</w:t>
                  </w:r>
                </w:p>
              </w:tc>
              <w:tc>
                <w:tcPr>
                  <w:tcW w:w="0" w:type="auto"/>
                  <w:hideMark/>
                </w:tcPr>
                <w:p w14:paraId="73520A32" w14:textId="77777777" w:rsidR="003E27FF" w:rsidRPr="00C34CC6" w:rsidRDefault="003E27FF" w:rsidP="00B21518">
                  <w:pPr>
                    <w:jc w:val="both"/>
                    <w:rPr>
                      <w:rFonts w:ascii="Arial" w:eastAsia="Times New Roman" w:hAnsi="Arial" w:cs="Arial"/>
                    </w:rPr>
                  </w:pPr>
                  <w:r w:rsidRPr="00C34CC6">
                    <w:rPr>
                      <w:rFonts w:ascii="Arial" w:eastAsia="Times New Roman" w:hAnsi="Arial" w:cs="Arial"/>
                    </w:rPr>
                    <w:t>Flores, 2021</w:t>
                  </w:r>
                </w:p>
              </w:tc>
            </w:tr>
          </w:tbl>
          <w:p w14:paraId="0E96AD47" w14:textId="77777777" w:rsidR="003E27FF" w:rsidRDefault="003E27FF"/>
        </w:tc>
      </w:tr>
    </w:tbl>
    <w:p w14:paraId="2D1B48E8" w14:textId="77777777" w:rsid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Digital and visual tools can reduce noise. Augmentative and alternative communication (AAC) devices, pictorial medication schedules and translation apps improve information transfer, especially for stroke survivors with reduced verbal fluency (Patel et al., 2024). A pilot study demonstrated that tablet</w:t>
      </w:r>
      <w:r w:rsidRPr="00C34CC6">
        <w:rPr>
          <w:rFonts w:ascii="Arial" w:eastAsia="Times New Roman" w:hAnsi="Arial" w:cs="Arial"/>
        </w:rPr>
        <w:noBreakHyphen/>
        <w:t>based visual aids increased comprehension of care instructions among aphasic patients by 30% compared to verbal explanations alone.</w:t>
      </w:r>
    </w:p>
    <w:p w14:paraId="0AC8AFB8" w14:textId="77777777" w:rsidR="003E27FF" w:rsidRPr="00C34CC6" w:rsidRDefault="003E27FF" w:rsidP="00C34CC6">
      <w:pPr>
        <w:spacing w:before="100" w:beforeAutospacing="1" w:after="100" w:afterAutospacing="1" w:line="360" w:lineRule="auto"/>
        <w:jc w:val="both"/>
        <w:rPr>
          <w:rFonts w:ascii="Arial" w:eastAsia="Times New Roman" w:hAnsi="Arial" w:cs="Arial"/>
        </w:rPr>
      </w:pPr>
      <w:r>
        <w:rPr>
          <w:rFonts w:ascii="Arial" w:eastAsia="Times New Roman" w:hAnsi="Arial" w:cs="Arial"/>
          <w:noProof/>
        </w:rPr>
        <w:drawing>
          <wp:inline distT="0" distB="0" distL="0" distR="0" wp14:anchorId="2FCB44D5" wp14:editId="415F0240">
            <wp:extent cx="5944235" cy="27178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717800"/>
                    </a:xfrm>
                    <a:prstGeom prst="rect">
                      <a:avLst/>
                    </a:prstGeom>
                    <a:noFill/>
                  </pic:spPr>
                </pic:pic>
              </a:graphicData>
            </a:graphic>
          </wp:inline>
        </w:drawing>
      </w:r>
    </w:p>
    <w:p w14:paraId="5009EB9A" w14:textId="77777777" w:rsidR="003E27FF" w:rsidRPr="003E27FF" w:rsidRDefault="003E27FF" w:rsidP="00C34CC6">
      <w:pPr>
        <w:spacing w:before="100" w:beforeAutospacing="1" w:after="100" w:afterAutospacing="1" w:line="360" w:lineRule="auto"/>
        <w:jc w:val="both"/>
        <w:rPr>
          <w:rFonts w:ascii="Arial" w:eastAsia="Times New Roman" w:hAnsi="Arial" w:cs="Arial"/>
          <w:b/>
        </w:rPr>
      </w:pPr>
      <w:r>
        <w:rPr>
          <w:rFonts w:ascii="Arial" w:eastAsia="Times New Roman" w:hAnsi="Arial" w:cs="Arial"/>
        </w:rPr>
        <w:t xml:space="preserve">                                                    </w:t>
      </w:r>
      <w:r w:rsidRPr="00051047">
        <w:rPr>
          <w:rFonts w:ascii="Arial" w:eastAsia="Times New Roman" w:hAnsi="Arial" w:cs="Arial"/>
          <w:b/>
        </w:rPr>
        <w:t>(</w:t>
      </w:r>
      <w:proofErr w:type="spellStart"/>
      <w:r w:rsidRPr="00051047">
        <w:rPr>
          <w:rFonts w:ascii="Arial" w:hAnsi="Arial" w:cs="Arial"/>
          <w:b/>
          <w:color w:val="1A1A1A"/>
        </w:rPr>
        <w:t>Kobiruzzaman</w:t>
      </w:r>
      <w:proofErr w:type="spellEnd"/>
      <w:r w:rsidRPr="00051047">
        <w:rPr>
          <w:rFonts w:ascii="Arial" w:hAnsi="Arial" w:cs="Arial"/>
          <w:b/>
          <w:color w:val="1A1A1A"/>
        </w:rPr>
        <w:t>, 2026)</w:t>
      </w:r>
    </w:p>
    <w:p w14:paraId="27A050E8"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lastRenderedPageBreak/>
        <w:t xml:space="preserve">Involving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wife as a communication partner enhances message accuracy and cultural relevance. Shared decision</w:t>
      </w:r>
      <w:r w:rsidRPr="00C34CC6">
        <w:rPr>
          <w:rFonts w:ascii="Arial" w:eastAsia="Times New Roman" w:hAnsi="Arial" w:cs="Arial"/>
        </w:rPr>
        <w:noBreakHyphen/>
        <w:t>making frameworks, which incorporate patient and family preferences in care planning, have been linked to better adherence, improved satisfaction and reduced hospital readmissions (Elwyn et al., 2022).</w:t>
      </w:r>
    </w:p>
    <w:p w14:paraId="4C4CA594"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Communication practices must also align with the </w:t>
      </w:r>
      <w:r w:rsidRPr="00C34CC6">
        <w:rPr>
          <w:rFonts w:ascii="Arial" w:eastAsia="Times New Roman" w:hAnsi="Arial" w:cs="Arial"/>
          <w:bCs/>
        </w:rPr>
        <w:t>Equality Act 2010</w:t>
      </w:r>
      <w:r w:rsidRPr="00C34CC6">
        <w:rPr>
          <w:rFonts w:ascii="Arial" w:eastAsia="Times New Roman" w:hAnsi="Arial" w:cs="Arial"/>
        </w:rPr>
        <w:t xml:space="preserve">, which mandates reasonable adjustments for individuals with language or disability barriers. For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adjustments may include professional interpreters, translated materials and extended consultation time to ensure understanding. Together, these strategies support patient safety, treatment adherence and coordinated care.</w:t>
      </w:r>
    </w:p>
    <w:p w14:paraId="3378FBAE" w14:textId="77777777" w:rsidR="00C34CC6" w:rsidRPr="00C34CC6" w:rsidRDefault="00C34CC6" w:rsidP="00C34CC6">
      <w:pPr>
        <w:spacing w:before="100" w:beforeAutospacing="1" w:after="100" w:afterAutospacing="1" w:line="360" w:lineRule="auto"/>
        <w:jc w:val="both"/>
        <w:outlineLvl w:val="0"/>
        <w:rPr>
          <w:rFonts w:ascii="Arial" w:eastAsia="Times New Roman" w:hAnsi="Arial" w:cs="Arial"/>
          <w:b/>
          <w:bCs/>
          <w:kern w:val="36"/>
        </w:rPr>
      </w:pPr>
      <w:r w:rsidRPr="00C34CC6">
        <w:rPr>
          <w:rFonts w:ascii="Arial" w:eastAsia="Times New Roman" w:hAnsi="Arial" w:cs="Arial"/>
          <w:b/>
          <w:bCs/>
          <w:kern w:val="36"/>
        </w:rPr>
        <w:t xml:space="preserve">IMPORTANCE OF GOOD ADMINISTRATIVE SKILLS IN PROFESSIONAL PRACTICE </w:t>
      </w:r>
    </w:p>
    <w:p w14:paraId="435BFEAE"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Strong administrative skills are central to safe and effective health and social care delivery. These skills encompass accurate documentation, timely data entry, systematic information sharing and adherence to legal and </w:t>
      </w:r>
      <w:proofErr w:type="spellStart"/>
      <w:r w:rsidRPr="00C34CC6">
        <w:rPr>
          <w:rFonts w:ascii="Arial" w:eastAsia="Times New Roman" w:hAnsi="Arial" w:cs="Arial"/>
        </w:rPr>
        <w:t>organisational</w:t>
      </w:r>
      <w:proofErr w:type="spellEnd"/>
      <w:r w:rsidRPr="00C34CC6">
        <w:rPr>
          <w:rFonts w:ascii="Arial" w:eastAsia="Times New Roman" w:hAnsi="Arial" w:cs="Arial"/>
        </w:rPr>
        <w:t xml:space="preserve"> standards. For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whose care involves domiciliary carers, a district nurse, a GP and a speech and language therapist, administrative competence ensures that all providers have access to consistent and reliable information.</w:t>
      </w:r>
    </w:p>
    <w:p w14:paraId="3B462317"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One critical aspect is the interoperability of </w:t>
      </w:r>
      <w:r w:rsidRPr="00C34CC6">
        <w:rPr>
          <w:rFonts w:ascii="Arial" w:eastAsia="Times New Roman" w:hAnsi="Arial" w:cs="Arial"/>
          <w:bCs/>
        </w:rPr>
        <w:t>electronic health records (EHRs)</w:t>
      </w:r>
      <w:r w:rsidRPr="00C34CC6">
        <w:rPr>
          <w:rFonts w:ascii="Arial" w:eastAsia="Times New Roman" w:hAnsi="Arial" w:cs="Arial"/>
        </w:rPr>
        <w:t>. Interoperability refers to the ability of different EHR systems to exchange and interpret shared data. Research indicates that interoperable EHRs support continuity of care by providing real</w:t>
      </w:r>
      <w:r w:rsidRPr="00C34CC6">
        <w:rPr>
          <w:rFonts w:ascii="Arial" w:eastAsia="Times New Roman" w:hAnsi="Arial" w:cs="Arial"/>
        </w:rPr>
        <w:noBreakHyphen/>
        <w:t xml:space="preserve">time access to patient records, reducing duplication of tests and </w:t>
      </w:r>
      <w:proofErr w:type="spellStart"/>
      <w:r w:rsidRPr="00C34CC6">
        <w:rPr>
          <w:rFonts w:ascii="Arial" w:eastAsia="Times New Roman" w:hAnsi="Arial" w:cs="Arial"/>
        </w:rPr>
        <w:t>minimising</w:t>
      </w:r>
      <w:proofErr w:type="spellEnd"/>
      <w:r w:rsidRPr="00C34CC6">
        <w:rPr>
          <w:rFonts w:ascii="Arial" w:eastAsia="Times New Roman" w:hAnsi="Arial" w:cs="Arial"/>
        </w:rPr>
        <w:t xml:space="preserve"> errors due to miscommunication (Vest &amp; Kash, 2021). In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care, interoperable EHRs would allow the GP, nurse and domiciliary carers to view updates on wound care, medication changes and therapy progress without reliance on fragmented paper records.</w:t>
      </w:r>
    </w:p>
    <w:p w14:paraId="0CBD06F2"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Accurate record keeping also underpins clinical decision</w:t>
      </w:r>
      <w:r w:rsidRPr="00C34CC6">
        <w:rPr>
          <w:rFonts w:ascii="Arial" w:eastAsia="Times New Roman" w:hAnsi="Arial" w:cs="Arial"/>
        </w:rPr>
        <w:noBreakHyphen/>
        <w:t xml:space="preserve">making and accountability. Detailed documentation of care events, medication administration, vital signs and incident reports </w:t>
      </w:r>
      <w:proofErr w:type="gramStart"/>
      <w:r w:rsidRPr="00C34CC6">
        <w:rPr>
          <w:rFonts w:ascii="Arial" w:eastAsia="Times New Roman" w:hAnsi="Arial" w:cs="Arial"/>
        </w:rPr>
        <w:t>enables</w:t>
      </w:r>
      <w:proofErr w:type="gramEnd"/>
      <w:r w:rsidRPr="00C34CC6">
        <w:rPr>
          <w:rFonts w:ascii="Arial" w:eastAsia="Times New Roman" w:hAnsi="Arial" w:cs="Arial"/>
        </w:rPr>
        <w:t xml:space="preserve"> professionals to identify trends, monitor responses to treatment and adjust plans accordingly. A study in geriatric settings found that comprehensive documentation reduced adverse events and improved compliance with best</w:t>
      </w:r>
      <w:r w:rsidRPr="00C34CC6">
        <w:rPr>
          <w:rFonts w:ascii="Arial" w:eastAsia="Times New Roman" w:hAnsi="Arial" w:cs="Arial"/>
        </w:rPr>
        <w:noBreakHyphen/>
        <w:t xml:space="preserve">practice guidelines (Green et al., 2023). For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 this means that his blood pressure trends, wound healing and speech therapy outcomes are clearly documented and communicated to the entire care team.</w:t>
      </w:r>
    </w:p>
    <w:p w14:paraId="4AC0205F"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lastRenderedPageBreak/>
        <w:t xml:space="preserve">Legal frameworks further reinforce administrative standards. The </w:t>
      </w:r>
      <w:r w:rsidRPr="00C34CC6">
        <w:rPr>
          <w:rFonts w:ascii="Arial" w:eastAsia="Times New Roman" w:hAnsi="Arial" w:cs="Arial"/>
          <w:bCs/>
        </w:rPr>
        <w:t>Data Protection Act 2018</w:t>
      </w:r>
      <w:r w:rsidRPr="00C34CC6">
        <w:rPr>
          <w:rFonts w:ascii="Arial" w:eastAsia="Times New Roman" w:hAnsi="Arial" w:cs="Arial"/>
        </w:rPr>
        <w:t xml:space="preserve"> governs how personal data is collected, processed and stored. Patient health information qualifies as special category data, requiring additional safeguards to ensure confidentiality and secur</w:t>
      </w:r>
      <w:r w:rsidR="003E27FF">
        <w:rPr>
          <w:rFonts w:ascii="Arial" w:eastAsia="Times New Roman" w:hAnsi="Arial" w:cs="Arial"/>
        </w:rPr>
        <w:t>ity. The act’s core principles</w:t>
      </w:r>
      <w:r w:rsidRPr="00C34CC6">
        <w:rPr>
          <w:rFonts w:ascii="Arial" w:eastAsia="Times New Roman" w:hAnsi="Arial" w:cs="Arial"/>
        </w:rPr>
        <w:t xml:space="preserve"> lawfulness, fairness, transparency, data </w:t>
      </w:r>
      <w:proofErr w:type="spellStart"/>
      <w:r w:rsidRPr="00C34CC6">
        <w:rPr>
          <w:rFonts w:ascii="Arial" w:eastAsia="Times New Roman" w:hAnsi="Arial" w:cs="Arial"/>
        </w:rPr>
        <w:t>minimisation</w:t>
      </w:r>
      <w:proofErr w:type="spellEnd"/>
      <w:r w:rsidRPr="00C34CC6">
        <w:rPr>
          <w:rFonts w:ascii="Arial" w:eastAsia="Times New Roman" w:hAnsi="Arial" w:cs="Arial"/>
        </w:rPr>
        <w:t xml:space="preserve">, accuracy, storage limitation, </w:t>
      </w:r>
      <w:r w:rsidR="003E27FF">
        <w:rPr>
          <w:rFonts w:ascii="Arial" w:eastAsia="Times New Roman" w:hAnsi="Arial" w:cs="Arial"/>
        </w:rPr>
        <w:t xml:space="preserve">integrity and confidentiality </w:t>
      </w:r>
      <w:r w:rsidRPr="00C34CC6">
        <w:rPr>
          <w:rFonts w:ascii="Arial" w:eastAsia="Times New Roman" w:hAnsi="Arial" w:cs="Arial"/>
        </w:rPr>
        <w:t xml:space="preserve">guide professionals’ handling of records. Applying these principles ensures that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health records are used only for legitimate care purposes, are accurate and accessible only to </w:t>
      </w:r>
      <w:proofErr w:type="spellStart"/>
      <w:r w:rsidRPr="00C34CC6">
        <w:rPr>
          <w:rFonts w:ascii="Arial" w:eastAsia="Times New Roman" w:hAnsi="Arial" w:cs="Arial"/>
        </w:rPr>
        <w:t>authorised</w:t>
      </w:r>
      <w:proofErr w:type="spellEnd"/>
      <w:r w:rsidRPr="00C34CC6">
        <w:rPr>
          <w:rFonts w:ascii="Arial" w:eastAsia="Times New Roman" w:hAnsi="Arial" w:cs="Arial"/>
        </w:rPr>
        <w:t xml:space="preserve"> personnel, and are securely stored to prevent breaches or misuse (UK Government, 2018).</w:t>
      </w:r>
    </w:p>
    <w:p w14:paraId="47A6A7AA"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EHR interoperability also strengthens compliance with data protection standards by enabling secure access controls, audit trails and encrypted data transfer between systems. A systematic review showed that EHR systems with integrated security features significantly reduced unauthorized access and data breaches in healthcare environments (Lin et al., 2025), which is essential in protecting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personal health information across different care settings.</w:t>
      </w:r>
    </w:p>
    <w:p w14:paraId="5F7B05B7" w14:textId="77777777" w:rsidR="00C34CC6" w:rsidRPr="00C34CC6" w:rsidRDefault="006B208B" w:rsidP="00C34CC6">
      <w:pPr>
        <w:spacing w:before="100" w:beforeAutospacing="1" w:after="100" w:afterAutospacing="1" w:line="360" w:lineRule="auto"/>
        <w:jc w:val="both"/>
        <w:rPr>
          <w:rFonts w:ascii="Arial" w:eastAsia="Times New Roman" w:hAnsi="Arial" w:cs="Arial"/>
        </w:rPr>
      </w:pPr>
      <w:r>
        <w:rPr>
          <w:rFonts w:ascii="Arial" w:eastAsia="Times New Roman" w:hAnsi="Arial" w:cs="Arial"/>
        </w:rPr>
        <w:t>A</w:t>
      </w:r>
      <w:r w:rsidR="00C34CC6" w:rsidRPr="00C34CC6">
        <w:rPr>
          <w:rFonts w:ascii="Arial" w:eastAsia="Times New Roman" w:hAnsi="Arial" w:cs="Arial"/>
        </w:rPr>
        <w:t xml:space="preserve">ccurate administrative records support quality improvement initiatives. </w:t>
      </w:r>
      <w:proofErr w:type="spellStart"/>
      <w:r w:rsidR="00C34CC6" w:rsidRPr="00C34CC6">
        <w:rPr>
          <w:rFonts w:ascii="Arial" w:eastAsia="Times New Roman" w:hAnsi="Arial" w:cs="Arial"/>
        </w:rPr>
        <w:t>Analysing</w:t>
      </w:r>
      <w:proofErr w:type="spellEnd"/>
      <w:r w:rsidR="00C34CC6" w:rsidRPr="00C34CC6">
        <w:rPr>
          <w:rFonts w:ascii="Arial" w:eastAsia="Times New Roman" w:hAnsi="Arial" w:cs="Arial"/>
        </w:rPr>
        <w:t xml:space="preserve"> recorded data helps identify care gaps, evaluate service performance, and implement changes to improve outcomes. For patients like </w:t>
      </w:r>
      <w:proofErr w:type="spellStart"/>
      <w:r w:rsidR="00C34CC6" w:rsidRPr="00C34CC6">
        <w:rPr>
          <w:rFonts w:ascii="Arial" w:eastAsia="Times New Roman" w:hAnsi="Arial" w:cs="Arial"/>
        </w:rPr>
        <w:t>Mr</w:t>
      </w:r>
      <w:proofErr w:type="spellEnd"/>
      <w:r w:rsidR="00C34CC6" w:rsidRPr="00C34CC6">
        <w:rPr>
          <w:rFonts w:ascii="Arial" w:eastAsia="Times New Roman" w:hAnsi="Arial" w:cs="Arial"/>
        </w:rPr>
        <w:t xml:space="preserve"> Ahmed, th</w:t>
      </w:r>
      <w:r w:rsidR="003E27FF">
        <w:rPr>
          <w:rFonts w:ascii="Arial" w:eastAsia="Times New Roman" w:hAnsi="Arial" w:cs="Arial"/>
        </w:rPr>
        <w:t xml:space="preserve">is means that systemic issues </w:t>
      </w:r>
      <w:r w:rsidR="00C34CC6" w:rsidRPr="00C34CC6">
        <w:rPr>
          <w:rFonts w:ascii="Arial" w:eastAsia="Times New Roman" w:hAnsi="Arial" w:cs="Arial"/>
        </w:rPr>
        <w:t xml:space="preserve">such as a missed </w:t>
      </w:r>
      <w:r w:rsidR="003E27FF">
        <w:rPr>
          <w:rFonts w:ascii="Arial" w:eastAsia="Times New Roman" w:hAnsi="Arial" w:cs="Arial"/>
        </w:rPr>
        <w:t xml:space="preserve">visit that delayed medication </w:t>
      </w:r>
      <w:r w:rsidR="00C34CC6" w:rsidRPr="00C34CC6">
        <w:rPr>
          <w:rFonts w:ascii="Arial" w:eastAsia="Times New Roman" w:hAnsi="Arial" w:cs="Arial"/>
        </w:rPr>
        <w:t>can be investigated and addressed to prevent future incidents.</w:t>
      </w:r>
    </w:p>
    <w:p w14:paraId="0D9718F9"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Overall, administrative skills in documentation, EHR interoperability and legal compliance are fundamental to delivering safe, coordinated, and high</w:t>
      </w:r>
      <w:r w:rsidRPr="00C34CC6">
        <w:rPr>
          <w:rFonts w:ascii="Arial" w:eastAsia="Times New Roman" w:hAnsi="Arial" w:cs="Arial"/>
        </w:rPr>
        <w:noBreakHyphen/>
        <w:t xml:space="preserve">quality care. In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case, they enable effective communication between professionals, protect patient privacy and strengthen the overall reliability of the healthcare system.</w:t>
      </w:r>
    </w:p>
    <w:p w14:paraId="78A5B39D" w14:textId="77777777" w:rsidR="00C34CC6" w:rsidRPr="00C34CC6" w:rsidRDefault="00C34CC6" w:rsidP="00C34CC6">
      <w:pPr>
        <w:tabs>
          <w:tab w:val="left" w:pos="5390"/>
        </w:tabs>
        <w:spacing w:before="100" w:beforeAutospacing="1" w:after="100" w:afterAutospacing="1" w:line="360" w:lineRule="auto"/>
        <w:jc w:val="both"/>
        <w:outlineLvl w:val="0"/>
        <w:rPr>
          <w:rFonts w:ascii="Arial" w:eastAsia="Times New Roman" w:hAnsi="Arial" w:cs="Arial"/>
          <w:b/>
          <w:bCs/>
          <w:kern w:val="36"/>
        </w:rPr>
      </w:pPr>
      <w:r w:rsidRPr="00C34CC6">
        <w:rPr>
          <w:rFonts w:ascii="Arial" w:eastAsia="Times New Roman" w:hAnsi="Arial" w:cs="Arial"/>
          <w:b/>
          <w:bCs/>
          <w:kern w:val="36"/>
        </w:rPr>
        <w:t>IMPORTANCE OF INTER</w:t>
      </w:r>
      <w:r w:rsidRPr="00C34CC6">
        <w:rPr>
          <w:rFonts w:ascii="Arial" w:eastAsia="Times New Roman" w:hAnsi="Arial" w:cs="Arial"/>
          <w:b/>
          <w:bCs/>
          <w:kern w:val="36"/>
        </w:rPr>
        <w:noBreakHyphen/>
        <w:t xml:space="preserve">PROFESSIONAL COLLABORATION </w:t>
      </w:r>
    </w:p>
    <w:p w14:paraId="07E87FDB"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Inter</w:t>
      </w:r>
      <w:r w:rsidRPr="00C34CC6">
        <w:rPr>
          <w:rFonts w:ascii="Arial" w:eastAsia="Times New Roman" w:hAnsi="Arial" w:cs="Arial"/>
        </w:rPr>
        <w:noBreakHyphen/>
        <w:t>professional collaboration is essential in managing complex care needs. Collaboration enables professionals with different expertise to work together, share insights and jointly plan care to achieve common goals. Stroke recovery typic</w:t>
      </w:r>
      <w:r w:rsidR="003E27FF">
        <w:rPr>
          <w:rFonts w:ascii="Arial" w:eastAsia="Times New Roman" w:hAnsi="Arial" w:cs="Arial"/>
        </w:rPr>
        <w:t>ally involves multiple domains</w:t>
      </w:r>
      <w:r w:rsidRPr="00C34CC6">
        <w:rPr>
          <w:rFonts w:ascii="Arial" w:eastAsia="Times New Roman" w:hAnsi="Arial" w:cs="Arial"/>
        </w:rPr>
        <w:t xml:space="preserve"> medical, functional an</w:t>
      </w:r>
      <w:r w:rsidR="003E27FF">
        <w:rPr>
          <w:rFonts w:ascii="Arial" w:eastAsia="Times New Roman" w:hAnsi="Arial" w:cs="Arial"/>
        </w:rPr>
        <w:t xml:space="preserve">d communicative </w:t>
      </w:r>
      <w:r w:rsidRPr="00C34CC6">
        <w:rPr>
          <w:rFonts w:ascii="Arial" w:eastAsia="Times New Roman" w:hAnsi="Arial" w:cs="Arial"/>
        </w:rPr>
        <w:t>requiring coordinated action from diverse healthcare providers.</w:t>
      </w:r>
    </w:p>
    <w:p w14:paraId="7D7DA4BC"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In </w:t>
      </w:r>
      <w:proofErr w:type="spellStart"/>
      <w:r w:rsidRPr="00C34CC6">
        <w:rPr>
          <w:rFonts w:ascii="Arial" w:eastAsia="Times New Roman" w:hAnsi="Arial" w:cs="Arial"/>
        </w:rPr>
        <w:t>Mr</w:t>
      </w:r>
      <w:proofErr w:type="spellEnd"/>
      <w:r w:rsidRPr="00C34CC6">
        <w:rPr>
          <w:rFonts w:ascii="Arial" w:eastAsia="Times New Roman" w:hAnsi="Arial" w:cs="Arial"/>
        </w:rPr>
        <w:t xml:space="preserve"> Ahmed’s case, the GP oversees medical management while the district nurse monitors wound care and vital signs. Domiciliary carers support activities of daily living and medication administration, and the speech and language therapist addresses communication and swallowing challenges. Research shows that inter</w:t>
      </w:r>
      <w:r w:rsidRPr="00C34CC6">
        <w:rPr>
          <w:rFonts w:ascii="Arial" w:eastAsia="Times New Roman" w:hAnsi="Arial" w:cs="Arial"/>
        </w:rPr>
        <w:noBreakHyphen/>
        <w:t xml:space="preserve">professional collaboration improves the continuity of care </w:t>
      </w:r>
      <w:r w:rsidRPr="00C34CC6">
        <w:rPr>
          <w:rFonts w:ascii="Arial" w:eastAsia="Times New Roman" w:hAnsi="Arial" w:cs="Arial"/>
        </w:rPr>
        <w:lastRenderedPageBreak/>
        <w:t>and reduces fragmentation, leading to better health outcomes and greater patient satisfaction (Reeves et al., 2021).</w:t>
      </w:r>
    </w:p>
    <w:p w14:paraId="5825B8A1"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 xml:space="preserve">Strategies to support collaboration include regular </w:t>
      </w:r>
      <w:r w:rsidRPr="00C34CC6">
        <w:rPr>
          <w:rFonts w:ascii="Arial" w:eastAsia="Times New Roman" w:hAnsi="Arial" w:cs="Arial"/>
          <w:bCs/>
        </w:rPr>
        <w:t>multidisciplinary team (MDT) meetings</w:t>
      </w:r>
      <w:r w:rsidRPr="00C34CC6">
        <w:rPr>
          <w:rFonts w:ascii="Arial" w:eastAsia="Times New Roman" w:hAnsi="Arial" w:cs="Arial"/>
        </w:rPr>
        <w:t>, where professionals share updates, review progress and align care goals. These meetings enhance collective understanding and encourage joint problem</w:t>
      </w:r>
      <w:r w:rsidRPr="00C34CC6">
        <w:rPr>
          <w:rFonts w:ascii="Arial" w:eastAsia="Times New Roman" w:hAnsi="Arial" w:cs="Arial"/>
        </w:rPr>
        <w:noBreakHyphen/>
        <w:t>solving, particularly when care changes are needed. Evidence indicates that MDT approaches improve rehabilitation outcomes and support integrated care planning (Mills et al., 2023). Shared electronic communica</w:t>
      </w:r>
      <w:r w:rsidR="003E27FF">
        <w:rPr>
          <w:rFonts w:ascii="Arial" w:eastAsia="Times New Roman" w:hAnsi="Arial" w:cs="Arial"/>
        </w:rPr>
        <w:t>tion platforms enabled by interoperable EHRs</w:t>
      </w:r>
      <w:r w:rsidRPr="00C34CC6">
        <w:rPr>
          <w:rFonts w:ascii="Arial" w:eastAsia="Times New Roman" w:hAnsi="Arial" w:cs="Arial"/>
        </w:rPr>
        <w:t xml:space="preserve"> further facilitate real</w:t>
      </w:r>
      <w:r w:rsidRPr="00C34CC6">
        <w:rPr>
          <w:rFonts w:ascii="Arial" w:eastAsia="Times New Roman" w:hAnsi="Arial" w:cs="Arial"/>
        </w:rPr>
        <w:noBreakHyphen/>
        <w:t>time information exchange and reduce delays in decision</w:t>
      </w:r>
      <w:r w:rsidRPr="00C34CC6">
        <w:rPr>
          <w:rFonts w:ascii="Arial" w:eastAsia="Times New Roman" w:hAnsi="Arial" w:cs="Arial"/>
        </w:rPr>
        <w:noBreakHyphen/>
        <w:t>making.</w:t>
      </w:r>
    </w:p>
    <w:p w14:paraId="3A28EDE7" w14:textId="77777777" w:rsidR="00C34CC6" w:rsidRPr="00C34CC6" w:rsidRDefault="00C34CC6" w:rsidP="00C34CC6">
      <w:pPr>
        <w:spacing w:before="100" w:beforeAutospacing="1" w:after="100" w:afterAutospacing="1" w:line="360" w:lineRule="auto"/>
        <w:jc w:val="both"/>
        <w:rPr>
          <w:rFonts w:ascii="Arial" w:eastAsia="Times New Roman" w:hAnsi="Arial" w:cs="Arial"/>
        </w:rPr>
      </w:pPr>
      <w:r w:rsidRPr="00C34CC6">
        <w:rPr>
          <w:rFonts w:ascii="Arial" w:eastAsia="Times New Roman" w:hAnsi="Arial" w:cs="Arial"/>
        </w:rPr>
        <w:t>Despite these benefits, collaboration may face barriers such as role ambiguity, hierarchical differences and resource constraints. Studies have identified that unclear expectations about responsibilities can impede teamwork and reduce efficiency (</w:t>
      </w:r>
      <w:proofErr w:type="spellStart"/>
      <w:r w:rsidRPr="00C34CC6">
        <w:rPr>
          <w:rFonts w:ascii="Arial" w:eastAsia="Times New Roman" w:hAnsi="Arial" w:cs="Arial"/>
        </w:rPr>
        <w:t>Sangaleti</w:t>
      </w:r>
      <w:proofErr w:type="spellEnd"/>
      <w:r w:rsidRPr="00C34CC6">
        <w:rPr>
          <w:rFonts w:ascii="Arial" w:eastAsia="Times New Roman" w:hAnsi="Arial" w:cs="Arial"/>
        </w:rPr>
        <w:t xml:space="preserve"> et al., 2022). These issues can be addressed through clear role delineation, structured communication tools and leadership support that fosters a teamwork culture.</w:t>
      </w:r>
    </w:p>
    <w:p w14:paraId="4F3B8298" w14:textId="77777777" w:rsidR="00C34CC6" w:rsidRPr="00C34CC6" w:rsidRDefault="006B208B" w:rsidP="00C34CC6">
      <w:pPr>
        <w:spacing w:before="100" w:beforeAutospacing="1" w:after="100" w:afterAutospacing="1" w:line="360" w:lineRule="auto"/>
        <w:jc w:val="both"/>
        <w:rPr>
          <w:rFonts w:ascii="Arial" w:eastAsia="Times New Roman" w:hAnsi="Arial" w:cs="Arial"/>
        </w:rPr>
      </w:pPr>
      <w:r>
        <w:rPr>
          <w:rFonts w:ascii="Arial" w:eastAsia="Times New Roman" w:hAnsi="Arial" w:cs="Arial"/>
        </w:rPr>
        <w:t>I</w:t>
      </w:r>
      <w:r w:rsidR="00C34CC6" w:rsidRPr="00C34CC6">
        <w:rPr>
          <w:rFonts w:ascii="Arial" w:eastAsia="Times New Roman" w:hAnsi="Arial" w:cs="Arial"/>
        </w:rPr>
        <w:t>nter</w:t>
      </w:r>
      <w:r w:rsidR="00C34CC6" w:rsidRPr="00C34CC6">
        <w:rPr>
          <w:rFonts w:ascii="Arial" w:eastAsia="Times New Roman" w:hAnsi="Arial" w:cs="Arial"/>
        </w:rPr>
        <w:noBreakHyphen/>
        <w:t xml:space="preserve">professional education and joint training opportunities strengthen mutual understanding and respect among team members, which supports consistent care delivery. In </w:t>
      </w:r>
      <w:proofErr w:type="spellStart"/>
      <w:r w:rsidR="00C34CC6" w:rsidRPr="00C34CC6">
        <w:rPr>
          <w:rFonts w:ascii="Arial" w:eastAsia="Times New Roman" w:hAnsi="Arial" w:cs="Arial"/>
        </w:rPr>
        <w:t>Mr</w:t>
      </w:r>
      <w:proofErr w:type="spellEnd"/>
      <w:r w:rsidR="00C34CC6" w:rsidRPr="00C34CC6">
        <w:rPr>
          <w:rFonts w:ascii="Arial" w:eastAsia="Times New Roman" w:hAnsi="Arial" w:cs="Arial"/>
        </w:rPr>
        <w:t xml:space="preserve"> Ahmed’s care, effective inter</w:t>
      </w:r>
      <w:r w:rsidR="00C34CC6" w:rsidRPr="00C34CC6">
        <w:rPr>
          <w:rFonts w:ascii="Arial" w:eastAsia="Times New Roman" w:hAnsi="Arial" w:cs="Arial"/>
        </w:rPr>
        <w:noBreakHyphen/>
        <w:t xml:space="preserve">professional collaboration ensures that clinical decisions are informed </w:t>
      </w:r>
      <w:proofErr w:type="gramStart"/>
      <w:r w:rsidR="00C34CC6" w:rsidRPr="00C34CC6">
        <w:rPr>
          <w:rFonts w:ascii="Arial" w:eastAsia="Times New Roman" w:hAnsi="Arial" w:cs="Arial"/>
        </w:rPr>
        <w:t>by</w:t>
      </w:r>
      <w:proofErr w:type="gramEnd"/>
      <w:r w:rsidR="00C34CC6" w:rsidRPr="00C34CC6">
        <w:rPr>
          <w:rFonts w:ascii="Arial" w:eastAsia="Times New Roman" w:hAnsi="Arial" w:cs="Arial"/>
        </w:rPr>
        <w:t xml:space="preserve"> diverse perspectives, care transitions are seamless, and the risks associated with complex health needs are mitigated.</w:t>
      </w:r>
    </w:p>
    <w:p w14:paraId="390DEC97" w14:textId="77777777" w:rsidR="00C34CC6" w:rsidRPr="00C34CC6" w:rsidRDefault="00C34CC6" w:rsidP="00C34CC6">
      <w:pPr>
        <w:tabs>
          <w:tab w:val="left" w:pos="6660"/>
        </w:tabs>
        <w:spacing w:before="100" w:beforeAutospacing="1" w:after="100" w:afterAutospacing="1" w:line="360" w:lineRule="auto"/>
        <w:jc w:val="both"/>
        <w:outlineLvl w:val="0"/>
        <w:rPr>
          <w:rFonts w:ascii="Arial" w:hAnsi="Arial" w:cs="Arial"/>
          <w:b/>
        </w:rPr>
      </w:pPr>
      <w:r w:rsidRPr="00C34CC6">
        <w:rPr>
          <w:rFonts w:ascii="Arial" w:hAnsi="Arial" w:cs="Arial"/>
          <w:b/>
        </w:rPr>
        <w:t xml:space="preserve">Table 2: Key Roles of Healthcare Professionals in </w:t>
      </w:r>
      <w:proofErr w:type="spellStart"/>
      <w:r w:rsidRPr="00C34CC6">
        <w:rPr>
          <w:rFonts w:ascii="Arial" w:hAnsi="Arial" w:cs="Arial"/>
          <w:b/>
        </w:rPr>
        <w:t>Mr</w:t>
      </w:r>
      <w:proofErr w:type="spellEnd"/>
      <w:r w:rsidRPr="00C34CC6">
        <w:rPr>
          <w:rFonts w:ascii="Arial" w:hAnsi="Arial" w:cs="Arial"/>
          <w:b/>
        </w:rPr>
        <w:t xml:space="preserve"> Ahmed’s Care</w:t>
      </w:r>
    </w:p>
    <w:tbl>
      <w:tblPr>
        <w:tblStyle w:val="TableGrid1"/>
        <w:tblW w:w="0" w:type="auto"/>
        <w:tblLook w:val="04A0" w:firstRow="1" w:lastRow="0" w:firstColumn="1" w:lastColumn="0" w:noHBand="0" w:noVBand="1"/>
      </w:tblPr>
      <w:tblGrid>
        <w:gridCol w:w="2870"/>
        <w:gridCol w:w="3649"/>
        <w:gridCol w:w="2831"/>
      </w:tblGrid>
      <w:tr w:rsidR="00C34CC6" w:rsidRPr="00C34CC6" w14:paraId="282C0B4A" w14:textId="77777777" w:rsidTr="003E27FF">
        <w:tc>
          <w:tcPr>
            <w:tcW w:w="0" w:type="auto"/>
            <w:hideMark/>
          </w:tcPr>
          <w:p w14:paraId="663A41DB" w14:textId="77777777" w:rsidR="00C34CC6" w:rsidRPr="00C34CC6" w:rsidRDefault="00C34CC6" w:rsidP="00C34CC6">
            <w:pPr>
              <w:rPr>
                <w:rFonts w:ascii="Arial" w:eastAsia="Times New Roman" w:hAnsi="Arial" w:cs="Arial"/>
                <w:b/>
                <w:bCs/>
              </w:rPr>
            </w:pPr>
            <w:r w:rsidRPr="00C34CC6">
              <w:rPr>
                <w:rFonts w:ascii="Arial" w:eastAsia="Times New Roman" w:hAnsi="Arial" w:cs="Arial"/>
                <w:b/>
                <w:bCs/>
              </w:rPr>
              <w:t>Professional</w:t>
            </w:r>
          </w:p>
        </w:tc>
        <w:tc>
          <w:tcPr>
            <w:tcW w:w="0" w:type="auto"/>
            <w:hideMark/>
          </w:tcPr>
          <w:p w14:paraId="63FD6911" w14:textId="77777777" w:rsidR="00C34CC6" w:rsidRPr="00C34CC6" w:rsidRDefault="00C34CC6" w:rsidP="00C34CC6">
            <w:pPr>
              <w:rPr>
                <w:rFonts w:ascii="Arial" w:eastAsia="Times New Roman" w:hAnsi="Arial" w:cs="Arial"/>
                <w:b/>
                <w:bCs/>
              </w:rPr>
            </w:pPr>
            <w:r w:rsidRPr="00C34CC6">
              <w:rPr>
                <w:rFonts w:ascii="Arial" w:eastAsia="Times New Roman" w:hAnsi="Arial" w:cs="Arial"/>
                <w:b/>
                <w:bCs/>
              </w:rPr>
              <w:t xml:space="preserve">Role in </w:t>
            </w:r>
            <w:proofErr w:type="spellStart"/>
            <w:r w:rsidRPr="00C34CC6">
              <w:rPr>
                <w:rFonts w:ascii="Arial" w:eastAsia="Times New Roman" w:hAnsi="Arial" w:cs="Arial"/>
                <w:b/>
                <w:bCs/>
              </w:rPr>
              <w:t>Mr</w:t>
            </w:r>
            <w:proofErr w:type="spellEnd"/>
            <w:r w:rsidRPr="00C34CC6">
              <w:rPr>
                <w:rFonts w:ascii="Arial" w:eastAsia="Times New Roman" w:hAnsi="Arial" w:cs="Arial"/>
                <w:b/>
                <w:bCs/>
              </w:rPr>
              <w:t xml:space="preserve"> Ahmed’s Care</w:t>
            </w:r>
          </w:p>
        </w:tc>
        <w:tc>
          <w:tcPr>
            <w:tcW w:w="0" w:type="auto"/>
            <w:hideMark/>
          </w:tcPr>
          <w:p w14:paraId="0BB48A58" w14:textId="77777777" w:rsidR="00C34CC6" w:rsidRPr="00C34CC6" w:rsidRDefault="00C34CC6" w:rsidP="00C34CC6">
            <w:pPr>
              <w:rPr>
                <w:rFonts w:ascii="Arial" w:eastAsia="Times New Roman" w:hAnsi="Arial" w:cs="Arial"/>
                <w:b/>
                <w:bCs/>
              </w:rPr>
            </w:pPr>
            <w:r w:rsidRPr="00C34CC6">
              <w:rPr>
                <w:rFonts w:ascii="Arial" w:eastAsia="Times New Roman" w:hAnsi="Arial" w:cs="Arial"/>
                <w:b/>
                <w:bCs/>
              </w:rPr>
              <w:t>Reference</w:t>
            </w:r>
          </w:p>
        </w:tc>
      </w:tr>
      <w:tr w:rsidR="00C34CC6" w:rsidRPr="00C34CC6" w14:paraId="3EB73D8D" w14:textId="77777777" w:rsidTr="003E27FF">
        <w:tc>
          <w:tcPr>
            <w:tcW w:w="0" w:type="auto"/>
            <w:hideMark/>
          </w:tcPr>
          <w:p w14:paraId="3CB9EE00" w14:textId="77777777" w:rsidR="00C34CC6" w:rsidRPr="00C34CC6" w:rsidRDefault="00C34CC6" w:rsidP="00C34CC6">
            <w:pPr>
              <w:rPr>
                <w:rFonts w:ascii="Arial" w:eastAsia="Times New Roman" w:hAnsi="Arial" w:cs="Arial"/>
              </w:rPr>
            </w:pPr>
            <w:r w:rsidRPr="00C34CC6">
              <w:rPr>
                <w:rFonts w:ascii="Arial" w:eastAsia="Times New Roman" w:hAnsi="Arial" w:cs="Arial"/>
              </w:rPr>
              <w:t>GP</w:t>
            </w:r>
          </w:p>
        </w:tc>
        <w:tc>
          <w:tcPr>
            <w:tcW w:w="0" w:type="auto"/>
            <w:hideMark/>
          </w:tcPr>
          <w:p w14:paraId="43EC40DA" w14:textId="77777777" w:rsidR="00C34CC6" w:rsidRPr="00C34CC6" w:rsidRDefault="00C34CC6" w:rsidP="00C34CC6">
            <w:pPr>
              <w:rPr>
                <w:rFonts w:ascii="Arial" w:eastAsia="Times New Roman" w:hAnsi="Arial" w:cs="Arial"/>
              </w:rPr>
            </w:pPr>
            <w:proofErr w:type="gramStart"/>
            <w:r w:rsidRPr="00C34CC6">
              <w:rPr>
                <w:rFonts w:ascii="Arial" w:eastAsia="Times New Roman" w:hAnsi="Arial" w:cs="Arial"/>
              </w:rPr>
              <w:t>Oversees</w:t>
            </w:r>
            <w:proofErr w:type="gramEnd"/>
            <w:r w:rsidRPr="00C34CC6">
              <w:rPr>
                <w:rFonts w:ascii="Arial" w:eastAsia="Times New Roman" w:hAnsi="Arial" w:cs="Arial"/>
              </w:rPr>
              <w:t xml:space="preserve"> medical and clinical decisions</w:t>
            </w:r>
          </w:p>
        </w:tc>
        <w:tc>
          <w:tcPr>
            <w:tcW w:w="0" w:type="auto"/>
            <w:hideMark/>
          </w:tcPr>
          <w:p w14:paraId="5980D6A4" w14:textId="77777777" w:rsidR="00C34CC6" w:rsidRPr="00C34CC6" w:rsidRDefault="00C34CC6" w:rsidP="00C34CC6">
            <w:pPr>
              <w:rPr>
                <w:rFonts w:ascii="Arial" w:eastAsia="Times New Roman" w:hAnsi="Arial" w:cs="Arial"/>
              </w:rPr>
            </w:pPr>
            <w:r w:rsidRPr="00C34CC6">
              <w:rPr>
                <w:rFonts w:ascii="Arial" w:eastAsia="Times New Roman" w:hAnsi="Arial" w:cs="Arial"/>
              </w:rPr>
              <w:t>Reeves et al., 2021</w:t>
            </w:r>
          </w:p>
        </w:tc>
      </w:tr>
      <w:tr w:rsidR="00C34CC6" w:rsidRPr="00C34CC6" w14:paraId="75426559" w14:textId="77777777" w:rsidTr="003E27FF">
        <w:tc>
          <w:tcPr>
            <w:tcW w:w="0" w:type="auto"/>
            <w:hideMark/>
          </w:tcPr>
          <w:p w14:paraId="16C11A40" w14:textId="77777777" w:rsidR="00C34CC6" w:rsidRPr="00C34CC6" w:rsidRDefault="00C34CC6" w:rsidP="00C34CC6">
            <w:pPr>
              <w:rPr>
                <w:rFonts w:ascii="Arial" w:eastAsia="Times New Roman" w:hAnsi="Arial" w:cs="Arial"/>
              </w:rPr>
            </w:pPr>
            <w:r w:rsidRPr="00C34CC6">
              <w:rPr>
                <w:rFonts w:ascii="Arial" w:eastAsia="Times New Roman" w:hAnsi="Arial" w:cs="Arial"/>
              </w:rPr>
              <w:t>District Nurse</w:t>
            </w:r>
          </w:p>
        </w:tc>
        <w:tc>
          <w:tcPr>
            <w:tcW w:w="0" w:type="auto"/>
            <w:hideMark/>
          </w:tcPr>
          <w:p w14:paraId="0918BC6E" w14:textId="77777777" w:rsidR="00C34CC6" w:rsidRPr="00C34CC6" w:rsidRDefault="00C34CC6" w:rsidP="00C34CC6">
            <w:pPr>
              <w:rPr>
                <w:rFonts w:ascii="Arial" w:eastAsia="Times New Roman" w:hAnsi="Arial" w:cs="Arial"/>
              </w:rPr>
            </w:pPr>
            <w:r w:rsidRPr="00C34CC6">
              <w:rPr>
                <w:rFonts w:ascii="Arial" w:eastAsia="Times New Roman" w:hAnsi="Arial" w:cs="Arial"/>
              </w:rPr>
              <w:t>Monitors vital signs, wound care</w:t>
            </w:r>
          </w:p>
        </w:tc>
        <w:tc>
          <w:tcPr>
            <w:tcW w:w="0" w:type="auto"/>
            <w:hideMark/>
          </w:tcPr>
          <w:p w14:paraId="15017DC3" w14:textId="77777777" w:rsidR="00C34CC6" w:rsidRPr="00C34CC6" w:rsidRDefault="00C34CC6" w:rsidP="00C34CC6">
            <w:pPr>
              <w:rPr>
                <w:rFonts w:ascii="Arial" w:eastAsia="Times New Roman" w:hAnsi="Arial" w:cs="Arial"/>
              </w:rPr>
            </w:pPr>
            <w:r w:rsidRPr="00C34CC6">
              <w:rPr>
                <w:rFonts w:ascii="Arial" w:eastAsia="Times New Roman" w:hAnsi="Arial" w:cs="Arial"/>
              </w:rPr>
              <w:t>Mills et al., 2023</w:t>
            </w:r>
          </w:p>
        </w:tc>
      </w:tr>
      <w:tr w:rsidR="00C34CC6" w:rsidRPr="00C34CC6" w14:paraId="00E395CC" w14:textId="77777777" w:rsidTr="003E27FF">
        <w:tc>
          <w:tcPr>
            <w:tcW w:w="0" w:type="auto"/>
            <w:hideMark/>
          </w:tcPr>
          <w:p w14:paraId="0F36FA6D" w14:textId="77777777" w:rsidR="00C34CC6" w:rsidRPr="00C34CC6" w:rsidRDefault="00C34CC6" w:rsidP="00C34CC6">
            <w:pPr>
              <w:rPr>
                <w:rFonts w:ascii="Arial" w:eastAsia="Times New Roman" w:hAnsi="Arial" w:cs="Arial"/>
              </w:rPr>
            </w:pPr>
            <w:r w:rsidRPr="00C34CC6">
              <w:rPr>
                <w:rFonts w:ascii="Arial" w:eastAsia="Times New Roman" w:hAnsi="Arial" w:cs="Arial"/>
              </w:rPr>
              <w:t>Domiciliary Carer</w:t>
            </w:r>
          </w:p>
        </w:tc>
        <w:tc>
          <w:tcPr>
            <w:tcW w:w="0" w:type="auto"/>
            <w:hideMark/>
          </w:tcPr>
          <w:p w14:paraId="4B31DB13" w14:textId="77777777" w:rsidR="00C34CC6" w:rsidRPr="00C34CC6" w:rsidRDefault="00C34CC6" w:rsidP="00C34CC6">
            <w:pPr>
              <w:rPr>
                <w:rFonts w:ascii="Arial" w:eastAsia="Times New Roman" w:hAnsi="Arial" w:cs="Arial"/>
              </w:rPr>
            </w:pPr>
            <w:r w:rsidRPr="00C34CC6">
              <w:rPr>
                <w:rFonts w:ascii="Arial" w:eastAsia="Times New Roman" w:hAnsi="Arial" w:cs="Arial"/>
              </w:rPr>
              <w:t>Daily living support, medication</w:t>
            </w:r>
          </w:p>
        </w:tc>
        <w:tc>
          <w:tcPr>
            <w:tcW w:w="0" w:type="auto"/>
            <w:hideMark/>
          </w:tcPr>
          <w:p w14:paraId="52AE3993" w14:textId="77777777" w:rsidR="00C34CC6" w:rsidRPr="00C34CC6" w:rsidRDefault="00C34CC6" w:rsidP="00C34CC6">
            <w:pPr>
              <w:rPr>
                <w:rFonts w:ascii="Arial" w:eastAsia="Times New Roman" w:hAnsi="Arial" w:cs="Arial"/>
              </w:rPr>
            </w:pPr>
            <w:r w:rsidRPr="00C34CC6">
              <w:rPr>
                <w:rFonts w:ascii="Arial" w:eastAsia="Times New Roman" w:hAnsi="Arial" w:cs="Arial"/>
              </w:rPr>
              <w:t>Elwyn et al., 2022</w:t>
            </w:r>
          </w:p>
        </w:tc>
      </w:tr>
      <w:tr w:rsidR="00C34CC6" w:rsidRPr="00C34CC6" w14:paraId="7C47A950" w14:textId="77777777" w:rsidTr="003E27FF">
        <w:tc>
          <w:tcPr>
            <w:tcW w:w="0" w:type="auto"/>
            <w:hideMark/>
          </w:tcPr>
          <w:p w14:paraId="35F65AF9" w14:textId="77777777" w:rsidR="00C34CC6" w:rsidRPr="00C34CC6" w:rsidRDefault="00C34CC6" w:rsidP="00C34CC6">
            <w:pPr>
              <w:rPr>
                <w:rFonts w:ascii="Arial" w:eastAsia="Times New Roman" w:hAnsi="Arial" w:cs="Arial"/>
              </w:rPr>
            </w:pPr>
            <w:r w:rsidRPr="00C34CC6">
              <w:rPr>
                <w:rFonts w:ascii="Arial" w:eastAsia="Times New Roman" w:hAnsi="Arial" w:cs="Arial"/>
              </w:rPr>
              <w:t>Speech &amp; Language Therapist</w:t>
            </w:r>
          </w:p>
        </w:tc>
        <w:tc>
          <w:tcPr>
            <w:tcW w:w="0" w:type="auto"/>
            <w:hideMark/>
          </w:tcPr>
          <w:p w14:paraId="470CCE36" w14:textId="77777777" w:rsidR="00C34CC6" w:rsidRPr="00C34CC6" w:rsidRDefault="00C34CC6" w:rsidP="00C34CC6">
            <w:pPr>
              <w:rPr>
                <w:rFonts w:ascii="Arial" w:eastAsia="Times New Roman" w:hAnsi="Arial" w:cs="Arial"/>
              </w:rPr>
            </w:pPr>
            <w:r w:rsidRPr="00C34CC6">
              <w:rPr>
                <w:rFonts w:ascii="Arial" w:eastAsia="Times New Roman" w:hAnsi="Arial" w:cs="Arial"/>
              </w:rPr>
              <w:t>Communication and swallowing therapy</w:t>
            </w:r>
          </w:p>
        </w:tc>
        <w:tc>
          <w:tcPr>
            <w:tcW w:w="0" w:type="auto"/>
            <w:hideMark/>
          </w:tcPr>
          <w:p w14:paraId="514FC50F" w14:textId="77777777" w:rsidR="00C34CC6" w:rsidRPr="00C34CC6" w:rsidRDefault="00C34CC6" w:rsidP="00C34CC6">
            <w:pPr>
              <w:rPr>
                <w:rFonts w:ascii="Arial" w:eastAsia="Times New Roman" w:hAnsi="Arial" w:cs="Arial"/>
              </w:rPr>
            </w:pPr>
            <w:r w:rsidRPr="00C34CC6">
              <w:rPr>
                <w:rFonts w:ascii="Arial" w:eastAsia="Times New Roman" w:hAnsi="Arial" w:cs="Arial"/>
              </w:rPr>
              <w:t>Simmons</w:t>
            </w:r>
            <w:r w:rsidRPr="00C34CC6">
              <w:rPr>
                <w:rFonts w:ascii="Arial" w:eastAsia="Times New Roman" w:hAnsi="Arial" w:cs="Arial"/>
              </w:rPr>
              <w:noBreakHyphen/>
              <w:t>Mackie et al., 2022</w:t>
            </w:r>
          </w:p>
        </w:tc>
      </w:tr>
    </w:tbl>
    <w:p w14:paraId="64374C3C" w14:textId="77777777" w:rsidR="00C34CC6" w:rsidRPr="00C34CC6" w:rsidRDefault="00C34CC6" w:rsidP="003E27FF">
      <w:pPr>
        <w:tabs>
          <w:tab w:val="left" w:pos="6560"/>
          <w:tab w:val="left" w:pos="7450"/>
        </w:tabs>
        <w:spacing w:before="100" w:beforeAutospacing="1" w:after="100" w:afterAutospacing="1" w:line="240" w:lineRule="auto"/>
        <w:jc w:val="both"/>
        <w:outlineLvl w:val="0"/>
        <w:rPr>
          <w:rFonts w:ascii="Arial" w:eastAsia="Times New Roman" w:hAnsi="Arial" w:cs="Arial"/>
          <w:b/>
          <w:bCs/>
          <w:kern w:val="36"/>
        </w:rPr>
      </w:pPr>
      <w:r w:rsidRPr="00C34CC6">
        <w:rPr>
          <w:rFonts w:ascii="Arial" w:eastAsia="Times New Roman" w:hAnsi="Arial" w:cs="Arial"/>
          <w:b/>
          <w:bCs/>
          <w:kern w:val="36"/>
        </w:rPr>
        <w:tab/>
      </w:r>
      <w:r w:rsidR="003E27FF">
        <w:rPr>
          <w:rFonts w:ascii="Arial" w:eastAsia="Times New Roman" w:hAnsi="Arial" w:cs="Arial"/>
          <w:b/>
          <w:bCs/>
          <w:kern w:val="36"/>
        </w:rPr>
        <w:tab/>
      </w:r>
    </w:p>
    <w:p w14:paraId="38748279" w14:textId="77777777" w:rsidR="003E27FF" w:rsidRDefault="003E27FF" w:rsidP="00C34CC6">
      <w:pPr>
        <w:tabs>
          <w:tab w:val="left" w:pos="6660"/>
        </w:tabs>
        <w:spacing w:before="100" w:beforeAutospacing="1" w:after="100" w:afterAutospacing="1" w:line="360" w:lineRule="auto"/>
        <w:jc w:val="both"/>
        <w:outlineLvl w:val="0"/>
        <w:rPr>
          <w:rFonts w:ascii="Arial" w:eastAsia="Times New Roman" w:hAnsi="Arial" w:cs="Arial"/>
          <w:b/>
          <w:bCs/>
          <w:kern w:val="36"/>
        </w:rPr>
      </w:pPr>
    </w:p>
    <w:p w14:paraId="68BE2C47" w14:textId="77777777" w:rsidR="003E27FF" w:rsidRDefault="003E27FF" w:rsidP="00C34CC6">
      <w:pPr>
        <w:tabs>
          <w:tab w:val="left" w:pos="6660"/>
        </w:tabs>
        <w:spacing w:before="100" w:beforeAutospacing="1" w:after="100" w:afterAutospacing="1" w:line="360" w:lineRule="auto"/>
        <w:jc w:val="both"/>
        <w:outlineLvl w:val="0"/>
        <w:rPr>
          <w:rFonts w:ascii="Arial" w:eastAsia="Times New Roman" w:hAnsi="Arial" w:cs="Arial"/>
          <w:b/>
          <w:bCs/>
          <w:kern w:val="36"/>
        </w:rPr>
      </w:pPr>
    </w:p>
    <w:p w14:paraId="62B59534" w14:textId="77777777" w:rsidR="00C34CC6" w:rsidRPr="00C34CC6" w:rsidRDefault="00C34CC6" w:rsidP="00C34CC6">
      <w:pPr>
        <w:tabs>
          <w:tab w:val="left" w:pos="6660"/>
        </w:tabs>
        <w:spacing w:before="100" w:beforeAutospacing="1" w:after="100" w:afterAutospacing="1" w:line="360" w:lineRule="auto"/>
        <w:jc w:val="both"/>
        <w:outlineLvl w:val="0"/>
        <w:rPr>
          <w:rFonts w:ascii="Arial" w:eastAsia="Times New Roman" w:hAnsi="Arial" w:cs="Arial"/>
          <w:b/>
          <w:bCs/>
          <w:kern w:val="36"/>
        </w:rPr>
      </w:pPr>
      <w:r w:rsidRPr="00C34CC6">
        <w:rPr>
          <w:rFonts w:ascii="Arial" w:eastAsia="Times New Roman" w:hAnsi="Arial" w:cs="Arial"/>
          <w:b/>
          <w:bCs/>
          <w:kern w:val="36"/>
        </w:rPr>
        <w:lastRenderedPageBreak/>
        <w:t xml:space="preserve">CONCLUSION </w:t>
      </w:r>
    </w:p>
    <w:p w14:paraId="6B29DDEE" w14:textId="77777777" w:rsidR="00C34CC6" w:rsidRDefault="006B208B" w:rsidP="00C34CC6">
      <w:pPr>
        <w:spacing w:before="100" w:beforeAutospacing="1" w:after="100" w:afterAutospacing="1" w:line="360" w:lineRule="auto"/>
        <w:jc w:val="both"/>
        <w:rPr>
          <w:rFonts w:ascii="Arial" w:eastAsia="Times New Roman" w:hAnsi="Arial" w:cs="Arial"/>
        </w:rPr>
      </w:pPr>
      <w:r>
        <w:rPr>
          <w:rFonts w:ascii="Arial" w:eastAsia="Times New Roman" w:hAnsi="Arial" w:cs="Arial"/>
        </w:rPr>
        <w:t>P</w:t>
      </w:r>
      <w:r w:rsidR="00C34CC6" w:rsidRPr="00C34CC6">
        <w:rPr>
          <w:rFonts w:ascii="Arial" w:eastAsia="Times New Roman" w:hAnsi="Arial" w:cs="Arial"/>
        </w:rPr>
        <w:t>roviding safe, coordinated and person</w:t>
      </w:r>
      <w:r w:rsidR="00C34CC6" w:rsidRPr="00C34CC6">
        <w:rPr>
          <w:rFonts w:ascii="Arial" w:eastAsia="Times New Roman" w:hAnsi="Arial" w:cs="Arial"/>
        </w:rPr>
        <w:noBreakHyphen/>
      </w:r>
      <w:proofErr w:type="spellStart"/>
      <w:r w:rsidR="00C34CC6" w:rsidRPr="00C34CC6">
        <w:rPr>
          <w:rFonts w:ascii="Arial" w:eastAsia="Times New Roman" w:hAnsi="Arial" w:cs="Arial"/>
        </w:rPr>
        <w:t>centred</w:t>
      </w:r>
      <w:proofErr w:type="spellEnd"/>
      <w:r w:rsidR="00C34CC6" w:rsidRPr="00C34CC6">
        <w:rPr>
          <w:rFonts w:ascii="Arial" w:eastAsia="Times New Roman" w:hAnsi="Arial" w:cs="Arial"/>
        </w:rPr>
        <w:t xml:space="preserve"> care for </w:t>
      </w:r>
      <w:proofErr w:type="spellStart"/>
      <w:r w:rsidR="00C34CC6" w:rsidRPr="00C34CC6">
        <w:rPr>
          <w:rFonts w:ascii="Arial" w:eastAsia="Times New Roman" w:hAnsi="Arial" w:cs="Arial"/>
        </w:rPr>
        <w:t>Mr</w:t>
      </w:r>
      <w:proofErr w:type="spellEnd"/>
      <w:r w:rsidR="00C34CC6" w:rsidRPr="00C34CC6">
        <w:rPr>
          <w:rFonts w:ascii="Arial" w:eastAsia="Times New Roman" w:hAnsi="Arial" w:cs="Arial"/>
        </w:rPr>
        <w:t xml:space="preserve"> Ahmed depends on effective communication, strong administrative practices and inter</w:t>
      </w:r>
      <w:r w:rsidR="00C34CC6" w:rsidRPr="00C34CC6">
        <w:rPr>
          <w:rFonts w:ascii="Arial" w:eastAsia="Times New Roman" w:hAnsi="Arial" w:cs="Arial"/>
        </w:rPr>
        <w:noBreakHyphen/>
        <w:t>professional collaboration. Effective communication using digital and visual tools, guided by the Shannon–Weaver model, supports understanding despite language and stroke</w:t>
      </w:r>
      <w:r w:rsidR="00C34CC6" w:rsidRPr="00C34CC6">
        <w:rPr>
          <w:rFonts w:ascii="Arial" w:eastAsia="Times New Roman" w:hAnsi="Arial" w:cs="Arial"/>
        </w:rPr>
        <w:noBreakHyphen/>
        <w:t>related barriers, helping patients actively participate in their care. Robust administrative skills, particularly interoperable electronic health records and compliance with the Data Protection Act 2018, ensure accurate, secure and accessible documentation that enhances continuity of care. Inter</w:t>
      </w:r>
      <w:r w:rsidR="00C34CC6" w:rsidRPr="00C34CC6">
        <w:rPr>
          <w:rFonts w:ascii="Arial" w:eastAsia="Times New Roman" w:hAnsi="Arial" w:cs="Arial"/>
        </w:rPr>
        <w:noBreakHyphen/>
        <w:t>professional collaboration among the GP, district nurse, domiciliary carers and speech and language therapist allows diverse expertise to inform care planning, reducing fragmentation and improving outcomes. Together, these professional practices foster a healthcare environment that respects patient needs, protects sensitive information and supports high</w:t>
      </w:r>
      <w:r w:rsidR="00C34CC6" w:rsidRPr="00C34CC6">
        <w:rPr>
          <w:rFonts w:ascii="Arial" w:eastAsia="Times New Roman" w:hAnsi="Arial" w:cs="Arial"/>
        </w:rPr>
        <w:noBreakHyphen/>
        <w:t>quality recovery, ultimately contributing to a positive and safe experience for patients recovering from stroke.</w:t>
      </w:r>
    </w:p>
    <w:p w14:paraId="4033DED5" w14:textId="77777777" w:rsidR="00C34CC6" w:rsidRDefault="00C34CC6" w:rsidP="00C34CC6">
      <w:pPr>
        <w:spacing w:before="100" w:beforeAutospacing="1" w:after="100" w:afterAutospacing="1" w:line="360" w:lineRule="auto"/>
        <w:jc w:val="both"/>
        <w:rPr>
          <w:rFonts w:ascii="Arial" w:eastAsia="Times New Roman" w:hAnsi="Arial" w:cs="Arial"/>
          <w:b/>
        </w:rPr>
      </w:pPr>
    </w:p>
    <w:p w14:paraId="20F87676"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76E5419D"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54131F71"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7CAA122E"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238870A3"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4455F5DB"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30C5A7D4"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29C43E9E"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68A2FBA1"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4F9C2D39" w14:textId="77777777" w:rsidR="003E27FF" w:rsidRDefault="003E27FF" w:rsidP="00C34CC6">
      <w:pPr>
        <w:spacing w:before="100" w:beforeAutospacing="1" w:after="100" w:afterAutospacing="1" w:line="360" w:lineRule="auto"/>
        <w:jc w:val="both"/>
        <w:rPr>
          <w:rFonts w:ascii="Arial" w:eastAsia="Times New Roman" w:hAnsi="Arial" w:cs="Arial"/>
          <w:b/>
        </w:rPr>
      </w:pPr>
    </w:p>
    <w:p w14:paraId="357FC677" w14:textId="77777777" w:rsidR="00C34CC6" w:rsidRDefault="00C34CC6" w:rsidP="00C34CC6">
      <w:pPr>
        <w:spacing w:before="100" w:beforeAutospacing="1" w:after="100" w:afterAutospacing="1" w:line="360" w:lineRule="auto"/>
        <w:jc w:val="both"/>
        <w:rPr>
          <w:rFonts w:ascii="Arial" w:eastAsia="Times New Roman" w:hAnsi="Arial" w:cs="Arial"/>
          <w:b/>
        </w:rPr>
      </w:pPr>
      <w:r w:rsidRPr="00C34CC6">
        <w:rPr>
          <w:rFonts w:ascii="Arial" w:eastAsia="Times New Roman" w:hAnsi="Arial" w:cs="Arial"/>
          <w:b/>
        </w:rPr>
        <w:lastRenderedPageBreak/>
        <w:t>REFERENCES</w:t>
      </w:r>
    </w:p>
    <w:p w14:paraId="01ED8625"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Chen, L. et al. (2022) ‘Enhancing communication effectiveness in healthcare teams’, </w:t>
      </w:r>
      <w:r w:rsidRPr="00C34CC6">
        <w:rPr>
          <w:rStyle w:val="Emphasis"/>
          <w:rFonts w:ascii="Arial" w:hAnsi="Arial" w:cs="Arial"/>
          <w:sz w:val="22"/>
          <w:szCs w:val="22"/>
        </w:rPr>
        <w:t>Health Communication Science</w:t>
      </w:r>
      <w:r w:rsidRPr="00C34CC6">
        <w:rPr>
          <w:rFonts w:ascii="Arial" w:hAnsi="Arial" w:cs="Arial"/>
          <w:sz w:val="22"/>
          <w:szCs w:val="22"/>
        </w:rPr>
        <w:t>, 15(3), pp. 210–220.</w:t>
      </w:r>
    </w:p>
    <w:p w14:paraId="103FF4CA"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Elwyn, G. et al. (2022) ‘Shared decision</w:t>
      </w:r>
      <w:r w:rsidRPr="00C34CC6">
        <w:rPr>
          <w:rFonts w:ascii="Arial" w:hAnsi="Arial" w:cs="Arial"/>
          <w:sz w:val="22"/>
          <w:szCs w:val="22"/>
        </w:rPr>
        <w:noBreakHyphen/>
        <w:t xml:space="preserve">making in chronic care’, </w:t>
      </w:r>
      <w:r w:rsidRPr="00C34CC6">
        <w:rPr>
          <w:rStyle w:val="Emphasis"/>
          <w:rFonts w:ascii="Arial" w:hAnsi="Arial" w:cs="Arial"/>
          <w:sz w:val="22"/>
          <w:szCs w:val="22"/>
        </w:rPr>
        <w:t>Patient Education and Counseling</w:t>
      </w:r>
      <w:r w:rsidRPr="00C34CC6">
        <w:rPr>
          <w:rFonts w:ascii="Arial" w:hAnsi="Arial" w:cs="Arial"/>
          <w:sz w:val="22"/>
          <w:szCs w:val="22"/>
        </w:rPr>
        <w:t>, 105(4), pp. 731–738.</w:t>
      </w:r>
    </w:p>
    <w:p w14:paraId="009E9778"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Flores, G. (2021) ‘Language barriers and healthcare outcomes’, </w:t>
      </w:r>
      <w:r w:rsidRPr="00C34CC6">
        <w:rPr>
          <w:rStyle w:val="Emphasis"/>
          <w:rFonts w:ascii="Arial" w:hAnsi="Arial" w:cs="Arial"/>
          <w:sz w:val="22"/>
          <w:szCs w:val="22"/>
        </w:rPr>
        <w:t>Journal of Clinical Medicine</w:t>
      </w:r>
      <w:r w:rsidRPr="00C34CC6">
        <w:rPr>
          <w:rFonts w:ascii="Arial" w:hAnsi="Arial" w:cs="Arial"/>
          <w:sz w:val="22"/>
          <w:szCs w:val="22"/>
        </w:rPr>
        <w:t>, 10(12), pp. 2567–2580.</w:t>
      </w:r>
    </w:p>
    <w:p w14:paraId="5F2595E8"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Hur, Y. and Kang, Y. (2024) ‘Communication training for aphasia care’, </w:t>
      </w:r>
      <w:r w:rsidRPr="00C34CC6">
        <w:rPr>
          <w:rStyle w:val="Emphasis"/>
          <w:rFonts w:ascii="Arial" w:hAnsi="Arial" w:cs="Arial"/>
          <w:sz w:val="22"/>
          <w:szCs w:val="22"/>
        </w:rPr>
        <w:t>BMC Nursing</w:t>
      </w:r>
      <w:r w:rsidRPr="00C34CC6">
        <w:rPr>
          <w:rFonts w:ascii="Arial" w:hAnsi="Arial" w:cs="Arial"/>
          <w:sz w:val="22"/>
          <w:szCs w:val="22"/>
        </w:rPr>
        <w:t>, 23, pp. 1–9.</w:t>
      </w:r>
    </w:p>
    <w:p w14:paraId="3FF4D1C7"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Kagan, A. et al. (2024) ‘Improving communicative access in stroke care’, </w:t>
      </w:r>
      <w:r w:rsidRPr="00C34CC6">
        <w:rPr>
          <w:rStyle w:val="Emphasis"/>
          <w:rFonts w:ascii="Arial" w:hAnsi="Arial" w:cs="Arial"/>
          <w:sz w:val="22"/>
          <w:szCs w:val="22"/>
        </w:rPr>
        <w:t>Journal of Communication Disorders</w:t>
      </w:r>
      <w:r w:rsidRPr="00C34CC6">
        <w:rPr>
          <w:rFonts w:ascii="Arial" w:hAnsi="Arial" w:cs="Arial"/>
          <w:sz w:val="22"/>
          <w:szCs w:val="22"/>
        </w:rPr>
        <w:t>, 107, pp. 1–10.</w:t>
      </w:r>
    </w:p>
    <w:p w14:paraId="2E20A532"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Kim, S. and Lee, H. (2023) ‘Digital visual aids in stroke rehabilitation communication’, </w:t>
      </w:r>
      <w:r w:rsidRPr="00C34CC6">
        <w:rPr>
          <w:rStyle w:val="Emphasis"/>
          <w:rFonts w:ascii="Arial" w:hAnsi="Arial" w:cs="Arial"/>
          <w:sz w:val="22"/>
          <w:szCs w:val="22"/>
        </w:rPr>
        <w:t>Rehabilitation Technology Journal</w:t>
      </w:r>
      <w:r w:rsidRPr="00C34CC6">
        <w:rPr>
          <w:rFonts w:ascii="Arial" w:hAnsi="Arial" w:cs="Arial"/>
          <w:sz w:val="22"/>
          <w:szCs w:val="22"/>
        </w:rPr>
        <w:t>, 9(1), pp. 45–55.</w:t>
      </w:r>
    </w:p>
    <w:p w14:paraId="356E4A34"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Lin, J. et al. (2025) ‘Security features in EHR interoperability systems’, </w:t>
      </w:r>
      <w:r w:rsidRPr="00C34CC6">
        <w:rPr>
          <w:rStyle w:val="Emphasis"/>
          <w:rFonts w:ascii="Arial" w:hAnsi="Arial" w:cs="Arial"/>
          <w:sz w:val="22"/>
          <w:szCs w:val="22"/>
        </w:rPr>
        <w:t>Health Information Management Review</w:t>
      </w:r>
      <w:r w:rsidRPr="00C34CC6">
        <w:rPr>
          <w:rFonts w:ascii="Arial" w:hAnsi="Arial" w:cs="Arial"/>
          <w:sz w:val="22"/>
          <w:szCs w:val="22"/>
        </w:rPr>
        <w:t>, 12(2), pp. 88–105.</w:t>
      </w:r>
    </w:p>
    <w:p w14:paraId="63217AF7"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Mills, J. et al. (2023) ‘Multidisciplinary team meetings and patient outcomes’, </w:t>
      </w:r>
      <w:r w:rsidRPr="00C34CC6">
        <w:rPr>
          <w:rStyle w:val="Emphasis"/>
          <w:rFonts w:ascii="Arial" w:hAnsi="Arial" w:cs="Arial"/>
          <w:sz w:val="22"/>
          <w:szCs w:val="22"/>
        </w:rPr>
        <w:t>Integrated Care Journal</w:t>
      </w:r>
      <w:r w:rsidRPr="00C34CC6">
        <w:rPr>
          <w:rFonts w:ascii="Arial" w:hAnsi="Arial" w:cs="Arial"/>
          <w:sz w:val="22"/>
          <w:szCs w:val="22"/>
        </w:rPr>
        <w:t>, 7(3), pp. 135–147.</w:t>
      </w:r>
    </w:p>
    <w:p w14:paraId="167739EA"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Nowrozy, R. et al. (2024) ‘Privacy preservation in electronic health records’, </w:t>
      </w:r>
      <w:r w:rsidRPr="00C34CC6">
        <w:rPr>
          <w:rStyle w:val="Emphasis"/>
          <w:rFonts w:ascii="Arial" w:hAnsi="Arial" w:cs="Arial"/>
          <w:sz w:val="22"/>
          <w:szCs w:val="22"/>
        </w:rPr>
        <w:t>ACM Computing Surveys</w:t>
      </w:r>
      <w:r w:rsidRPr="00C34CC6">
        <w:rPr>
          <w:rFonts w:ascii="Arial" w:hAnsi="Arial" w:cs="Arial"/>
          <w:sz w:val="22"/>
          <w:szCs w:val="22"/>
        </w:rPr>
        <w:t>, 57(1), pp. 1–37.</w:t>
      </w:r>
    </w:p>
    <w:p w14:paraId="76F573DC"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Patel, R. et al. (2024) ‘Visual and digital communication tools in stroke care’, </w:t>
      </w:r>
      <w:r w:rsidRPr="00C34CC6">
        <w:rPr>
          <w:rStyle w:val="Emphasis"/>
          <w:rFonts w:ascii="Arial" w:hAnsi="Arial" w:cs="Arial"/>
          <w:sz w:val="22"/>
          <w:szCs w:val="22"/>
        </w:rPr>
        <w:t>Journal of Healthcare Informatics</w:t>
      </w:r>
      <w:r w:rsidRPr="00C34CC6">
        <w:rPr>
          <w:rFonts w:ascii="Arial" w:hAnsi="Arial" w:cs="Arial"/>
          <w:sz w:val="22"/>
          <w:szCs w:val="22"/>
        </w:rPr>
        <w:t>, 18(5), pp. 56–64.</w:t>
      </w:r>
    </w:p>
    <w:p w14:paraId="416AC56B"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Reeves, S. et al. (2021) </w:t>
      </w:r>
      <w:r w:rsidRPr="00C34CC6">
        <w:rPr>
          <w:rStyle w:val="Emphasis"/>
          <w:rFonts w:ascii="Arial" w:hAnsi="Arial" w:cs="Arial"/>
          <w:sz w:val="22"/>
          <w:szCs w:val="22"/>
        </w:rPr>
        <w:t>Interprofessional Collaboration in Healthcare: Definitions, Concepts and Outcomes</w:t>
      </w:r>
      <w:r w:rsidRPr="00C34CC6">
        <w:rPr>
          <w:rFonts w:ascii="Arial" w:hAnsi="Arial" w:cs="Arial"/>
          <w:sz w:val="22"/>
          <w:szCs w:val="22"/>
        </w:rPr>
        <w:t xml:space="preserve">, </w:t>
      </w:r>
      <w:r w:rsidRPr="00C34CC6">
        <w:rPr>
          <w:rStyle w:val="Emphasis"/>
          <w:rFonts w:ascii="Arial" w:hAnsi="Arial" w:cs="Arial"/>
          <w:sz w:val="22"/>
          <w:szCs w:val="22"/>
        </w:rPr>
        <w:t>Cochrane Database of Systematic Reviews</w:t>
      </w:r>
      <w:r w:rsidRPr="00C34CC6">
        <w:rPr>
          <w:rFonts w:ascii="Arial" w:hAnsi="Arial" w:cs="Arial"/>
          <w:sz w:val="22"/>
          <w:szCs w:val="22"/>
        </w:rPr>
        <w:t>, 2021(3), pp. 1–12.</w:t>
      </w:r>
    </w:p>
    <w:p w14:paraId="38247582" w14:textId="77777777" w:rsidR="00C34CC6" w:rsidRPr="00C34CC6" w:rsidRDefault="00C34CC6" w:rsidP="00C34CC6">
      <w:pPr>
        <w:pStyle w:val="NormalWeb"/>
        <w:spacing w:line="360" w:lineRule="auto"/>
        <w:jc w:val="both"/>
        <w:rPr>
          <w:rFonts w:ascii="Arial" w:hAnsi="Arial" w:cs="Arial"/>
          <w:sz w:val="22"/>
          <w:szCs w:val="22"/>
        </w:rPr>
      </w:pPr>
      <w:proofErr w:type="spellStart"/>
      <w:r w:rsidRPr="00C34CC6">
        <w:rPr>
          <w:rFonts w:ascii="Arial" w:hAnsi="Arial" w:cs="Arial"/>
          <w:sz w:val="22"/>
          <w:szCs w:val="22"/>
        </w:rPr>
        <w:t>Sangaleti</w:t>
      </w:r>
      <w:proofErr w:type="spellEnd"/>
      <w:r w:rsidRPr="00C34CC6">
        <w:rPr>
          <w:rFonts w:ascii="Arial" w:hAnsi="Arial" w:cs="Arial"/>
          <w:sz w:val="22"/>
          <w:szCs w:val="22"/>
        </w:rPr>
        <w:t xml:space="preserve">, C. et al. (2022) ‘Barriers to effective teamwork in healthcare’, </w:t>
      </w:r>
      <w:r w:rsidRPr="00C34CC6">
        <w:rPr>
          <w:rStyle w:val="Emphasis"/>
          <w:rFonts w:ascii="Arial" w:hAnsi="Arial" w:cs="Arial"/>
          <w:sz w:val="22"/>
          <w:szCs w:val="22"/>
        </w:rPr>
        <w:t>Journal of Interprofessional Care</w:t>
      </w:r>
      <w:r w:rsidRPr="00C34CC6">
        <w:rPr>
          <w:rFonts w:ascii="Arial" w:hAnsi="Arial" w:cs="Arial"/>
          <w:sz w:val="22"/>
          <w:szCs w:val="22"/>
        </w:rPr>
        <w:t>, 36(1), pp. 85–95.</w:t>
      </w:r>
    </w:p>
    <w:p w14:paraId="69BCDBAF"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lastRenderedPageBreak/>
        <w:t>Simmons</w:t>
      </w:r>
      <w:r w:rsidRPr="00C34CC6">
        <w:rPr>
          <w:rFonts w:ascii="Arial" w:hAnsi="Arial" w:cs="Arial"/>
          <w:sz w:val="22"/>
          <w:szCs w:val="22"/>
        </w:rPr>
        <w:noBreakHyphen/>
        <w:t xml:space="preserve">Mackie, N. et al. (2022) ‘Communication needs in aphasia patients’, </w:t>
      </w:r>
      <w:r w:rsidRPr="00C34CC6">
        <w:rPr>
          <w:rStyle w:val="Emphasis"/>
          <w:rFonts w:ascii="Arial" w:hAnsi="Arial" w:cs="Arial"/>
          <w:sz w:val="22"/>
          <w:szCs w:val="22"/>
        </w:rPr>
        <w:t>Aphasiology</w:t>
      </w:r>
      <w:r w:rsidRPr="00C34CC6">
        <w:rPr>
          <w:rFonts w:ascii="Arial" w:hAnsi="Arial" w:cs="Arial"/>
          <w:sz w:val="22"/>
          <w:szCs w:val="22"/>
        </w:rPr>
        <w:t>, 36(7), pp. 891–905.</w:t>
      </w:r>
    </w:p>
    <w:p w14:paraId="0D44B227" w14:textId="77777777" w:rsidR="00C34CC6" w:rsidRPr="00C34CC6" w:rsidRDefault="00C34CC6" w:rsidP="00C34CC6">
      <w:pPr>
        <w:pStyle w:val="NormalWeb"/>
        <w:spacing w:line="360" w:lineRule="auto"/>
        <w:jc w:val="both"/>
        <w:rPr>
          <w:rFonts w:ascii="Arial" w:hAnsi="Arial" w:cs="Arial"/>
          <w:sz w:val="22"/>
          <w:szCs w:val="22"/>
        </w:rPr>
      </w:pPr>
      <w:r w:rsidRPr="00C34CC6">
        <w:rPr>
          <w:rFonts w:ascii="Arial" w:hAnsi="Arial" w:cs="Arial"/>
          <w:sz w:val="22"/>
          <w:szCs w:val="22"/>
        </w:rPr>
        <w:t xml:space="preserve">Wallace, S.J. et al. (2023) ‘Communication support needs after stroke’, </w:t>
      </w:r>
      <w:r w:rsidRPr="00C34CC6">
        <w:rPr>
          <w:rStyle w:val="Emphasis"/>
          <w:rFonts w:ascii="Arial" w:hAnsi="Arial" w:cs="Arial"/>
          <w:sz w:val="22"/>
          <w:szCs w:val="22"/>
        </w:rPr>
        <w:t>Stroke Rehabilitation Research</w:t>
      </w:r>
      <w:r w:rsidRPr="00C34CC6">
        <w:rPr>
          <w:rFonts w:ascii="Arial" w:hAnsi="Arial" w:cs="Arial"/>
          <w:sz w:val="22"/>
          <w:szCs w:val="22"/>
        </w:rPr>
        <w:t>, 15(1), pp. 1–9.</w:t>
      </w:r>
    </w:p>
    <w:p w14:paraId="1F733306" w14:textId="77777777" w:rsidR="00C34CC6" w:rsidRPr="00C34CC6" w:rsidRDefault="00C34CC6" w:rsidP="00C34CC6">
      <w:pPr>
        <w:pStyle w:val="NormalWeb"/>
        <w:spacing w:line="360" w:lineRule="auto"/>
        <w:jc w:val="both"/>
        <w:rPr>
          <w:rFonts w:ascii="Arial" w:hAnsi="Arial" w:cs="Arial"/>
          <w:sz w:val="22"/>
          <w:szCs w:val="22"/>
        </w:rPr>
      </w:pPr>
      <w:proofErr w:type="spellStart"/>
      <w:r w:rsidRPr="00C34CC6">
        <w:rPr>
          <w:rFonts w:ascii="Arial" w:hAnsi="Arial" w:cs="Arial"/>
          <w:sz w:val="22"/>
          <w:szCs w:val="22"/>
        </w:rPr>
        <w:t>Wasliati</w:t>
      </w:r>
      <w:proofErr w:type="spellEnd"/>
      <w:r w:rsidRPr="00C34CC6">
        <w:rPr>
          <w:rFonts w:ascii="Arial" w:hAnsi="Arial" w:cs="Arial"/>
          <w:sz w:val="22"/>
          <w:szCs w:val="22"/>
        </w:rPr>
        <w:t xml:space="preserve">, B. (2024) ‘EHR documentation quality and service efficiency’, </w:t>
      </w:r>
      <w:r w:rsidRPr="00C34CC6">
        <w:rPr>
          <w:rStyle w:val="Emphasis"/>
          <w:rFonts w:ascii="Arial" w:hAnsi="Arial" w:cs="Arial"/>
          <w:sz w:val="22"/>
          <w:szCs w:val="22"/>
        </w:rPr>
        <w:t>Journal of Health Records &amp; Informatics</w:t>
      </w:r>
      <w:r w:rsidRPr="00C34CC6">
        <w:rPr>
          <w:rFonts w:ascii="Arial" w:hAnsi="Arial" w:cs="Arial"/>
          <w:sz w:val="22"/>
          <w:szCs w:val="22"/>
        </w:rPr>
        <w:t>, 9(2), pp. 45–53.</w:t>
      </w:r>
    </w:p>
    <w:sectPr w:rsidR="00C34CC6" w:rsidRPr="00C34CC6" w:rsidSect="00C34CC6">
      <w:footerReference w:type="default" r:id="rId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E8BC4" w14:textId="77777777" w:rsidR="00B34846" w:rsidRDefault="00B34846" w:rsidP="00C34CC6">
      <w:pPr>
        <w:spacing w:after="0" w:line="240" w:lineRule="auto"/>
      </w:pPr>
      <w:r>
        <w:separator/>
      </w:r>
    </w:p>
  </w:endnote>
  <w:endnote w:type="continuationSeparator" w:id="0">
    <w:p w14:paraId="1F2E2B59" w14:textId="77777777" w:rsidR="00B34846" w:rsidRDefault="00B34846" w:rsidP="00C34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1082417"/>
      <w:docPartObj>
        <w:docPartGallery w:val="Page Numbers (Bottom of Page)"/>
        <w:docPartUnique/>
      </w:docPartObj>
    </w:sdtPr>
    <w:sdtEndPr>
      <w:rPr>
        <w:noProof/>
      </w:rPr>
    </w:sdtEndPr>
    <w:sdtContent>
      <w:p w14:paraId="3497656F" w14:textId="77777777" w:rsidR="00C34CC6" w:rsidRDefault="00C34CC6">
        <w:pPr>
          <w:pStyle w:val="Footer"/>
          <w:jc w:val="right"/>
        </w:pPr>
        <w:r>
          <w:fldChar w:fldCharType="begin"/>
        </w:r>
        <w:r>
          <w:instrText xml:space="preserve"> PAGE   \* MERGEFORMAT </w:instrText>
        </w:r>
        <w:r>
          <w:fldChar w:fldCharType="separate"/>
        </w:r>
        <w:r w:rsidR="0041729A">
          <w:rPr>
            <w:noProof/>
          </w:rPr>
          <w:t>9</w:t>
        </w:r>
        <w:r>
          <w:rPr>
            <w:noProof/>
          </w:rPr>
          <w:fldChar w:fldCharType="end"/>
        </w:r>
      </w:p>
    </w:sdtContent>
  </w:sdt>
  <w:p w14:paraId="2F1B1364" w14:textId="77777777" w:rsidR="00C34CC6" w:rsidRDefault="00C34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8D3B1" w14:textId="77777777" w:rsidR="00B34846" w:rsidRDefault="00B34846" w:rsidP="00C34CC6">
      <w:pPr>
        <w:spacing w:after="0" w:line="240" w:lineRule="auto"/>
      </w:pPr>
      <w:r>
        <w:separator/>
      </w:r>
    </w:p>
  </w:footnote>
  <w:footnote w:type="continuationSeparator" w:id="0">
    <w:p w14:paraId="444A0F84" w14:textId="77777777" w:rsidR="00B34846" w:rsidRDefault="00B34846" w:rsidP="00C34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B783F"/>
    <w:multiLevelType w:val="multilevel"/>
    <w:tmpl w:val="BD5E6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0500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CC6"/>
    <w:rsid w:val="002C5C05"/>
    <w:rsid w:val="003E27FF"/>
    <w:rsid w:val="0041729A"/>
    <w:rsid w:val="005E1ED3"/>
    <w:rsid w:val="006B208B"/>
    <w:rsid w:val="008B67A9"/>
    <w:rsid w:val="00AE2047"/>
    <w:rsid w:val="00B126E6"/>
    <w:rsid w:val="00B34846"/>
    <w:rsid w:val="00C34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EAD0D"/>
  <w15:chartTrackingRefBased/>
  <w15:docId w15:val="{0D4EB088-4306-43B6-9C82-AD56F0526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4CC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34CC6"/>
    <w:rPr>
      <w:i/>
      <w:iCs/>
    </w:rPr>
  </w:style>
  <w:style w:type="paragraph" w:styleId="Header">
    <w:name w:val="header"/>
    <w:basedOn w:val="Normal"/>
    <w:link w:val="HeaderChar"/>
    <w:uiPriority w:val="99"/>
    <w:unhideWhenUsed/>
    <w:rsid w:val="00C34C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CC6"/>
  </w:style>
  <w:style w:type="paragraph" w:styleId="Footer">
    <w:name w:val="footer"/>
    <w:basedOn w:val="Normal"/>
    <w:link w:val="FooterChar"/>
    <w:uiPriority w:val="99"/>
    <w:unhideWhenUsed/>
    <w:rsid w:val="00C34C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CC6"/>
  </w:style>
  <w:style w:type="table" w:customStyle="1" w:styleId="TableGrid1">
    <w:name w:val="Table Grid1"/>
    <w:basedOn w:val="TableNormal"/>
    <w:next w:val="TableGrid"/>
    <w:uiPriority w:val="39"/>
    <w:rsid w:val="003E27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E27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E27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307895">
      <w:bodyDiv w:val="1"/>
      <w:marLeft w:val="0"/>
      <w:marRight w:val="0"/>
      <w:marTop w:val="0"/>
      <w:marBottom w:val="0"/>
      <w:divBdr>
        <w:top w:val="none" w:sz="0" w:space="0" w:color="auto"/>
        <w:left w:val="none" w:sz="0" w:space="0" w:color="auto"/>
        <w:bottom w:val="none" w:sz="0" w:space="0" w:color="auto"/>
        <w:right w:val="none" w:sz="0" w:space="0" w:color="auto"/>
      </w:divBdr>
    </w:div>
    <w:div w:id="788662550">
      <w:bodyDiv w:val="1"/>
      <w:marLeft w:val="0"/>
      <w:marRight w:val="0"/>
      <w:marTop w:val="0"/>
      <w:marBottom w:val="0"/>
      <w:divBdr>
        <w:top w:val="none" w:sz="0" w:space="0" w:color="auto"/>
        <w:left w:val="none" w:sz="0" w:space="0" w:color="auto"/>
        <w:bottom w:val="none" w:sz="0" w:space="0" w:color="auto"/>
        <w:right w:val="none" w:sz="0" w:space="0" w:color="auto"/>
      </w:divBdr>
    </w:div>
    <w:div w:id="1042553658">
      <w:bodyDiv w:val="1"/>
      <w:marLeft w:val="0"/>
      <w:marRight w:val="0"/>
      <w:marTop w:val="0"/>
      <w:marBottom w:val="0"/>
      <w:divBdr>
        <w:top w:val="none" w:sz="0" w:space="0" w:color="auto"/>
        <w:left w:val="none" w:sz="0" w:space="0" w:color="auto"/>
        <w:bottom w:val="none" w:sz="0" w:space="0" w:color="auto"/>
        <w:right w:val="none" w:sz="0" w:space="0" w:color="auto"/>
      </w:divBdr>
      <w:divsChild>
        <w:div w:id="1597013439">
          <w:marLeft w:val="0"/>
          <w:marRight w:val="0"/>
          <w:marTop w:val="0"/>
          <w:marBottom w:val="0"/>
          <w:divBdr>
            <w:top w:val="none" w:sz="0" w:space="0" w:color="auto"/>
            <w:left w:val="none" w:sz="0" w:space="0" w:color="auto"/>
            <w:bottom w:val="none" w:sz="0" w:space="0" w:color="auto"/>
            <w:right w:val="none" w:sz="0" w:space="0" w:color="auto"/>
          </w:divBdr>
          <w:divsChild>
            <w:div w:id="79556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Hazra Din</cp:lastModifiedBy>
  <cp:revision>2</cp:revision>
  <dcterms:created xsi:type="dcterms:W3CDTF">2026-03-12T10:45:00Z</dcterms:created>
  <dcterms:modified xsi:type="dcterms:W3CDTF">2026-03-12T10:45:00Z</dcterms:modified>
</cp:coreProperties>
</file>