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10D19" w14:textId="77777777" w:rsidR="00052825" w:rsidRDefault="00052825">
      <w:pPr>
        <w:pBdr>
          <w:top w:val="nil"/>
          <w:left w:val="nil"/>
          <w:bottom w:val="nil"/>
          <w:right w:val="nil"/>
          <w:between w:val="nil"/>
        </w:pBdr>
        <w:spacing w:before="4" w:line="360" w:lineRule="auto"/>
        <w:rPr>
          <w:color w:val="000000"/>
          <w:sz w:val="4"/>
          <w:szCs w:val="4"/>
        </w:rPr>
      </w:pPr>
    </w:p>
    <w:p w14:paraId="4A703419" w14:textId="77777777" w:rsidR="00052825" w:rsidRDefault="00000000">
      <w:pPr>
        <w:pBdr>
          <w:top w:val="nil"/>
          <w:left w:val="nil"/>
          <w:bottom w:val="nil"/>
          <w:right w:val="nil"/>
          <w:between w:val="nil"/>
        </w:pBdr>
        <w:spacing w:line="360" w:lineRule="auto"/>
        <w:ind w:left="307"/>
        <w:jc w:val="center"/>
        <w:rPr>
          <w:color w:val="000000"/>
          <w:sz w:val="20"/>
          <w:szCs w:val="20"/>
        </w:rPr>
      </w:pPr>
      <w:r>
        <w:rPr>
          <w:noProof/>
          <w:lang w:eastAsia="en-IN"/>
        </w:rPr>
        <w:drawing>
          <wp:inline distT="0" distB="0" distL="0" distR="0" wp14:anchorId="166EE1B3" wp14:editId="295F1E09">
            <wp:extent cx="3218534" cy="1377387"/>
            <wp:effectExtent l="19050" t="19050" r="20320" b="13335"/>
            <wp:docPr id="1026" name="image1.png" descr="University of Wales Trinity Saint David launches new digital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cstate="print"/>
                    <a:srcRect/>
                    <a:stretch/>
                  </pic:blipFill>
                  <pic:spPr>
                    <a:xfrm>
                      <a:off x="0" y="0"/>
                      <a:ext cx="3221543" cy="1378675"/>
                    </a:xfrm>
                    <a:prstGeom prst="rect">
                      <a:avLst/>
                    </a:prstGeom>
                    <a:ln w="9525" cap="flat" cmpd="sng">
                      <a:solidFill>
                        <a:srgbClr val="000000"/>
                      </a:solidFill>
                      <a:prstDash val="solid"/>
                      <a:round/>
                      <a:headEnd type="none" w="med" len="med"/>
                      <a:tailEnd type="none" w="med" len="med"/>
                    </a:ln>
                  </pic:spPr>
                </pic:pic>
              </a:graphicData>
            </a:graphic>
          </wp:inline>
        </w:drawing>
      </w:r>
    </w:p>
    <w:p w14:paraId="4D8B8FE1" w14:textId="77777777" w:rsidR="00052825" w:rsidRDefault="00000000">
      <w:pPr>
        <w:spacing w:before="1" w:line="360" w:lineRule="auto"/>
        <w:ind w:right="138"/>
        <w:jc w:val="center"/>
        <w:rPr>
          <w:b/>
          <w:bCs/>
          <w:sz w:val="36"/>
          <w:szCs w:val="36"/>
        </w:rPr>
      </w:pPr>
      <w:r>
        <w:rPr>
          <w:b/>
          <w:bCs/>
          <w:sz w:val="36"/>
          <w:szCs w:val="36"/>
        </w:rPr>
        <w:t>Title</w:t>
      </w:r>
    </w:p>
    <w:p w14:paraId="7E1B7AAF" w14:textId="77777777" w:rsidR="00052825" w:rsidRDefault="00000000">
      <w:pPr>
        <w:spacing w:line="360" w:lineRule="auto"/>
        <w:ind w:left="567" w:right="606" w:hanging="101"/>
        <w:jc w:val="center"/>
        <w:rPr>
          <w:b/>
          <w:bCs/>
          <w:sz w:val="28"/>
          <w:szCs w:val="28"/>
        </w:rPr>
      </w:pPr>
      <w:r>
        <w:rPr>
          <w:b/>
          <w:bCs/>
          <w:sz w:val="28"/>
          <w:szCs w:val="28"/>
        </w:rPr>
        <w:t>Delivery Plan for Partnership and Service Integration to Reduce Childhood Obesity in the London Borough of Tower Hamlets</w:t>
      </w:r>
    </w:p>
    <w:p w14:paraId="7F3E8481" w14:textId="77777777" w:rsidR="00052825" w:rsidRDefault="00052825">
      <w:pPr>
        <w:spacing w:line="360" w:lineRule="auto"/>
        <w:ind w:left="2473" w:right="606" w:hanging="2007"/>
        <w:rPr>
          <w:b/>
          <w:bCs/>
          <w:color w:val="000000"/>
          <w:sz w:val="28"/>
          <w:szCs w:val="28"/>
        </w:rPr>
      </w:pPr>
    </w:p>
    <w:p w14:paraId="1C6E4FA9" w14:textId="77777777" w:rsidR="00052825" w:rsidRDefault="00000000">
      <w:pPr>
        <w:spacing w:before="1" w:line="360" w:lineRule="auto"/>
        <w:ind w:left="307"/>
        <w:rPr>
          <w:b/>
          <w:bCs/>
          <w:sz w:val="24"/>
          <w:szCs w:val="24"/>
        </w:rPr>
      </w:pPr>
      <w:r>
        <w:rPr>
          <w:b/>
          <w:bCs/>
          <w:sz w:val="24"/>
          <w:szCs w:val="24"/>
        </w:rPr>
        <w:t>AUTHORS:</w:t>
      </w:r>
    </w:p>
    <w:p w14:paraId="4EF2D78B" w14:textId="77777777" w:rsidR="00052825" w:rsidRDefault="00052825">
      <w:pPr>
        <w:pBdr>
          <w:top w:val="nil"/>
          <w:left w:val="nil"/>
          <w:bottom w:val="nil"/>
          <w:right w:val="nil"/>
          <w:between w:val="nil"/>
        </w:pBdr>
        <w:spacing w:before="36" w:line="360" w:lineRule="auto"/>
        <w:rPr>
          <w:b/>
          <w:bCs/>
          <w:color w:val="000000"/>
          <w:sz w:val="24"/>
          <w:szCs w:val="24"/>
        </w:rPr>
      </w:pPr>
    </w:p>
    <w:p w14:paraId="5543BE78" w14:textId="77777777" w:rsidR="00052825" w:rsidRDefault="00000000">
      <w:pPr>
        <w:pBdr>
          <w:top w:val="nil"/>
          <w:left w:val="nil"/>
          <w:bottom w:val="nil"/>
          <w:right w:val="nil"/>
          <w:between w:val="nil"/>
        </w:pBdr>
        <w:spacing w:line="360" w:lineRule="auto"/>
        <w:ind w:left="307"/>
        <w:rPr>
          <w:color w:val="000000"/>
          <w:sz w:val="24"/>
          <w:szCs w:val="24"/>
        </w:rPr>
      </w:pPr>
      <w:r>
        <w:rPr>
          <w:color w:val="000000"/>
          <w:sz w:val="24"/>
          <w:szCs w:val="24"/>
        </w:rPr>
        <w:t>List student names, student IDs and specific contribution.</w:t>
      </w:r>
    </w:p>
    <w:p w14:paraId="22EEECAB" w14:textId="77777777" w:rsidR="00052825" w:rsidRDefault="00000000">
      <w:pPr>
        <w:spacing w:line="360" w:lineRule="auto"/>
        <w:ind w:left="307"/>
        <w:rPr>
          <w:b/>
          <w:bCs/>
          <w:sz w:val="24"/>
          <w:szCs w:val="24"/>
        </w:rPr>
      </w:pPr>
      <w:r>
        <w:rPr>
          <w:b/>
          <w:bCs/>
          <w:sz w:val="24"/>
          <w:szCs w:val="24"/>
        </w:rPr>
        <w:t>Group Number: 3</w:t>
      </w:r>
    </w:p>
    <w:p w14:paraId="42FA2540" w14:textId="77777777" w:rsidR="00052825" w:rsidRDefault="00000000">
      <w:pPr>
        <w:spacing w:before="182" w:line="360" w:lineRule="auto"/>
        <w:ind w:left="307"/>
        <w:rPr>
          <w:b/>
          <w:bCs/>
          <w:sz w:val="24"/>
          <w:szCs w:val="24"/>
        </w:rPr>
      </w:pPr>
      <w:r>
        <w:rPr>
          <w:b/>
          <w:bCs/>
          <w:sz w:val="24"/>
          <w:szCs w:val="24"/>
        </w:rPr>
        <w:t>Name Group Leader: Prashant Hirjibhai Gajera 2428140</w:t>
      </w:r>
    </w:p>
    <w:p w14:paraId="1173ECE2" w14:textId="331556BA" w:rsidR="00052825" w:rsidRDefault="00000000">
      <w:pPr>
        <w:spacing w:before="182" w:line="360" w:lineRule="auto"/>
        <w:ind w:left="307"/>
        <w:rPr>
          <w:b/>
          <w:bCs/>
          <w:sz w:val="24"/>
          <w:szCs w:val="24"/>
        </w:rPr>
      </w:pPr>
      <w:r>
        <w:rPr>
          <w:b/>
          <w:bCs/>
          <w:sz w:val="24"/>
          <w:szCs w:val="24"/>
        </w:rPr>
        <w:t>Introduction -Harsh Dineshbhai Solanki 2432128</w:t>
      </w:r>
      <w:r>
        <w:rPr>
          <w:b/>
          <w:bCs/>
          <w:sz w:val="24"/>
          <w:szCs w:val="24"/>
        </w:rPr>
        <w:br/>
        <w:t>Partnership - Vaishalikumari Vihar Patel 2436885</w:t>
      </w:r>
      <w:r>
        <w:rPr>
          <w:b/>
          <w:bCs/>
          <w:sz w:val="24"/>
          <w:szCs w:val="24"/>
        </w:rPr>
        <w:br/>
        <w:t>Service integration - Krutiben Rajeshbhai Patel 2</w:t>
      </w:r>
      <w:r w:rsidR="004A4108">
        <w:rPr>
          <w:b/>
          <w:bCs/>
          <w:sz w:val="24"/>
          <w:szCs w:val="24"/>
        </w:rPr>
        <w:t>506595</w:t>
      </w:r>
      <w:r>
        <w:rPr>
          <w:b/>
          <w:bCs/>
          <w:sz w:val="24"/>
          <w:szCs w:val="24"/>
        </w:rPr>
        <w:br/>
        <w:t>Strategy - Monalikumari Ishwarbhai Tandel 2505012</w:t>
      </w:r>
      <w:r>
        <w:rPr>
          <w:b/>
          <w:bCs/>
          <w:sz w:val="24"/>
          <w:szCs w:val="24"/>
        </w:rPr>
        <w:br/>
        <w:t>Leadership - Prashant Hirjibhai Gajera 242</w:t>
      </w:r>
      <w:r w:rsidR="0057452D">
        <w:rPr>
          <w:b/>
          <w:bCs/>
          <w:sz w:val="24"/>
          <w:szCs w:val="24"/>
        </w:rPr>
        <w:t>8</w:t>
      </w:r>
      <w:r>
        <w:rPr>
          <w:b/>
          <w:bCs/>
          <w:sz w:val="24"/>
          <w:szCs w:val="24"/>
        </w:rPr>
        <w:t>140</w:t>
      </w:r>
      <w:r>
        <w:rPr>
          <w:b/>
          <w:bCs/>
          <w:sz w:val="24"/>
          <w:szCs w:val="24"/>
        </w:rPr>
        <w:br/>
      </w:r>
    </w:p>
    <w:p w14:paraId="27534B68" w14:textId="77777777" w:rsidR="00052825" w:rsidRDefault="00000000">
      <w:pPr>
        <w:spacing w:line="360" w:lineRule="auto"/>
        <w:ind w:left="307"/>
        <w:rPr>
          <w:b/>
          <w:bCs/>
          <w:sz w:val="24"/>
          <w:szCs w:val="24"/>
        </w:rPr>
      </w:pPr>
      <w:r>
        <w:rPr>
          <w:b/>
          <w:bCs/>
          <w:sz w:val="24"/>
          <w:szCs w:val="24"/>
        </w:rPr>
        <w:t>Date: 19/03/2025</w:t>
      </w:r>
    </w:p>
    <w:p w14:paraId="41809C30" w14:textId="77777777" w:rsidR="00052825" w:rsidRDefault="00000000">
      <w:pPr>
        <w:spacing w:before="177" w:line="360" w:lineRule="auto"/>
        <w:ind w:left="307"/>
        <w:rPr>
          <w:b/>
          <w:bCs/>
          <w:color w:val="000000"/>
          <w:sz w:val="24"/>
          <w:szCs w:val="24"/>
        </w:rPr>
      </w:pPr>
      <w:r>
        <w:rPr>
          <w:b/>
          <w:bCs/>
          <w:sz w:val="24"/>
          <w:szCs w:val="24"/>
        </w:rPr>
        <w:t>Place: UWTSD London Campus</w:t>
      </w:r>
    </w:p>
    <w:p w14:paraId="7DF4BB3F" w14:textId="77777777" w:rsidR="00052825" w:rsidRDefault="00052825">
      <w:pPr>
        <w:pBdr>
          <w:top w:val="nil"/>
          <w:left w:val="nil"/>
          <w:bottom w:val="nil"/>
          <w:right w:val="nil"/>
          <w:between w:val="nil"/>
        </w:pBdr>
        <w:spacing w:before="174" w:line="360" w:lineRule="auto"/>
        <w:rPr>
          <w:b/>
          <w:bCs/>
          <w:color w:val="000000"/>
          <w:sz w:val="24"/>
          <w:szCs w:val="24"/>
        </w:rPr>
      </w:pPr>
    </w:p>
    <w:p w14:paraId="30C0499D" w14:textId="77777777" w:rsidR="00052825" w:rsidRDefault="00000000">
      <w:pPr>
        <w:spacing w:before="1" w:line="360" w:lineRule="auto"/>
        <w:ind w:left="307"/>
        <w:rPr>
          <w:sz w:val="24"/>
          <w:szCs w:val="24"/>
        </w:rPr>
      </w:pPr>
      <w:r>
        <w:rPr>
          <w:b/>
          <w:bCs/>
          <w:sz w:val="24"/>
          <w:szCs w:val="24"/>
        </w:rPr>
        <w:t>Module name</w:t>
      </w:r>
      <w:r>
        <w:rPr>
          <w:sz w:val="24"/>
          <w:szCs w:val="24"/>
        </w:rPr>
        <w:t>: Service Integration and Partnership Working (LCHS7005)</w:t>
      </w:r>
    </w:p>
    <w:p w14:paraId="5BD4CAE6" w14:textId="77777777" w:rsidR="00052825" w:rsidRDefault="00052825">
      <w:pPr>
        <w:pBdr>
          <w:top w:val="nil"/>
          <w:left w:val="nil"/>
          <w:bottom w:val="nil"/>
          <w:right w:val="nil"/>
          <w:between w:val="nil"/>
        </w:pBdr>
        <w:spacing w:before="33" w:line="360" w:lineRule="auto"/>
        <w:rPr>
          <w:color w:val="000000"/>
          <w:sz w:val="24"/>
          <w:szCs w:val="24"/>
        </w:rPr>
      </w:pPr>
    </w:p>
    <w:p w14:paraId="0D78C29C" w14:textId="77777777" w:rsidR="00052825" w:rsidRDefault="00000000">
      <w:pPr>
        <w:spacing w:before="1" w:line="360" w:lineRule="auto"/>
        <w:ind w:left="307"/>
        <w:rPr>
          <w:sz w:val="24"/>
          <w:szCs w:val="24"/>
        </w:rPr>
      </w:pPr>
      <w:r>
        <w:rPr>
          <w:b/>
          <w:bCs/>
          <w:sz w:val="24"/>
          <w:szCs w:val="24"/>
        </w:rPr>
        <w:t>Module code</w:t>
      </w:r>
      <w:r>
        <w:rPr>
          <w:sz w:val="24"/>
          <w:szCs w:val="24"/>
        </w:rPr>
        <w:t>: LCHS7005</w:t>
      </w:r>
    </w:p>
    <w:p w14:paraId="6CCE811C" w14:textId="77777777" w:rsidR="00052825" w:rsidRDefault="00052825">
      <w:pPr>
        <w:pBdr>
          <w:top w:val="nil"/>
          <w:left w:val="nil"/>
          <w:bottom w:val="nil"/>
          <w:right w:val="nil"/>
          <w:between w:val="nil"/>
        </w:pBdr>
        <w:spacing w:before="34" w:line="360" w:lineRule="auto"/>
        <w:rPr>
          <w:color w:val="000000"/>
          <w:sz w:val="24"/>
          <w:szCs w:val="24"/>
        </w:rPr>
      </w:pPr>
    </w:p>
    <w:p w14:paraId="493BEFFB" w14:textId="77777777" w:rsidR="00052825" w:rsidRDefault="00000000">
      <w:pPr>
        <w:spacing w:line="360" w:lineRule="auto"/>
        <w:ind w:left="307"/>
        <w:rPr>
          <w:color w:val="000000"/>
          <w:sz w:val="24"/>
          <w:szCs w:val="24"/>
        </w:rPr>
      </w:pPr>
      <w:r>
        <w:rPr>
          <w:b/>
          <w:bCs/>
          <w:sz w:val="24"/>
          <w:szCs w:val="24"/>
        </w:rPr>
        <w:t>Lecturer Name</w:t>
      </w:r>
      <w:r>
        <w:rPr>
          <w:sz w:val="24"/>
          <w:szCs w:val="24"/>
        </w:rPr>
        <w:t xml:space="preserve"> : </w:t>
      </w:r>
      <w:r>
        <w:rPr>
          <w:color w:val="000000"/>
          <w:sz w:val="24"/>
          <w:szCs w:val="24"/>
        </w:rPr>
        <w:t>Diola Bijlhout</w:t>
      </w:r>
    </w:p>
    <w:p w14:paraId="1B723DBD" w14:textId="77777777" w:rsidR="00052825" w:rsidRDefault="00052825">
      <w:pPr>
        <w:pBdr>
          <w:top w:val="nil"/>
          <w:left w:val="nil"/>
          <w:bottom w:val="nil"/>
          <w:right w:val="nil"/>
          <w:between w:val="nil"/>
        </w:pBdr>
        <w:spacing w:before="70" w:line="360" w:lineRule="auto"/>
        <w:rPr>
          <w:color w:val="000000"/>
          <w:sz w:val="24"/>
          <w:szCs w:val="24"/>
        </w:rPr>
      </w:pPr>
    </w:p>
    <w:p w14:paraId="08B72F11" w14:textId="77777777" w:rsidR="00052825" w:rsidRDefault="00000000">
      <w:pPr>
        <w:spacing w:line="360" w:lineRule="auto"/>
        <w:ind w:left="307"/>
        <w:rPr>
          <w:i/>
          <w:iCs/>
          <w:sz w:val="24"/>
          <w:szCs w:val="24"/>
        </w:rPr>
        <w:sectPr w:rsidR="00052825">
          <w:pgSz w:w="11910" w:h="16840"/>
          <w:pgMar w:top="1940" w:right="992" w:bottom="280" w:left="1133" w:header="720" w:footer="720" w:gutter="0"/>
          <w:pgNumType w:start="1"/>
          <w:cols w:space="720"/>
        </w:sectPr>
      </w:pPr>
      <w:r>
        <w:rPr>
          <w:i/>
          <w:iCs/>
          <w:sz w:val="24"/>
          <w:szCs w:val="24"/>
        </w:rPr>
        <w:t>*This delivery plan is supportive to and reflective of the group video recording submission</w:t>
      </w:r>
    </w:p>
    <w:p w14:paraId="76954383" w14:textId="77777777" w:rsidR="00052825" w:rsidRDefault="00000000">
      <w:pPr>
        <w:keepNext/>
        <w:keepLines/>
        <w:widowControl/>
        <w:pBdr>
          <w:top w:val="nil"/>
          <w:left w:val="nil"/>
          <w:bottom w:val="nil"/>
          <w:right w:val="nil"/>
          <w:between w:val="nil"/>
        </w:pBdr>
        <w:spacing w:before="240" w:line="259" w:lineRule="auto"/>
        <w:jc w:val="center"/>
        <w:rPr>
          <w:b/>
          <w:bCs/>
          <w:color w:val="000000"/>
          <w:sz w:val="32"/>
          <w:szCs w:val="32"/>
        </w:rPr>
      </w:pPr>
      <w:r>
        <w:rPr>
          <w:b/>
          <w:bCs/>
          <w:color w:val="000000"/>
          <w:sz w:val="32"/>
          <w:szCs w:val="32"/>
        </w:rPr>
        <w:lastRenderedPageBreak/>
        <w:t>Table of Contents</w:t>
      </w:r>
    </w:p>
    <w:p w14:paraId="574BFC76" w14:textId="77777777" w:rsidR="00052825" w:rsidRDefault="00000000">
      <w:pPr>
        <w:widowControl/>
        <w:pBdr>
          <w:top w:val="nil"/>
          <w:left w:val="nil"/>
          <w:bottom w:val="nil"/>
          <w:right w:val="nil"/>
          <w:between w:val="nil"/>
        </w:pBdr>
        <w:tabs>
          <w:tab w:val="right" w:leader="dot" w:pos="9775"/>
        </w:tabs>
        <w:spacing w:after="100" w:line="259" w:lineRule="auto"/>
        <w:jc w:val="center"/>
        <w:rPr>
          <w:color w:val="000000"/>
          <w:sz w:val="24"/>
          <w:szCs w:val="24"/>
        </w:rPr>
      </w:pPr>
      <w:r>
        <w:fldChar w:fldCharType="begin"/>
      </w:r>
      <w:r>
        <w:instrText xml:space="preserve"> TOC \h \u \z \t "Heading 1,1,Heading 2,2,Heading 3,3,"</w:instrText>
      </w:r>
      <w:r>
        <w:fldChar w:fldCharType="separate"/>
      </w:r>
      <w:hyperlink w:anchor="_heading=h.ssin0pof2nnv" w:history="1">
        <w:r w:rsidR="00052825">
          <w:rPr>
            <w:color w:val="000000"/>
            <w:sz w:val="24"/>
            <w:szCs w:val="24"/>
          </w:rPr>
          <w:t>Introduction</w:t>
        </w:r>
        <w:r w:rsidR="00052825">
          <w:rPr>
            <w:color w:val="000000"/>
            <w:sz w:val="24"/>
            <w:szCs w:val="24"/>
          </w:rPr>
          <w:tab/>
          <w:t>3</w:t>
        </w:r>
      </w:hyperlink>
    </w:p>
    <w:p w14:paraId="19212F15" w14:textId="77777777" w:rsidR="00052825" w:rsidRDefault="00052825">
      <w:pPr>
        <w:widowControl/>
        <w:pBdr>
          <w:top w:val="nil"/>
          <w:left w:val="nil"/>
          <w:bottom w:val="nil"/>
          <w:right w:val="nil"/>
          <w:between w:val="nil"/>
        </w:pBdr>
        <w:tabs>
          <w:tab w:val="right" w:leader="dot" w:pos="9775"/>
        </w:tabs>
        <w:spacing w:after="100" w:line="259" w:lineRule="auto"/>
        <w:jc w:val="center"/>
        <w:rPr>
          <w:color w:val="000000"/>
          <w:sz w:val="24"/>
          <w:szCs w:val="24"/>
        </w:rPr>
      </w:pPr>
      <w:hyperlink w:anchor="_heading=h.nm7kk1efo14j" w:history="1">
        <w:r>
          <w:rPr>
            <w:color w:val="000000"/>
            <w:sz w:val="24"/>
            <w:szCs w:val="24"/>
          </w:rPr>
          <w:t>Partnership</w:t>
        </w:r>
        <w:r>
          <w:rPr>
            <w:color w:val="000000"/>
            <w:sz w:val="24"/>
            <w:szCs w:val="24"/>
          </w:rPr>
          <w:tab/>
          <w:t>4</w:t>
        </w:r>
      </w:hyperlink>
    </w:p>
    <w:p w14:paraId="291807E8" w14:textId="77777777" w:rsidR="00052825" w:rsidRDefault="00052825">
      <w:pPr>
        <w:widowControl/>
        <w:pBdr>
          <w:top w:val="nil"/>
          <w:left w:val="nil"/>
          <w:bottom w:val="nil"/>
          <w:right w:val="nil"/>
          <w:between w:val="nil"/>
        </w:pBdr>
        <w:tabs>
          <w:tab w:val="right" w:leader="dot" w:pos="9775"/>
        </w:tabs>
        <w:spacing w:after="100" w:line="259" w:lineRule="auto"/>
        <w:jc w:val="center"/>
        <w:rPr>
          <w:color w:val="000000"/>
          <w:sz w:val="24"/>
          <w:szCs w:val="24"/>
        </w:rPr>
      </w:pPr>
      <w:hyperlink w:anchor="_heading=h.i4buahsnsh6z" w:history="1">
        <w:r>
          <w:rPr>
            <w:color w:val="000000"/>
            <w:sz w:val="24"/>
            <w:szCs w:val="24"/>
          </w:rPr>
          <w:t>Service Integration</w:t>
        </w:r>
        <w:r>
          <w:rPr>
            <w:color w:val="000000"/>
            <w:sz w:val="24"/>
            <w:szCs w:val="24"/>
          </w:rPr>
          <w:tab/>
          <w:t>5</w:t>
        </w:r>
      </w:hyperlink>
    </w:p>
    <w:p w14:paraId="19F40981" w14:textId="77777777" w:rsidR="00052825" w:rsidRDefault="00052825">
      <w:pPr>
        <w:widowControl/>
        <w:pBdr>
          <w:top w:val="nil"/>
          <w:left w:val="nil"/>
          <w:bottom w:val="nil"/>
          <w:right w:val="nil"/>
          <w:between w:val="nil"/>
        </w:pBdr>
        <w:tabs>
          <w:tab w:val="right" w:leader="dot" w:pos="9775"/>
        </w:tabs>
        <w:spacing w:after="100" w:line="259" w:lineRule="auto"/>
        <w:jc w:val="center"/>
        <w:rPr>
          <w:color w:val="000000"/>
          <w:sz w:val="24"/>
          <w:szCs w:val="24"/>
        </w:rPr>
      </w:pPr>
      <w:hyperlink w:anchor="_heading=h.ce70i44qg0nk" w:history="1">
        <w:r>
          <w:rPr>
            <w:color w:val="000000"/>
            <w:sz w:val="24"/>
            <w:szCs w:val="24"/>
          </w:rPr>
          <w:t>Strategy</w:t>
        </w:r>
        <w:r>
          <w:rPr>
            <w:color w:val="000000"/>
            <w:sz w:val="24"/>
            <w:szCs w:val="24"/>
          </w:rPr>
          <w:tab/>
          <w:t>6</w:t>
        </w:r>
      </w:hyperlink>
    </w:p>
    <w:p w14:paraId="421D5282" w14:textId="77777777" w:rsidR="00052825" w:rsidRDefault="00052825">
      <w:pPr>
        <w:widowControl/>
        <w:pBdr>
          <w:top w:val="nil"/>
          <w:left w:val="nil"/>
          <w:bottom w:val="nil"/>
          <w:right w:val="nil"/>
          <w:between w:val="nil"/>
        </w:pBdr>
        <w:tabs>
          <w:tab w:val="right" w:leader="dot" w:pos="9775"/>
        </w:tabs>
        <w:spacing w:after="100" w:line="259" w:lineRule="auto"/>
        <w:jc w:val="center"/>
        <w:rPr>
          <w:color w:val="000000"/>
          <w:sz w:val="24"/>
          <w:szCs w:val="24"/>
        </w:rPr>
      </w:pPr>
      <w:hyperlink w:anchor="_heading=h.jd8ne4jn6ycg" w:history="1">
        <w:r>
          <w:rPr>
            <w:color w:val="000000"/>
            <w:sz w:val="24"/>
            <w:szCs w:val="24"/>
          </w:rPr>
          <w:t>Leadership and Management</w:t>
        </w:r>
        <w:r>
          <w:rPr>
            <w:color w:val="000000"/>
            <w:sz w:val="24"/>
            <w:szCs w:val="24"/>
          </w:rPr>
          <w:tab/>
          <w:t>7</w:t>
        </w:r>
      </w:hyperlink>
    </w:p>
    <w:p w14:paraId="79F32B5A" w14:textId="77777777" w:rsidR="00052825" w:rsidRDefault="00052825">
      <w:pPr>
        <w:widowControl/>
        <w:pBdr>
          <w:top w:val="nil"/>
          <w:left w:val="nil"/>
          <w:bottom w:val="nil"/>
          <w:right w:val="nil"/>
          <w:between w:val="nil"/>
        </w:pBdr>
        <w:tabs>
          <w:tab w:val="right" w:leader="dot" w:pos="9775"/>
        </w:tabs>
        <w:spacing w:after="100" w:line="259" w:lineRule="auto"/>
        <w:jc w:val="center"/>
        <w:rPr>
          <w:color w:val="000000"/>
          <w:sz w:val="24"/>
          <w:szCs w:val="24"/>
        </w:rPr>
      </w:pPr>
      <w:hyperlink w:anchor="_heading=h.aq4mzss54o18" w:history="1">
        <w:r>
          <w:rPr>
            <w:color w:val="000000"/>
            <w:sz w:val="24"/>
            <w:szCs w:val="24"/>
          </w:rPr>
          <w:t>Conclusion</w:t>
        </w:r>
        <w:r>
          <w:rPr>
            <w:color w:val="000000"/>
            <w:sz w:val="24"/>
            <w:szCs w:val="24"/>
          </w:rPr>
          <w:tab/>
          <w:t>8</w:t>
        </w:r>
      </w:hyperlink>
    </w:p>
    <w:p w14:paraId="00D30BA4" w14:textId="77777777" w:rsidR="00052825" w:rsidRDefault="00052825">
      <w:pPr>
        <w:widowControl/>
        <w:pBdr>
          <w:top w:val="nil"/>
          <w:left w:val="nil"/>
          <w:bottom w:val="nil"/>
          <w:right w:val="nil"/>
          <w:between w:val="nil"/>
        </w:pBdr>
        <w:tabs>
          <w:tab w:val="right" w:leader="dot" w:pos="9775"/>
        </w:tabs>
        <w:spacing w:after="100" w:line="259" w:lineRule="auto"/>
        <w:jc w:val="center"/>
        <w:rPr>
          <w:color w:val="000000"/>
          <w:sz w:val="24"/>
          <w:szCs w:val="24"/>
        </w:rPr>
      </w:pPr>
      <w:hyperlink w:anchor="_heading=h.x7umhlpxsqcc" w:history="1">
        <w:r>
          <w:rPr>
            <w:color w:val="000000"/>
            <w:sz w:val="24"/>
            <w:szCs w:val="24"/>
          </w:rPr>
          <w:t>Recommendation</w:t>
        </w:r>
        <w:r>
          <w:rPr>
            <w:color w:val="000000"/>
            <w:sz w:val="24"/>
            <w:szCs w:val="24"/>
          </w:rPr>
          <w:tab/>
          <w:t>8</w:t>
        </w:r>
      </w:hyperlink>
    </w:p>
    <w:p w14:paraId="3B725471" w14:textId="77777777" w:rsidR="00052825" w:rsidRDefault="00052825">
      <w:pPr>
        <w:widowControl/>
        <w:pBdr>
          <w:top w:val="nil"/>
          <w:left w:val="nil"/>
          <w:bottom w:val="nil"/>
          <w:right w:val="nil"/>
          <w:between w:val="nil"/>
        </w:pBdr>
        <w:tabs>
          <w:tab w:val="right" w:leader="dot" w:pos="9775"/>
        </w:tabs>
        <w:spacing w:after="100" w:line="259" w:lineRule="auto"/>
        <w:jc w:val="center"/>
        <w:rPr>
          <w:color w:val="000000"/>
          <w:sz w:val="24"/>
          <w:szCs w:val="24"/>
        </w:rPr>
      </w:pPr>
      <w:hyperlink w:anchor="_heading=h.17pubjo2bseo" w:history="1">
        <w:r>
          <w:rPr>
            <w:color w:val="000000"/>
            <w:sz w:val="24"/>
            <w:szCs w:val="24"/>
          </w:rPr>
          <w:t>Group Video Presentation Link</w:t>
        </w:r>
        <w:r>
          <w:rPr>
            <w:color w:val="000000"/>
            <w:sz w:val="24"/>
            <w:szCs w:val="24"/>
          </w:rPr>
          <w:tab/>
          <w:t>9</w:t>
        </w:r>
      </w:hyperlink>
    </w:p>
    <w:p w14:paraId="2C1E3FEE" w14:textId="77777777" w:rsidR="00052825" w:rsidRDefault="00052825">
      <w:pPr>
        <w:widowControl/>
        <w:pBdr>
          <w:top w:val="nil"/>
          <w:left w:val="nil"/>
          <w:bottom w:val="nil"/>
          <w:right w:val="nil"/>
          <w:between w:val="nil"/>
        </w:pBdr>
        <w:tabs>
          <w:tab w:val="right" w:leader="dot" w:pos="9775"/>
        </w:tabs>
        <w:spacing w:after="100" w:line="259" w:lineRule="auto"/>
        <w:jc w:val="center"/>
        <w:rPr>
          <w:color w:val="000000"/>
          <w:sz w:val="24"/>
          <w:szCs w:val="24"/>
        </w:rPr>
      </w:pPr>
      <w:hyperlink w:anchor="_heading=h.me9kc9ksofia" w:history="1">
        <w:r>
          <w:rPr>
            <w:color w:val="000000"/>
            <w:sz w:val="24"/>
            <w:szCs w:val="24"/>
          </w:rPr>
          <w:t>Reference List</w:t>
        </w:r>
        <w:r>
          <w:rPr>
            <w:color w:val="000000"/>
            <w:sz w:val="24"/>
            <w:szCs w:val="24"/>
          </w:rPr>
          <w:tab/>
          <w:t>10</w:t>
        </w:r>
      </w:hyperlink>
    </w:p>
    <w:p w14:paraId="1F875A57" w14:textId="77777777" w:rsidR="00052825" w:rsidRDefault="00000000">
      <w:pPr>
        <w:jc w:val="center"/>
        <w:rPr>
          <w:color w:val="000000"/>
          <w:sz w:val="24"/>
          <w:szCs w:val="24"/>
        </w:rPr>
      </w:pPr>
      <w:r>
        <w:fldChar w:fldCharType="end"/>
      </w:r>
    </w:p>
    <w:p w14:paraId="26A17D05" w14:textId="77777777" w:rsidR="00052825" w:rsidRDefault="00052825">
      <w:pPr>
        <w:pBdr>
          <w:top w:val="nil"/>
          <w:left w:val="nil"/>
          <w:bottom w:val="nil"/>
          <w:right w:val="nil"/>
          <w:between w:val="nil"/>
        </w:pBdr>
        <w:spacing w:before="4" w:line="360" w:lineRule="auto"/>
        <w:rPr>
          <w:i/>
          <w:iCs/>
          <w:color w:val="000000"/>
          <w:sz w:val="17"/>
          <w:szCs w:val="17"/>
        </w:rPr>
        <w:sectPr w:rsidR="00052825">
          <w:headerReference w:type="default" r:id="rId9"/>
          <w:footerReference w:type="default" r:id="rId10"/>
          <w:pgSz w:w="11910" w:h="16840"/>
          <w:pgMar w:top="1900" w:right="992" w:bottom="1240" w:left="1133" w:header="1451" w:footer="1048" w:gutter="0"/>
          <w:pgNumType w:start="2"/>
          <w:cols w:space="720"/>
        </w:sectPr>
      </w:pPr>
    </w:p>
    <w:p w14:paraId="1C45F240" w14:textId="77777777" w:rsidR="00052825" w:rsidRDefault="00000000">
      <w:pPr>
        <w:pStyle w:val="Heading1"/>
        <w:spacing w:before="0"/>
        <w:rPr>
          <w:color w:val="000000"/>
        </w:rPr>
      </w:pPr>
      <w:bookmarkStart w:id="0" w:name="_heading=h.ssin0pof2nnv" w:colFirst="0" w:colLast="0"/>
      <w:bookmarkEnd w:id="0"/>
      <w:r>
        <w:rPr>
          <w:color w:val="000000"/>
        </w:rPr>
        <w:t>Introduction</w:t>
      </w:r>
    </w:p>
    <w:p w14:paraId="426B3507" w14:textId="77777777" w:rsidR="00052825" w:rsidRDefault="00000000">
      <w:pPr>
        <w:pStyle w:val="ListParagraph"/>
        <w:widowControl/>
        <w:numPr>
          <w:ilvl w:val="0"/>
          <w:numId w:val="1"/>
        </w:numPr>
        <w:pBdr>
          <w:top w:val="nil"/>
          <w:left w:val="nil"/>
          <w:bottom w:val="nil"/>
          <w:right w:val="nil"/>
          <w:between w:val="nil"/>
        </w:pBdr>
        <w:spacing w:before="240" w:after="240" w:line="360" w:lineRule="auto"/>
        <w:ind w:left="284"/>
        <w:jc w:val="both"/>
        <w:rPr>
          <w:color w:val="000000"/>
          <w:sz w:val="24"/>
          <w:szCs w:val="24"/>
        </w:rPr>
      </w:pPr>
      <w:r>
        <w:rPr>
          <w:color w:val="000000"/>
          <w:sz w:val="24"/>
          <w:szCs w:val="24"/>
        </w:rPr>
        <w:t xml:space="preserve">The introduction section specifically focuses on childhood obesity in Tower Hamlets and is grounded in the evidence presented in the “Joint Strategic Needs Assessment” (Tower Hamlets Council, 2025). The borough is one of the youngest in England, 23% of the population under 20 years of age. Nonetheless, it is highly deprived too. </w:t>
      </w:r>
    </w:p>
    <w:p w14:paraId="25DE14BA" w14:textId="77777777" w:rsidR="00052825" w:rsidRDefault="00000000">
      <w:pPr>
        <w:pStyle w:val="ListParagraph"/>
        <w:widowControl/>
        <w:numPr>
          <w:ilvl w:val="0"/>
          <w:numId w:val="1"/>
        </w:numPr>
        <w:pBdr>
          <w:top w:val="nil"/>
          <w:left w:val="nil"/>
          <w:bottom w:val="nil"/>
          <w:right w:val="nil"/>
          <w:between w:val="nil"/>
        </w:pBdr>
        <w:spacing w:before="240" w:after="240" w:line="360" w:lineRule="auto"/>
        <w:ind w:left="284"/>
        <w:jc w:val="both"/>
        <w:rPr>
          <w:color w:val="000000"/>
          <w:sz w:val="24"/>
          <w:szCs w:val="24"/>
        </w:rPr>
      </w:pPr>
      <w:r>
        <w:rPr>
          <w:color w:val="000000"/>
          <w:sz w:val="24"/>
          <w:szCs w:val="24"/>
        </w:rPr>
        <w:t>Approximately 30.6% of the population lives in the most disadvantaged communities in the country, and Tower Hamlets ranks 14th in England for the number of children affected by income deprivation (Tower Hamlets Council, 2025). Obesity has a close connection with poverty since low-income families tend to consume more food that is rich in calories, but is less expensive.</w:t>
      </w:r>
    </w:p>
    <w:p w14:paraId="53CDEC7A" w14:textId="77777777" w:rsidR="00052825" w:rsidRDefault="00000000">
      <w:pPr>
        <w:pStyle w:val="ListParagraph"/>
        <w:widowControl/>
        <w:numPr>
          <w:ilvl w:val="0"/>
          <w:numId w:val="1"/>
        </w:numPr>
        <w:pBdr>
          <w:top w:val="nil"/>
          <w:left w:val="nil"/>
          <w:bottom w:val="nil"/>
          <w:right w:val="nil"/>
          <w:between w:val="nil"/>
        </w:pBdr>
        <w:spacing w:before="240" w:after="240" w:line="360" w:lineRule="auto"/>
        <w:ind w:left="284"/>
        <w:jc w:val="both"/>
        <w:rPr>
          <w:color w:val="000000"/>
          <w:sz w:val="24"/>
          <w:szCs w:val="24"/>
        </w:rPr>
      </w:pPr>
      <w:r>
        <w:rPr>
          <w:color w:val="000000"/>
          <w:sz w:val="24"/>
          <w:szCs w:val="24"/>
        </w:rPr>
        <w:t xml:space="preserve">Housing is another key issue. Almost 29.8% of residents live in overcrowded houses, which is higher than 8.6% in the rest of the country (Tower Hamlets Council, 2025). Overcrowding causes insufficient space to play indoors and affects sleep and stress levels, both of which are risk factors for obesity. </w:t>
      </w:r>
    </w:p>
    <w:p w14:paraId="1DF5D40C" w14:textId="77777777" w:rsidR="00052825" w:rsidRDefault="00000000">
      <w:pPr>
        <w:pStyle w:val="ListParagraph"/>
        <w:widowControl/>
        <w:numPr>
          <w:ilvl w:val="0"/>
          <w:numId w:val="1"/>
        </w:numPr>
        <w:pBdr>
          <w:top w:val="nil"/>
          <w:left w:val="nil"/>
          <w:bottom w:val="nil"/>
          <w:right w:val="nil"/>
          <w:between w:val="nil"/>
        </w:pBdr>
        <w:spacing w:before="240" w:after="240" w:line="360" w:lineRule="auto"/>
        <w:ind w:left="284"/>
        <w:jc w:val="both"/>
        <w:rPr>
          <w:color w:val="000000"/>
          <w:sz w:val="24"/>
          <w:szCs w:val="24"/>
        </w:rPr>
      </w:pPr>
      <w:r>
        <w:rPr>
          <w:color w:val="000000"/>
          <w:sz w:val="24"/>
          <w:szCs w:val="24"/>
        </w:rPr>
        <w:t>There are also large ethnic inequalities in the borough. Approximately 34.6% of the residents are Bangladeshi, and numerous neighbourhoods' deprivation gaps are ethnic (Tower Hamlets Council, 2025). Type 2 diabetes and cardiovascular disease are more likely to occur in South Asian communities (Song et al., 2021). This is a long-term risk exacerbated by early obesity.</w:t>
      </w:r>
    </w:p>
    <w:p w14:paraId="7AD48E06" w14:textId="77777777" w:rsidR="00052825" w:rsidRDefault="00000000">
      <w:pPr>
        <w:pStyle w:val="ListParagraph"/>
        <w:widowControl/>
        <w:numPr>
          <w:ilvl w:val="0"/>
          <w:numId w:val="1"/>
        </w:numPr>
        <w:pBdr>
          <w:top w:val="nil"/>
          <w:left w:val="nil"/>
          <w:bottom w:val="nil"/>
          <w:right w:val="nil"/>
          <w:between w:val="nil"/>
        </w:pBdr>
        <w:spacing w:before="240" w:after="240" w:line="360" w:lineRule="auto"/>
        <w:ind w:left="284"/>
        <w:jc w:val="both"/>
        <w:rPr>
          <w:color w:val="000000"/>
          <w:sz w:val="24"/>
          <w:szCs w:val="24"/>
        </w:rPr>
      </w:pPr>
      <w:r>
        <w:rPr>
          <w:color w:val="000000"/>
          <w:sz w:val="24"/>
          <w:szCs w:val="24"/>
        </w:rPr>
        <w:t>There is a high degree of language diversity. Approximately 30.4% of the inhabitants are of a language other than English as their primary language. This forms obstacles to health education. The Tower Hamlets Health and Wellbeing Board Agenda (2023) suggests that JSNAs should consider extensive determinants of health and become integrated commissioners. Therefore, obesity in children of Tower Hamlets is not necessarily a mere behavioural issue. It is established based on poverty, housing, ethnicity, and access. It needs to be tackled by a partner working on local evidence.</w:t>
      </w:r>
    </w:p>
    <w:p w14:paraId="475968D3" w14:textId="77777777" w:rsidR="00052825" w:rsidRDefault="00000000">
      <w:pPr>
        <w:pStyle w:val="ListParagraph"/>
        <w:widowControl/>
        <w:numPr>
          <w:ilvl w:val="0"/>
          <w:numId w:val="1"/>
        </w:numPr>
        <w:pBdr>
          <w:top w:val="nil"/>
          <w:left w:val="nil"/>
          <w:bottom w:val="nil"/>
          <w:right w:val="nil"/>
          <w:between w:val="nil"/>
        </w:pBdr>
        <w:spacing w:before="240" w:after="240" w:line="360" w:lineRule="auto"/>
        <w:ind w:left="284"/>
        <w:jc w:val="both"/>
        <w:rPr>
          <w:color w:val="000000"/>
          <w:sz w:val="24"/>
          <w:szCs w:val="24"/>
        </w:rPr>
        <w:sectPr w:rsidR="00052825">
          <w:headerReference w:type="default" r:id="rId11"/>
          <w:footerReference w:type="default" r:id="rId12"/>
          <w:pgSz w:w="11910" w:h="16840"/>
          <w:pgMar w:top="1900" w:right="992" w:bottom="1240" w:left="1133" w:header="1020" w:footer="1048" w:gutter="0"/>
          <w:cols w:space="720"/>
        </w:sectPr>
      </w:pPr>
      <w:r>
        <w:rPr>
          <w:color w:val="000000"/>
          <w:sz w:val="24"/>
          <w:szCs w:val="24"/>
        </w:rPr>
        <w:t>The partnership meeting is aimed at presenting and commenting on a new integrated partnership service known as Healthy Futures Tower Hamlets. This service seeks to unite health, education, social care and community partners and provide them with a coordinated prevention approach to obesity in children. The meeting will facilitate partners to come up with common responsibilities, integrated service pathways and joint efforts to mitigate obesity disparities in the children in Tower Hamlets.</w:t>
      </w:r>
    </w:p>
    <w:p w14:paraId="4C174F2D" w14:textId="77777777" w:rsidR="00052825" w:rsidRDefault="00000000">
      <w:pPr>
        <w:pStyle w:val="Heading1"/>
        <w:rPr>
          <w:color w:val="000000"/>
        </w:rPr>
      </w:pPr>
      <w:bookmarkStart w:id="1" w:name="_heading=h.nm7kk1efo14j" w:colFirst="0" w:colLast="0"/>
      <w:bookmarkEnd w:id="1"/>
      <w:r>
        <w:rPr>
          <w:color w:val="000000"/>
        </w:rPr>
        <w:t>Partnership</w:t>
      </w:r>
    </w:p>
    <w:p w14:paraId="35455A19" w14:textId="77777777" w:rsidR="00052825" w:rsidRDefault="00000000">
      <w:pPr>
        <w:pStyle w:val="ListParagraph"/>
        <w:widowControl/>
        <w:numPr>
          <w:ilvl w:val="0"/>
          <w:numId w:val="2"/>
        </w:numPr>
        <w:spacing w:before="240" w:after="240" w:line="360" w:lineRule="auto"/>
        <w:jc w:val="both"/>
        <w:rPr>
          <w:color w:val="000000"/>
          <w:sz w:val="24"/>
          <w:szCs w:val="24"/>
        </w:rPr>
      </w:pPr>
      <w:r>
        <w:rPr>
          <w:color w:val="000000"/>
          <w:sz w:val="24"/>
          <w:szCs w:val="24"/>
        </w:rPr>
        <w:t>The partnership proposal is based on a prevention-oriented, integrated framework known as Healthy Futures Tower Hamlets. The vision is common and grounded on the need to curb childhood obesity and lessen health disparities through local action. The guidance on the Integrated Commissioning, based on the “Health and Care Act 2022” and the Integrated Care System, states that joint health strategies and Joint Strategic Needs Assessments should inform integrated commissioning and improve the health outcomes of the population (Department of Health &amp; Social Care, 2022). Thus, the model revolves around partnership working.</w:t>
      </w:r>
    </w:p>
    <w:p w14:paraId="409E4860" w14:textId="77777777" w:rsidR="00052825" w:rsidRDefault="00000000">
      <w:pPr>
        <w:pStyle w:val="ListParagraph"/>
        <w:widowControl/>
        <w:numPr>
          <w:ilvl w:val="0"/>
          <w:numId w:val="2"/>
        </w:numPr>
        <w:spacing w:before="240" w:after="240" w:line="360" w:lineRule="auto"/>
        <w:ind w:left="284"/>
        <w:jc w:val="both"/>
        <w:rPr>
          <w:color w:val="000000"/>
          <w:sz w:val="24"/>
          <w:szCs w:val="24"/>
        </w:rPr>
      </w:pPr>
      <w:r>
        <w:rPr>
          <w:color w:val="000000"/>
          <w:sz w:val="24"/>
          <w:szCs w:val="24"/>
        </w:rPr>
        <w:t>The principal partners are the Public Health, NHS Primary care Networks, schools, housing services, voluntary community organisations, faith leaders, and HealthWatch. This is because Public Health leads evidence-based data monitoring with JSNA (Tower Hamlets Council, 2025). Moreover, an NHS North East London Integrated Care Board (ICB) representative of the executive will be part of the partnership governance mechanism to offer strategic leadership, alignment with ICS priorities, and integration of commissioning across health and social care systems. In the NHS, at-risk children are identified during primary care, and early referrals are offered. Healthy food and exercise are also fostered in schools, which is important given that crowded housing does not provide safe places to play (Tower Hamlets Council, 2025). Environmental risk factors are also addressed by housing services, including overcrowding.</w:t>
      </w:r>
    </w:p>
    <w:p w14:paraId="134B55CE" w14:textId="77777777" w:rsidR="00052825" w:rsidRDefault="00000000">
      <w:pPr>
        <w:pStyle w:val="ListParagraph"/>
        <w:widowControl/>
        <w:numPr>
          <w:ilvl w:val="0"/>
          <w:numId w:val="2"/>
        </w:numPr>
        <w:spacing w:before="240" w:after="240" w:line="360" w:lineRule="auto"/>
        <w:ind w:left="284"/>
        <w:jc w:val="both"/>
        <w:rPr>
          <w:color w:val="000000"/>
          <w:sz w:val="24"/>
          <w:szCs w:val="24"/>
        </w:rPr>
      </w:pPr>
      <w:r>
        <w:rPr>
          <w:color w:val="000000"/>
          <w:sz w:val="24"/>
          <w:szCs w:val="24"/>
        </w:rPr>
        <w:t>Community organisations are important to culturally appropriate engagement. About 34.6% of the population is of Bangladeshi origin, and many families do not speak English (Tower Hamlets Council, 2025). According to Powell et al. (2024), peer-based programmes can be delivered through community health champions, conducted in local languages. This is working in an asset-based partnership, which incorporates local strengths to enhance results.</w:t>
      </w:r>
    </w:p>
    <w:p w14:paraId="4C278BE3" w14:textId="77777777" w:rsidR="00052825" w:rsidRDefault="00000000">
      <w:pPr>
        <w:pStyle w:val="ListParagraph"/>
        <w:widowControl/>
        <w:numPr>
          <w:ilvl w:val="0"/>
          <w:numId w:val="2"/>
        </w:numPr>
        <w:spacing w:before="240" w:after="240" w:line="360" w:lineRule="auto"/>
        <w:ind w:left="284"/>
        <w:jc w:val="both"/>
        <w:rPr>
          <w:color w:val="000000"/>
          <w:sz w:val="24"/>
          <w:szCs w:val="24"/>
        </w:rPr>
        <w:sectPr w:rsidR="00052825">
          <w:headerReference w:type="default" r:id="rId13"/>
          <w:footerReference w:type="default" r:id="rId14"/>
          <w:pgSz w:w="11910" w:h="16840"/>
          <w:pgMar w:top="1900" w:right="992" w:bottom="1240" w:left="1133" w:header="1451" w:footer="1048" w:gutter="0"/>
          <w:cols w:space="720"/>
        </w:sectPr>
      </w:pPr>
      <w:r>
        <w:rPr>
          <w:color w:val="000000"/>
          <w:sz w:val="24"/>
          <w:szCs w:val="24"/>
        </w:rPr>
        <w:t>The common goals are a decrease in the childhood BMI rate, increased access to prevention services, and a decrease in the long-term risk of diabetes and cardiovascular disease. Marcus et al. (2022) state that childhood obesity predisposes individuals to chronic diseases in adulthood. Roles are assigned to each partner, but they share responsibility. The model promotes combined commissions and coordination of services across sectors. This model of partnership will have an evidence-based, culturally responsive, and inequality-reduction-oriented service.</w:t>
      </w:r>
    </w:p>
    <w:p w14:paraId="242E6B51" w14:textId="77777777" w:rsidR="00052825" w:rsidRDefault="00000000">
      <w:pPr>
        <w:pStyle w:val="Heading1"/>
        <w:spacing w:before="0"/>
        <w:rPr>
          <w:color w:val="000000"/>
        </w:rPr>
      </w:pPr>
      <w:bookmarkStart w:id="2" w:name="_heading=h.i4buahsnsh6z" w:colFirst="0" w:colLast="0"/>
      <w:bookmarkEnd w:id="2"/>
      <w:r>
        <w:rPr>
          <w:color w:val="000000"/>
        </w:rPr>
        <w:t>Service Integration</w:t>
      </w:r>
    </w:p>
    <w:p w14:paraId="23D7D2D3" w14:textId="77777777" w:rsidR="00052825" w:rsidRDefault="00000000">
      <w:pPr>
        <w:pStyle w:val="ListParagraph"/>
        <w:numPr>
          <w:ilvl w:val="0"/>
          <w:numId w:val="3"/>
        </w:numPr>
        <w:pBdr>
          <w:top w:val="nil"/>
          <w:left w:val="nil"/>
          <w:bottom w:val="nil"/>
          <w:right w:val="nil"/>
          <w:between w:val="nil"/>
        </w:pBdr>
        <w:spacing w:before="153" w:line="360" w:lineRule="auto"/>
        <w:ind w:left="284"/>
        <w:jc w:val="both"/>
        <w:rPr>
          <w:color w:val="000000"/>
          <w:sz w:val="24"/>
          <w:szCs w:val="24"/>
        </w:rPr>
      </w:pPr>
      <w:r>
        <w:rPr>
          <w:color w:val="000000"/>
          <w:sz w:val="24"/>
          <w:szCs w:val="24"/>
        </w:rPr>
        <w:t>Childhood obesity service integration in the London borough of Tower Hamlets needs to involve action through coordinated clinical (care/cure) and social shared prevention systems (Tower Hamlets, 2020). The local statistics show that normalised obesity among children in Reception is about 11%, and it rises in Year 6, which is an indication of systemic inequality in comparison to England (Rahilly, Cortina-Borja and Mytton, 2025). This proves that multi-layered intervention is important and not separate programmes.</w:t>
      </w:r>
    </w:p>
    <w:p w14:paraId="29BFBEAC" w14:textId="77777777" w:rsidR="00052825" w:rsidRDefault="00000000">
      <w:pPr>
        <w:pStyle w:val="ListParagraph"/>
        <w:numPr>
          <w:ilvl w:val="0"/>
          <w:numId w:val="3"/>
        </w:numPr>
        <w:pBdr>
          <w:top w:val="nil"/>
          <w:left w:val="nil"/>
          <w:bottom w:val="nil"/>
          <w:right w:val="nil"/>
          <w:between w:val="nil"/>
        </w:pBdr>
        <w:spacing w:before="153" w:line="360" w:lineRule="auto"/>
        <w:ind w:left="284"/>
        <w:jc w:val="both"/>
        <w:rPr>
          <w:color w:val="000000"/>
          <w:sz w:val="24"/>
          <w:szCs w:val="24"/>
        </w:rPr>
      </w:pPr>
      <w:r>
        <w:rPr>
          <w:color w:val="000000"/>
          <w:sz w:val="24"/>
          <w:szCs w:val="24"/>
        </w:rPr>
        <w:t>In the care/cure segment, their services will be in General Practice and school nursing, community paediatrics, and dietetic clinics. These services are aimed at identification by using the National Child Measurement Programme, clinical examination, treatment of comorbid conditions like hypertension or pre-diabetes, and referral to the pathways of weight management specialists. As an illustration, according to Wyse et al. (2022), children in the 98th BMI centile position and beyond can be channelled to multidisciplinary community paediatric clinics to undergo systematic intervention.</w:t>
      </w:r>
    </w:p>
    <w:p w14:paraId="3C02940B" w14:textId="77777777" w:rsidR="00052825" w:rsidRDefault="00000000">
      <w:pPr>
        <w:pStyle w:val="ListParagraph"/>
        <w:numPr>
          <w:ilvl w:val="0"/>
          <w:numId w:val="3"/>
        </w:numPr>
        <w:pBdr>
          <w:top w:val="nil"/>
          <w:left w:val="nil"/>
          <w:bottom w:val="nil"/>
          <w:right w:val="nil"/>
          <w:between w:val="nil"/>
        </w:pBdr>
        <w:spacing w:before="153" w:line="360" w:lineRule="auto"/>
        <w:ind w:left="284"/>
        <w:jc w:val="both"/>
        <w:rPr>
          <w:color w:val="000000"/>
          <w:sz w:val="24"/>
          <w:szCs w:val="24"/>
        </w:rPr>
      </w:pPr>
      <w:r>
        <w:rPr>
          <w:color w:val="000000"/>
          <w:sz w:val="24"/>
          <w:szCs w:val="24"/>
        </w:rPr>
        <w:t>Health and social care services are not limited to clinical care to further reach the broader determinants. Early Help teams, family support workers, and welfare advice services support families who are food insecure or overcrowded in housing- both of which are highly linked to excess weight (Wyse et al., 2022). Community weight management programmes and culturally oriented nutrition education are commissioned on a basis by the public health teams, especially in the borough, where the Bangladeshi communities occupy a substantial percentage of the population (Rahilly, Cortina-Borja and Mytton, 2025).</w:t>
      </w:r>
    </w:p>
    <w:p w14:paraId="49F62F61" w14:textId="77777777" w:rsidR="00052825" w:rsidRDefault="00000000">
      <w:pPr>
        <w:pStyle w:val="ListParagraph"/>
        <w:numPr>
          <w:ilvl w:val="0"/>
          <w:numId w:val="3"/>
        </w:numPr>
        <w:pBdr>
          <w:top w:val="nil"/>
          <w:left w:val="nil"/>
          <w:bottom w:val="nil"/>
          <w:right w:val="nil"/>
          <w:between w:val="nil"/>
        </w:pBdr>
        <w:spacing w:before="153" w:line="360" w:lineRule="auto"/>
        <w:ind w:left="284"/>
        <w:jc w:val="both"/>
        <w:rPr>
          <w:color w:val="000000"/>
          <w:sz w:val="24"/>
          <w:szCs w:val="24"/>
        </w:rPr>
        <w:sectPr w:rsidR="00052825">
          <w:headerReference w:type="default" r:id="rId15"/>
          <w:footerReference w:type="default" r:id="rId16"/>
          <w:pgSz w:w="11910" w:h="16840"/>
          <w:pgMar w:top="1900" w:right="992" w:bottom="1240" w:left="1133" w:header="1451" w:footer="1048" w:gutter="0"/>
          <w:cols w:space="720"/>
        </w:sectPr>
      </w:pPr>
      <w:r>
        <w:rPr>
          <w:color w:val="000000"/>
          <w:sz w:val="24"/>
          <w:szCs w:val="24"/>
        </w:rPr>
        <w:t>These sectors are shared, or integrated provision, where jointly commissioned family-based programmes in schools and children's centres are made. Indicatively, a healthy lifestyle programme in a school can incorporate NHS dietitians, physical activity coordinators, and community champions by the local authority, and by the voluntary sector. Family support workers and welfare services assist families who have food insecurity and overcrowded living conditions through the Early Help teams. The local authority and NHS North East London Integrated Care Board will also work together to pool funding to eliminate duplication and enhance monitoring of outcomes.</w:t>
      </w:r>
    </w:p>
    <w:p w14:paraId="04847DB9" w14:textId="77777777" w:rsidR="00052825" w:rsidRDefault="00000000">
      <w:pPr>
        <w:pStyle w:val="Heading1"/>
        <w:spacing w:before="0"/>
        <w:rPr>
          <w:color w:val="000000"/>
        </w:rPr>
      </w:pPr>
      <w:bookmarkStart w:id="3" w:name="_heading=h.ce70i44qg0nk" w:colFirst="0" w:colLast="0"/>
      <w:bookmarkEnd w:id="3"/>
      <w:r>
        <w:rPr>
          <w:color w:val="000000"/>
        </w:rPr>
        <w:t>Strategy</w:t>
      </w:r>
    </w:p>
    <w:p w14:paraId="69D7E1BE" w14:textId="77777777" w:rsidR="00052825" w:rsidRDefault="00000000">
      <w:pPr>
        <w:pStyle w:val="ListParagraph"/>
        <w:numPr>
          <w:ilvl w:val="0"/>
          <w:numId w:val="4"/>
        </w:numPr>
        <w:pBdr>
          <w:top w:val="nil"/>
          <w:left w:val="nil"/>
          <w:bottom w:val="nil"/>
          <w:right w:val="nil"/>
          <w:between w:val="nil"/>
        </w:pBdr>
        <w:spacing w:before="164" w:line="360" w:lineRule="auto"/>
        <w:ind w:left="284" w:right="533"/>
        <w:jc w:val="both"/>
        <w:rPr>
          <w:color w:val="000000"/>
          <w:sz w:val="24"/>
          <w:szCs w:val="24"/>
        </w:rPr>
      </w:pPr>
      <w:r>
        <w:rPr>
          <w:color w:val="000000"/>
          <w:sz w:val="24"/>
          <w:szCs w:val="24"/>
        </w:rPr>
        <w:t xml:space="preserve">The Healthy Futures Tower Hamlets, the newly-designed integrated partnership service, is based on the whole-systems staged model that is consistent with the priorities of the Integrated Care System (Salm et al., 2023). </w:t>
      </w:r>
    </w:p>
    <w:p w14:paraId="19FC376D" w14:textId="77777777" w:rsidR="00052825" w:rsidRDefault="00000000">
      <w:pPr>
        <w:pStyle w:val="ListParagraph"/>
        <w:numPr>
          <w:ilvl w:val="0"/>
          <w:numId w:val="4"/>
        </w:numPr>
        <w:pBdr>
          <w:top w:val="nil"/>
          <w:left w:val="nil"/>
          <w:bottom w:val="nil"/>
          <w:right w:val="nil"/>
          <w:between w:val="nil"/>
        </w:pBdr>
        <w:spacing w:before="164" w:line="360" w:lineRule="auto"/>
        <w:ind w:left="284" w:right="533"/>
        <w:jc w:val="both"/>
        <w:rPr>
          <w:color w:val="000000"/>
          <w:sz w:val="24"/>
          <w:szCs w:val="24"/>
        </w:rPr>
      </w:pPr>
      <w:r>
        <w:rPr>
          <w:color w:val="000000"/>
          <w:sz w:val="24"/>
          <w:szCs w:val="24"/>
        </w:rPr>
        <w:t>They need to tackle the problem of early intervention and long-term prevention since nearly 11% of Reception children are obese, and the proportion of obese remains higher in Year 6. The strategy integrates community intervention and environment, as well as clinical follow-up.</w:t>
      </w:r>
    </w:p>
    <w:p w14:paraId="7BE71EAB" w14:textId="77777777" w:rsidR="00052825" w:rsidRDefault="00000000">
      <w:pPr>
        <w:pBdr>
          <w:top w:val="nil"/>
          <w:left w:val="nil"/>
          <w:bottom w:val="nil"/>
          <w:right w:val="nil"/>
          <w:between w:val="nil"/>
        </w:pBdr>
        <w:spacing w:before="164" w:line="360" w:lineRule="auto"/>
        <w:ind w:right="533"/>
        <w:jc w:val="both"/>
        <w:rPr>
          <w:color w:val="000000"/>
          <w:sz w:val="24"/>
          <w:szCs w:val="24"/>
        </w:rPr>
      </w:pPr>
      <w:r>
        <w:rPr>
          <w:color w:val="000000"/>
          <w:sz w:val="24"/>
          <w:szCs w:val="24"/>
        </w:rPr>
        <w:t>The outlined timeline has a structured plan and has indicators that will be measured:</w:t>
      </w:r>
    </w:p>
    <w:tbl>
      <w:tblPr>
        <w:tblStyle w:val="a1"/>
        <w:tblW w:w="8880" w:type="dxa"/>
        <w:tblBorders>
          <w:top w:val="nil"/>
          <w:left w:val="nil"/>
          <w:bottom w:val="nil"/>
          <w:right w:val="nil"/>
          <w:insideH w:val="nil"/>
          <w:insideV w:val="nil"/>
        </w:tblBorders>
        <w:tblLayout w:type="fixed"/>
        <w:tblLook w:val="0600" w:firstRow="0" w:lastRow="0" w:firstColumn="0" w:lastColumn="0" w:noHBand="1" w:noVBand="1"/>
      </w:tblPr>
      <w:tblGrid>
        <w:gridCol w:w="1230"/>
        <w:gridCol w:w="1140"/>
        <w:gridCol w:w="2790"/>
        <w:gridCol w:w="1500"/>
        <w:gridCol w:w="2220"/>
      </w:tblGrid>
      <w:tr w:rsidR="00052825" w14:paraId="73FDB8A7" w14:textId="77777777">
        <w:trPr>
          <w:trHeight w:val="735"/>
        </w:trPr>
        <w:tc>
          <w:tcPr>
            <w:tcW w:w="1230" w:type="dxa"/>
            <w:tcBorders>
              <w:top w:val="single" w:sz="5" w:space="0" w:color="000000"/>
              <w:left w:val="single" w:sz="5" w:space="0" w:color="000000"/>
              <w:bottom w:val="single" w:sz="5" w:space="0" w:color="000000"/>
              <w:right w:val="single" w:sz="5" w:space="0" w:color="000000"/>
            </w:tcBorders>
            <w:shd w:val="clear" w:color="auto" w:fill="A5A5A5"/>
            <w:tcMar>
              <w:top w:w="0" w:type="dxa"/>
              <w:left w:w="100" w:type="dxa"/>
              <w:bottom w:w="0" w:type="dxa"/>
              <w:right w:w="100" w:type="dxa"/>
            </w:tcMar>
          </w:tcPr>
          <w:p w14:paraId="6C9090A9" w14:textId="77777777" w:rsidR="00052825" w:rsidRDefault="00000000">
            <w:pPr>
              <w:spacing w:line="360" w:lineRule="auto"/>
              <w:jc w:val="both"/>
              <w:rPr>
                <w:b/>
                <w:bCs/>
                <w:color w:val="000000"/>
                <w:sz w:val="18"/>
                <w:szCs w:val="18"/>
              </w:rPr>
            </w:pPr>
            <w:r>
              <w:rPr>
                <w:b/>
                <w:bCs/>
                <w:color w:val="000000"/>
                <w:sz w:val="18"/>
                <w:szCs w:val="18"/>
              </w:rPr>
              <w:t>Phase</w:t>
            </w:r>
          </w:p>
        </w:tc>
        <w:tc>
          <w:tcPr>
            <w:tcW w:w="1140"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14:paraId="010A9E0E" w14:textId="77777777" w:rsidR="00052825" w:rsidRDefault="00000000">
            <w:pPr>
              <w:spacing w:line="360" w:lineRule="auto"/>
              <w:jc w:val="both"/>
              <w:rPr>
                <w:b/>
                <w:bCs/>
                <w:color w:val="000000"/>
                <w:sz w:val="18"/>
                <w:szCs w:val="18"/>
              </w:rPr>
            </w:pPr>
            <w:r>
              <w:rPr>
                <w:b/>
                <w:bCs/>
                <w:color w:val="000000"/>
                <w:sz w:val="18"/>
                <w:szCs w:val="18"/>
              </w:rPr>
              <w:t>Timeline</w:t>
            </w:r>
          </w:p>
        </w:tc>
        <w:tc>
          <w:tcPr>
            <w:tcW w:w="2790"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14:paraId="0F5E3FE7" w14:textId="77777777" w:rsidR="00052825" w:rsidRDefault="00000000">
            <w:pPr>
              <w:spacing w:line="360" w:lineRule="auto"/>
              <w:jc w:val="both"/>
              <w:rPr>
                <w:b/>
                <w:bCs/>
                <w:color w:val="000000"/>
                <w:sz w:val="18"/>
                <w:szCs w:val="18"/>
              </w:rPr>
            </w:pPr>
            <w:r>
              <w:rPr>
                <w:b/>
                <w:bCs/>
                <w:color w:val="000000"/>
                <w:sz w:val="18"/>
                <w:szCs w:val="18"/>
              </w:rPr>
              <w:t>Key Actions</w:t>
            </w:r>
          </w:p>
        </w:tc>
        <w:tc>
          <w:tcPr>
            <w:tcW w:w="1500"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14:paraId="2DC638F8" w14:textId="77777777" w:rsidR="00052825" w:rsidRDefault="00000000">
            <w:pPr>
              <w:spacing w:line="360" w:lineRule="auto"/>
              <w:jc w:val="both"/>
              <w:rPr>
                <w:b/>
                <w:bCs/>
                <w:color w:val="000000"/>
                <w:sz w:val="18"/>
                <w:szCs w:val="18"/>
              </w:rPr>
            </w:pPr>
            <w:r>
              <w:rPr>
                <w:b/>
                <w:bCs/>
                <w:color w:val="000000"/>
                <w:sz w:val="18"/>
                <w:szCs w:val="18"/>
              </w:rPr>
              <w:t>Evaluation Moment</w:t>
            </w:r>
          </w:p>
        </w:tc>
        <w:tc>
          <w:tcPr>
            <w:tcW w:w="2220"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14:paraId="28843BFA" w14:textId="77777777" w:rsidR="00052825" w:rsidRDefault="00000000">
            <w:pPr>
              <w:spacing w:line="360" w:lineRule="auto"/>
              <w:jc w:val="both"/>
              <w:rPr>
                <w:b/>
                <w:bCs/>
                <w:color w:val="000000"/>
                <w:sz w:val="18"/>
                <w:szCs w:val="18"/>
              </w:rPr>
            </w:pPr>
            <w:r>
              <w:rPr>
                <w:b/>
                <w:bCs/>
                <w:color w:val="000000"/>
                <w:sz w:val="18"/>
                <w:szCs w:val="18"/>
              </w:rPr>
              <w:t>Indicators</w:t>
            </w:r>
          </w:p>
        </w:tc>
      </w:tr>
      <w:tr w:rsidR="00052825" w14:paraId="7FFE245C" w14:textId="77777777">
        <w:trPr>
          <w:trHeight w:val="1766"/>
        </w:trPr>
        <w:tc>
          <w:tcPr>
            <w:tcW w:w="12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7A1C428" w14:textId="77777777" w:rsidR="00052825" w:rsidRDefault="00000000">
            <w:pPr>
              <w:spacing w:line="360" w:lineRule="auto"/>
              <w:jc w:val="both"/>
              <w:rPr>
                <w:b/>
                <w:bCs/>
                <w:color w:val="000000"/>
                <w:sz w:val="18"/>
                <w:szCs w:val="18"/>
              </w:rPr>
            </w:pPr>
            <w:r>
              <w:rPr>
                <w:b/>
                <w:bCs/>
                <w:color w:val="000000"/>
                <w:sz w:val="18"/>
                <w:szCs w:val="18"/>
              </w:rPr>
              <w:t>Short-term</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14:paraId="43EF20E7" w14:textId="77777777" w:rsidR="00052825" w:rsidRDefault="00000000">
            <w:pPr>
              <w:spacing w:line="360" w:lineRule="auto"/>
              <w:jc w:val="both"/>
              <w:rPr>
                <w:color w:val="000000"/>
                <w:sz w:val="18"/>
                <w:szCs w:val="18"/>
              </w:rPr>
            </w:pPr>
            <w:r>
              <w:rPr>
                <w:color w:val="000000"/>
                <w:sz w:val="18"/>
                <w:szCs w:val="18"/>
              </w:rPr>
              <w:t>0–2 years</w:t>
            </w:r>
          </w:p>
        </w:tc>
        <w:tc>
          <w:tcPr>
            <w:tcW w:w="2790" w:type="dxa"/>
            <w:tcBorders>
              <w:top w:val="nil"/>
              <w:left w:val="nil"/>
              <w:bottom w:val="single" w:sz="5" w:space="0" w:color="000000"/>
              <w:right w:val="single" w:sz="5" w:space="0" w:color="000000"/>
            </w:tcBorders>
            <w:tcMar>
              <w:top w:w="0" w:type="dxa"/>
              <w:left w:w="100" w:type="dxa"/>
              <w:bottom w:w="0" w:type="dxa"/>
              <w:right w:w="100" w:type="dxa"/>
            </w:tcMar>
          </w:tcPr>
          <w:p w14:paraId="47CE06C0" w14:textId="77777777" w:rsidR="00052825" w:rsidRDefault="00000000">
            <w:pPr>
              <w:spacing w:line="360" w:lineRule="auto"/>
              <w:jc w:val="both"/>
              <w:rPr>
                <w:color w:val="000000"/>
                <w:sz w:val="18"/>
                <w:szCs w:val="18"/>
              </w:rPr>
            </w:pPr>
            <w:r>
              <w:rPr>
                <w:color w:val="000000"/>
                <w:sz w:val="18"/>
                <w:szCs w:val="18"/>
              </w:rPr>
              <w:t>Improve follow-up from the National Child Measurement Programme; expand family weightfoing digital programmes in high-risk wards (Sallis et al., 2019)</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5E5BC81" w14:textId="77777777" w:rsidR="00052825" w:rsidRDefault="00000000">
            <w:pPr>
              <w:spacing w:line="360" w:lineRule="auto"/>
              <w:jc w:val="both"/>
              <w:rPr>
                <w:color w:val="000000"/>
                <w:sz w:val="18"/>
                <w:szCs w:val="18"/>
              </w:rPr>
            </w:pPr>
            <w:r>
              <w:rPr>
                <w:color w:val="000000"/>
                <w:sz w:val="18"/>
                <w:szCs w:val="18"/>
              </w:rPr>
              <w:t>Annual review</w:t>
            </w:r>
          </w:p>
        </w:tc>
        <w:tc>
          <w:tcPr>
            <w:tcW w:w="2220" w:type="dxa"/>
            <w:tcBorders>
              <w:top w:val="nil"/>
              <w:left w:val="nil"/>
              <w:bottom w:val="single" w:sz="5" w:space="0" w:color="000000"/>
              <w:right w:val="single" w:sz="5" w:space="0" w:color="000000"/>
            </w:tcBorders>
            <w:tcMar>
              <w:top w:w="0" w:type="dxa"/>
              <w:left w:w="100" w:type="dxa"/>
              <w:bottom w:w="0" w:type="dxa"/>
              <w:right w:w="100" w:type="dxa"/>
            </w:tcMar>
          </w:tcPr>
          <w:p w14:paraId="197D8904" w14:textId="77777777" w:rsidR="00052825" w:rsidRDefault="00000000">
            <w:pPr>
              <w:spacing w:line="360" w:lineRule="auto"/>
              <w:jc w:val="both"/>
              <w:rPr>
                <w:color w:val="000000"/>
                <w:sz w:val="18"/>
                <w:szCs w:val="18"/>
              </w:rPr>
            </w:pPr>
            <w:r>
              <w:rPr>
                <w:rFonts w:eastAsia="Gungsuh"/>
                <w:color w:val="000000"/>
                <w:sz w:val="18"/>
                <w:szCs w:val="18"/>
              </w:rPr>
              <w:t>≥70% referral uptake; attendance rates; baseline BMI centile change (Sallis et al., 2019)</w:t>
            </w:r>
          </w:p>
        </w:tc>
      </w:tr>
      <w:tr w:rsidR="00052825" w14:paraId="58CDAE5B" w14:textId="77777777">
        <w:trPr>
          <w:trHeight w:val="1410"/>
        </w:trPr>
        <w:tc>
          <w:tcPr>
            <w:tcW w:w="12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3C5C951" w14:textId="77777777" w:rsidR="00052825" w:rsidRDefault="00000000">
            <w:pPr>
              <w:spacing w:line="360" w:lineRule="auto"/>
              <w:jc w:val="both"/>
              <w:rPr>
                <w:b/>
                <w:bCs/>
                <w:color w:val="000000"/>
                <w:sz w:val="18"/>
                <w:szCs w:val="18"/>
              </w:rPr>
            </w:pPr>
            <w:r>
              <w:rPr>
                <w:b/>
                <w:bCs/>
                <w:color w:val="000000"/>
                <w:sz w:val="18"/>
                <w:szCs w:val="18"/>
              </w:rPr>
              <w:t>Medium-term</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14:paraId="65C917D8" w14:textId="77777777" w:rsidR="00052825" w:rsidRDefault="00000000">
            <w:pPr>
              <w:spacing w:line="360" w:lineRule="auto"/>
              <w:jc w:val="both"/>
              <w:rPr>
                <w:color w:val="000000"/>
                <w:sz w:val="18"/>
                <w:szCs w:val="18"/>
              </w:rPr>
            </w:pPr>
            <w:r>
              <w:rPr>
                <w:color w:val="000000"/>
                <w:sz w:val="18"/>
                <w:szCs w:val="18"/>
              </w:rPr>
              <w:t>3–5 years</w:t>
            </w:r>
          </w:p>
        </w:tc>
        <w:tc>
          <w:tcPr>
            <w:tcW w:w="2790" w:type="dxa"/>
            <w:tcBorders>
              <w:top w:val="nil"/>
              <w:left w:val="nil"/>
              <w:bottom w:val="single" w:sz="5" w:space="0" w:color="000000"/>
              <w:right w:val="single" w:sz="5" w:space="0" w:color="000000"/>
            </w:tcBorders>
            <w:tcMar>
              <w:top w:w="0" w:type="dxa"/>
              <w:left w:w="100" w:type="dxa"/>
              <w:bottom w:w="0" w:type="dxa"/>
              <w:right w:w="100" w:type="dxa"/>
            </w:tcMar>
          </w:tcPr>
          <w:p w14:paraId="6EA49720" w14:textId="77777777" w:rsidR="00052825" w:rsidRDefault="00000000">
            <w:pPr>
              <w:spacing w:line="360" w:lineRule="auto"/>
              <w:jc w:val="both"/>
              <w:rPr>
                <w:color w:val="000000"/>
                <w:sz w:val="18"/>
                <w:szCs w:val="18"/>
              </w:rPr>
            </w:pPr>
            <w:r>
              <w:rPr>
                <w:color w:val="000000"/>
                <w:sz w:val="18"/>
                <w:szCs w:val="18"/>
              </w:rPr>
              <w:t>Embed healthy food standards in schools; increase access to safe physical activity spaces.</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3B46A8C7" w14:textId="77777777" w:rsidR="00052825" w:rsidRDefault="00000000">
            <w:pPr>
              <w:spacing w:line="360" w:lineRule="auto"/>
              <w:jc w:val="both"/>
              <w:rPr>
                <w:color w:val="000000"/>
                <w:sz w:val="18"/>
                <w:szCs w:val="18"/>
              </w:rPr>
            </w:pPr>
            <w:r>
              <w:rPr>
                <w:color w:val="000000"/>
                <w:sz w:val="18"/>
                <w:szCs w:val="18"/>
              </w:rPr>
              <w:t>Year 3 and Year 5 review</w:t>
            </w:r>
          </w:p>
        </w:tc>
        <w:tc>
          <w:tcPr>
            <w:tcW w:w="2220" w:type="dxa"/>
            <w:tcBorders>
              <w:top w:val="nil"/>
              <w:left w:val="nil"/>
              <w:bottom w:val="single" w:sz="5" w:space="0" w:color="000000"/>
              <w:right w:val="single" w:sz="5" w:space="0" w:color="000000"/>
            </w:tcBorders>
            <w:tcMar>
              <w:top w:w="0" w:type="dxa"/>
              <w:left w:w="100" w:type="dxa"/>
              <w:bottom w:w="0" w:type="dxa"/>
              <w:right w:w="100" w:type="dxa"/>
            </w:tcMar>
          </w:tcPr>
          <w:p w14:paraId="20C5A167" w14:textId="77777777" w:rsidR="00052825" w:rsidRDefault="00000000">
            <w:pPr>
              <w:spacing w:line="360" w:lineRule="auto"/>
              <w:jc w:val="both"/>
              <w:rPr>
                <w:color w:val="000000"/>
                <w:sz w:val="18"/>
                <w:szCs w:val="18"/>
              </w:rPr>
            </w:pPr>
            <w:r>
              <w:rPr>
                <w:color w:val="000000"/>
                <w:sz w:val="18"/>
                <w:szCs w:val="18"/>
              </w:rPr>
              <w:t>Reduction in Reception obesity by 2%; increased physical activity participation</w:t>
            </w:r>
          </w:p>
        </w:tc>
      </w:tr>
      <w:tr w:rsidR="00052825" w14:paraId="426F936B" w14:textId="77777777">
        <w:trPr>
          <w:trHeight w:val="446"/>
        </w:trPr>
        <w:tc>
          <w:tcPr>
            <w:tcW w:w="123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5A6ACE7" w14:textId="77777777" w:rsidR="00052825" w:rsidRDefault="00000000">
            <w:pPr>
              <w:spacing w:line="360" w:lineRule="auto"/>
              <w:jc w:val="both"/>
              <w:rPr>
                <w:b/>
                <w:bCs/>
                <w:color w:val="000000"/>
                <w:sz w:val="18"/>
                <w:szCs w:val="18"/>
              </w:rPr>
            </w:pPr>
            <w:r>
              <w:rPr>
                <w:b/>
                <w:bCs/>
                <w:color w:val="000000"/>
                <w:sz w:val="18"/>
                <w:szCs w:val="18"/>
              </w:rPr>
              <w:t>Long-term</w:t>
            </w:r>
          </w:p>
        </w:tc>
        <w:tc>
          <w:tcPr>
            <w:tcW w:w="1140" w:type="dxa"/>
            <w:tcBorders>
              <w:top w:val="nil"/>
              <w:left w:val="nil"/>
              <w:bottom w:val="single" w:sz="5" w:space="0" w:color="000000"/>
              <w:right w:val="single" w:sz="5" w:space="0" w:color="000000"/>
            </w:tcBorders>
            <w:tcMar>
              <w:top w:w="0" w:type="dxa"/>
              <w:left w:w="100" w:type="dxa"/>
              <w:bottom w:w="0" w:type="dxa"/>
              <w:right w:w="100" w:type="dxa"/>
            </w:tcMar>
          </w:tcPr>
          <w:p w14:paraId="4643FD93" w14:textId="77777777" w:rsidR="00052825" w:rsidRDefault="00000000">
            <w:pPr>
              <w:spacing w:line="360" w:lineRule="auto"/>
              <w:jc w:val="both"/>
              <w:rPr>
                <w:color w:val="000000"/>
                <w:sz w:val="18"/>
                <w:szCs w:val="18"/>
              </w:rPr>
            </w:pPr>
            <w:r>
              <w:rPr>
                <w:color w:val="000000"/>
                <w:sz w:val="18"/>
                <w:szCs w:val="18"/>
              </w:rPr>
              <w:t>5+ years</w:t>
            </w:r>
          </w:p>
        </w:tc>
        <w:tc>
          <w:tcPr>
            <w:tcW w:w="2790" w:type="dxa"/>
            <w:tcBorders>
              <w:top w:val="nil"/>
              <w:left w:val="nil"/>
              <w:bottom w:val="single" w:sz="5" w:space="0" w:color="000000"/>
              <w:right w:val="single" w:sz="5" w:space="0" w:color="000000"/>
            </w:tcBorders>
            <w:tcMar>
              <w:top w:w="0" w:type="dxa"/>
              <w:left w:w="100" w:type="dxa"/>
              <w:bottom w:w="0" w:type="dxa"/>
              <w:right w:w="100" w:type="dxa"/>
            </w:tcMar>
          </w:tcPr>
          <w:p w14:paraId="3963BA35" w14:textId="77777777" w:rsidR="00052825" w:rsidRDefault="00000000">
            <w:pPr>
              <w:spacing w:line="360" w:lineRule="auto"/>
              <w:jc w:val="both"/>
              <w:rPr>
                <w:color w:val="000000"/>
                <w:sz w:val="18"/>
                <w:szCs w:val="18"/>
              </w:rPr>
            </w:pPr>
            <w:r>
              <w:rPr>
                <w:color w:val="000000"/>
                <w:sz w:val="18"/>
                <w:szCs w:val="18"/>
              </w:rPr>
              <w:t>Reduce the inequality gap between deprived wards and the England average (Sallis et al., 2019)</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1EB59DF" w14:textId="77777777" w:rsidR="00052825" w:rsidRDefault="00000000">
            <w:pPr>
              <w:spacing w:line="360" w:lineRule="auto"/>
              <w:jc w:val="both"/>
              <w:rPr>
                <w:color w:val="000000"/>
                <w:sz w:val="18"/>
                <w:szCs w:val="18"/>
              </w:rPr>
            </w:pPr>
            <w:r>
              <w:rPr>
                <w:color w:val="000000"/>
                <w:sz w:val="18"/>
                <w:szCs w:val="18"/>
              </w:rPr>
              <w:t>5-year population review</w:t>
            </w:r>
          </w:p>
        </w:tc>
        <w:tc>
          <w:tcPr>
            <w:tcW w:w="2220" w:type="dxa"/>
            <w:tcBorders>
              <w:top w:val="nil"/>
              <w:left w:val="nil"/>
              <w:bottom w:val="single" w:sz="5" w:space="0" w:color="000000"/>
              <w:right w:val="single" w:sz="5" w:space="0" w:color="000000"/>
            </w:tcBorders>
            <w:tcMar>
              <w:top w:w="0" w:type="dxa"/>
              <w:left w:w="100" w:type="dxa"/>
              <w:bottom w:w="0" w:type="dxa"/>
              <w:right w:w="100" w:type="dxa"/>
            </w:tcMar>
          </w:tcPr>
          <w:p w14:paraId="7CE398F3" w14:textId="77777777" w:rsidR="00052825" w:rsidRDefault="00000000">
            <w:pPr>
              <w:spacing w:line="360" w:lineRule="auto"/>
              <w:jc w:val="both"/>
              <w:rPr>
                <w:color w:val="000000"/>
                <w:sz w:val="18"/>
                <w:szCs w:val="18"/>
              </w:rPr>
            </w:pPr>
            <w:r>
              <w:rPr>
                <w:color w:val="000000"/>
                <w:sz w:val="18"/>
                <w:szCs w:val="18"/>
              </w:rPr>
              <w:t>Sustained downward obesity trend; reduced obesity-related admissions (Sallis et al., 2019)</w:t>
            </w:r>
          </w:p>
        </w:tc>
      </w:tr>
    </w:tbl>
    <w:p w14:paraId="4D775480" w14:textId="77777777" w:rsidR="00052825" w:rsidRDefault="00000000">
      <w:pPr>
        <w:pStyle w:val="ListParagraph"/>
        <w:numPr>
          <w:ilvl w:val="0"/>
          <w:numId w:val="5"/>
        </w:numPr>
        <w:pBdr>
          <w:top w:val="nil"/>
          <w:left w:val="nil"/>
          <w:bottom w:val="nil"/>
          <w:right w:val="nil"/>
          <w:between w:val="nil"/>
        </w:pBdr>
        <w:spacing w:before="164" w:line="360" w:lineRule="auto"/>
        <w:ind w:left="284" w:right="533"/>
        <w:jc w:val="both"/>
        <w:rPr>
          <w:color w:val="000000"/>
          <w:sz w:val="24"/>
          <w:szCs w:val="24"/>
        </w:rPr>
      </w:pPr>
      <w:r>
        <w:rPr>
          <w:color w:val="000000"/>
          <w:sz w:val="24"/>
          <w:szCs w:val="24"/>
        </w:rPr>
        <w:t xml:space="preserve">Within the Healthy Futures Tower Hamlets partnership service, one of the most important items is the realisation of a Going Digital approach of the schools, GPs, and NHS North East London Integrated Care Board. Parental participation is enhanced by using digital tools of engagement (SMS reminders, virtual workshops, etc.) (Owens, Ravi and Hunter, 2023). </w:t>
      </w:r>
    </w:p>
    <w:p w14:paraId="75F18A2A" w14:textId="77777777" w:rsidR="00052825" w:rsidRDefault="00000000">
      <w:pPr>
        <w:pStyle w:val="ListParagraph"/>
        <w:numPr>
          <w:ilvl w:val="0"/>
          <w:numId w:val="5"/>
        </w:numPr>
        <w:pBdr>
          <w:top w:val="nil"/>
          <w:left w:val="nil"/>
          <w:bottom w:val="nil"/>
          <w:right w:val="nil"/>
          <w:between w:val="nil"/>
        </w:pBdr>
        <w:spacing w:before="164" w:line="360" w:lineRule="auto"/>
        <w:ind w:left="284" w:right="533"/>
        <w:jc w:val="both"/>
        <w:rPr>
          <w:color w:val="000000"/>
          <w:sz w:val="24"/>
          <w:szCs w:val="24"/>
        </w:rPr>
        <w:sectPr w:rsidR="00052825">
          <w:headerReference w:type="default" r:id="rId17"/>
          <w:footerReference w:type="default" r:id="rId18"/>
          <w:pgSz w:w="11910" w:h="16840"/>
          <w:pgMar w:top="1900" w:right="992" w:bottom="1240" w:left="1133" w:header="1247" w:footer="1048" w:gutter="0"/>
          <w:cols w:space="720"/>
        </w:sectPr>
      </w:pPr>
      <w:r>
        <w:rPr>
          <w:color w:val="000000"/>
          <w:sz w:val="24"/>
          <w:szCs w:val="24"/>
        </w:rPr>
        <w:t>The major challenges are that there is a funding shortage, a workforce, language issues, and the danger of expanding disparities if the services are offered to motivated families (Owens, Ravi and Hunter, 2023). Effective governance, shared budgets, and culturally oriented interaction strategies have to help address these obstacles to ensure the maintenance of the partnership's effectiveness.</w:t>
      </w:r>
    </w:p>
    <w:p w14:paraId="4E4E5B07" w14:textId="77777777" w:rsidR="00052825" w:rsidRDefault="00000000">
      <w:pPr>
        <w:pStyle w:val="Heading1"/>
        <w:spacing w:before="0"/>
        <w:rPr>
          <w:color w:val="000000"/>
        </w:rPr>
      </w:pPr>
      <w:bookmarkStart w:id="4" w:name="_heading=h.jd8ne4jn6ycg" w:colFirst="0" w:colLast="0"/>
      <w:bookmarkEnd w:id="4"/>
      <w:r>
        <w:rPr>
          <w:color w:val="000000"/>
        </w:rPr>
        <w:t>Leadership and Management</w:t>
      </w:r>
    </w:p>
    <w:p w14:paraId="2F06F96E" w14:textId="77777777" w:rsidR="00052825" w:rsidRDefault="00000000">
      <w:pPr>
        <w:pStyle w:val="ListParagraph"/>
        <w:numPr>
          <w:ilvl w:val="0"/>
          <w:numId w:val="6"/>
        </w:numPr>
        <w:pBdr>
          <w:top w:val="nil"/>
          <w:left w:val="nil"/>
          <w:bottom w:val="nil"/>
          <w:right w:val="nil"/>
          <w:between w:val="nil"/>
        </w:pBdr>
        <w:spacing w:before="85" w:line="360" w:lineRule="auto"/>
        <w:ind w:left="142" w:right="533"/>
        <w:jc w:val="both"/>
        <w:rPr>
          <w:color w:val="000000"/>
          <w:sz w:val="24"/>
          <w:szCs w:val="24"/>
        </w:rPr>
      </w:pPr>
      <w:r>
        <w:rPr>
          <w:color w:val="000000"/>
          <w:sz w:val="24"/>
          <w:szCs w:val="24"/>
        </w:rPr>
        <w:t xml:space="preserve">The leadership and coordination of the integration of childhood obesity services in Tower Hamlets (London Borough) of the local government should be entrenched in the governance set up of NHS North East London Integrated Care Board, alongside the Public Health Directorate in the local authority (Northeastlondon, 2023). </w:t>
      </w:r>
    </w:p>
    <w:p w14:paraId="399BBB4A" w14:textId="77777777" w:rsidR="00052825" w:rsidRDefault="00000000">
      <w:pPr>
        <w:pStyle w:val="ListParagraph"/>
        <w:numPr>
          <w:ilvl w:val="0"/>
          <w:numId w:val="6"/>
        </w:numPr>
        <w:pBdr>
          <w:top w:val="nil"/>
          <w:left w:val="nil"/>
          <w:bottom w:val="nil"/>
          <w:right w:val="nil"/>
          <w:between w:val="nil"/>
        </w:pBdr>
        <w:spacing w:before="85" w:line="360" w:lineRule="auto"/>
        <w:ind w:left="142" w:right="533"/>
        <w:jc w:val="both"/>
        <w:rPr>
          <w:color w:val="000000"/>
          <w:sz w:val="24"/>
          <w:szCs w:val="24"/>
        </w:rPr>
      </w:pPr>
      <w:r>
        <w:rPr>
          <w:color w:val="000000"/>
          <w:sz w:val="24"/>
          <w:szCs w:val="24"/>
        </w:rPr>
        <w:t xml:space="preserve">Accessible through the Health and Care Act 2022 is the statutory foundation of Integrated Care Systems, which requires collaboration towards population health and inequalities reduction. Additional policy advice that favours integrated services to tackle childhood obesity includes the NHS Long Term Plan (2019), which puts emphasis on prevention and early intervention of childhood obesity, and NICE guidance on the prevention and management of obesity in childhood. </w:t>
      </w:r>
    </w:p>
    <w:p w14:paraId="266CE6EB" w14:textId="77777777" w:rsidR="00052825" w:rsidRDefault="00000000">
      <w:pPr>
        <w:pStyle w:val="ListParagraph"/>
        <w:numPr>
          <w:ilvl w:val="0"/>
          <w:numId w:val="6"/>
        </w:numPr>
        <w:pBdr>
          <w:top w:val="nil"/>
          <w:left w:val="nil"/>
          <w:bottom w:val="nil"/>
          <w:right w:val="nil"/>
          <w:between w:val="nil"/>
        </w:pBdr>
        <w:spacing w:before="85" w:line="360" w:lineRule="auto"/>
        <w:ind w:left="142" w:right="533"/>
        <w:jc w:val="both"/>
        <w:rPr>
          <w:color w:val="000000"/>
          <w:sz w:val="24"/>
          <w:szCs w:val="24"/>
        </w:rPr>
      </w:pPr>
      <w:r>
        <w:rPr>
          <w:color w:val="000000"/>
          <w:sz w:val="24"/>
          <w:szCs w:val="24"/>
        </w:rPr>
        <w:t>These frameworks take into consideration multi-agency collaboration, community involvement, and family-based interventions that are in line with the proposed Healthy Futures Tower Hamlets integrated service model.  Moreover, the Children Act 2004 reinforces the duty to cooperate in advancing the well-being of children in favour of cross-sector integration.</w:t>
      </w:r>
    </w:p>
    <w:p w14:paraId="3AE38177" w14:textId="77777777" w:rsidR="00052825" w:rsidRDefault="00000000">
      <w:pPr>
        <w:pBdr>
          <w:top w:val="nil"/>
          <w:left w:val="nil"/>
          <w:bottom w:val="nil"/>
          <w:right w:val="nil"/>
          <w:between w:val="nil"/>
        </w:pBdr>
        <w:spacing w:before="85" w:line="360" w:lineRule="auto"/>
        <w:ind w:left="142" w:right="533"/>
        <w:jc w:val="both"/>
        <w:rPr>
          <w:color w:val="000000"/>
          <w:sz w:val="24"/>
          <w:szCs w:val="24"/>
        </w:rPr>
      </w:pPr>
      <w:r>
        <w:rPr>
          <w:color w:val="000000"/>
          <w:sz w:val="24"/>
          <w:szCs w:val="24"/>
        </w:rPr>
        <w:t>The management role is to be organised on the system, operational, and community levels:</w:t>
      </w:r>
    </w:p>
    <w:tbl>
      <w:tblPr>
        <w:tblStyle w:val="a2"/>
        <w:tblW w:w="9384" w:type="dxa"/>
        <w:tblBorders>
          <w:top w:val="nil"/>
          <w:left w:val="nil"/>
          <w:bottom w:val="nil"/>
          <w:right w:val="nil"/>
          <w:insideH w:val="nil"/>
          <w:insideV w:val="nil"/>
        </w:tblBorders>
        <w:tblLayout w:type="fixed"/>
        <w:tblLook w:val="0600" w:firstRow="0" w:lastRow="0" w:firstColumn="0" w:lastColumn="0" w:noHBand="1" w:noVBand="1"/>
      </w:tblPr>
      <w:tblGrid>
        <w:gridCol w:w="1487"/>
        <w:gridCol w:w="3735"/>
        <w:gridCol w:w="4162"/>
      </w:tblGrid>
      <w:tr w:rsidR="00052825" w14:paraId="138A065F" w14:textId="77777777">
        <w:trPr>
          <w:trHeight w:val="397"/>
        </w:trPr>
        <w:tc>
          <w:tcPr>
            <w:tcW w:w="1487" w:type="dxa"/>
            <w:tcBorders>
              <w:top w:val="single" w:sz="5" w:space="0" w:color="000000"/>
              <w:left w:val="single" w:sz="5" w:space="0" w:color="000000"/>
              <w:bottom w:val="single" w:sz="5" w:space="0" w:color="000000"/>
              <w:right w:val="single" w:sz="5" w:space="0" w:color="000000"/>
            </w:tcBorders>
            <w:shd w:val="clear" w:color="auto" w:fill="A5A5A5"/>
            <w:tcMar>
              <w:top w:w="0" w:type="dxa"/>
              <w:left w:w="100" w:type="dxa"/>
              <w:bottom w:w="0" w:type="dxa"/>
              <w:right w:w="100" w:type="dxa"/>
            </w:tcMar>
          </w:tcPr>
          <w:p w14:paraId="44EA7FA2" w14:textId="77777777" w:rsidR="00052825" w:rsidRDefault="00000000">
            <w:pPr>
              <w:spacing w:after="240" w:line="276" w:lineRule="auto"/>
              <w:jc w:val="center"/>
              <w:rPr>
                <w:b/>
                <w:bCs/>
                <w:color w:val="000000"/>
                <w:sz w:val="20"/>
                <w:szCs w:val="20"/>
              </w:rPr>
            </w:pPr>
            <w:r>
              <w:rPr>
                <w:b/>
                <w:bCs/>
                <w:color w:val="000000"/>
                <w:sz w:val="20"/>
                <w:szCs w:val="20"/>
              </w:rPr>
              <w:t>Level</w:t>
            </w:r>
          </w:p>
        </w:tc>
        <w:tc>
          <w:tcPr>
            <w:tcW w:w="3735"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14:paraId="732F35AD" w14:textId="77777777" w:rsidR="00052825" w:rsidRDefault="00000000">
            <w:pPr>
              <w:spacing w:after="240" w:line="276" w:lineRule="auto"/>
              <w:jc w:val="center"/>
              <w:rPr>
                <w:b/>
                <w:bCs/>
                <w:color w:val="000000"/>
                <w:sz w:val="20"/>
                <w:szCs w:val="20"/>
              </w:rPr>
            </w:pPr>
            <w:r>
              <w:rPr>
                <w:b/>
                <w:bCs/>
                <w:color w:val="000000"/>
                <w:sz w:val="20"/>
                <w:szCs w:val="20"/>
              </w:rPr>
              <w:t>Lead Responsibility</w:t>
            </w:r>
          </w:p>
        </w:tc>
        <w:tc>
          <w:tcPr>
            <w:tcW w:w="4162" w:type="dxa"/>
            <w:tcBorders>
              <w:top w:val="single" w:sz="5" w:space="0" w:color="000000"/>
              <w:left w:val="nil"/>
              <w:bottom w:val="single" w:sz="5" w:space="0" w:color="000000"/>
              <w:right w:val="single" w:sz="5" w:space="0" w:color="000000"/>
            </w:tcBorders>
            <w:shd w:val="clear" w:color="auto" w:fill="A5A5A5"/>
            <w:tcMar>
              <w:top w:w="0" w:type="dxa"/>
              <w:left w:w="100" w:type="dxa"/>
              <w:bottom w:w="0" w:type="dxa"/>
              <w:right w:w="100" w:type="dxa"/>
            </w:tcMar>
          </w:tcPr>
          <w:p w14:paraId="752B2727" w14:textId="77777777" w:rsidR="00052825" w:rsidRDefault="00000000">
            <w:pPr>
              <w:spacing w:after="240" w:line="276" w:lineRule="auto"/>
              <w:jc w:val="center"/>
              <w:rPr>
                <w:b/>
                <w:bCs/>
                <w:color w:val="000000"/>
                <w:sz w:val="20"/>
                <w:szCs w:val="20"/>
              </w:rPr>
            </w:pPr>
            <w:r>
              <w:rPr>
                <w:b/>
                <w:bCs/>
                <w:color w:val="000000"/>
                <w:sz w:val="20"/>
                <w:szCs w:val="20"/>
              </w:rPr>
              <w:t>Key Functions</w:t>
            </w:r>
          </w:p>
        </w:tc>
      </w:tr>
      <w:tr w:rsidR="00052825" w14:paraId="2B2A3F38" w14:textId="77777777">
        <w:trPr>
          <w:trHeight w:val="778"/>
        </w:trPr>
        <w:tc>
          <w:tcPr>
            <w:tcW w:w="1487" w:type="dxa"/>
            <w:tcBorders>
              <w:top w:val="nil"/>
              <w:left w:val="single" w:sz="5" w:space="0" w:color="000000"/>
              <w:bottom w:val="single" w:sz="5" w:space="0" w:color="000000"/>
              <w:right w:val="single" w:sz="5" w:space="0" w:color="000000"/>
            </w:tcBorders>
            <w:shd w:val="clear" w:color="auto" w:fill="EDEDED"/>
            <w:tcMar>
              <w:top w:w="0" w:type="dxa"/>
              <w:left w:w="100" w:type="dxa"/>
              <w:bottom w:w="0" w:type="dxa"/>
              <w:right w:w="100" w:type="dxa"/>
            </w:tcMar>
          </w:tcPr>
          <w:p w14:paraId="31232016" w14:textId="77777777" w:rsidR="00052825" w:rsidRDefault="00000000">
            <w:pPr>
              <w:spacing w:after="240" w:line="276" w:lineRule="auto"/>
              <w:jc w:val="center"/>
              <w:rPr>
                <w:b/>
                <w:bCs/>
                <w:i/>
                <w:iCs/>
                <w:color w:val="000000"/>
                <w:sz w:val="20"/>
                <w:szCs w:val="20"/>
              </w:rPr>
            </w:pPr>
            <w:r>
              <w:rPr>
                <w:b/>
                <w:bCs/>
                <w:i/>
                <w:iCs/>
                <w:color w:val="000000"/>
                <w:sz w:val="20"/>
                <w:szCs w:val="20"/>
              </w:rPr>
              <w:t>System</w:t>
            </w:r>
          </w:p>
        </w:tc>
        <w:tc>
          <w:tcPr>
            <w:tcW w:w="373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2B92C0F6" w14:textId="77777777" w:rsidR="00052825" w:rsidRDefault="00000000">
            <w:pPr>
              <w:spacing w:after="240" w:line="276" w:lineRule="auto"/>
              <w:jc w:val="both"/>
              <w:rPr>
                <w:color w:val="000000"/>
                <w:sz w:val="20"/>
                <w:szCs w:val="20"/>
              </w:rPr>
            </w:pPr>
            <w:r>
              <w:rPr>
                <w:color w:val="000000"/>
                <w:sz w:val="20"/>
                <w:szCs w:val="20"/>
              </w:rPr>
              <w:t>Integrated Care Board &amp; Health and Wellbeing Board</w:t>
            </w:r>
          </w:p>
        </w:tc>
        <w:tc>
          <w:tcPr>
            <w:tcW w:w="4162"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38017675" w14:textId="77777777" w:rsidR="00052825" w:rsidRDefault="00000000">
            <w:pPr>
              <w:spacing w:after="240" w:line="276" w:lineRule="auto"/>
              <w:jc w:val="both"/>
              <w:rPr>
                <w:color w:val="000000"/>
                <w:sz w:val="20"/>
                <w:szCs w:val="20"/>
              </w:rPr>
            </w:pPr>
            <w:r>
              <w:rPr>
                <w:color w:val="000000"/>
                <w:sz w:val="20"/>
                <w:szCs w:val="20"/>
              </w:rPr>
              <w:t>Strategic oversight, pooled budgets, performance monitoring (Dunn et al., 2025)</w:t>
            </w:r>
          </w:p>
        </w:tc>
      </w:tr>
      <w:tr w:rsidR="00052825" w14:paraId="7149A001" w14:textId="77777777">
        <w:trPr>
          <w:trHeight w:val="778"/>
        </w:trPr>
        <w:tc>
          <w:tcPr>
            <w:tcW w:w="1487"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EC82395" w14:textId="77777777" w:rsidR="00052825" w:rsidRDefault="00000000">
            <w:pPr>
              <w:spacing w:after="240" w:line="276" w:lineRule="auto"/>
              <w:jc w:val="center"/>
              <w:rPr>
                <w:b/>
                <w:bCs/>
                <w:i/>
                <w:iCs/>
                <w:color w:val="000000"/>
                <w:sz w:val="20"/>
                <w:szCs w:val="20"/>
              </w:rPr>
            </w:pPr>
            <w:r>
              <w:rPr>
                <w:b/>
                <w:bCs/>
                <w:i/>
                <w:iCs/>
                <w:color w:val="000000"/>
                <w:sz w:val="20"/>
                <w:szCs w:val="20"/>
              </w:rPr>
              <w:t>Operational</w:t>
            </w:r>
          </w:p>
        </w:tc>
        <w:tc>
          <w:tcPr>
            <w:tcW w:w="3735" w:type="dxa"/>
            <w:tcBorders>
              <w:top w:val="nil"/>
              <w:left w:val="nil"/>
              <w:bottom w:val="single" w:sz="5" w:space="0" w:color="000000"/>
              <w:right w:val="single" w:sz="5" w:space="0" w:color="000000"/>
            </w:tcBorders>
            <w:tcMar>
              <w:top w:w="0" w:type="dxa"/>
              <w:left w:w="100" w:type="dxa"/>
              <w:bottom w:w="0" w:type="dxa"/>
              <w:right w:w="100" w:type="dxa"/>
            </w:tcMar>
          </w:tcPr>
          <w:p w14:paraId="2F09D59C" w14:textId="77777777" w:rsidR="00052825" w:rsidRDefault="00000000">
            <w:pPr>
              <w:spacing w:after="240" w:line="276" w:lineRule="auto"/>
              <w:jc w:val="both"/>
              <w:rPr>
                <w:color w:val="000000"/>
                <w:sz w:val="20"/>
                <w:szCs w:val="20"/>
              </w:rPr>
            </w:pPr>
            <w:r>
              <w:rPr>
                <w:color w:val="000000"/>
                <w:sz w:val="20"/>
                <w:szCs w:val="20"/>
              </w:rPr>
              <w:t>Public Health &amp; Primary Care Networks (Dunn et al., 2025)</w:t>
            </w:r>
          </w:p>
        </w:tc>
        <w:tc>
          <w:tcPr>
            <w:tcW w:w="4162" w:type="dxa"/>
            <w:tcBorders>
              <w:top w:val="nil"/>
              <w:left w:val="nil"/>
              <w:bottom w:val="single" w:sz="5" w:space="0" w:color="000000"/>
              <w:right w:val="single" w:sz="5" w:space="0" w:color="000000"/>
            </w:tcBorders>
            <w:tcMar>
              <w:top w:w="0" w:type="dxa"/>
              <w:left w:w="100" w:type="dxa"/>
              <w:bottom w:w="0" w:type="dxa"/>
              <w:right w:w="100" w:type="dxa"/>
            </w:tcMar>
          </w:tcPr>
          <w:p w14:paraId="27548A47" w14:textId="77777777" w:rsidR="00052825" w:rsidRDefault="00000000">
            <w:pPr>
              <w:spacing w:after="240" w:line="276" w:lineRule="auto"/>
              <w:jc w:val="both"/>
              <w:rPr>
                <w:color w:val="000000"/>
                <w:sz w:val="20"/>
                <w:szCs w:val="20"/>
              </w:rPr>
            </w:pPr>
            <w:r>
              <w:rPr>
                <w:color w:val="000000"/>
                <w:sz w:val="20"/>
                <w:szCs w:val="20"/>
              </w:rPr>
              <w:t>Commissioning, pathway coordination, data sharing</w:t>
            </w:r>
          </w:p>
        </w:tc>
      </w:tr>
      <w:tr w:rsidR="00052825" w14:paraId="41546EB1" w14:textId="77777777">
        <w:trPr>
          <w:trHeight w:val="778"/>
        </w:trPr>
        <w:tc>
          <w:tcPr>
            <w:tcW w:w="1487" w:type="dxa"/>
            <w:tcBorders>
              <w:top w:val="nil"/>
              <w:left w:val="single" w:sz="5" w:space="0" w:color="000000"/>
              <w:bottom w:val="single" w:sz="5" w:space="0" w:color="000000"/>
              <w:right w:val="single" w:sz="5" w:space="0" w:color="000000"/>
            </w:tcBorders>
            <w:shd w:val="clear" w:color="auto" w:fill="EDEDED"/>
            <w:tcMar>
              <w:top w:w="0" w:type="dxa"/>
              <w:left w:w="100" w:type="dxa"/>
              <w:bottom w:w="0" w:type="dxa"/>
              <w:right w:w="100" w:type="dxa"/>
            </w:tcMar>
          </w:tcPr>
          <w:p w14:paraId="308C3AE1" w14:textId="77777777" w:rsidR="00052825" w:rsidRDefault="00000000">
            <w:pPr>
              <w:spacing w:after="240" w:line="276" w:lineRule="auto"/>
              <w:jc w:val="center"/>
              <w:rPr>
                <w:b/>
                <w:bCs/>
                <w:i/>
                <w:iCs/>
                <w:color w:val="000000"/>
                <w:sz w:val="20"/>
                <w:szCs w:val="20"/>
              </w:rPr>
            </w:pPr>
            <w:r>
              <w:rPr>
                <w:b/>
                <w:bCs/>
                <w:i/>
                <w:iCs/>
                <w:color w:val="000000"/>
                <w:sz w:val="20"/>
                <w:szCs w:val="20"/>
              </w:rPr>
              <w:t>Community</w:t>
            </w:r>
          </w:p>
        </w:tc>
        <w:tc>
          <w:tcPr>
            <w:tcW w:w="3735"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0EBB8E9A" w14:textId="77777777" w:rsidR="00052825" w:rsidRDefault="00000000">
            <w:pPr>
              <w:spacing w:after="240" w:line="276" w:lineRule="auto"/>
              <w:jc w:val="both"/>
              <w:rPr>
                <w:color w:val="000000"/>
                <w:sz w:val="20"/>
                <w:szCs w:val="20"/>
              </w:rPr>
            </w:pPr>
            <w:r>
              <w:rPr>
                <w:color w:val="000000"/>
                <w:sz w:val="20"/>
                <w:szCs w:val="20"/>
              </w:rPr>
              <w:t>Schools &amp; Voluntary Sector</w:t>
            </w:r>
          </w:p>
        </w:tc>
        <w:tc>
          <w:tcPr>
            <w:tcW w:w="4162" w:type="dxa"/>
            <w:tcBorders>
              <w:top w:val="nil"/>
              <w:left w:val="nil"/>
              <w:bottom w:val="single" w:sz="5" w:space="0" w:color="000000"/>
              <w:right w:val="single" w:sz="5" w:space="0" w:color="000000"/>
            </w:tcBorders>
            <w:shd w:val="clear" w:color="auto" w:fill="EDEDED"/>
            <w:tcMar>
              <w:top w:w="0" w:type="dxa"/>
              <w:left w:w="100" w:type="dxa"/>
              <w:bottom w:w="0" w:type="dxa"/>
              <w:right w:w="100" w:type="dxa"/>
            </w:tcMar>
          </w:tcPr>
          <w:p w14:paraId="4C5A5AA6" w14:textId="77777777" w:rsidR="00052825" w:rsidRDefault="00000000">
            <w:pPr>
              <w:spacing w:after="240" w:line="276" w:lineRule="auto"/>
              <w:jc w:val="both"/>
              <w:rPr>
                <w:color w:val="000000"/>
                <w:sz w:val="20"/>
                <w:szCs w:val="20"/>
              </w:rPr>
            </w:pPr>
            <w:r>
              <w:rPr>
                <w:color w:val="000000"/>
                <w:sz w:val="20"/>
                <w:szCs w:val="20"/>
              </w:rPr>
              <w:t>Delivery of family programmes, engagement</w:t>
            </w:r>
          </w:p>
        </w:tc>
      </w:tr>
    </w:tbl>
    <w:p w14:paraId="5F2754B7" w14:textId="77777777" w:rsidR="00052825" w:rsidRDefault="00000000">
      <w:pPr>
        <w:pStyle w:val="ListParagraph"/>
        <w:numPr>
          <w:ilvl w:val="0"/>
          <w:numId w:val="7"/>
        </w:numPr>
        <w:pBdr>
          <w:top w:val="nil"/>
          <w:left w:val="nil"/>
          <w:bottom w:val="nil"/>
          <w:right w:val="nil"/>
          <w:between w:val="nil"/>
        </w:pBdr>
        <w:spacing w:before="85" w:line="360" w:lineRule="auto"/>
        <w:ind w:left="284" w:right="533"/>
        <w:jc w:val="both"/>
        <w:rPr>
          <w:color w:val="000000"/>
          <w:sz w:val="24"/>
          <w:szCs w:val="24"/>
        </w:rPr>
        <w:sectPr w:rsidR="00052825">
          <w:headerReference w:type="default" r:id="rId19"/>
          <w:footerReference w:type="default" r:id="rId20"/>
          <w:pgSz w:w="11910" w:h="16840"/>
          <w:pgMar w:top="1900" w:right="992" w:bottom="1240" w:left="1133" w:header="1191" w:footer="1048" w:gutter="0"/>
          <w:cols w:space="720"/>
        </w:sectPr>
      </w:pPr>
      <w:r>
        <w:rPr>
          <w:color w:val="000000"/>
          <w:sz w:val="24"/>
          <w:szCs w:val="24"/>
        </w:rPr>
        <w:t>It has been estimated that a borough-wide integrated programme (dietitians, school nurses, digital monitoring systems, and community health champions, etc.) could cost between 1 and 1.5 million a year (Santos et al., 2022). Nevertheless, it is expected to have long-term savings due to the decreased obesity-related admissions and burden of chronic diseases. Some of the assets required comprise worker training, interoperable digital data, and interoperable culturally competent engagement with the community capacity. Good financial management and results-based commissioning are very important to secure the best value in tight public health budgets.</w:t>
      </w:r>
    </w:p>
    <w:p w14:paraId="02E9D736" w14:textId="77777777" w:rsidR="00052825" w:rsidRDefault="00000000">
      <w:pPr>
        <w:pStyle w:val="Heading1"/>
        <w:spacing w:before="0"/>
        <w:rPr>
          <w:color w:val="000000"/>
        </w:rPr>
      </w:pPr>
      <w:bookmarkStart w:id="5" w:name="_heading=h.aq4mzss54o18" w:colFirst="0" w:colLast="0"/>
      <w:bookmarkEnd w:id="5"/>
      <w:r>
        <w:rPr>
          <w:color w:val="000000"/>
        </w:rPr>
        <w:t>Conclusion</w:t>
      </w:r>
    </w:p>
    <w:p w14:paraId="5FF1E737" w14:textId="77777777" w:rsidR="00052825" w:rsidRDefault="00000000">
      <w:pPr>
        <w:widowControl/>
        <w:spacing w:before="240" w:after="240" w:line="360" w:lineRule="auto"/>
        <w:jc w:val="both"/>
        <w:rPr>
          <w:color w:val="000000"/>
          <w:sz w:val="24"/>
          <w:szCs w:val="24"/>
        </w:rPr>
      </w:pPr>
      <w:r>
        <w:rPr>
          <w:color w:val="000000"/>
          <w:sz w:val="24"/>
          <w:szCs w:val="24"/>
        </w:rPr>
        <w:t>Tower Hamlets has a strong association between childhood obesity, deprivation, housing, and inequality. According to the evidence presented in the JSNA, there are evident gaps in both prevention and access. A combination strategy is necessary to improve children's health and eliminate health disparities in the long term. The issue of childhood obesity in the London Borough of Tower Hamlets needs to be systemic and integrated across the health, social care, and community sectors. The overall proportion of Reception children who should be considered obese is about 11 percent, and in the deprived wards, even the proportion is more impressive, which is why fragmented interventions are inadequate. It is advised that a whole-systems partnership model should be implemented with mutual leadership of the local authority and the NHS North East London Integrated Care Board in order to guarantee strategic alignment, budgetary pool, and joint accountability.</w:t>
      </w:r>
    </w:p>
    <w:p w14:paraId="5E401674" w14:textId="77777777" w:rsidR="00052825" w:rsidRDefault="00000000">
      <w:pPr>
        <w:pStyle w:val="Heading1"/>
        <w:rPr>
          <w:color w:val="000000"/>
        </w:rPr>
      </w:pPr>
      <w:bookmarkStart w:id="6" w:name="_heading=h.x7umhlpxsqcc" w:colFirst="0" w:colLast="0"/>
      <w:bookmarkEnd w:id="6"/>
      <w:r>
        <w:rPr>
          <w:color w:val="000000"/>
        </w:rPr>
        <w:t>Recommendation </w:t>
      </w:r>
    </w:p>
    <w:p w14:paraId="5BAA3914" w14:textId="77777777" w:rsidR="00052825" w:rsidRDefault="00000000">
      <w:pPr>
        <w:widowControl/>
        <w:spacing w:before="240" w:after="240" w:line="360" w:lineRule="auto"/>
        <w:jc w:val="both"/>
        <w:rPr>
          <w:color w:val="000000"/>
          <w:sz w:val="24"/>
          <w:szCs w:val="24"/>
        </w:rPr>
      </w:pPr>
      <w:r>
        <w:rPr>
          <w:color w:val="000000"/>
          <w:sz w:val="24"/>
          <w:szCs w:val="24"/>
        </w:rPr>
        <w:t>The Health and Wellbeing Board of Tower Hamlets needs to adopt a multi-agency, culturally responsive obesity prevention program. The partners should align commissioning plans with JSNA evidence. They also need to strictly focus on deprived wards, enhance community involvement, and periodically review outcomes to achieve quantifiable improvements in the prevalence of childhood obesity.</w:t>
      </w:r>
    </w:p>
    <w:p w14:paraId="2C5CA569" w14:textId="77777777" w:rsidR="00052825" w:rsidRDefault="00000000">
      <w:pPr>
        <w:widowControl/>
        <w:spacing w:before="240" w:after="240" w:line="360" w:lineRule="auto"/>
        <w:jc w:val="both"/>
        <w:rPr>
          <w:color w:val="000000"/>
          <w:sz w:val="24"/>
          <w:szCs w:val="24"/>
        </w:rPr>
      </w:pPr>
      <w:r>
        <w:rPr>
          <w:color w:val="000000"/>
          <w:sz w:val="24"/>
          <w:szCs w:val="24"/>
        </w:rPr>
        <w:t>The most significant recommendations are that the culturally oriented family-based programmes need to be reinforced, the digital data-sharing systems should be implemented to ensure timely monitoring, and the commissioning systems need to be equity-driven to avoid increasing the disparities. The financial pressure should not undermine long-term investment in prevention.</w:t>
      </w:r>
    </w:p>
    <w:p w14:paraId="79426B42" w14:textId="77777777" w:rsidR="00052825" w:rsidRDefault="00000000">
      <w:pPr>
        <w:widowControl/>
        <w:spacing w:before="240" w:after="240" w:line="360" w:lineRule="auto"/>
        <w:jc w:val="both"/>
        <w:rPr>
          <w:color w:val="000000"/>
          <w:sz w:val="24"/>
          <w:szCs w:val="24"/>
        </w:rPr>
        <w:sectPr w:rsidR="00052825">
          <w:headerReference w:type="default" r:id="rId21"/>
          <w:footerReference w:type="default" r:id="rId22"/>
          <w:pgSz w:w="11910" w:h="16840"/>
          <w:pgMar w:top="1900" w:right="992" w:bottom="1240" w:left="1133" w:header="1451" w:footer="1048" w:gutter="0"/>
          <w:cols w:space="720"/>
        </w:sectPr>
      </w:pPr>
      <w:r>
        <w:rPr>
          <w:color w:val="000000"/>
          <w:sz w:val="24"/>
          <w:szCs w:val="24"/>
        </w:rPr>
        <w:t>To achieve effective integration, there must be effective systems leadership, financial literacy, capacity to analyse data, and commission outcomes-based expertise. Another competency that is essential is collaboration, cultural competence, expertise in community engagement, and organisational change management. The leaders are expected to engage in negotiation, conflict resolution, and strategic planning skills to bring diverse stakeholders to the same point. Integration of these competencies into multidisciplinary teams will make the system more sustainable as well as guarantee the fact that the health outcomes of children are improved at the level of the entire borough</w:t>
      </w:r>
    </w:p>
    <w:bookmarkStart w:id="7" w:name="_heading=h.17pubjo2bseo" w:colFirst="0" w:colLast="0"/>
    <w:bookmarkEnd w:id="7"/>
    <w:p w14:paraId="0419B313" w14:textId="77777777" w:rsidR="00052825" w:rsidRDefault="00000000">
      <w:pPr>
        <w:pStyle w:val="Heading1"/>
      </w:pPr>
      <w:r>
        <w:rPr>
          <w:noProof/>
          <w:lang w:eastAsia="en-IN"/>
        </w:rPr>
        <mc:AlternateContent>
          <mc:Choice Requires="wps">
            <w:drawing>
              <wp:anchor distT="0" distB="0" distL="0" distR="0" simplePos="0" relativeHeight="2" behindDoc="0" locked="0" layoutInCell="1" allowOverlap="1" wp14:anchorId="30EA0240" wp14:editId="1C651117">
                <wp:simplePos x="0" y="0"/>
                <wp:positionH relativeFrom="column">
                  <wp:posOffset>33020</wp:posOffset>
                </wp:positionH>
                <wp:positionV relativeFrom="paragraph">
                  <wp:posOffset>412750</wp:posOffset>
                </wp:positionV>
                <wp:extent cx="6134735" cy="1063625"/>
                <wp:effectExtent l="0" t="0" r="18415" b="22225"/>
                <wp:wrapTopAndBottom/>
                <wp:docPr id="1027" name="Rectangle 2357500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34735" cy="1063625"/>
                        </a:xfrm>
                        <a:prstGeom prst="rect">
                          <a:avLst/>
                        </a:prstGeom>
                        <a:ln w="9525" cap="flat" cmpd="sng">
                          <a:solidFill>
                            <a:srgbClr val="000000"/>
                          </a:solidFill>
                          <a:prstDash val="solid"/>
                          <a:round/>
                          <a:headEnd type="none" w="sm" len="sm"/>
                          <a:tailEnd type="none" w="sm" len="sm"/>
                        </a:ln>
                      </wps:spPr>
                      <wps:txbx>
                        <w:txbxContent>
                          <w:p w14:paraId="014B6E14" w14:textId="77777777" w:rsidR="00052825" w:rsidRDefault="00052825">
                            <w:pPr>
                              <w:spacing w:before="73"/>
                              <w:textDirection w:val="btLr"/>
                            </w:pPr>
                          </w:p>
                          <w:p w14:paraId="45CAA7EB" w14:textId="77777777" w:rsidR="00052825" w:rsidRDefault="00000000">
                            <w:pPr>
                              <w:spacing w:before="73"/>
                              <w:ind w:left="141" w:firstLine="141"/>
                              <w:textDirection w:val="btLr"/>
                            </w:pPr>
                            <w:r>
                              <w:t>Recording presentation link 19/03/2026</w:t>
                            </w:r>
                          </w:p>
                          <w:p w14:paraId="0A98B41F" w14:textId="77777777" w:rsidR="00052825" w:rsidRDefault="00052825">
                            <w:pPr>
                              <w:spacing w:before="73"/>
                              <w:ind w:left="141" w:firstLine="141"/>
                              <w:textDirection w:val="btLr"/>
                            </w:pPr>
                            <w:hyperlink r:id="rId23" w:history="1">
                              <w:r>
                                <w:rPr>
                                  <w:rStyle w:val="Hyperlink"/>
                                </w:rPr>
                                <w:t>https://uwtsd.hosted.panopto.com/Panopto/Pages/Viewer.aspx?id=0e1d386b-d8de-4cc3-90fb-b4120105f34e</w:t>
                              </w:r>
                            </w:hyperlink>
                          </w:p>
                          <w:p w14:paraId="1F42CEB9" w14:textId="1F6CF41A" w:rsidR="00052825" w:rsidRDefault="00052825">
                            <w:pPr>
                              <w:spacing w:before="73"/>
                              <w:ind w:left="141" w:firstLine="141"/>
                              <w:textDirection w:val="btLr"/>
                            </w:pPr>
                          </w:p>
                        </w:txbxContent>
                      </wps:txbx>
                      <wps:bodyPr wrap="square" lIns="0" tIns="0" rIns="0" bIns="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EA0240" id="Rectangle 235750019" o:spid="_x0000_s1026" style="position:absolute;margin-left:2.6pt;margin-top:32.5pt;width:483.05pt;height:83.75pt;z-index: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" filled="f">
                <v:stroke startarrowwidth="narrow" startarrowlength="short" endarrowwidth="narrow" endarrowlength="short" joinstyle="round"/>
                <v:path arrowok="t"/>
                <v:textbox inset="0,0,0,0">
                  <w:txbxContent>
                    <w:p w14:paraId="014B6E14" w14:textId="77777777" w:rsidR="00052825" w:rsidRDefault="00052825">
                      <w:pPr>
                        <w:spacing w:before="73"/>
                        <w:textDirection w:val="btLr"/>
                      </w:pPr>
                    </w:p>
                    <w:p w14:paraId="45CAA7EB" w14:textId="77777777" w:rsidR="00052825" w:rsidRDefault="00000000">
                      <w:pPr>
                        <w:spacing w:before="73"/>
                        <w:ind w:left="141" w:firstLine="141"/>
                        <w:textDirection w:val="btLr"/>
                      </w:pPr>
                      <w:r>
                        <w:t>Recording presentation link 19/03/2026</w:t>
                      </w:r>
                    </w:p>
                    <w:p w14:paraId="0A98B41F" w14:textId="77777777" w:rsidR="00052825" w:rsidRDefault="00000000">
                      <w:pPr>
                        <w:spacing w:before="73"/>
                        <w:ind w:left="141" w:firstLine="141"/>
                        <w:textDirection w:val="btLr"/>
                      </w:pPr>
                      <w:hyperlink r:id="rId24" w:history="1">
                        <w:r>
                          <w:rPr>
                            <w:rStyle w:val="Hyperlink"/>
                          </w:rPr>
                          <w:t>https://uwtsd.hosted.panopto.com/Panopto/Pages/Viewer.aspx?id=0e1d386b-d8de-4cc3-90fb-b4120105f34e</w:t>
                        </w:r>
                      </w:hyperlink>
                    </w:p>
                    <w:p w14:paraId="1F42CEB9" w14:textId="1F6CF41A" w:rsidR="00052825" w:rsidRDefault="00052825">
                      <w:pPr>
                        <w:spacing w:before="73"/>
                        <w:ind w:left="141" w:firstLine="141"/>
                        <w:textDirection w:val="btLr"/>
                      </w:pPr>
                    </w:p>
                  </w:txbxContent>
                </v:textbox>
                <w10:wrap type="topAndBottom"/>
              </v:rect>
            </w:pict>
          </mc:Fallback>
        </mc:AlternateContent>
      </w:r>
      <w:r>
        <w:t>Group Video Presentation Link</w:t>
      </w:r>
    </w:p>
    <w:p w14:paraId="68F78930" w14:textId="77777777" w:rsidR="00052825" w:rsidRDefault="00000000">
      <w:pPr>
        <w:pBdr>
          <w:top w:val="nil"/>
          <w:left w:val="nil"/>
          <w:bottom w:val="nil"/>
          <w:right w:val="nil"/>
          <w:between w:val="nil"/>
        </w:pBdr>
        <w:spacing w:line="360" w:lineRule="auto"/>
        <w:ind w:left="307" w:right="533"/>
        <w:rPr>
          <w:color w:val="000000"/>
          <w:sz w:val="24"/>
          <w:szCs w:val="24"/>
        </w:rPr>
      </w:pPr>
      <w:r>
        <w:rPr>
          <w:color w:val="000000"/>
          <w:sz w:val="24"/>
          <w:szCs w:val="24"/>
        </w:rPr>
        <w:t>This delivery plan has been written in support of our group video presentation. Please find below the link to access the recording:</w:t>
      </w:r>
    </w:p>
    <w:p w14:paraId="7B56D37F" w14:textId="77777777" w:rsidR="00052825" w:rsidRDefault="00052825">
      <w:pPr>
        <w:pBdr>
          <w:top w:val="nil"/>
          <w:left w:val="nil"/>
          <w:bottom w:val="nil"/>
          <w:right w:val="nil"/>
          <w:between w:val="nil"/>
        </w:pBdr>
        <w:spacing w:before="102" w:line="360" w:lineRule="auto"/>
        <w:rPr>
          <w:color w:val="000000"/>
          <w:sz w:val="20"/>
          <w:szCs w:val="20"/>
        </w:rPr>
        <w:sectPr w:rsidR="00052825">
          <w:headerReference w:type="default" r:id="rId25"/>
          <w:footerReference w:type="default" r:id="rId26"/>
          <w:pgSz w:w="11910" w:h="16840"/>
          <w:pgMar w:top="1900" w:right="992" w:bottom="1240" w:left="1133" w:header="1451" w:footer="1048" w:gutter="0"/>
          <w:cols w:space="720"/>
        </w:sectPr>
      </w:pPr>
    </w:p>
    <w:p w14:paraId="4CFC9FE7" w14:textId="77777777" w:rsidR="00052825" w:rsidRDefault="00000000">
      <w:pPr>
        <w:pStyle w:val="Heading1"/>
      </w:pPr>
      <w:bookmarkStart w:id="8" w:name="_heading=h.me9kc9ksofia" w:colFirst="0" w:colLast="0"/>
      <w:bookmarkEnd w:id="8"/>
      <w:r>
        <w:t>Reference List</w:t>
      </w:r>
    </w:p>
    <w:p w14:paraId="128F48FF" w14:textId="77777777" w:rsidR="00052825" w:rsidRDefault="00000000">
      <w:pPr>
        <w:pStyle w:val="NormalWeb"/>
        <w:spacing w:before="240" w:beforeAutospacing="0" w:after="240" w:afterAutospacing="0" w:line="360" w:lineRule="auto"/>
        <w:jc w:val="both"/>
      </w:pPr>
      <w:r>
        <w:t xml:space="preserve">Department of Health &amp; Social Care (2022). </w:t>
      </w:r>
      <w:r>
        <w:rPr>
          <w:i/>
          <w:iCs/>
        </w:rPr>
        <w:t>Guidance on the preparation of integrated care strategies</w:t>
      </w:r>
      <w:r>
        <w:t xml:space="preserve">. [online] GOV.UK. Available at: </w:t>
      </w:r>
      <w:hyperlink r:id="rId27" w:history="1">
        <w:r w:rsidR="00052825">
          <w:rPr>
            <w:rStyle w:val="Hyperlink"/>
          </w:rPr>
          <w:t>https://www.gov.uk/government/publications/guidance-on-the-preparation-of-integrated-care-strategies/guidance-on-the-preparation-of-integrated-care-strategies</w:t>
        </w:r>
      </w:hyperlink>
      <w:r>
        <w:t xml:space="preserve"> [Accessed 10 Mar. 2026].</w:t>
      </w:r>
    </w:p>
    <w:p w14:paraId="1DF01D94" w14:textId="77777777" w:rsidR="00052825" w:rsidRDefault="00000000">
      <w:pPr>
        <w:widowControl/>
        <w:spacing w:after="240" w:line="360" w:lineRule="auto"/>
        <w:jc w:val="both"/>
        <w:rPr>
          <w:sz w:val="24"/>
          <w:szCs w:val="24"/>
        </w:rPr>
      </w:pPr>
      <w:r>
        <w:rPr>
          <w:sz w:val="24"/>
          <w:szCs w:val="24"/>
        </w:rPr>
        <w:t xml:space="preserve">Dunn, P., Allen, L., </w:t>
      </w:r>
      <w:proofErr w:type="spellStart"/>
      <w:r>
        <w:rPr>
          <w:sz w:val="24"/>
          <w:szCs w:val="24"/>
        </w:rPr>
        <w:t>Buzelli</w:t>
      </w:r>
      <w:proofErr w:type="spellEnd"/>
      <w:r>
        <w:rPr>
          <w:sz w:val="24"/>
          <w:szCs w:val="24"/>
        </w:rPr>
        <w:t xml:space="preserve">, L., Ewbank, L. and </w:t>
      </w:r>
      <w:proofErr w:type="spellStart"/>
      <w:r>
        <w:rPr>
          <w:sz w:val="24"/>
          <w:szCs w:val="24"/>
        </w:rPr>
        <w:t>Alderwick</w:t>
      </w:r>
      <w:proofErr w:type="spellEnd"/>
      <w:r>
        <w:rPr>
          <w:sz w:val="24"/>
          <w:szCs w:val="24"/>
        </w:rPr>
        <w:t xml:space="preserve">, H. (2025). NHS action on social and economic development in England: Vague national policy expectations. </w:t>
      </w:r>
      <w:r>
        <w:rPr>
          <w:i/>
          <w:iCs/>
          <w:sz w:val="24"/>
          <w:szCs w:val="24"/>
        </w:rPr>
        <w:t>Health Policy</w:t>
      </w:r>
      <w:r>
        <w:rPr>
          <w:sz w:val="24"/>
          <w:szCs w:val="24"/>
        </w:rPr>
        <w:t xml:space="preserve">, [online] 151, p.105194. </w:t>
      </w:r>
      <w:hyperlink r:id="rId28" w:history="1">
        <w:r w:rsidR="00052825">
          <w:rPr>
            <w:rStyle w:val="Hyperlink"/>
            <w:sz w:val="24"/>
            <w:szCs w:val="24"/>
          </w:rPr>
          <w:t>https://doi.org/10.1016/j.healthpol.2024.105194</w:t>
        </w:r>
      </w:hyperlink>
      <w:r>
        <w:rPr>
          <w:sz w:val="24"/>
          <w:szCs w:val="24"/>
        </w:rPr>
        <w:t xml:space="preserve">. </w:t>
      </w:r>
    </w:p>
    <w:p w14:paraId="1FAB806C" w14:textId="77777777" w:rsidR="00052825" w:rsidRDefault="00000000">
      <w:pPr>
        <w:widowControl/>
        <w:spacing w:before="240" w:after="240" w:line="360" w:lineRule="auto"/>
        <w:jc w:val="both"/>
        <w:rPr>
          <w:sz w:val="24"/>
          <w:szCs w:val="24"/>
        </w:rPr>
      </w:pPr>
      <w:r>
        <w:rPr>
          <w:sz w:val="24"/>
          <w:szCs w:val="24"/>
        </w:rPr>
        <w:t xml:space="preserve">Marcus, C., Danielsson, P. and Hagman, E. (2022). </w:t>
      </w:r>
      <w:proofErr w:type="spellStart"/>
      <w:r>
        <w:rPr>
          <w:sz w:val="24"/>
          <w:szCs w:val="24"/>
        </w:rPr>
        <w:t>Pediatric</w:t>
      </w:r>
      <w:proofErr w:type="spellEnd"/>
      <w:r>
        <w:rPr>
          <w:sz w:val="24"/>
          <w:szCs w:val="24"/>
        </w:rPr>
        <w:t xml:space="preserve"> obesity—Long‐term consequences and effect of weight loss. </w:t>
      </w:r>
      <w:r>
        <w:rPr>
          <w:i/>
          <w:iCs/>
          <w:sz w:val="24"/>
          <w:szCs w:val="24"/>
        </w:rPr>
        <w:t>Journal of Internal Medicine</w:t>
      </w:r>
      <w:r>
        <w:rPr>
          <w:sz w:val="24"/>
          <w:szCs w:val="24"/>
        </w:rPr>
        <w:t xml:space="preserve">, [online] 292(6), pp.870–891. </w:t>
      </w:r>
      <w:hyperlink r:id="rId29" w:history="1">
        <w:r w:rsidR="00052825">
          <w:rPr>
            <w:color w:val="0000FF"/>
            <w:sz w:val="24"/>
            <w:szCs w:val="24"/>
            <w:u w:val="single"/>
          </w:rPr>
          <w:t>https://doi.org/10.1111/joim.13547</w:t>
        </w:r>
      </w:hyperlink>
      <w:r>
        <w:rPr>
          <w:sz w:val="24"/>
          <w:szCs w:val="24"/>
        </w:rPr>
        <w:t xml:space="preserve">. </w:t>
      </w:r>
    </w:p>
    <w:p w14:paraId="116A77EB" w14:textId="77777777" w:rsidR="00052825" w:rsidRDefault="00000000">
      <w:pPr>
        <w:widowControl/>
        <w:spacing w:after="240" w:line="360" w:lineRule="auto"/>
        <w:jc w:val="both"/>
        <w:rPr>
          <w:sz w:val="24"/>
          <w:szCs w:val="24"/>
        </w:rPr>
      </w:pPr>
      <w:r>
        <w:rPr>
          <w:sz w:val="24"/>
          <w:szCs w:val="24"/>
        </w:rPr>
        <w:t xml:space="preserve">Northeastlondon (2023). </w:t>
      </w:r>
      <w:r>
        <w:rPr>
          <w:i/>
          <w:iCs/>
          <w:sz w:val="24"/>
          <w:szCs w:val="24"/>
        </w:rPr>
        <w:t xml:space="preserve">NHS </w:t>
      </w:r>
      <w:proofErr w:type="gramStart"/>
      <w:r>
        <w:rPr>
          <w:i/>
          <w:iCs/>
          <w:sz w:val="24"/>
          <w:szCs w:val="24"/>
        </w:rPr>
        <w:t>North East</w:t>
      </w:r>
      <w:proofErr w:type="gramEnd"/>
      <w:r>
        <w:rPr>
          <w:i/>
          <w:iCs/>
          <w:sz w:val="24"/>
          <w:szCs w:val="24"/>
        </w:rPr>
        <w:t xml:space="preserve"> London Integrated Care Board</w:t>
      </w:r>
      <w:r>
        <w:rPr>
          <w:sz w:val="24"/>
          <w:szCs w:val="24"/>
        </w:rPr>
        <w:t xml:space="preserve">. [online] Available at: </w:t>
      </w:r>
      <w:hyperlink r:id="rId30" w:history="1">
        <w:r w:rsidR="00052825">
          <w:rPr>
            <w:rStyle w:val="Hyperlink"/>
            <w:sz w:val="24"/>
            <w:szCs w:val="24"/>
          </w:rPr>
          <w:t>https://northeastlondon.icb.nhs.uk/wp-content/uploads/2023/02/NHS-North-East-London-ICB-Board-26.07.23-2.pdf</w:t>
        </w:r>
      </w:hyperlink>
      <w:r>
        <w:rPr>
          <w:sz w:val="24"/>
          <w:szCs w:val="24"/>
        </w:rPr>
        <w:t xml:space="preserve"> [Accessed 25 Feb. 2026].</w:t>
      </w:r>
    </w:p>
    <w:p w14:paraId="3C872D31" w14:textId="77777777" w:rsidR="00052825" w:rsidRDefault="00000000">
      <w:pPr>
        <w:widowControl/>
        <w:spacing w:after="240" w:line="360" w:lineRule="auto"/>
        <w:jc w:val="both"/>
        <w:rPr>
          <w:sz w:val="24"/>
          <w:szCs w:val="24"/>
        </w:rPr>
      </w:pPr>
      <w:r>
        <w:rPr>
          <w:sz w:val="24"/>
          <w:szCs w:val="24"/>
        </w:rPr>
        <w:t xml:space="preserve">Owens, M.A., Ravi, V.V. and Hunter, E.J. (2023). Digital Inclusion as a Lens for Equitable Parent Engagement. </w:t>
      </w:r>
      <w:proofErr w:type="spellStart"/>
      <w:r>
        <w:rPr>
          <w:i/>
          <w:iCs/>
          <w:sz w:val="24"/>
          <w:szCs w:val="24"/>
        </w:rPr>
        <w:t>TechTrends</w:t>
      </w:r>
      <w:proofErr w:type="spellEnd"/>
      <w:r>
        <w:rPr>
          <w:sz w:val="24"/>
          <w:szCs w:val="24"/>
        </w:rPr>
        <w:t xml:space="preserve">. [online] </w:t>
      </w:r>
      <w:hyperlink r:id="rId31" w:history="1">
        <w:r w:rsidR="00052825">
          <w:rPr>
            <w:rStyle w:val="Hyperlink"/>
            <w:sz w:val="24"/>
            <w:szCs w:val="24"/>
          </w:rPr>
          <w:t>https://doi.org/10.1007/s11528-023-00859-5</w:t>
        </w:r>
      </w:hyperlink>
      <w:r>
        <w:rPr>
          <w:sz w:val="24"/>
          <w:szCs w:val="24"/>
        </w:rPr>
        <w:t xml:space="preserve">. </w:t>
      </w:r>
    </w:p>
    <w:p w14:paraId="28DD7AD5" w14:textId="77777777" w:rsidR="00052825" w:rsidRDefault="00000000">
      <w:pPr>
        <w:widowControl/>
        <w:spacing w:before="240" w:after="240" w:line="360" w:lineRule="auto"/>
        <w:jc w:val="both"/>
        <w:rPr>
          <w:sz w:val="24"/>
          <w:szCs w:val="24"/>
        </w:rPr>
      </w:pPr>
      <w:r>
        <w:rPr>
          <w:sz w:val="24"/>
          <w:szCs w:val="24"/>
        </w:rPr>
        <w:t xml:space="preserve">Powell, N., Dalton, H., Lawrence-Bourne, J. and Perkins, D. (2024). Co-creating community wellbeing initiatives: what is the evidence and how do they work? </w:t>
      </w:r>
      <w:r>
        <w:rPr>
          <w:i/>
          <w:iCs/>
          <w:sz w:val="24"/>
          <w:szCs w:val="24"/>
        </w:rPr>
        <w:t>International Journal of Mental Health Systems</w:t>
      </w:r>
      <w:r>
        <w:rPr>
          <w:sz w:val="24"/>
          <w:szCs w:val="24"/>
        </w:rPr>
        <w:t xml:space="preserve">, 18(1). </w:t>
      </w:r>
      <w:hyperlink r:id="rId32" w:history="1">
        <w:r w:rsidR="00052825">
          <w:rPr>
            <w:color w:val="0000FF"/>
            <w:sz w:val="24"/>
            <w:szCs w:val="24"/>
            <w:u w:val="single"/>
          </w:rPr>
          <w:t>https://doi.org/10.1186/s13033-024-00645-7</w:t>
        </w:r>
      </w:hyperlink>
      <w:r>
        <w:rPr>
          <w:sz w:val="24"/>
          <w:szCs w:val="24"/>
        </w:rPr>
        <w:t xml:space="preserve">. </w:t>
      </w:r>
    </w:p>
    <w:p w14:paraId="53BE0289" w14:textId="77777777" w:rsidR="00052825" w:rsidRDefault="00000000">
      <w:pPr>
        <w:widowControl/>
        <w:spacing w:after="240" w:line="360" w:lineRule="auto"/>
        <w:jc w:val="both"/>
        <w:rPr>
          <w:sz w:val="24"/>
          <w:szCs w:val="24"/>
        </w:rPr>
      </w:pPr>
      <w:r>
        <w:rPr>
          <w:sz w:val="24"/>
          <w:szCs w:val="24"/>
        </w:rPr>
        <w:t xml:space="preserve">Rahilly, J., Cortina-Borja, M. and Mytton, O. (2025). Trends in childhood obesity for upper tier local authorities in England between 2007/08 and 2023/24: a latent trajectory analysis. </w:t>
      </w:r>
      <w:r>
        <w:rPr>
          <w:i/>
          <w:iCs/>
          <w:sz w:val="24"/>
          <w:szCs w:val="24"/>
        </w:rPr>
        <w:t>Journal of Public Health</w:t>
      </w:r>
      <w:r>
        <w:rPr>
          <w:sz w:val="24"/>
          <w:szCs w:val="24"/>
        </w:rPr>
        <w:t xml:space="preserve">. [online] </w:t>
      </w:r>
      <w:hyperlink r:id="rId33" w:history="1">
        <w:r w:rsidR="00052825">
          <w:rPr>
            <w:rStyle w:val="Hyperlink"/>
            <w:sz w:val="24"/>
            <w:szCs w:val="24"/>
          </w:rPr>
          <w:t>https://doi.org/10.1093/pubmed/fdaf103</w:t>
        </w:r>
      </w:hyperlink>
      <w:r>
        <w:rPr>
          <w:sz w:val="24"/>
          <w:szCs w:val="24"/>
        </w:rPr>
        <w:t xml:space="preserve">. </w:t>
      </w:r>
    </w:p>
    <w:p w14:paraId="3B7434B6" w14:textId="77777777" w:rsidR="00052825" w:rsidRDefault="00000000">
      <w:pPr>
        <w:widowControl/>
        <w:spacing w:after="240" w:line="360" w:lineRule="auto"/>
        <w:jc w:val="both"/>
        <w:rPr>
          <w:sz w:val="24"/>
          <w:szCs w:val="24"/>
        </w:rPr>
      </w:pPr>
      <w:r>
        <w:rPr>
          <w:sz w:val="24"/>
          <w:szCs w:val="24"/>
        </w:rPr>
        <w:t xml:space="preserve">Sallis, A., Porter, L., Tan, K., Howard, R., Brown, L., Jones, A., Ells, L., Adamson, A., Taylor, R., Vlaev, I. and Chadborn, T. (2019). Improving child weight management uptake through enhanced National Child Measurement Programme parental feedback letters: A randomised controlled trial. </w:t>
      </w:r>
      <w:r>
        <w:rPr>
          <w:i/>
          <w:iCs/>
          <w:sz w:val="24"/>
          <w:szCs w:val="24"/>
        </w:rPr>
        <w:t>Preventive Medicine</w:t>
      </w:r>
      <w:r>
        <w:rPr>
          <w:sz w:val="24"/>
          <w:szCs w:val="24"/>
        </w:rPr>
        <w:t xml:space="preserve">, [online] 121, pp.128–135. </w:t>
      </w:r>
      <w:hyperlink r:id="rId34" w:history="1">
        <w:r w:rsidR="00052825">
          <w:rPr>
            <w:rStyle w:val="Hyperlink"/>
            <w:sz w:val="24"/>
            <w:szCs w:val="24"/>
          </w:rPr>
          <w:t>https://doi.org/10.1016/j.ypmed.2019.01.023</w:t>
        </w:r>
      </w:hyperlink>
      <w:r>
        <w:rPr>
          <w:sz w:val="24"/>
          <w:szCs w:val="24"/>
        </w:rPr>
        <w:t xml:space="preserve">. </w:t>
      </w:r>
    </w:p>
    <w:p w14:paraId="7416F604" w14:textId="77777777" w:rsidR="00052825" w:rsidRDefault="00000000">
      <w:pPr>
        <w:widowControl/>
        <w:spacing w:after="240" w:line="360" w:lineRule="auto"/>
        <w:jc w:val="both"/>
        <w:rPr>
          <w:sz w:val="24"/>
          <w:szCs w:val="24"/>
        </w:rPr>
      </w:pPr>
      <w:r>
        <w:rPr>
          <w:sz w:val="24"/>
          <w:szCs w:val="24"/>
        </w:rPr>
        <w:t xml:space="preserve">Salm, L., Nisbett, N., Cuming, K., </w:t>
      </w:r>
      <w:proofErr w:type="spellStart"/>
      <w:r>
        <w:rPr>
          <w:sz w:val="24"/>
          <w:szCs w:val="24"/>
        </w:rPr>
        <w:t>Hrynick</w:t>
      </w:r>
      <w:proofErr w:type="spellEnd"/>
      <w:r>
        <w:rPr>
          <w:sz w:val="24"/>
          <w:szCs w:val="24"/>
        </w:rPr>
        <w:t xml:space="preserve">, T., </w:t>
      </w:r>
      <w:proofErr w:type="spellStart"/>
      <w:r>
        <w:rPr>
          <w:sz w:val="24"/>
          <w:szCs w:val="24"/>
        </w:rPr>
        <w:t>Lulache</w:t>
      </w:r>
      <w:proofErr w:type="spellEnd"/>
      <w:r>
        <w:rPr>
          <w:sz w:val="24"/>
          <w:szCs w:val="24"/>
        </w:rPr>
        <w:t xml:space="preserve">, A. and MacGregor, H. (2023). A whole system approach to childhood obesity: how a supportive environment was created in the city of Brighton and Hove, United Kingdom. </w:t>
      </w:r>
      <w:r>
        <w:rPr>
          <w:i/>
          <w:iCs/>
          <w:sz w:val="24"/>
          <w:szCs w:val="24"/>
        </w:rPr>
        <w:t>Food Security</w:t>
      </w:r>
      <w:r>
        <w:rPr>
          <w:sz w:val="24"/>
          <w:szCs w:val="24"/>
        </w:rPr>
        <w:t xml:space="preserve">, [online] 15. </w:t>
      </w:r>
      <w:hyperlink r:id="rId35" w:history="1">
        <w:r w:rsidR="00052825">
          <w:rPr>
            <w:rStyle w:val="Hyperlink"/>
            <w:sz w:val="24"/>
            <w:szCs w:val="24"/>
          </w:rPr>
          <w:t>https://doi.org/10.1007/s12571-023-01361-9</w:t>
        </w:r>
      </w:hyperlink>
      <w:r>
        <w:rPr>
          <w:sz w:val="24"/>
          <w:szCs w:val="24"/>
        </w:rPr>
        <w:t xml:space="preserve">. </w:t>
      </w:r>
    </w:p>
    <w:p w14:paraId="2FE8F7BB" w14:textId="77777777" w:rsidR="00052825" w:rsidRDefault="00000000">
      <w:pPr>
        <w:widowControl/>
        <w:spacing w:after="240" w:line="360" w:lineRule="auto"/>
        <w:jc w:val="both"/>
        <w:rPr>
          <w:sz w:val="24"/>
          <w:szCs w:val="24"/>
        </w:rPr>
      </w:pPr>
      <w:r>
        <w:rPr>
          <w:sz w:val="24"/>
          <w:szCs w:val="24"/>
        </w:rPr>
        <w:t xml:space="preserve">Santos, O.P.D., Melly, P., Hilfiker, R., Giacomino, K., </w:t>
      </w:r>
      <w:proofErr w:type="spellStart"/>
      <w:r>
        <w:rPr>
          <w:sz w:val="24"/>
          <w:szCs w:val="24"/>
        </w:rPr>
        <w:t>Perruchoud</w:t>
      </w:r>
      <w:proofErr w:type="spellEnd"/>
      <w:r>
        <w:rPr>
          <w:sz w:val="24"/>
          <w:szCs w:val="24"/>
        </w:rPr>
        <w:t xml:space="preserve">, E., </w:t>
      </w:r>
      <w:proofErr w:type="spellStart"/>
      <w:r>
        <w:rPr>
          <w:sz w:val="24"/>
          <w:szCs w:val="24"/>
        </w:rPr>
        <w:t>Verloo</w:t>
      </w:r>
      <w:proofErr w:type="spellEnd"/>
      <w:r>
        <w:rPr>
          <w:sz w:val="24"/>
          <w:szCs w:val="24"/>
        </w:rPr>
        <w:t xml:space="preserve">, H. and Pereira, F. (2022). Effectiveness of Educational Interventions to Increase Skills in Evidence-Based Practice among Nurses: The </w:t>
      </w:r>
      <w:proofErr w:type="spellStart"/>
      <w:r>
        <w:rPr>
          <w:sz w:val="24"/>
          <w:szCs w:val="24"/>
        </w:rPr>
        <w:t>EDITcare</w:t>
      </w:r>
      <w:proofErr w:type="spellEnd"/>
      <w:r>
        <w:rPr>
          <w:sz w:val="24"/>
          <w:szCs w:val="24"/>
        </w:rPr>
        <w:t xml:space="preserve"> Systematic Review. </w:t>
      </w:r>
      <w:r>
        <w:rPr>
          <w:i/>
          <w:iCs/>
          <w:sz w:val="24"/>
          <w:szCs w:val="24"/>
        </w:rPr>
        <w:t>Healthcare (Basel, Switzerland)</w:t>
      </w:r>
      <w:r>
        <w:rPr>
          <w:sz w:val="24"/>
          <w:szCs w:val="24"/>
        </w:rPr>
        <w:t xml:space="preserve">, [online] 10(11), p.2204. </w:t>
      </w:r>
      <w:hyperlink r:id="rId36" w:history="1">
        <w:r w:rsidR="00052825">
          <w:rPr>
            <w:rStyle w:val="Hyperlink"/>
            <w:sz w:val="24"/>
            <w:szCs w:val="24"/>
          </w:rPr>
          <w:t>https://doi.org/10.3390/healthcare10112204</w:t>
        </w:r>
      </w:hyperlink>
      <w:r>
        <w:rPr>
          <w:sz w:val="24"/>
          <w:szCs w:val="24"/>
        </w:rPr>
        <w:t xml:space="preserve">. </w:t>
      </w:r>
    </w:p>
    <w:p w14:paraId="17749994" w14:textId="77777777" w:rsidR="00052825" w:rsidRDefault="00000000">
      <w:pPr>
        <w:widowControl/>
        <w:spacing w:before="240" w:after="240" w:line="360" w:lineRule="auto"/>
        <w:jc w:val="both"/>
        <w:rPr>
          <w:sz w:val="24"/>
          <w:szCs w:val="24"/>
        </w:rPr>
      </w:pPr>
      <w:r>
        <w:rPr>
          <w:sz w:val="24"/>
          <w:szCs w:val="24"/>
        </w:rPr>
        <w:t xml:space="preserve">Song, P., Gupta, A., Goon, I.Y., Hasan, M., Mahmood, S., Rajendra Pradeepa, Siddiqui, S., Frost, G., Kusuma, D., </w:t>
      </w:r>
      <w:proofErr w:type="spellStart"/>
      <w:r>
        <w:rPr>
          <w:sz w:val="24"/>
          <w:szCs w:val="24"/>
        </w:rPr>
        <w:t>Miraldo</w:t>
      </w:r>
      <w:proofErr w:type="spellEnd"/>
      <w:r>
        <w:rPr>
          <w:sz w:val="24"/>
          <w:szCs w:val="24"/>
        </w:rPr>
        <w:t xml:space="preserve">, M., Sassi, F., Wareham, N., </w:t>
      </w:r>
      <w:proofErr w:type="spellStart"/>
      <w:r>
        <w:rPr>
          <w:sz w:val="24"/>
          <w:szCs w:val="24"/>
        </w:rPr>
        <w:t>Shehta</w:t>
      </w:r>
      <w:proofErr w:type="spellEnd"/>
      <w:r>
        <w:rPr>
          <w:sz w:val="24"/>
          <w:szCs w:val="24"/>
        </w:rPr>
        <w:t xml:space="preserve">, A., Ranjit Mohan Anjana, Brage, S., </w:t>
      </w:r>
      <w:proofErr w:type="spellStart"/>
      <w:r>
        <w:rPr>
          <w:sz w:val="24"/>
          <w:szCs w:val="24"/>
        </w:rPr>
        <w:t>Forouhi</w:t>
      </w:r>
      <w:proofErr w:type="spellEnd"/>
      <w:r>
        <w:rPr>
          <w:sz w:val="24"/>
          <w:szCs w:val="24"/>
        </w:rPr>
        <w:t xml:space="preserve">, N.G., Jha, S., </w:t>
      </w:r>
      <w:proofErr w:type="spellStart"/>
      <w:r>
        <w:rPr>
          <w:sz w:val="24"/>
          <w:szCs w:val="24"/>
        </w:rPr>
        <w:t>Anuradhani</w:t>
      </w:r>
      <w:proofErr w:type="spellEnd"/>
      <w:r>
        <w:rPr>
          <w:sz w:val="24"/>
          <w:szCs w:val="24"/>
        </w:rPr>
        <w:t xml:space="preserve"> Kasturiratne, Prasad Katulanda and Khadija Irfan Khawaja (2021). Data Resource Profile: Understanding the patterns and determinants of health in South Asians—the South Asia Biobank. </w:t>
      </w:r>
      <w:r>
        <w:rPr>
          <w:i/>
          <w:iCs/>
          <w:sz w:val="24"/>
          <w:szCs w:val="24"/>
        </w:rPr>
        <w:t>International Journal of Epidemiology</w:t>
      </w:r>
      <w:r>
        <w:rPr>
          <w:sz w:val="24"/>
          <w:szCs w:val="24"/>
        </w:rPr>
        <w:t xml:space="preserve">, [online] 50(3), pp.717–718e. </w:t>
      </w:r>
      <w:hyperlink r:id="rId37" w:history="1">
        <w:r w:rsidR="00052825">
          <w:rPr>
            <w:color w:val="0000FF"/>
            <w:sz w:val="24"/>
            <w:szCs w:val="24"/>
            <w:u w:val="single"/>
          </w:rPr>
          <w:t>https://doi.org/10.1093/ije/dyab029</w:t>
        </w:r>
      </w:hyperlink>
      <w:r>
        <w:rPr>
          <w:sz w:val="24"/>
          <w:szCs w:val="24"/>
        </w:rPr>
        <w:t xml:space="preserve">. </w:t>
      </w:r>
    </w:p>
    <w:p w14:paraId="6F3471AB" w14:textId="77777777" w:rsidR="00052825" w:rsidRDefault="00000000">
      <w:pPr>
        <w:widowControl/>
        <w:spacing w:before="240" w:after="240" w:line="360" w:lineRule="auto"/>
        <w:jc w:val="both"/>
        <w:rPr>
          <w:sz w:val="24"/>
          <w:szCs w:val="24"/>
        </w:rPr>
      </w:pPr>
      <w:r>
        <w:rPr>
          <w:sz w:val="24"/>
          <w:szCs w:val="24"/>
        </w:rPr>
        <w:t xml:space="preserve">Tower Hamlets Council (2025). </w:t>
      </w:r>
      <w:r>
        <w:rPr>
          <w:i/>
          <w:iCs/>
          <w:sz w:val="24"/>
          <w:szCs w:val="24"/>
        </w:rPr>
        <w:t>Joint Strategic Needs Assessment Summary Document Life, Health, and Wellbeing in Tower Hamlets Tower Hamlets JSNA Reference Group</w:t>
      </w:r>
      <w:r>
        <w:rPr>
          <w:sz w:val="24"/>
          <w:szCs w:val="24"/>
        </w:rPr>
        <w:t xml:space="preserve">. [online] Available at: </w:t>
      </w:r>
      <w:hyperlink r:id="rId38" w:history="1">
        <w:r w:rsidR="00052825">
          <w:rPr>
            <w:color w:val="0000FF"/>
            <w:sz w:val="24"/>
            <w:szCs w:val="24"/>
            <w:u w:val="single"/>
          </w:rPr>
          <w:t>https://www.towerhamlets.gov.uk/Documents/Public-Health/JSNA/JSNA_Summary.pdf</w:t>
        </w:r>
      </w:hyperlink>
      <w:r>
        <w:rPr>
          <w:sz w:val="24"/>
          <w:szCs w:val="24"/>
        </w:rPr>
        <w:t xml:space="preserve"> [Accessed 25 Feb. 2026].</w:t>
      </w:r>
    </w:p>
    <w:p w14:paraId="49F9A215" w14:textId="77777777" w:rsidR="00052825" w:rsidRDefault="00000000">
      <w:pPr>
        <w:widowControl/>
        <w:spacing w:before="240" w:after="240" w:line="360" w:lineRule="auto"/>
        <w:jc w:val="both"/>
        <w:rPr>
          <w:sz w:val="24"/>
          <w:szCs w:val="24"/>
        </w:rPr>
      </w:pPr>
      <w:r>
        <w:rPr>
          <w:sz w:val="24"/>
          <w:szCs w:val="24"/>
        </w:rPr>
        <w:t xml:space="preserve">Tower Hamlets Health and Wellbeing Board Agenda. (2023). Available at: </w:t>
      </w:r>
      <w:hyperlink r:id="rId39" w:history="1">
        <w:r w:rsidR="00052825">
          <w:rPr>
            <w:color w:val="0000FF"/>
            <w:sz w:val="24"/>
            <w:szCs w:val="24"/>
            <w:u w:val="single"/>
          </w:rPr>
          <w:t>https://towerhamlets.moderngov.co.uk/documents/g13338/Public%20reports%20pack%2017th-Jan-2023%2017.00%20Tower%20Hamlets%20Health%20and%20Wellbeing%20Board.pdf?T=10</w:t>
        </w:r>
      </w:hyperlink>
      <w:r>
        <w:rPr>
          <w:sz w:val="24"/>
          <w:szCs w:val="24"/>
        </w:rPr>
        <w:t xml:space="preserve"> [Accessed 27 Feb. 2026].</w:t>
      </w:r>
    </w:p>
    <w:p w14:paraId="08CBEE4D" w14:textId="77777777" w:rsidR="00052825" w:rsidRDefault="00000000">
      <w:pPr>
        <w:widowControl/>
        <w:spacing w:after="240" w:line="360" w:lineRule="auto"/>
        <w:jc w:val="both"/>
        <w:rPr>
          <w:sz w:val="24"/>
          <w:szCs w:val="24"/>
        </w:rPr>
      </w:pPr>
      <w:proofErr w:type="spellStart"/>
      <w:r>
        <w:rPr>
          <w:sz w:val="24"/>
          <w:szCs w:val="24"/>
        </w:rPr>
        <w:t>Towerhamlets</w:t>
      </w:r>
      <w:proofErr w:type="spellEnd"/>
      <w:r>
        <w:rPr>
          <w:sz w:val="24"/>
          <w:szCs w:val="24"/>
        </w:rPr>
        <w:t xml:space="preserve"> (2020). </w:t>
      </w:r>
      <w:r>
        <w:rPr>
          <w:i/>
          <w:iCs/>
          <w:sz w:val="24"/>
          <w:szCs w:val="24"/>
        </w:rPr>
        <w:t xml:space="preserve">Childhood Obesity – proposals to develop a whole system approach to tackling childhood obesity in Tower </w:t>
      </w:r>
      <w:proofErr w:type="gramStart"/>
      <w:r>
        <w:rPr>
          <w:i/>
          <w:iCs/>
          <w:sz w:val="24"/>
          <w:szCs w:val="24"/>
        </w:rPr>
        <w:t xml:space="preserve">Hamlets </w:t>
      </w:r>
      <w:r>
        <w:rPr>
          <w:sz w:val="24"/>
          <w:szCs w:val="24"/>
        </w:rPr>
        <w:t>.</w:t>
      </w:r>
      <w:proofErr w:type="gramEnd"/>
      <w:r>
        <w:rPr>
          <w:sz w:val="24"/>
          <w:szCs w:val="24"/>
        </w:rPr>
        <w:t xml:space="preserve"> [online] Available at: </w:t>
      </w:r>
      <w:hyperlink r:id="rId40" w:history="1">
        <w:r w:rsidR="00052825">
          <w:rPr>
            <w:rStyle w:val="Hyperlink"/>
            <w:sz w:val="24"/>
            <w:szCs w:val="24"/>
          </w:rPr>
          <w:t>https://towerhamlets.moderngov.co.uk/documents/s165656/Childhood%20Obesity%20proposals%20to%20develop%20a%20whole%20system%20approach%20to%20tackling%20childhood%20obesity%20in%20To.pdf</w:t>
        </w:r>
      </w:hyperlink>
      <w:r>
        <w:rPr>
          <w:sz w:val="24"/>
          <w:szCs w:val="24"/>
        </w:rPr>
        <w:t xml:space="preserve"> [Accessed 25 Feb. 2026].</w:t>
      </w:r>
    </w:p>
    <w:p w14:paraId="1281BE51" w14:textId="77777777" w:rsidR="00052825" w:rsidRDefault="00000000">
      <w:pPr>
        <w:widowControl/>
        <w:spacing w:after="240" w:line="360" w:lineRule="auto"/>
        <w:jc w:val="both"/>
        <w:rPr>
          <w:color w:val="000000"/>
          <w:sz w:val="17"/>
          <w:szCs w:val="17"/>
        </w:rPr>
      </w:pPr>
      <w:r>
        <w:rPr>
          <w:sz w:val="24"/>
          <w:szCs w:val="24"/>
        </w:rPr>
        <w:t xml:space="preserve">Wyse, C., Case, L., Walsh, Ó., Shortall, C., Jordan, N., McCrea, L. and O’Malley, G. (2022). Evaluating 12 Years of Implementing a Multidisciplinary Specialist Child and Adolescent Obesity Treatment Service: Patient-Level Outcomes. </w:t>
      </w:r>
      <w:r>
        <w:rPr>
          <w:i/>
          <w:iCs/>
          <w:sz w:val="24"/>
          <w:szCs w:val="24"/>
        </w:rPr>
        <w:t>Frontiers in Nutrition</w:t>
      </w:r>
      <w:r>
        <w:rPr>
          <w:sz w:val="24"/>
          <w:szCs w:val="24"/>
        </w:rPr>
        <w:t xml:space="preserve">, [online] 9, p.895091. </w:t>
      </w:r>
      <w:hyperlink r:id="rId41" w:history="1">
        <w:r w:rsidR="00052825">
          <w:rPr>
            <w:rStyle w:val="Hyperlink"/>
            <w:sz w:val="24"/>
            <w:szCs w:val="24"/>
          </w:rPr>
          <w:t>https://doi.org/10.3389/fnut.2022.895091</w:t>
        </w:r>
      </w:hyperlink>
      <w:r>
        <w:rPr>
          <w:sz w:val="24"/>
          <w:szCs w:val="24"/>
        </w:rPr>
        <w:t xml:space="preserve">. </w:t>
      </w:r>
    </w:p>
    <w:sectPr w:rsidR="00052825">
      <w:headerReference w:type="default" r:id="rId42"/>
      <w:footerReference w:type="default" r:id="rId43"/>
      <w:pgSz w:w="11910" w:h="16840"/>
      <w:pgMar w:top="1900" w:right="992" w:bottom="1240" w:left="1133" w:header="1304" w:footer="104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E14EA" w14:textId="77777777" w:rsidR="000A36B8" w:rsidRDefault="000A36B8">
      <w:r>
        <w:separator/>
      </w:r>
    </w:p>
  </w:endnote>
  <w:endnote w:type="continuationSeparator" w:id="0">
    <w:p w14:paraId="4DFC3F33" w14:textId="77777777" w:rsidR="000A36B8" w:rsidRDefault="000A36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embedRegular r:id="rId1" w:fontKey="{3871D5F3-CC1A-448C-B1A6-BFDDE309B42A}"/>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A8946AAA-3B72-4683-9AC3-BDF6163A4EA7}"/>
  </w:font>
  <w:font w:name="Georgia">
    <w:panose1 w:val="02040502050405020303"/>
    <w:charset w:val="00"/>
    <w:family w:val="roman"/>
    <w:pitch w:val="variable"/>
    <w:sig w:usb0="00000287" w:usb1="00000000" w:usb2="00000000" w:usb3="00000000" w:csb0="0000009F" w:csb1="00000000"/>
    <w:embedItalic r:id="rId3" w:fontKey="{69CACBCC-371A-4806-85AD-BC3FF81B477A}"/>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1C33B" w14:textId="77777777" w:rsidR="00052825" w:rsidRDefault="00000000">
    <w:pPr>
      <w:tabs>
        <w:tab w:val="center" w:pos="4550"/>
        <w:tab w:val="left" w:pos="5818"/>
      </w:tabs>
      <w:ind w:right="260"/>
      <w:jc w:val="right"/>
      <w:rPr>
        <w:color w:val="0F243E"/>
        <w:sz w:val="24"/>
        <w:szCs w:val="24"/>
      </w:rPr>
    </w:pPr>
    <w:r>
      <w:rPr>
        <w:color w:val="548DD4"/>
        <w:sz w:val="24"/>
        <w:szCs w:val="24"/>
      </w:rPr>
      <w:t xml:space="preserve">Page </w:t>
    </w:r>
    <w:r>
      <w:rPr>
        <w:color w:val="17365D"/>
        <w:sz w:val="24"/>
        <w:szCs w:val="24"/>
      </w:rPr>
      <w:fldChar w:fldCharType="begin"/>
    </w:r>
    <w:r>
      <w:rPr>
        <w:color w:val="17365D"/>
        <w:sz w:val="24"/>
        <w:szCs w:val="24"/>
      </w:rPr>
      <w:instrText>PAGE</w:instrText>
    </w:r>
    <w:r>
      <w:rPr>
        <w:color w:val="17365D"/>
        <w:sz w:val="24"/>
        <w:szCs w:val="24"/>
      </w:rPr>
      <w:fldChar w:fldCharType="separate"/>
    </w:r>
    <w:r>
      <w:rPr>
        <w:noProof/>
        <w:color w:val="17365D"/>
        <w:sz w:val="24"/>
        <w:szCs w:val="24"/>
      </w:rPr>
      <w:t>2</w:t>
    </w:r>
    <w:r>
      <w:rPr>
        <w:color w:val="17365D"/>
        <w:sz w:val="24"/>
        <w:szCs w:val="24"/>
      </w:rPr>
      <w:fldChar w:fldCharType="end"/>
    </w:r>
    <w:r>
      <w:rPr>
        <w:color w:val="17365D"/>
        <w:sz w:val="24"/>
        <w:szCs w:val="24"/>
      </w:rPr>
      <w:t xml:space="preserve"> | </w:t>
    </w:r>
    <w:r>
      <w:rPr>
        <w:color w:val="17365D"/>
        <w:sz w:val="24"/>
        <w:szCs w:val="24"/>
      </w:rPr>
      <w:fldChar w:fldCharType="begin"/>
    </w:r>
    <w:r>
      <w:rPr>
        <w:color w:val="17365D"/>
        <w:sz w:val="24"/>
        <w:szCs w:val="24"/>
      </w:rPr>
      <w:instrText>NUMPAGES</w:instrText>
    </w:r>
    <w:r>
      <w:rPr>
        <w:color w:val="17365D"/>
        <w:sz w:val="24"/>
        <w:szCs w:val="24"/>
      </w:rPr>
      <w:fldChar w:fldCharType="separate"/>
    </w:r>
    <w:r>
      <w:rPr>
        <w:noProof/>
        <w:color w:val="17365D"/>
        <w:sz w:val="24"/>
        <w:szCs w:val="24"/>
      </w:rPr>
      <w:t>12</w:t>
    </w:r>
    <w:r>
      <w:rPr>
        <w:color w:val="17365D"/>
        <w:sz w:val="24"/>
        <w:szCs w:val="24"/>
      </w:rPr>
      <w:fldChar w:fldCharType="end"/>
    </w:r>
  </w:p>
  <w:p w14:paraId="0E1B6F1A" w14:textId="77777777" w:rsidR="00052825" w:rsidRDefault="00052825">
    <w:pPr>
      <w:pBdr>
        <w:top w:val="nil"/>
        <w:left w:val="nil"/>
        <w:bottom w:val="nil"/>
        <w:right w:val="nil"/>
        <w:between w:val="nil"/>
      </w:pBdr>
      <w:spacing w:line="14" w:lineRule="auto"/>
      <w:rPr>
        <w:color w:val="000000"/>
        <w:sz w:val="20"/>
        <w:szCs w:val="2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80DDD" w14:textId="77777777" w:rsidR="00052825" w:rsidRDefault="00000000">
    <w:pPr>
      <w:pBdr>
        <w:top w:val="nil"/>
        <w:left w:val="nil"/>
        <w:bottom w:val="nil"/>
        <w:right w:val="nil"/>
        <w:between w:val="nil"/>
      </w:pBdr>
      <w:spacing w:line="14" w:lineRule="auto"/>
      <w:rPr>
        <w:color w:val="000000"/>
        <w:sz w:val="20"/>
        <w:szCs w:val="20"/>
      </w:rPr>
    </w:pPr>
    <w:r>
      <w:rPr>
        <w:noProof/>
        <w:lang w:eastAsia="en-IN"/>
      </w:rPr>
      <mc:AlternateContent>
        <mc:Choice Requires="wps">
          <w:drawing>
            <wp:anchor distT="0" distB="0" distL="0" distR="0" simplePos="0" relativeHeight="3" behindDoc="1" locked="0" layoutInCell="1" allowOverlap="1" wp14:anchorId="19C6056E" wp14:editId="5CCB1411">
              <wp:simplePos x="0" y="0"/>
              <wp:positionH relativeFrom="column">
                <wp:posOffset>2971546</wp:posOffset>
              </wp:positionH>
              <wp:positionV relativeFrom="paragraph">
                <wp:posOffset>9878843</wp:posOffset>
              </wp:positionV>
              <wp:extent cx="193039" cy="215265"/>
              <wp:effectExtent l="0" t="0" r="0" b="0"/>
              <wp:wrapNone/>
              <wp:docPr id="4098" name="Rectangle 2357500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3039" cy="215265"/>
                      </a:xfrm>
                      <a:prstGeom prst="rect">
                        <a:avLst/>
                      </a:prstGeom>
                      <a:ln>
                        <a:noFill/>
                      </a:ln>
                    </wps:spPr>
                    <wps:txbx>
                      <w:txbxContent>
                        <w:p w14:paraId="76143585" w14:textId="77777777" w:rsidR="00052825" w:rsidRDefault="00000000">
                          <w:pPr>
                            <w:spacing w:before="12"/>
                            <w:ind w:left="60" w:firstLine="60"/>
                            <w:textDirection w:val="btLr"/>
                          </w:pPr>
                          <w:r>
                            <w:rPr>
                              <w:rFonts w:ascii="Arial" w:eastAsia="Arial" w:hAnsi="Arial" w:cs="Arial"/>
                              <w:color w:val="000000"/>
                              <w:sz w:val="24"/>
                            </w:rPr>
                            <w:t xml:space="preserve"> PAGE 3</w:t>
                          </w: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098" filled="f" stroked="f" style="position:absolute;margin-left:233.98pt;margin-top:777.86pt;width:15.2pt;height:16.95pt;z-index:-2147483644;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firstLine="60"/>
                      <w:textDirection w:val="btLr"/>
                      <w:rPr/>
                    </w:pPr>
                    <w:r>
                      <w:rPr>
                        <w:rFonts w:ascii="Arial" w:cs="Arial" w:eastAsia="Arial" w:hAnsi="Arial"/>
                        <w:color w:val="000000"/>
                        <w:sz w:val="24"/>
                      </w:rPr>
                      <w:t xml:space="preserve"> PAGE 3</w:t>
                    </w:r>
                  </w:p>
                </w:txbxContent>
              </v:textbox>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BEEC60" w14:textId="77777777" w:rsidR="00052825" w:rsidRDefault="00000000">
    <w:pPr>
      <w:pBdr>
        <w:top w:val="nil"/>
        <w:left w:val="nil"/>
        <w:bottom w:val="nil"/>
        <w:right w:val="nil"/>
        <w:between w:val="nil"/>
      </w:pBdr>
      <w:spacing w:line="14" w:lineRule="auto"/>
      <w:rPr>
        <w:color w:val="000000"/>
        <w:sz w:val="20"/>
        <w:szCs w:val="20"/>
      </w:rPr>
    </w:pPr>
    <w:r>
      <w:rPr>
        <w:noProof/>
        <w:lang w:eastAsia="en-IN"/>
      </w:rPr>
      <mc:AlternateContent>
        <mc:Choice Requires="wps">
          <w:drawing>
            <wp:anchor distT="0" distB="0" distL="0" distR="0" simplePos="0" relativeHeight="5" behindDoc="1" locked="0" layoutInCell="1" allowOverlap="1" wp14:anchorId="3AE5D2FD" wp14:editId="1DDC04C3">
              <wp:simplePos x="0" y="0"/>
              <wp:positionH relativeFrom="column">
                <wp:posOffset>2971546</wp:posOffset>
              </wp:positionH>
              <wp:positionV relativeFrom="paragraph">
                <wp:posOffset>9878843</wp:posOffset>
              </wp:positionV>
              <wp:extent cx="193039" cy="215265"/>
              <wp:effectExtent l="0" t="0" r="0" b="0"/>
              <wp:wrapNone/>
              <wp:docPr id="4100" name="Rectangle 2357500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3039" cy="215265"/>
                      </a:xfrm>
                      <a:prstGeom prst="rect">
                        <a:avLst/>
                      </a:prstGeom>
                      <a:ln>
                        <a:noFill/>
                      </a:ln>
                    </wps:spPr>
                    <wps:txbx>
                      <w:txbxContent>
                        <w:p w14:paraId="5CF9DF52" w14:textId="77777777" w:rsidR="00052825" w:rsidRDefault="00000000">
                          <w:pPr>
                            <w:spacing w:before="12"/>
                            <w:ind w:left="60" w:firstLine="60"/>
                            <w:textDirection w:val="btLr"/>
                          </w:pPr>
                          <w:r>
                            <w:rPr>
                              <w:rFonts w:ascii="Arial" w:eastAsia="Arial" w:hAnsi="Arial" w:cs="Arial"/>
                              <w:color w:val="000000"/>
                              <w:sz w:val="24"/>
                            </w:rPr>
                            <w:t xml:space="preserve"> PAGE 4</w:t>
                          </w: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0" filled="f" stroked="f" style="position:absolute;margin-left:233.98pt;margin-top:777.86pt;width:15.2pt;height:16.95pt;z-index:-2147483642;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firstLine="60"/>
                      <w:textDirection w:val="btLr"/>
                      <w:rPr/>
                    </w:pPr>
                    <w:r>
                      <w:rPr>
                        <w:rFonts w:ascii="Arial" w:cs="Arial" w:eastAsia="Arial" w:hAnsi="Arial"/>
                        <w:color w:val="000000"/>
                        <w:sz w:val="24"/>
                      </w:rPr>
                      <w:t xml:space="preserve"> PAGE 4</w:t>
                    </w:r>
                  </w:p>
                </w:txbxContent>
              </v:textbox>
            </v:rect>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09BAB" w14:textId="77777777" w:rsidR="00052825" w:rsidRDefault="00000000">
    <w:pPr>
      <w:pBdr>
        <w:top w:val="nil"/>
        <w:left w:val="nil"/>
        <w:bottom w:val="nil"/>
        <w:right w:val="nil"/>
        <w:between w:val="nil"/>
      </w:pBdr>
      <w:spacing w:line="14" w:lineRule="auto"/>
      <w:rPr>
        <w:color w:val="000000"/>
        <w:sz w:val="20"/>
        <w:szCs w:val="20"/>
      </w:rPr>
    </w:pPr>
    <w:r>
      <w:rPr>
        <w:noProof/>
        <w:lang w:eastAsia="en-IN"/>
      </w:rPr>
      <mc:AlternateContent>
        <mc:Choice Requires="wps">
          <w:drawing>
            <wp:anchor distT="0" distB="0" distL="0" distR="0" simplePos="0" relativeHeight="7" behindDoc="1" locked="0" layoutInCell="1" allowOverlap="1" wp14:anchorId="1FB1E805" wp14:editId="071ED42C">
              <wp:simplePos x="0" y="0"/>
              <wp:positionH relativeFrom="column">
                <wp:posOffset>2971546</wp:posOffset>
              </wp:positionH>
              <wp:positionV relativeFrom="paragraph">
                <wp:posOffset>9878843</wp:posOffset>
              </wp:positionV>
              <wp:extent cx="193039" cy="215265"/>
              <wp:effectExtent l="0" t="0" r="0" b="0"/>
              <wp:wrapNone/>
              <wp:docPr id="4102" name="Rectangle 2357500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3039" cy="215265"/>
                      </a:xfrm>
                      <a:prstGeom prst="rect">
                        <a:avLst/>
                      </a:prstGeom>
                      <a:ln>
                        <a:noFill/>
                      </a:ln>
                    </wps:spPr>
                    <wps:txbx>
                      <w:txbxContent>
                        <w:p w14:paraId="1C05D9DF" w14:textId="77777777" w:rsidR="00052825" w:rsidRDefault="00000000">
                          <w:pPr>
                            <w:spacing w:before="12"/>
                            <w:ind w:left="60" w:firstLine="60"/>
                            <w:textDirection w:val="btLr"/>
                          </w:pPr>
                          <w:r>
                            <w:rPr>
                              <w:rFonts w:ascii="Arial" w:eastAsia="Arial" w:hAnsi="Arial" w:cs="Arial"/>
                              <w:color w:val="000000"/>
                              <w:sz w:val="24"/>
                            </w:rPr>
                            <w:t xml:space="preserve"> PAGE 5</w:t>
                          </w: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2" filled="f" stroked="f" style="position:absolute;margin-left:233.98pt;margin-top:777.86pt;width:15.2pt;height:16.95pt;z-index:-2147483640;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firstLine="60"/>
                      <w:textDirection w:val="btLr"/>
                      <w:rPr/>
                    </w:pPr>
                    <w:r>
                      <w:rPr>
                        <w:rFonts w:ascii="Arial" w:cs="Arial" w:eastAsia="Arial" w:hAnsi="Arial"/>
                        <w:color w:val="000000"/>
                        <w:sz w:val="24"/>
                      </w:rPr>
                      <w:t xml:space="preserve"> PAGE 5</w:t>
                    </w:r>
                  </w:p>
                </w:txbxContent>
              </v:textbox>
            </v:rect>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6B23A" w14:textId="77777777" w:rsidR="00052825" w:rsidRDefault="00000000">
    <w:pPr>
      <w:pBdr>
        <w:top w:val="nil"/>
        <w:left w:val="nil"/>
        <w:bottom w:val="nil"/>
        <w:right w:val="nil"/>
        <w:between w:val="nil"/>
      </w:pBdr>
      <w:spacing w:line="14" w:lineRule="auto"/>
      <w:rPr>
        <w:color w:val="000000"/>
        <w:sz w:val="20"/>
        <w:szCs w:val="20"/>
      </w:rPr>
    </w:pPr>
    <w:r>
      <w:rPr>
        <w:noProof/>
        <w:lang w:eastAsia="en-IN"/>
      </w:rPr>
      <mc:AlternateContent>
        <mc:Choice Requires="wps">
          <w:drawing>
            <wp:anchor distT="0" distB="0" distL="0" distR="0" simplePos="0" relativeHeight="9" behindDoc="1" locked="0" layoutInCell="1" allowOverlap="1" wp14:anchorId="25E27F63" wp14:editId="7D3DB26E">
              <wp:simplePos x="0" y="0"/>
              <wp:positionH relativeFrom="column">
                <wp:posOffset>2971546</wp:posOffset>
              </wp:positionH>
              <wp:positionV relativeFrom="paragraph">
                <wp:posOffset>9878843</wp:posOffset>
              </wp:positionV>
              <wp:extent cx="193039" cy="215265"/>
              <wp:effectExtent l="0" t="0" r="0" b="0"/>
              <wp:wrapNone/>
              <wp:docPr id="4104" name="Rectangle 2357500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3039" cy="215265"/>
                      </a:xfrm>
                      <a:prstGeom prst="rect">
                        <a:avLst/>
                      </a:prstGeom>
                      <a:ln>
                        <a:noFill/>
                      </a:ln>
                    </wps:spPr>
                    <wps:txbx>
                      <w:txbxContent>
                        <w:p w14:paraId="14D70178" w14:textId="77777777" w:rsidR="00052825" w:rsidRDefault="00000000">
                          <w:pPr>
                            <w:spacing w:before="12"/>
                            <w:ind w:left="60" w:firstLine="60"/>
                            <w:textDirection w:val="btLr"/>
                          </w:pPr>
                          <w:r>
                            <w:rPr>
                              <w:rFonts w:ascii="Arial" w:eastAsia="Arial" w:hAnsi="Arial" w:cs="Arial"/>
                              <w:color w:val="000000"/>
                              <w:sz w:val="24"/>
                            </w:rPr>
                            <w:t xml:space="preserve"> PAGE 6</w:t>
                          </w: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4" filled="f" stroked="f" style="position:absolute;margin-left:233.98pt;margin-top:777.86pt;width:15.2pt;height:16.95pt;z-index:-2147483638;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firstLine="60"/>
                      <w:textDirection w:val="btLr"/>
                      <w:rPr/>
                    </w:pPr>
                    <w:r>
                      <w:rPr>
                        <w:rFonts w:ascii="Arial" w:cs="Arial" w:eastAsia="Arial" w:hAnsi="Arial"/>
                        <w:color w:val="000000"/>
                        <w:sz w:val="24"/>
                      </w:rPr>
                      <w:t xml:space="preserve"> PAGE 6</w:t>
                    </w:r>
                  </w:p>
                </w:txbxContent>
              </v:textbox>
            </v:rect>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63171" w14:textId="77777777" w:rsidR="00052825" w:rsidRDefault="00000000">
    <w:pPr>
      <w:pBdr>
        <w:top w:val="nil"/>
        <w:left w:val="nil"/>
        <w:bottom w:val="nil"/>
        <w:right w:val="nil"/>
        <w:between w:val="nil"/>
      </w:pBdr>
      <w:spacing w:line="14" w:lineRule="auto"/>
      <w:rPr>
        <w:color w:val="000000"/>
        <w:sz w:val="20"/>
        <w:szCs w:val="20"/>
      </w:rPr>
    </w:pPr>
    <w:r>
      <w:rPr>
        <w:noProof/>
        <w:lang w:eastAsia="en-IN"/>
      </w:rPr>
      <mc:AlternateContent>
        <mc:Choice Requires="wps">
          <w:drawing>
            <wp:anchor distT="0" distB="0" distL="0" distR="0" simplePos="0" relativeHeight="11" behindDoc="1" locked="0" layoutInCell="1" allowOverlap="1" wp14:anchorId="6C1BB1C4" wp14:editId="7D7FAF40">
              <wp:simplePos x="0" y="0"/>
              <wp:positionH relativeFrom="column">
                <wp:posOffset>2971546</wp:posOffset>
              </wp:positionH>
              <wp:positionV relativeFrom="paragraph">
                <wp:posOffset>9878843</wp:posOffset>
              </wp:positionV>
              <wp:extent cx="193039" cy="215265"/>
              <wp:effectExtent l="0" t="0" r="0" b="0"/>
              <wp:wrapNone/>
              <wp:docPr id="4106" name="Rectangle 2357500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3039" cy="215265"/>
                      </a:xfrm>
                      <a:prstGeom prst="rect">
                        <a:avLst/>
                      </a:prstGeom>
                      <a:ln>
                        <a:noFill/>
                      </a:ln>
                    </wps:spPr>
                    <wps:txbx>
                      <w:txbxContent>
                        <w:p w14:paraId="73A604BE" w14:textId="77777777" w:rsidR="00052825" w:rsidRDefault="00000000">
                          <w:pPr>
                            <w:spacing w:before="12"/>
                            <w:ind w:left="60" w:firstLine="60"/>
                            <w:textDirection w:val="btLr"/>
                          </w:pPr>
                          <w:r>
                            <w:rPr>
                              <w:rFonts w:ascii="Arial" w:eastAsia="Arial" w:hAnsi="Arial" w:cs="Arial"/>
                              <w:color w:val="000000"/>
                              <w:sz w:val="24"/>
                            </w:rPr>
                            <w:t xml:space="preserve"> PAGE 7</w:t>
                          </w: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6" filled="f" stroked="f" style="position:absolute;margin-left:233.98pt;margin-top:777.86pt;width:15.2pt;height:16.95pt;z-index:-2147483636;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firstLine="60"/>
                      <w:textDirection w:val="btLr"/>
                      <w:rPr/>
                    </w:pPr>
                    <w:r>
                      <w:rPr>
                        <w:rFonts w:ascii="Arial" w:cs="Arial" w:eastAsia="Arial" w:hAnsi="Arial"/>
                        <w:color w:val="000000"/>
                        <w:sz w:val="24"/>
                      </w:rPr>
                      <w:t xml:space="preserve"> PAGE 7</w:t>
                    </w:r>
                  </w:p>
                </w:txbxContent>
              </v:textbox>
            </v:rect>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51FC8" w14:textId="77777777" w:rsidR="00052825" w:rsidRDefault="00000000">
    <w:pPr>
      <w:pBdr>
        <w:top w:val="nil"/>
        <w:left w:val="nil"/>
        <w:bottom w:val="nil"/>
        <w:right w:val="nil"/>
        <w:between w:val="nil"/>
      </w:pBdr>
      <w:spacing w:line="14" w:lineRule="auto"/>
      <w:rPr>
        <w:color w:val="000000"/>
        <w:sz w:val="20"/>
        <w:szCs w:val="20"/>
      </w:rPr>
    </w:pPr>
    <w:r>
      <w:rPr>
        <w:noProof/>
        <w:lang w:eastAsia="en-IN"/>
      </w:rPr>
      <mc:AlternateContent>
        <mc:Choice Requires="wps">
          <w:drawing>
            <wp:anchor distT="0" distB="0" distL="0" distR="0" simplePos="0" relativeHeight="12" behindDoc="1" locked="0" layoutInCell="1" allowOverlap="1" wp14:anchorId="26731E9E" wp14:editId="296A4A53">
              <wp:simplePos x="0" y="0"/>
              <wp:positionH relativeFrom="column">
                <wp:posOffset>2971546</wp:posOffset>
              </wp:positionH>
              <wp:positionV relativeFrom="paragraph">
                <wp:posOffset>9878843</wp:posOffset>
              </wp:positionV>
              <wp:extent cx="193039" cy="215265"/>
              <wp:effectExtent l="0" t="0" r="0" b="0"/>
              <wp:wrapNone/>
              <wp:docPr id="4107" name="Rectangle 2357500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3039" cy="215265"/>
                      </a:xfrm>
                      <a:prstGeom prst="rect">
                        <a:avLst/>
                      </a:prstGeom>
                      <a:ln>
                        <a:noFill/>
                      </a:ln>
                    </wps:spPr>
                    <wps:txbx>
                      <w:txbxContent>
                        <w:p w14:paraId="79197674" w14:textId="77777777" w:rsidR="00052825" w:rsidRDefault="00000000">
                          <w:pPr>
                            <w:spacing w:before="12"/>
                            <w:ind w:left="60" w:firstLine="60"/>
                            <w:textDirection w:val="btLr"/>
                          </w:pPr>
                          <w:r>
                            <w:rPr>
                              <w:rFonts w:ascii="Arial" w:eastAsia="Arial" w:hAnsi="Arial" w:cs="Arial"/>
                              <w:color w:val="000000"/>
                              <w:sz w:val="24"/>
                            </w:rPr>
                            <w:t xml:space="preserve"> PAGE 8</w:t>
                          </w: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7" filled="f" stroked="f" style="position:absolute;margin-left:233.98pt;margin-top:777.86pt;width:15.2pt;height:16.95pt;z-index:-2147483635;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firstLine="60"/>
                      <w:textDirection w:val="btLr"/>
                      <w:rPr/>
                    </w:pPr>
                    <w:r>
                      <w:rPr>
                        <w:rFonts w:ascii="Arial" w:cs="Arial" w:eastAsia="Arial" w:hAnsi="Arial"/>
                        <w:color w:val="000000"/>
                        <w:sz w:val="24"/>
                      </w:rPr>
                      <w:t xml:space="preserve"> PAGE 8</w:t>
                    </w:r>
                  </w:p>
                </w:txbxContent>
              </v:textbox>
            </v:rect>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ED96C" w14:textId="77777777" w:rsidR="00052825" w:rsidRDefault="00000000">
    <w:pPr>
      <w:pBdr>
        <w:top w:val="nil"/>
        <w:left w:val="nil"/>
        <w:bottom w:val="nil"/>
        <w:right w:val="nil"/>
        <w:between w:val="nil"/>
      </w:pBdr>
      <w:spacing w:line="14" w:lineRule="auto"/>
      <w:rPr>
        <w:color w:val="000000"/>
        <w:sz w:val="20"/>
        <w:szCs w:val="20"/>
      </w:rPr>
    </w:pPr>
    <w:r>
      <w:rPr>
        <w:noProof/>
        <w:lang w:eastAsia="en-IN"/>
      </w:rPr>
      <mc:AlternateContent>
        <mc:Choice Requires="wps">
          <w:drawing>
            <wp:anchor distT="0" distB="0" distL="0" distR="0" simplePos="0" relativeHeight="14" behindDoc="1" locked="0" layoutInCell="1" allowOverlap="1" wp14:anchorId="2EF60761" wp14:editId="2F85DE6B">
              <wp:simplePos x="0" y="0"/>
              <wp:positionH relativeFrom="column">
                <wp:posOffset>2971546</wp:posOffset>
              </wp:positionH>
              <wp:positionV relativeFrom="paragraph">
                <wp:posOffset>9878843</wp:posOffset>
              </wp:positionV>
              <wp:extent cx="193039" cy="215265"/>
              <wp:effectExtent l="0" t="0" r="0" b="0"/>
              <wp:wrapNone/>
              <wp:docPr id="4109" name="Rectangle 2357500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3039" cy="215265"/>
                      </a:xfrm>
                      <a:prstGeom prst="rect">
                        <a:avLst/>
                      </a:prstGeom>
                      <a:ln>
                        <a:noFill/>
                      </a:ln>
                    </wps:spPr>
                    <wps:txbx>
                      <w:txbxContent>
                        <w:p w14:paraId="1E012C58" w14:textId="77777777" w:rsidR="00052825" w:rsidRDefault="00000000">
                          <w:pPr>
                            <w:spacing w:before="12"/>
                            <w:ind w:left="60" w:firstLine="60"/>
                            <w:textDirection w:val="btLr"/>
                          </w:pPr>
                          <w:r>
                            <w:rPr>
                              <w:rFonts w:ascii="Arial" w:eastAsia="Arial" w:hAnsi="Arial" w:cs="Arial"/>
                              <w:color w:val="000000"/>
                              <w:sz w:val="24"/>
                            </w:rPr>
                            <w:t xml:space="preserve"> PAGE 9</w:t>
                          </w: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9" filled="f" stroked="f" style="position:absolute;margin-left:233.98pt;margin-top:777.86pt;width:15.2pt;height:16.95pt;z-index:-2147483633;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firstLine="60"/>
                      <w:textDirection w:val="btLr"/>
                      <w:rPr/>
                    </w:pPr>
                    <w:r>
                      <w:rPr>
                        <w:rFonts w:ascii="Arial" w:cs="Arial" w:eastAsia="Arial" w:hAnsi="Arial"/>
                        <w:color w:val="000000"/>
                        <w:sz w:val="24"/>
                      </w:rPr>
                      <w:t xml:space="preserve"> PAGE 9</w:t>
                    </w:r>
                  </w:p>
                </w:txbxContent>
              </v:textbox>
            </v:rect>
          </w:pict>
        </mc:Fallback>
      </mc:AlternateConten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6894E8" w14:textId="77777777" w:rsidR="00052825" w:rsidRDefault="00000000">
    <w:pPr>
      <w:pBdr>
        <w:top w:val="nil"/>
        <w:left w:val="nil"/>
        <w:bottom w:val="nil"/>
        <w:right w:val="nil"/>
        <w:between w:val="nil"/>
      </w:pBdr>
      <w:spacing w:line="14" w:lineRule="auto"/>
      <w:rPr>
        <w:color w:val="000000"/>
        <w:sz w:val="20"/>
        <w:szCs w:val="20"/>
      </w:rPr>
    </w:pPr>
    <w:r>
      <w:rPr>
        <w:noProof/>
        <w:lang w:eastAsia="en-IN"/>
      </w:rPr>
      <mc:AlternateContent>
        <mc:Choice Requires="wps">
          <w:drawing>
            <wp:anchor distT="0" distB="0" distL="0" distR="0" simplePos="0" relativeHeight="16" behindDoc="1" locked="0" layoutInCell="1" allowOverlap="1" wp14:anchorId="5EF9079C" wp14:editId="12A5E4E9">
              <wp:simplePos x="0" y="0"/>
              <wp:positionH relativeFrom="column">
                <wp:posOffset>2930271</wp:posOffset>
              </wp:positionH>
              <wp:positionV relativeFrom="paragraph">
                <wp:posOffset>9878843</wp:posOffset>
              </wp:positionV>
              <wp:extent cx="279400" cy="215265"/>
              <wp:effectExtent l="0" t="0" r="0" b="0"/>
              <wp:wrapNone/>
              <wp:docPr id="4111" name="Rectangle 2357500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9400" cy="215265"/>
                      </a:xfrm>
                      <a:prstGeom prst="rect">
                        <a:avLst/>
                      </a:prstGeom>
                      <a:ln>
                        <a:noFill/>
                      </a:ln>
                    </wps:spPr>
                    <wps:txbx>
                      <w:txbxContent>
                        <w:p w14:paraId="3EB8F5DC" w14:textId="77777777" w:rsidR="00052825" w:rsidRDefault="00000000">
                          <w:pPr>
                            <w:spacing w:before="12"/>
                            <w:ind w:left="60" w:firstLine="60"/>
                            <w:textDirection w:val="btLr"/>
                          </w:pPr>
                          <w:r>
                            <w:rPr>
                              <w:rFonts w:ascii="Arial" w:eastAsia="Arial" w:hAnsi="Arial" w:cs="Arial"/>
                              <w:color w:val="000000"/>
                              <w:sz w:val="24"/>
                            </w:rPr>
                            <w:t xml:space="preserve"> PAGE 10</w:t>
                          </w: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11" filled="f" stroked="f" style="position:absolute;margin-left:230.73pt;margin-top:777.86pt;width:22.0pt;height:16.95pt;z-index:-2147483631;mso-position-horizontal-relative:text;mso-position-vertical-relative:text;mso-width-relative:page;mso-height-relative:page;mso-wrap-distance-left:0.0pt;mso-wrap-distance-right:0.0pt;visibility:visible;">
              <v:stroke on="f"/>
              <v:fill/>
              <v:textbox inset="0.0pt,0.0pt,0.0pt,0.0pt">
                <w:txbxContent>
                  <w:p>
                    <w:pPr>
                      <w:pStyle w:val="style0"/>
                      <w:spacing w:before="12"/>
                      <w:ind w:left="60" w:firstLine="60"/>
                      <w:textDirection w:val="btLr"/>
                      <w:rPr/>
                    </w:pPr>
                    <w:r>
                      <w:rPr>
                        <w:rFonts w:ascii="Arial" w:cs="Arial" w:eastAsia="Arial" w:hAnsi="Arial"/>
                        <w:color w:val="000000"/>
                        <w:sz w:val="24"/>
                      </w:rPr>
                      <w:t xml:space="preserve"> PAGE 10</w:t>
                    </w:r>
                  </w:p>
                </w:txbxContent>
              </v:textbox>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EF2BD" w14:textId="77777777" w:rsidR="000A36B8" w:rsidRDefault="000A36B8">
      <w:r>
        <w:separator/>
      </w:r>
    </w:p>
  </w:footnote>
  <w:footnote w:type="continuationSeparator" w:id="0">
    <w:p w14:paraId="4BB48E44" w14:textId="77777777" w:rsidR="000A36B8" w:rsidRDefault="000A36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E2115" w14:textId="77777777" w:rsidR="00052825" w:rsidRDefault="00052825">
    <w:pPr>
      <w:pBdr>
        <w:top w:val="nil"/>
        <w:left w:val="nil"/>
        <w:bottom w:val="nil"/>
        <w:right w:val="nil"/>
        <w:between w:val="nil"/>
      </w:pBdr>
      <w:spacing w:line="14" w:lineRule="auto"/>
      <w:rPr>
        <w:color w:val="000000"/>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D3E93" w14:textId="77777777" w:rsidR="00052825" w:rsidRDefault="00000000">
    <w:pPr>
      <w:pBdr>
        <w:top w:val="nil"/>
        <w:left w:val="nil"/>
        <w:bottom w:val="nil"/>
        <w:right w:val="nil"/>
        <w:between w:val="nil"/>
      </w:pBdr>
      <w:spacing w:line="14" w:lineRule="auto"/>
      <w:rPr>
        <w:color w:val="000000"/>
        <w:sz w:val="20"/>
        <w:szCs w:val="20"/>
      </w:rPr>
    </w:pPr>
    <w:r>
      <w:rPr>
        <w:noProof/>
        <w:color w:val="000000"/>
        <w:sz w:val="20"/>
        <w:szCs w:val="20"/>
        <w:lang w:eastAsia="en-IN"/>
      </w:rPr>
      <mc:AlternateContent>
        <mc:Choice Requires="wps">
          <w:drawing>
            <wp:anchor distT="0" distB="0" distL="0" distR="0" simplePos="0" relativeHeight="2" behindDoc="1" locked="0" layoutInCell="1" allowOverlap="1" wp14:anchorId="4BBF643D" wp14:editId="08755EE4">
              <wp:simplePos x="0" y="0"/>
              <wp:positionH relativeFrom="page">
                <wp:posOffset>892493</wp:posOffset>
              </wp:positionH>
              <wp:positionV relativeFrom="page">
                <wp:posOffset>899102</wp:posOffset>
              </wp:positionV>
              <wp:extent cx="1228725" cy="271779"/>
              <wp:effectExtent l="0" t="0" r="0" b="0"/>
              <wp:wrapNone/>
              <wp:docPr id="4097" name="Rectangle 2357500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8725" cy="271779"/>
                      </a:xfrm>
                      <a:prstGeom prst="rect">
                        <a:avLst/>
                      </a:prstGeom>
                      <a:ln>
                        <a:noFill/>
                      </a:ln>
                    </wps:spPr>
                    <wps:txbx>
                      <w:txbxContent>
                        <w:p w14:paraId="1940C3F5" w14:textId="77777777" w:rsidR="00052825" w:rsidRDefault="00052825">
                          <w:pPr>
                            <w:spacing w:before="8"/>
                            <w:ind w:left="20" w:firstLine="40"/>
                            <w:textDirection w:val="btLr"/>
                          </w:pP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097" filled="f" stroked="f" style="position:absolute;margin-left:70.28pt;margin-top:70.8pt;width:96.75pt;height:21.4pt;z-index:-2147483645;mso-position-horizontal-relative:page;mso-position-vertical-relative:page;mso-width-relative:page;mso-height-relative:page;mso-wrap-distance-left:0.0pt;mso-wrap-distance-right:0.0pt;visibility:visible;">
              <v:stroke on="f"/>
              <v:fill/>
              <v:textbox inset="0.0pt,0.0pt,0.0pt,0.0pt">
                <w:txbxContent>
                  <w:p>
                    <w:pPr>
                      <w:pStyle w:val="style0"/>
                      <w:spacing w:before="8"/>
                      <w:ind w:left="20" w:firstLine="40"/>
                      <w:textDirection w:val="btLr"/>
                      <w:rPr/>
                    </w:pPr>
                  </w:p>
                </w:txbxContent>
              </v:textbox>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5E032E" w14:textId="77777777" w:rsidR="00052825" w:rsidRDefault="00000000">
    <w:pPr>
      <w:pBdr>
        <w:top w:val="nil"/>
        <w:left w:val="nil"/>
        <w:bottom w:val="nil"/>
        <w:right w:val="nil"/>
        <w:between w:val="nil"/>
      </w:pBdr>
      <w:spacing w:line="14" w:lineRule="auto"/>
      <w:rPr>
        <w:color w:val="000000"/>
        <w:sz w:val="20"/>
        <w:szCs w:val="20"/>
      </w:rPr>
    </w:pPr>
    <w:r>
      <w:rPr>
        <w:noProof/>
        <w:color w:val="000000"/>
        <w:sz w:val="20"/>
        <w:szCs w:val="20"/>
        <w:lang w:eastAsia="en-IN"/>
      </w:rPr>
      <mc:AlternateContent>
        <mc:Choice Requires="wps">
          <w:drawing>
            <wp:anchor distT="0" distB="0" distL="0" distR="0" simplePos="0" relativeHeight="4" behindDoc="1" locked="0" layoutInCell="1" allowOverlap="1" wp14:anchorId="75CDB879" wp14:editId="702AF42A">
              <wp:simplePos x="0" y="0"/>
              <wp:positionH relativeFrom="page">
                <wp:posOffset>892493</wp:posOffset>
              </wp:positionH>
              <wp:positionV relativeFrom="page">
                <wp:posOffset>899102</wp:posOffset>
              </wp:positionV>
              <wp:extent cx="1177289" cy="271779"/>
              <wp:effectExtent l="0" t="0" r="0" b="0"/>
              <wp:wrapNone/>
              <wp:docPr id="4099" name="Rectangle 2357500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77289" cy="271779"/>
                      </a:xfrm>
                      <a:prstGeom prst="rect">
                        <a:avLst/>
                      </a:prstGeom>
                      <a:ln>
                        <a:noFill/>
                      </a:ln>
                    </wps:spPr>
                    <wps:txbx>
                      <w:txbxContent>
                        <w:p w14:paraId="04DA1989" w14:textId="77777777" w:rsidR="00052825" w:rsidRDefault="00052825">
                          <w:pPr>
                            <w:spacing w:before="8"/>
                            <w:ind w:left="20" w:firstLine="40"/>
                            <w:textDirection w:val="btLr"/>
                          </w:pP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099" filled="f" stroked="f" style="position:absolute;margin-left:70.28pt;margin-top:70.8pt;width:92.7pt;height:21.4pt;z-index:-2147483643;mso-position-horizontal-relative:page;mso-position-vertical-relative:page;mso-width-relative:page;mso-height-relative:page;mso-wrap-distance-left:0.0pt;mso-wrap-distance-right:0.0pt;visibility:visible;">
              <v:stroke on="f"/>
              <v:fill/>
              <v:textbox inset="0.0pt,0.0pt,0.0pt,0.0pt">
                <w:txbxContent>
                  <w:p>
                    <w:pPr>
                      <w:pStyle w:val="style0"/>
                      <w:spacing w:before="8"/>
                      <w:ind w:left="20" w:firstLine="40"/>
                      <w:textDirection w:val="btLr"/>
                      <w:rPr/>
                    </w:pPr>
                  </w:p>
                </w:txbxContent>
              </v:textbox>
            </v:rect>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3CF7C" w14:textId="77777777" w:rsidR="00052825" w:rsidRDefault="00000000">
    <w:pPr>
      <w:pBdr>
        <w:top w:val="nil"/>
        <w:left w:val="nil"/>
        <w:bottom w:val="nil"/>
        <w:right w:val="nil"/>
        <w:between w:val="nil"/>
      </w:pBdr>
      <w:spacing w:line="14" w:lineRule="auto"/>
      <w:rPr>
        <w:color w:val="000000"/>
        <w:sz w:val="20"/>
        <w:szCs w:val="20"/>
      </w:rPr>
    </w:pPr>
    <w:r>
      <w:rPr>
        <w:noProof/>
        <w:color w:val="000000"/>
        <w:sz w:val="20"/>
        <w:szCs w:val="20"/>
        <w:lang w:eastAsia="en-IN"/>
      </w:rPr>
      <mc:AlternateContent>
        <mc:Choice Requires="wps">
          <w:drawing>
            <wp:anchor distT="0" distB="0" distL="0" distR="0" simplePos="0" relativeHeight="6" behindDoc="1" locked="0" layoutInCell="1" allowOverlap="1" wp14:anchorId="1CAF5FF2" wp14:editId="0F0075BF">
              <wp:simplePos x="0" y="0"/>
              <wp:positionH relativeFrom="page">
                <wp:posOffset>892493</wp:posOffset>
              </wp:positionH>
              <wp:positionV relativeFrom="page">
                <wp:posOffset>899102</wp:posOffset>
              </wp:positionV>
              <wp:extent cx="1875789" cy="271779"/>
              <wp:effectExtent l="0" t="0" r="0" b="0"/>
              <wp:wrapNone/>
              <wp:docPr id="4101" name="Rectangle 2357500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75789" cy="271779"/>
                      </a:xfrm>
                      <a:prstGeom prst="rect">
                        <a:avLst/>
                      </a:prstGeom>
                      <a:ln>
                        <a:noFill/>
                      </a:ln>
                    </wps:spPr>
                    <wps:txbx>
                      <w:txbxContent>
                        <w:p w14:paraId="0C3CDE48" w14:textId="77777777" w:rsidR="00052825" w:rsidRDefault="00052825">
                          <w:pPr>
                            <w:spacing w:before="8"/>
                            <w:ind w:left="20" w:firstLine="40"/>
                            <w:textDirection w:val="btLr"/>
                          </w:pP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1" filled="f" stroked="f" style="position:absolute;margin-left:70.28pt;margin-top:70.8pt;width:147.7pt;height:21.4pt;z-index:-2147483641;mso-position-horizontal-relative:page;mso-position-vertical-relative:page;mso-width-relative:page;mso-height-relative:page;mso-wrap-distance-left:0.0pt;mso-wrap-distance-right:0.0pt;visibility:visible;">
              <v:stroke on="f"/>
              <v:fill/>
              <v:textbox inset="0.0pt,0.0pt,0.0pt,0.0pt">
                <w:txbxContent>
                  <w:p>
                    <w:pPr>
                      <w:pStyle w:val="style0"/>
                      <w:spacing w:before="8"/>
                      <w:ind w:left="20" w:firstLine="40"/>
                      <w:textDirection w:val="btLr"/>
                      <w:rPr/>
                    </w:pPr>
                  </w:p>
                </w:txbxContent>
              </v:textbox>
            </v:rect>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AD0FBA" w14:textId="77777777" w:rsidR="00052825" w:rsidRDefault="00000000">
    <w:pPr>
      <w:pBdr>
        <w:top w:val="nil"/>
        <w:left w:val="nil"/>
        <w:bottom w:val="nil"/>
        <w:right w:val="nil"/>
        <w:between w:val="nil"/>
      </w:pBdr>
      <w:spacing w:line="14" w:lineRule="auto"/>
      <w:rPr>
        <w:color w:val="000000"/>
        <w:sz w:val="20"/>
        <w:szCs w:val="20"/>
      </w:rPr>
    </w:pPr>
    <w:r>
      <w:rPr>
        <w:noProof/>
        <w:color w:val="000000"/>
        <w:sz w:val="20"/>
        <w:szCs w:val="20"/>
        <w:lang w:eastAsia="en-IN"/>
      </w:rPr>
      <mc:AlternateContent>
        <mc:Choice Requires="wps">
          <w:drawing>
            <wp:anchor distT="0" distB="0" distL="0" distR="0" simplePos="0" relativeHeight="8" behindDoc="1" locked="0" layoutInCell="1" allowOverlap="1" wp14:anchorId="44BE52FB" wp14:editId="54824D76">
              <wp:simplePos x="0" y="0"/>
              <wp:positionH relativeFrom="page">
                <wp:posOffset>892493</wp:posOffset>
              </wp:positionH>
              <wp:positionV relativeFrom="page">
                <wp:posOffset>899102</wp:posOffset>
              </wp:positionV>
              <wp:extent cx="859155" cy="271779"/>
              <wp:effectExtent l="0" t="0" r="0" b="0"/>
              <wp:wrapNone/>
              <wp:docPr id="4103" name="Rectangle 2357500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59155" cy="271779"/>
                      </a:xfrm>
                      <a:prstGeom prst="rect">
                        <a:avLst/>
                      </a:prstGeom>
                      <a:ln>
                        <a:noFill/>
                      </a:ln>
                    </wps:spPr>
                    <wps:txbx>
                      <w:txbxContent>
                        <w:p w14:paraId="0F796D8C" w14:textId="77777777" w:rsidR="00052825" w:rsidRDefault="00052825">
                          <w:pPr>
                            <w:spacing w:before="8"/>
                            <w:ind w:left="20" w:firstLine="40"/>
                            <w:textDirection w:val="btLr"/>
                          </w:pP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3" filled="f" stroked="f" style="position:absolute;margin-left:70.28pt;margin-top:70.8pt;width:67.65pt;height:21.4pt;z-index:-2147483639;mso-position-horizontal-relative:page;mso-position-vertical-relative:page;mso-width-relative:page;mso-height-relative:page;mso-wrap-distance-left:0.0pt;mso-wrap-distance-right:0.0pt;visibility:visible;">
              <v:stroke on="f"/>
              <v:fill/>
              <v:textbox inset="0.0pt,0.0pt,0.0pt,0.0pt">
                <w:txbxContent>
                  <w:p>
                    <w:pPr>
                      <w:pStyle w:val="style0"/>
                      <w:spacing w:before="8"/>
                      <w:ind w:left="20" w:firstLine="40"/>
                      <w:textDirection w:val="btLr"/>
                      <w:rPr/>
                    </w:pPr>
                  </w:p>
                </w:txbxContent>
              </v:textbox>
            </v:rect>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4FC478" w14:textId="77777777" w:rsidR="00052825" w:rsidRDefault="00000000">
    <w:pPr>
      <w:pBdr>
        <w:top w:val="nil"/>
        <w:left w:val="nil"/>
        <w:bottom w:val="nil"/>
        <w:right w:val="nil"/>
        <w:between w:val="nil"/>
      </w:pBdr>
      <w:spacing w:line="14" w:lineRule="auto"/>
      <w:rPr>
        <w:color w:val="000000"/>
        <w:sz w:val="20"/>
        <w:szCs w:val="20"/>
      </w:rPr>
    </w:pPr>
    <w:r>
      <w:rPr>
        <w:noProof/>
        <w:color w:val="000000"/>
        <w:sz w:val="20"/>
        <w:szCs w:val="20"/>
        <w:lang w:eastAsia="en-IN"/>
      </w:rPr>
      <mc:AlternateContent>
        <mc:Choice Requires="wps">
          <w:drawing>
            <wp:anchor distT="0" distB="0" distL="0" distR="0" simplePos="0" relativeHeight="10" behindDoc="1" locked="0" layoutInCell="1" allowOverlap="1" wp14:anchorId="42F33260" wp14:editId="06E07601">
              <wp:simplePos x="0" y="0"/>
              <wp:positionH relativeFrom="page">
                <wp:posOffset>892493</wp:posOffset>
              </wp:positionH>
              <wp:positionV relativeFrom="page">
                <wp:posOffset>899102</wp:posOffset>
              </wp:positionV>
              <wp:extent cx="2847974" cy="271779"/>
              <wp:effectExtent l="0" t="0" r="0" b="0"/>
              <wp:wrapNone/>
              <wp:docPr id="4105" name="Rectangle 2357500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7974" cy="271779"/>
                      </a:xfrm>
                      <a:prstGeom prst="rect">
                        <a:avLst/>
                      </a:prstGeom>
                      <a:ln>
                        <a:noFill/>
                      </a:ln>
                    </wps:spPr>
                    <wps:txbx>
                      <w:txbxContent>
                        <w:p w14:paraId="5C540DD8" w14:textId="77777777" w:rsidR="00052825" w:rsidRDefault="00052825">
                          <w:pPr>
                            <w:spacing w:before="8"/>
                            <w:ind w:left="20" w:firstLine="40"/>
                            <w:textDirection w:val="btLr"/>
                          </w:pP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5" filled="f" stroked="f" style="position:absolute;margin-left:70.28pt;margin-top:70.8pt;width:224.25pt;height:21.4pt;z-index:-2147483637;mso-position-horizontal-relative:page;mso-position-vertical-relative:page;mso-width-relative:page;mso-height-relative:page;mso-wrap-distance-left:0.0pt;mso-wrap-distance-right:0.0pt;visibility:visible;">
              <v:stroke on="f"/>
              <v:fill/>
              <v:textbox inset="0.0pt,0.0pt,0.0pt,0.0pt">
                <w:txbxContent>
                  <w:p>
                    <w:pPr>
                      <w:pStyle w:val="style0"/>
                      <w:spacing w:before="8"/>
                      <w:ind w:left="20" w:firstLine="40"/>
                      <w:textDirection w:val="btLr"/>
                      <w:rPr/>
                    </w:pPr>
                  </w:p>
                </w:txbxContent>
              </v:textbox>
            </v:rect>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0F24CD" w14:textId="77777777" w:rsidR="00052825" w:rsidRDefault="00052825">
    <w:pPr>
      <w:pBdr>
        <w:top w:val="nil"/>
        <w:left w:val="nil"/>
        <w:bottom w:val="nil"/>
        <w:right w:val="nil"/>
        <w:between w:val="nil"/>
      </w:pBdr>
      <w:spacing w:line="14" w:lineRule="auto"/>
      <w:rPr>
        <w:color w:val="000000"/>
        <w:sz w:val="20"/>
        <w:szCs w:val="20"/>
      </w:rP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51436" w14:textId="77777777" w:rsidR="00052825" w:rsidRDefault="00000000">
    <w:pPr>
      <w:pBdr>
        <w:top w:val="nil"/>
        <w:left w:val="nil"/>
        <w:bottom w:val="nil"/>
        <w:right w:val="nil"/>
        <w:between w:val="nil"/>
      </w:pBdr>
      <w:spacing w:line="14" w:lineRule="auto"/>
      <w:rPr>
        <w:color w:val="000000"/>
        <w:sz w:val="20"/>
        <w:szCs w:val="20"/>
      </w:rPr>
    </w:pPr>
    <w:r>
      <w:rPr>
        <w:noProof/>
        <w:color w:val="000000"/>
        <w:sz w:val="20"/>
        <w:szCs w:val="20"/>
        <w:lang w:eastAsia="en-IN"/>
      </w:rPr>
      <mc:AlternateContent>
        <mc:Choice Requires="wps">
          <w:drawing>
            <wp:anchor distT="0" distB="0" distL="0" distR="0" simplePos="0" relativeHeight="13" behindDoc="1" locked="0" layoutInCell="1" allowOverlap="1" wp14:anchorId="6DB20B18" wp14:editId="626099B8">
              <wp:simplePos x="0" y="0"/>
              <wp:positionH relativeFrom="page">
                <wp:posOffset>892493</wp:posOffset>
              </wp:positionH>
              <wp:positionV relativeFrom="page">
                <wp:posOffset>899102</wp:posOffset>
              </wp:positionV>
              <wp:extent cx="3025775" cy="271779"/>
              <wp:effectExtent l="0" t="0" r="0" b="0"/>
              <wp:wrapNone/>
              <wp:docPr id="4108" name="Rectangle 2357500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25775" cy="271779"/>
                      </a:xfrm>
                      <a:prstGeom prst="rect">
                        <a:avLst/>
                      </a:prstGeom>
                      <a:ln>
                        <a:noFill/>
                      </a:ln>
                    </wps:spPr>
                    <wps:txbx>
                      <w:txbxContent>
                        <w:p w14:paraId="64830DDA" w14:textId="77777777" w:rsidR="00052825" w:rsidRDefault="00052825">
                          <w:pPr>
                            <w:spacing w:before="8"/>
                            <w:ind w:left="20" w:firstLine="40"/>
                            <w:textDirection w:val="btLr"/>
                          </w:pP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08" filled="f" stroked="f" style="position:absolute;margin-left:70.28pt;margin-top:70.8pt;width:238.25pt;height:21.4pt;z-index:-2147483634;mso-position-horizontal-relative:page;mso-position-vertical-relative:page;mso-width-relative:page;mso-height-relative:page;mso-wrap-distance-left:0.0pt;mso-wrap-distance-right:0.0pt;visibility:visible;">
              <v:stroke on="f"/>
              <v:fill/>
              <v:textbox inset="0.0pt,0.0pt,0.0pt,0.0pt">
                <w:txbxContent>
                  <w:p>
                    <w:pPr>
                      <w:pStyle w:val="style0"/>
                      <w:spacing w:before="8"/>
                      <w:ind w:left="20" w:firstLine="40"/>
                      <w:textDirection w:val="btLr"/>
                      <w:rPr/>
                    </w:pPr>
                  </w:p>
                </w:txbxContent>
              </v:textbox>
            </v:rect>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F773CE" w14:textId="77777777" w:rsidR="00052825" w:rsidRDefault="00000000">
    <w:pPr>
      <w:pBdr>
        <w:top w:val="nil"/>
        <w:left w:val="nil"/>
        <w:bottom w:val="nil"/>
        <w:right w:val="nil"/>
        <w:between w:val="nil"/>
      </w:pBdr>
      <w:spacing w:line="14" w:lineRule="auto"/>
      <w:rPr>
        <w:color w:val="000000"/>
        <w:sz w:val="20"/>
        <w:szCs w:val="20"/>
      </w:rPr>
    </w:pPr>
    <w:r>
      <w:rPr>
        <w:noProof/>
        <w:color w:val="000000"/>
        <w:sz w:val="20"/>
        <w:szCs w:val="20"/>
        <w:lang w:eastAsia="en-IN"/>
      </w:rPr>
      <mc:AlternateContent>
        <mc:Choice Requires="wps">
          <w:drawing>
            <wp:anchor distT="0" distB="0" distL="0" distR="0" simplePos="0" relativeHeight="15" behindDoc="1" locked="0" layoutInCell="1" allowOverlap="1" wp14:anchorId="3DB281F8" wp14:editId="0430CB6F">
              <wp:simplePos x="0" y="0"/>
              <wp:positionH relativeFrom="page">
                <wp:posOffset>892493</wp:posOffset>
              </wp:positionH>
              <wp:positionV relativeFrom="page">
                <wp:posOffset>899102</wp:posOffset>
              </wp:positionV>
              <wp:extent cx="1449705" cy="271779"/>
              <wp:effectExtent l="0" t="0" r="0" b="0"/>
              <wp:wrapNone/>
              <wp:docPr id="4110" name="Rectangle 2357500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449705" cy="271779"/>
                      </a:xfrm>
                      <a:prstGeom prst="rect">
                        <a:avLst/>
                      </a:prstGeom>
                      <a:ln>
                        <a:noFill/>
                      </a:ln>
                    </wps:spPr>
                    <wps:txbx>
                      <w:txbxContent>
                        <w:p w14:paraId="0F00232A" w14:textId="77777777" w:rsidR="00052825" w:rsidRDefault="00052825">
                          <w:pPr>
                            <w:spacing w:before="8"/>
                            <w:ind w:left="20" w:firstLine="40"/>
                            <w:textDirection w:val="btLr"/>
                          </w:pPr>
                        </w:p>
                      </w:txbxContent>
                    </wps:txbx>
                    <wps:bodyPr wrap="square" lIns="0" tIns="0" rIns="0" bIns="0" anchor="t">
                      <a:prstTxWarp prst="textNoShape">
                        <a:avLst/>
                      </a:prstTxWarp>
                      <a:noAutofit/>
                    </wps:bodyPr>
                  </wps:wsp>
                </a:graphicData>
              </a:graphic>
            </wp:anchor>
          </w:drawing>
        </mc:Choice>
        <mc:Fallback xmlns:wpsCustomData="http://www.wps.cn/officeDocument/2013/wpsCustomData">
          <w:pict>
            <v:rect id="4110" filled="f" stroked="f" style="position:absolute;margin-left:70.28pt;margin-top:70.8pt;width:114.15pt;height:21.4pt;z-index:-2147483632;mso-position-horizontal-relative:page;mso-position-vertical-relative:page;mso-width-relative:page;mso-height-relative:page;mso-wrap-distance-left:0.0pt;mso-wrap-distance-right:0.0pt;visibility:visible;">
              <v:stroke on="f"/>
              <v:fill/>
              <v:textbox inset="0.0pt,0.0pt,0.0pt,0.0pt">
                <w:txbxContent>
                  <w:p>
                    <w:pPr>
                      <w:pStyle w:val="style0"/>
                      <w:spacing w:before="8"/>
                      <w:ind w:left="20" w:firstLine="40"/>
                      <w:textDirection w:val="btLr"/>
                      <w:rPr/>
                    </w:pPr>
                  </w:p>
                </w:txbxContent>
              </v:textbox>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AC1A1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C896C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BBBED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E2FA3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A23C6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4A504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31662A"/>
    <w:multiLevelType w:val="hybridMultilevel"/>
    <w:tmpl w:val="3C7CD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6132252">
    <w:abstractNumId w:val="4"/>
  </w:num>
  <w:num w:numId="2" w16cid:durableId="887834433">
    <w:abstractNumId w:val="3"/>
  </w:num>
  <w:num w:numId="3" w16cid:durableId="1046610656">
    <w:abstractNumId w:val="6"/>
  </w:num>
  <w:num w:numId="4" w16cid:durableId="1976788243">
    <w:abstractNumId w:val="2"/>
  </w:num>
  <w:num w:numId="5" w16cid:durableId="461002222">
    <w:abstractNumId w:val="0"/>
  </w:num>
  <w:num w:numId="6" w16cid:durableId="95289813">
    <w:abstractNumId w:val="1"/>
  </w:num>
  <w:num w:numId="7" w16cid:durableId="19879690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825"/>
    <w:rsid w:val="000124D8"/>
    <w:rsid w:val="00052825"/>
    <w:rsid w:val="000A36B8"/>
    <w:rsid w:val="004A0A3C"/>
    <w:rsid w:val="004A4108"/>
    <w:rsid w:val="00544636"/>
    <w:rsid w:val="0057452D"/>
    <w:rsid w:val="005B311C"/>
    <w:rsid w:val="005F5C87"/>
    <w:rsid w:val="00727E71"/>
    <w:rsid w:val="00D04338"/>
    <w:rsid w:val="00D257A7"/>
    <w:rsid w:val="00F96D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B019C"/>
  <w15:docId w15:val="{B9659DC2-4D72-4CB4-BFAC-532289F1D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IN"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paragraph" w:styleId="BodyText">
    <w:name w:val="Body Text"/>
    <w:basedOn w:val="Normal"/>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rmalWeb">
    <w:name w:val="Normal (Web)"/>
    <w:basedOn w:val="Normal"/>
    <w:uiPriority w:val="99"/>
    <w:pPr>
      <w:widowControl/>
      <w:spacing w:before="100" w:beforeAutospacing="1" w:after="100" w:afterAutospacing="1"/>
    </w:pPr>
    <w:rPr>
      <w:sz w:val="24"/>
      <w:szCs w:val="24"/>
      <w:lang w:eastAsia="en-IN"/>
    </w:r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basedOn w:val="DefaultParagraphFont"/>
    <w:link w:val="Header"/>
    <w:uiPriority w:val="99"/>
    <w:rPr>
      <w:rFonts w:ascii="Times New Roman" w:eastAsia="Times New Roman" w:hAnsi="Times New Roman" w:cs="Times New Roman"/>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rPr>
      <w:rFonts w:ascii="Times New Roman" w:eastAsia="Times New Roman" w:hAnsi="Times New Roman" w:cs="Times New Roman"/>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TOCHeading">
    <w:name w:val="TOC Heading"/>
    <w:basedOn w:val="Heading1"/>
    <w:next w:val="Normal"/>
    <w:uiPriority w:val="39"/>
    <w:qFormat/>
    <w:pPr>
      <w:widowControl/>
      <w:spacing w:before="240" w:after="0" w:line="259" w:lineRule="auto"/>
      <w:outlineLvl w:val="9"/>
    </w:pPr>
    <w:rPr>
      <w:rFonts w:ascii="Cambria" w:eastAsia="SimSun" w:hAnsi="Cambria" w:cs="SimSun"/>
      <w:b w:val="0"/>
      <w:bCs w:val="0"/>
      <w:color w:val="365F91"/>
      <w:sz w:val="32"/>
      <w:szCs w:val="32"/>
      <w:lang w:val="en-US" w:eastAsia="en-US"/>
    </w:rPr>
  </w:style>
  <w:style w:type="paragraph" w:styleId="TOC2">
    <w:name w:val="toc 2"/>
    <w:basedOn w:val="Normal"/>
    <w:next w:val="Normal"/>
    <w:uiPriority w:val="39"/>
    <w:pPr>
      <w:widowControl/>
      <w:spacing w:after="100" w:line="259" w:lineRule="auto"/>
      <w:ind w:left="220"/>
    </w:pPr>
    <w:rPr>
      <w:rFonts w:ascii="Calibri" w:eastAsia="SimSun" w:hAnsi="Calibri"/>
      <w:lang w:val="en-US" w:eastAsia="en-US"/>
    </w:rPr>
  </w:style>
  <w:style w:type="paragraph" w:styleId="TOC1">
    <w:name w:val="toc 1"/>
    <w:basedOn w:val="Normal"/>
    <w:next w:val="Normal"/>
    <w:uiPriority w:val="39"/>
    <w:pPr>
      <w:widowControl/>
      <w:spacing w:after="100" w:line="259" w:lineRule="auto"/>
    </w:pPr>
    <w:rPr>
      <w:rFonts w:ascii="Calibri" w:eastAsia="SimSun" w:hAnsi="Calibri"/>
      <w:lang w:val="en-US" w:eastAsia="en-US"/>
    </w:rPr>
  </w:style>
  <w:style w:type="paragraph" w:styleId="TOC3">
    <w:name w:val="toc 3"/>
    <w:basedOn w:val="Normal"/>
    <w:next w:val="Normal"/>
    <w:uiPriority w:val="39"/>
    <w:pPr>
      <w:widowControl/>
      <w:spacing w:after="100" w:line="259" w:lineRule="auto"/>
      <w:ind w:left="440"/>
    </w:pPr>
    <w:rPr>
      <w:rFonts w:ascii="Calibri" w:eastAsia="SimSun" w:hAnsi="Calibri"/>
      <w:lang w:val="en-US"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character" w:customStyle="1" w:styleId="UnresolvedMention1">
    <w:name w:val="Unresolved Mention1"/>
    <w:basedOn w:val="DefaultParagraphFont"/>
    <w:uiPriority w:val="99"/>
    <w:rPr>
      <w:color w:val="605E5C"/>
      <w:shd w:val="clear" w:color="auto" w:fill="E1DFDD"/>
    </w:rPr>
  </w:style>
  <w:style w:type="character" w:customStyle="1" w:styleId="UnresolvedMention2">
    <w:name w:val="Unresolved Mention2"/>
    <w:basedOn w:val="DefaultParagraphFont"/>
    <w:uiPriority w:val="99"/>
    <w:rPr>
      <w:color w:val="605E5C"/>
      <w:shd w:val="clear" w:color="auto" w:fill="E1DFDD"/>
    </w:rPr>
  </w:style>
  <w:style w:type="character" w:styleId="FollowedHyperlink">
    <w:name w:val="FollowedHyperlink"/>
    <w:basedOn w:val="DefaultParagraphFont"/>
    <w:uiPriority w:val="99"/>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footer" Target="footer5.xml"/><Relationship Id="rId26" Type="http://schemas.openxmlformats.org/officeDocument/2006/relationships/footer" Target="footer8.xml"/><Relationship Id="rId39" Type="http://schemas.openxmlformats.org/officeDocument/2006/relationships/hyperlink" Target="https://towerhamlets.moderngov.co.uk/documents/g13338/Public%20reports%20pack%2017th-Jan-2023%2017.00%20Tower%20Hamlets%20Health%20and%20Wellbeing%20Board.pdf?T=10" TargetMode="External"/><Relationship Id="rId21" Type="http://schemas.openxmlformats.org/officeDocument/2006/relationships/header" Target="header7.xml"/><Relationship Id="rId34" Type="http://schemas.openxmlformats.org/officeDocument/2006/relationships/hyperlink" Target="https://doi.org/10.1016/j.ypmed.2019.01.023" TargetMode="External"/><Relationship Id="rId42" Type="http://schemas.openxmlformats.org/officeDocument/2006/relationships/header" Target="header9.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4.xml"/><Relationship Id="rId29" Type="http://schemas.openxmlformats.org/officeDocument/2006/relationships/hyperlink" Target="https://doi.org/10.1111/joim.1354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uwtsd.hosted.panopto.com/Panopto/Pages/Viewer.aspx?id=0e1d386b-d8de-4cc3-90fb-b4120105f34e" TargetMode="External"/><Relationship Id="rId32" Type="http://schemas.openxmlformats.org/officeDocument/2006/relationships/hyperlink" Target="https://doi.org/10.1186/s13033-024-00645-7" TargetMode="External"/><Relationship Id="rId37" Type="http://schemas.openxmlformats.org/officeDocument/2006/relationships/hyperlink" Target="https://doi.org/10.1093/ije/dyab029" TargetMode="External"/><Relationship Id="rId40" Type="http://schemas.openxmlformats.org/officeDocument/2006/relationships/hyperlink" Target="https://towerhamlets.moderngov.co.uk/documents/s165656/Childhood%20Obesity%20proposals%20to%20develop%20a%20whole%20system%20approach%20to%20tackling%20childhood%20obesity%20in%20To.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hyperlink" Target="https://uwtsd.hosted.panopto.com/Panopto/Pages/Viewer.aspx?id=0e1d386b-d8de-4cc3-90fb-b4120105f34e" TargetMode="External"/><Relationship Id="rId28" Type="http://schemas.openxmlformats.org/officeDocument/2006/relationships/hyperlink" Target="https://doi.org/10.1016/j.healthpol.2024.105194" TargetMode="External"/><Relationship Id="rId36" Type="http://schemas.openxmlformats.org/officeDocument/2006/relationships/hyperlink" Target="https://doi.org/10.3390/healthcare10112204" TargetMode="External"/><Relationship Id="rId10" Type="http://schemas.openxmlformats.org/officeDocument/2006/relationships/footer" Target="footer1.xml"/><Relationship Id="rId19" Type="http://schemas.openxmlformats.org/officeDocument/2006/relationships/header" Target="header6.xml"/><Relationship Id="rId31" Type="http://schemas.openxmlformats.org/officeDocument/2006/relationships/hyperlink" Target="https://doi.org/10.1007/s11528-023-00859-5"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7.xml"/><Relationship Id="rId27" Type="http://schemas.openxmlformats.org/officeDocument/2006/relationships/hyperlink" Target="https://www.gov.uk/government/publications/guidance-on-the-preparation-of-integrated-care-strategies/guidance-on-the-preparation-of-integrated-care-strategies" TargetMode="External"/><Relationship Id="rId30" Type="http://schemas.openxmlformats.org/officeDocument/2006/relationships/hyperlink" Target="https://northeastlondon.icb.nhs.uk/wp-content/uploads/2023/02/NHS-North-East-London-ICB-Board-26.07.23-2.pdf" TargetMode="External"/><Relationship Id="rId35" Type="http://schemas.openxmlformats.org/officeDocument/2006/relationships/hyperlink" Target="https://doi.org/10.1007/s12571-023-01361-9" TargetMode="External"/><Relationship Id="rId43" Type="http://schemas.openxmlformats.org/officeDocument/2006/relationships/footer" Target="footer9.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eader" Target="header5.xml"/><Relationship Id="rId25" Type="http://schemas.openxmlformats.org/officeDocument/2006/relationships/header" Target="header8.xml"/><Relationship Id="rId33" Type="http://schemas.openxmlformats.org/officeDocument/2006/relationships/hyperlink" Target="https://doi.org/10.1093/pubmed/fdaf103" TargetMode="External"/><Relationship Id="rId38" Type="http://schemas.openxmlformats.org/officeDocument/2006/relationships/hyperlink" Target="https://www.towerhamlets.gov.uk/Documents/Public-Health/JSNA/JSNA_Summary.pdf" TargetMode="External"/><Relationship Id="rId20" Type="http://schemas.openxmlformats.org/officeDocument/2006/relationships/footer" Target="footer6.xml"/><Relationship Id="rId41" Type="http://schemas.openxmlformats.org/officeDocument/2006/relationships/hyperlink" Target="https://doi.org/10.3389/fnut.2022.89509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dxzrfMRu8bVpawebkPcm0G4gKA==">CgMxLjAaFAoBMBIPCg0IB0IJEgdHdW5nc3VoMg5oLnNzaW4wcG9mMm5udjIOaC5ubTdrazFlZm8xNGoyDmguaTRidWFoc25zaDZ6Mg5oLmNlNzBpNDRxZzBuazIOaC5qZDhuZTRqbjZ5Y2cyDmguYXE0bXpzczU0bzE4Mg5oLng3dW1obHB4c3FjYzIOaC4xN3B1YmpvMmJzZW8yDmgubWU5a2M5a3NvZmlhOAByITE5MzRvTTdIRTlOMUhScGdyek1mTWlKWkljRV9WS1RH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3235</Words>
  <Characters>18442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prashant gajera</cp:lastModifiedBy>
  <cp:revision>5</cp:revision>
  <dcterms:created xsi:type="dcterms:W3CDTF">2026-03-19T21:11:00Z</dcterms:created>
  <dcterms:modified xsi:type="dcterms:W3CDTF">2026-03-19T21:21:00Z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2026-02-12T00:00:00Z</vt:filetime>
  </property>
  <property fmtid="{D5CDD505-2E9C-101B-9397-08002B2CF9AE}" pid="3" name="Creator">
    <vt:lpwstr>Microsoft Word</vt:lpwstr>
  </property>
  <property fmtid="{D5CDD505-2E9C-101B-9397-08002B2CF9AE}" pid="4" name="LastSaved">
    <vt:filetime>2026-02-27T00:00:00Z</vt:filetime>
  </property>
  <property fmtid="{D5CDD505-2E9C-101B-9397-08002B2CF9AE}" pid="5" name="GrammarlyDocumentId">
    <vt:lpwstr>5e88bd68-5a52-4bc7-a1e4-d7353c295b2b</vt:lpwstr>
  </property>
  <property fmtid="{D5CDD505-2E9C-101B-9397-08002B2CF9AE}" pid="6" name="ICV">
    <vt:lpwstr>1cf45e3c2c3947fe8523267cdf37c14c</vt:lpwstr>
  </property>
</Properties>
</file>