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2031B8" w:rsidP="002031B8" w14:paraId="3A22FA90" w14:textId="04D5033A">
      <w:pPr>
        <w:ind w:firstLine="720"/>
        <w:jc w:val="center"/>
      </w:pPr>
      <w:r>
        <w:t xml:space="preserve">An Analysis of the Morality of </w:t>
      </w:r>
      <w:r>
        <w:t>Dr</w:t>
      </w:r>
      <w:r>
        <w:t xml:space="preserve"> Faustus and Revengers Tragedy in Relation to the Medieval Mystery Plays</w:t>
      </w:r>
      <w:r w:rsidR="000A2CF0">
        <w:t>.</w:t>
      </w:r>
    </w:p>
    <w:p w:rsidR="00FD3A08" w:rsidRPr="002031B8" w:rsidP="00314E75" w14:paraId="205F0797" w14:textId="1A6D23C7">
      <w:pPr>
        <w:ind w:firstLine="720"/>
      </w:pPr>
      <w:r w:rsidRPr="002031B8">
        <w:t>In the early Modern Period, starting after the Reformation a change happened in England. Following the Protestant Reformation and the dis</w:t>
      </w:r>
      <w:r w:rsidRPr="002031B8" w:rsidR="009415FC">
        <w:t>integration</w:t>
      </w:r>
      <w:r w:rsidRPr="002031B8">
        <w:t xml:space="preserve"> of the Anglican Church from the Medieval Catholic one, the theatre was facing a change that would help define entertainment and society for the centuries to come.</w:t>
      </w:r>
      <w:r>
        <w:rPr>
          <w:rStyle w:val="FootnoteReference"/>
        </w:rPr>
        <w:footnoteReference w:id="2"/>
      </w:r>
      <w:r w:rsidRPr="002031B8">
        <w:t xml:space="preserve"> The </w:t>
      </w:r>
      <w:r w:rsidRPr="002031B8" w:rsidR="00727B41">
        <w:t>Emergence of this protestant English church and the hostility toward the Catholic church set the stage for the emergence of Secular Drama to supplant the dominance of the Medieval Mystery Plays.</w:t>
      </w:r>
      <w:r>
        <w:rPr>
          <w:rStyle w:val="FootnoteReference"/>
        </w:rPr>
        <w:footnoteReference w:id="3"/>
      </w:r>
      <w:r w:rsidRPr="002031B8" w:rsidR="00727B41">
        <w:t xml:space="preserve"> </w:t>
      </w:r>
      <w:r w:rsidRPr="002031B8" w:rsidR="00D771DF">
        <w:t>While the Mystery Plays did not entirely disappear they were lessened in their significance in the daily life of the British population.</w:t>
      </w:r>
      <w:r>
        <w:rPr>
          <w:rStyle w:val="FootnoteReference"/>
        </w:rPr>
        <w:footnoteReference w:id="4"/>
      </w:r>
      <w:r w:rsidRPr="002031B8" w:rsidR="009F2D0C">
        <w:t xml:space="preserve"> As these new plays grew out of the Mystery Play movement</w:t>
      </w:r>
      <w:r w:rsidRPr="002031B8" w:rsidR="007A4D48">
        <w:t xml:space="preserve"> they would have some remaining connections to the older Mystery Plays, but they would also be different.</w:t>
      </w:r>
      <w:r w:rsidRPr="002031B8" w:rsidR="00141AC8">
        <w:t xml:space="preserve"> An examination of several early plays </w:t>
      </w:r>
      <w:r w:rsidRPr="002031B8" w:rsidR="00141AC8">
        <w:t>would</w:t>
      </w:r>
      <w:r w:rsidRPr="002031B8" w:rsidR="00141AC8">
        <w:t xml:space="preserve"> highlight some of the shifts and differences between the older Medieval Mystery Plays and </w:t>
      </w:r>
      <w:r w:rsidRPr="002031B8" w:rsidR="00D369D3">
        <w:t>more ‘modern’ plays such as “</w:t>
      </w:r>
      <w:r w:rsidRPr="002031B8" w:rsidR="00D369D3">
        <w:rPr>
          <w:i/>
          <w:iCs/>
        </w:rPr>
        <w:t>The Revengers Tragedy” and “</w:t>
      </w:r>
      <w:r w:rsidRPr="002031B8" w:rsidR="00D369D3">
        <w:rPr>
          <w:i/>
          <w:iCs/>
        </w:rPr>
        <w:t>Dr.</w:t>
      </w:r>
      <w:r w:rsidRPr="002031B8" w:rsidR="00D369D3">
        <w:rPr>
          <w:i/>
          <w:iCs/>
        </w:rPr>
        <w:t xml:space="preserve"> Faustus”</w:t>
      </w:r>
      <w:r w:rsidRPr="002031B8">
        <w:rPr>
          <w:i/>
          <w:iCs/>
        </w:rPr>
        <w:t>.</w:t>
      </w:r>
      <w:r w:rsidRPr="002031B8" w:rsidR="00D369D3">
        <w:t xml:space="preserve"> </w:t>
      </w:r>
      <w:r w:rsidRPr="002031B8">
        <w:t xml:space="preserve">These more early modern plays reflect a more modern approach to morality, they are both filled with </w:t>
      </w:r>
      <w:r w:rsidRPr="002031B8" w:rsidR="000864F7">
        <w:t xml:space="preserve">topics that are less common in mystery plays, and </w:t>
      </w:r>
      <w:r w:rsidRPr="002031B8" w:rsidR="0071477D">
        <w:t xml:space="preserve">the Renaissance dramas introduce an element of moral ambiguity that is lacking in the </w:t>
      </w:r>
      <w:r w:rsidRPr="002031B8" w:rsidR="0071477D">
        <w:t>earlier mystery</w:t>
      </w:r>
      <w:r w:rsidRPr="002031B8" w:rsidR="0071477D">
        <w:t xml:space="preserve"> plays. The presence of more character </w:t>
      </w:r>
      <w:r w:rsidRPr="002031B8" w:rsidR="00314E75">
        <w:t>nuance</w:t>
      </w:r>
      <w:r w:rsidRPr="002031B8" w:rsidR="0071477D">
        <w:t xml:space="preserve"> is also evident in the plays writte</w:t>
      </w:r>
      <w:r w:rsidRPr="002031B8" w:rsidR="00AB4E09">
        <w:t xml:space="preserve">n by people such as Marlowe or Thomas </w:t>
      </w:r>
      <w:r w:rsidRPr="002031B8" w:rsidR="00314E75">
        <w:t>Middleton.</w:t>
      </w:r>
      <w:r>
        <w:rPr>
          <w:rStyle w:val="FootnoteReference"/>
        </w:rPr>
        <w:footnoteReference w:id="5"/>
      </w:r>
    </w:p>
    <w:p w:rsidR="00687196" w:rsidRPr="002031B8" w:rsidP="00AB0DBE" w14:paraId="65527B58" w14:textId="1544D3C3">
      <w:pPr>
        <w:ind w:firstLine="720"/>
      </w:pPr>
      <w:r w:rsidRPr="002031B8">
        <w:t xml:space="preserve">The Mystery Plays were a phenomenon that arose out of the catholic church </w:t>
      </w:r>
      <w:r w:rsidRPr="002031B8" w:rsidR="00CE672C">
        <w:t>in the 11</w:t>
      </w:r>
      <w:r w:rsidRPr="002031B8" w:rsidR="00CE672C">
        <w:rPr>
          <w:vertAlign w:val="superscript"/>
        </w:rPr>
        <w:t>th</w:t>
      </w:r>
      <w:r w:rsidRPr="002031B8" w:rsidR="00CE672C">
        <w:t xml:space="preserve"> century, </w:t>
      </w:r>
      <w:r w:rsidRPr="002031B8" w:rsidR="00567004">
        <w:t xml:space="preserve">there was suspicion of the mystery plays early in their inception, but they soon swelled in </w:t>
      </w:r>
      <w:r w:rsidRPr="002031B8" w:rsidR="00BA0C8F">
        <w:t>popularity</w:t>
      </w:r>
      <w:r w:rsidRPr="002031B8" w:rsidR="00567004">
        <w:t xml:space="preserve"> </w:t>
      </w:r>
      <w:r w:rsidRPr="002031B8" w:rsidR="00944D7D">
        <w:t>by the early 13</w:t>
      </w:r>
      <w:r w:rsidRPr="002031B8" w:rsidR="00944D7D">
        <w:rPr>
          <w:vertAlign w:val="superscript"/>
        </w:rPr>
        <w:t>th</w:t>
      </w:r>
      <w:r w:rsidRPr="002031B8" w:rsidR="00944D7D">
        <w:t xml:space="preserve"> century the plays,</w:t>
      </w:r>
      <w:r w:rsidRPr="002031B8" w:rsidR="00A83AA9">
        <w:t xml:space="preserve"> which were</w:t>
      </w:r>
      <w:r w:rsidRPr="002031B8" w:rsidR="00944D7D">
        <w:t xml:space="preserve"> originally put forth by clergy to help the public better </w:t>
      </w:r>
      <w:r w:rsidRPr="002031B8" w:rsidR="00BA0C8F">
        <w:t>understand</w:t>
      </w:r>
      <w:r w:rsidRPr="002031B8" w:rsidR="00944D7D">
        <w:t xml:space="preserve"> biblical stories</w:t>
      </w:r>
      <w:r w:rsidRPr="002031B8" w:rsidR="00A83AA9">
        <w:t>, were instead taken over by the guild system.</w:t>
      </w:r>
      <w:r>
        <w:rPr>
          <w:rStyle w:val="FootnoteReference"/>
        </w:rPr>
        <w:footnoteReference w:id="6"/>
      </w:r>
      <w:r w:rsidRPr="002031B8" w:rsidR="00A83AA9">
        <w:t xml:space="preserve"> What was once a tool for religious learning, </w:t>
      </w:r>
      <w:r w:rsidRPr="002031B8" w:rsidR="00314E75">
        <w:t>taught</w:t>
      </w:r>
      <w:r w:rsidRPr="002031B8" w:rsidR="00A83AA9">
        <w:t xml:space="preserve"> in an entertaining and understandable way</w:t>
      </w:r>
      <w:r w:rsidRPr="002031B8" w:rsidR="00A22EBA">
        <w:t xml:space="preserve"> by the clergy in the local vernacular</w:t>
      </w:r>
      <w:r w:rsidRPr="002031B8" w:rsidR="00750727">
        <w:t>, was taken over by a secular group for entertainment as much as moral and religious teaching. This</w:t>
      </w:r>
      <w:r w:rsidRPr="002031B8" w:rsidR="00337828">
        <w:t xml:space="preserve"> development</w:t>
      </w:r>
      <w:r w:rsidRPr="002031B8" w:rsidR="00750727">
        <w:t xml:space="preserve"> did not in any way make the </w:t>
      </w:r>
      <w:r w:rsidRPr="002031B8" w:rsidR="00337828">
        <w:t xml:space="preserve">plays any less Christian. The plays put on by the guilds were still always Christian, and always about Christian and Catholic themes. </w:t>
      </w:r>
      <w:r w:rsidRPr="002031B8" w:rsidR="006043EB">
        <w:t xml:space="preserve">These plays covered </w:t>
      </w:r>
      <w:r w:rsidRPr="002031B8" w:rsidR="00314E75">
        <w:t>popular</w:t>
      </w:r>
      <w:r w:rsidRPr="002031B8" w:rsidR="006043EB">
        <w:t xml:space="preserve"> stories from the Catholic teachings of the day, Stories of </w:t>
      </w:r>
      <w:r w:rsidRPr="002031B8" w:rsidR="006043EB">
        <w:t xml:space="preserve">Adam and Eve, the fall of Lucifer, and </w:t>
      </w:r>
      <w:r w:rsidRPr="002031B8" w:rsidR="00D11B3B">
        <w:t>Judgment Day</w:t>
      </w:r>
      <w:r w:rsidRPr="002031B8" w:rsidR="006043EB">
        <w:t xml:space="preserve"> are well recorded as some of the most popular of the time.</w:t>
      </w:r>
      <w:r>
        <w:rPr>
          <w:rStyle w:val="FootnoteReference"/>
        </w:rPr>
        <w:footnoteReference w:id="7"/>
      </w:r>
      <w:r w:rsidRPr="002031B8" w:rsidR="00C33A58">
        <w:t xml:space="preserve"> In England, these Mystery Plays are well recorded in </w:t>
      </w:r>
      <w:r w:rsidRPr="002031B8" w:rsidR="00C44B33">
        <w:t xml:space="preserve">sets of plays like the York Cycle, Chester Plays, and Wakefield Plays. These plays were a very catholic way of </w:t>
      </w:r>
      <w:r w:rsidRPr="002031B8" w:rsidR="00E75AA0">
        <w:t xml:space="preserve">retelling the gospel and memorable stories. </w:t>
      </w:r>
    </w:p>
    <w:p w:rsidR="00FF0C98" w:rsidRPr="002031B8" w:rsidP="00FF0C98" w14:paraId="7A62F06F" w14:textId="06ADEC56">
      <w:r w:rsidRPr="002031B8">
        <w:tab/>
        <w:t>The era of mystery plays in England came to an end in the early 16</w:t>
      </w:r>
      <w:r w:rsidRPr="002031B8">
        <w:rPr>
          <w:vertAlign w:val="superscript"/>
        </w:rPr>
        <w:t>th</w:t>
      </w:r>
      <w:r w:rsidRPr="002031B8">
        <w:t xml:space="preserve"> century, with the rise of Protestantism</w:t>
      </w:r>
      <w:r w:rsidRPr="002031B8" w:rsidR="00314E75">
        <w:t xml:space="preserve">. This new reformation in the church divided Europe along political, social and religious lines and in England gave rise to an effort to suppress the older style of medieval mystery play. </w:t>
      </w:r>
      <w:r w:rsidRPr="002031B8" w:rsidR="008D1FAF">
        <w:t xml:space="preserve">This was an effort to </w:t>
      </w:r>
      <w:r w:rsidRPr="002031B8" w:rsidR="00DA7AB5">
        <w:t>reform the way that the people expressed their Christianity from a historically catholic population to the new and emerging Protestant views of Christianity and entertainment.</w:t>
      </w:r>
      <w:r>
        <w:rPr>
          <w:rStyle w:val="FootnoteReference"/>
        </w:rPr>
        <w:footnoteReference w:id="8"/>
      </w:r>
    </w:p>
    <w:p w:rsidR="00CC06A1" w:rsidRPr="002031B8" w:rsidP="00FF0C98" w14:paraId="6D149927" w14:textId="2760706A">
      <w:r w:rsidRPr="002031B8">
        <w:tab/>
        <w:t xml:space="preserve">The Renaissance brought about the rise of a great number of secular plays, plays such as </w:t>
      </w:r>
      <w:r w:rsidRPr="002031B8" w:rsidR="00E37EC8">
        <w:t>Ravengers</w:t>
      </w:r>
      <w:r w:rsidRPr="002031B8" w:rsidR="00E37EC8">
        <w:t xml:space="preserve"> Tragedy, </w:t>
      </w:r>
      <w:r w:rsidRPr="002031B8" w:rsidR="00E37EC8">
        <w:t>and Dr.</w:t>
      </w:r>
      <w:r w:rsidRPr="002031B8" w:rsidR="00E37EC8">
        <w:t xml:space="preserve"> Faustus are indicative of a shift in the taste and the </w:t>
      </w:r>
      <w:r w:rsidRPr="002031B8" w:rsidR="006C6CD7">
        <w:t xml:space="preserve">ideas of what was appropriate to </w:t>
      </w:r>
      <w:r w:rsidRPr="002031B8" w:rsidR="007F5BDD">
        <w:t>perform</w:t>
      </w:r>
      <w:r w:rsidRPr="002031B8" w:rsidR="006C6CD7">
        <w:t xml:space="preserve"> on the stage in this era. </w:t>
      </w:r>
      <w:r w:rsidRPr="002031B8" w:rsidR="003A6B30">
        <w:t xml:space="preserve">Plays Like </w:t>
      </w:r>
      <w:r w:rsidRPr="002031B8" w:rsidR="003A6B30">
        <w:t>Dr.</w:t>
      </w:r>
      <w:r w:rsidRPr="002031B8" w:rsidR="003A6B30">
        <w:t xml:space="preserve"> Faustus were shocking to their Renaissance audience, even to the point that t</w:t>
      </w:r>
      <w:r w:rsidRPr="002031B8" w:rsidR="004324EE">
        <w:t xml:space="preserve">he actors of the characters were on edge throughout </w:t>
      </w:r>
      <w:r w:rsidRPr="002031B8" w:rsidR="00600BA3">
        <w:t>the performance</w:t>
      </w:r>
      <w:r w:rsidRPr="002031B8" w:rsidR="004324EE">
        <w:t xml:space="preserve">. There is some evidence that the actor who played the character </w:t>
      </w:r>
      <w:r w:rsidRPr="002031B8" w:rsidR="004324EE">
        <w:t>Dr.</w:t>
      </w:r>
      <w:r w:rsidRPr="002031B8" w:rsidR="004324EE">
        <w:t xml:space="preserve"> Faustus originally, wore a large crucifix </w:t>
      </w:r>
      <w:r w:rsidRPr="002031B8" w:rsidR="00600BA3">
        <w:t>throughout</w:t>
      </w:r>
      <w:r w:rsidRPr="002031B8" w:rsidR="004324EE">
        <w:t xml:space="preserve"> the production to protect himself from the devil.</w:t>
      </w:r>
      <w:r>
        <w:rPr>
          <w:rStyle w:val="FootnoteReference"/>
        </w:rPr>
        <w:footnoteReference w:id="9"/>
      </w:r>
      <w:r w:rsidRPr="002031B8" w:rsidR="0099612A">
        <w:t xml:space="preserve"> A phenomenon not well documented in the earlier mystery plays.</w:t>
      </w:r>
      <w:r w:rsidRPr="002031B8">
        <w:t xml:space="preserve"> The newer publication of these plays means we have a better understanding of who wrote them, at least in some cases, which can lead to a more comprehensive understanding of the Renaissance drama. Playwrights such as </w:t>
      </w:r>
      <w:r w:rsidRPr="002031B8" w:rsidR="00F34AFA">
        <w:t>Christo</w:t>
      </w:r>
      <w:r w:rsidRPr="002031B8" w:rsidR="0099612A">
        <w:t>ph</w:t>
      </w:r>
      <w:r w:rsidRPr="002031B8" w:rsidR="00F34AFA">
        <w:t>er Marlowe</w:t>
      </w:r>
      <w:r w:rsidRPr="002031B8" w:rsidR="0099612A">
        <w:t xml:space="preserve">, </w:t>
      </w:r>
      <w:r w:rsidRPr="002031B8" w:rsidR="0099612A">
        <w:t>who</w:t>
      </w:r>
      <w:r w:rsidRPr="002031B8" w:rsidR="0099612A">
        <w:t xml:space="preserve">se life is </w:t>
      </w:r>
      <w:r w:rsidRPr="002031B8" w:rsidR="0099612A">
        <w:t>fairl</w:t>
      </w:r>
      <w:r w:rsidRPr="002031B8" w:rsidR="008F03A6">
        <w:t>y</w:t>
      </w:r>
      <w:r w:rsidRPr="002031B8" w:rsidR="0099612A">
        <w:t xml:space="preserve"> well</w:t>
      </w:r>
      <w:r w:rsidRPr="002031B8" w:rsidR="0099612A">
        <w:t xml:space="preserve"> documented compared to his medieval counterparts</w:t>
      </w:r>
      <w:r w:rsidRPr="002031B8" w:rsidR="008F03A6">
        <w:t>, offer an interesting angle of analysis that is not present for earlier works</w:t>
      </w:r>
      <w:r w:rsidRPr="002031B8" w:rsidR="00D20A10">
        <w:t xml:space="preserve">, although large parts of Marlowe’s life </w:t>
      </w:r>
      <w:r w:rsidRPr="002031B8" w:rsidR="00441DE5">
        <w:t xml:space="preserve">are enigmatic enough can be pieced together to shape the audiences view of his plays, and the message they portray on the stage. </w:t>
      </w:r>
    </w:p>
    <w:p w:rsidR="00A1704D" w:rsidRPr="002031B8" w:rsidP="00441DE5" w14:paraId="7A7597F4" w14:textId="198F62B3">
      <w:pPr>
        <w:ind w:firstLine="720"/>
      </w:pPr>
      <w:r w:rsidRPr="002031B8">
        <w:t>Dr.</w:t>
      </w:r>
      <w:r w:rsidRPr="002031B8">
        <w:t xml:space="preserve"> Faustus</w:t>
      </w:r>
      <w:r w:rsidRPr="002031B8" w:rsidR="006261F4">
        <w:t xml:space="preserve"> </w:t>
      </w:r>
      <w:r w:rsidRPr="002031B8" w:rsidR="00CC06A1">
        <w:t xml:space="preserve">is interesting in its deviation from the Medieval </w:t>
      </w:r>
      <w:r w:rsidRPr="002031B8">
        <w:t>mystery plays in not only style but also in the method it delivers its message.</w:t>
      </w:r>
      <w:r w:rsidRPr="002031B8" w:rsidR="009F5767">
        <w:t xml:space="preserve"> To this very day, </w:t>
      </w:r>
      <w:r w:rsidRPr="002031B8" w:rsidR="007E4F4A">
        <w:t>critics</w:t>
      </w:r>
      <w:r w:rsidRPr="002031B8" w:rsidR="009F5767">
        <w:t xml:space="preserve"> are still unable to find a consensus as to </w:t>
      </w:r>
      <w:r w:rsidRPr="002031B8" w:rsidR="009F5767">
        <w:t>whether</w:t>
      </w:r>
      <w:r w:rsidRPr="002031B8" w:rsidR="009F5767">
        <w:t xml:space="preserve"> this play was written through the </w:t>
      </w:r>
      <w:r w:rsidRPr="002031B8" w:rsidR="007E4F4A">
        <w:t>lens</w:t>
      </w:r>
      <w:r w:rsidRPr="002031B8" w:rsidR="009F5767">
        <w:t xml:space="preserve"> of a </w:t>
      </w:r>
      <w:r w:rsidRPr="002031B8" w:rsidR="007E4F4A">
        <w:t>sceptic</w:t>
      </w:r>
      <w:r w:rsidRPr="002031B8" w:rsidR="009F5767">
        <w:t xml:space="preserve"> or a </w:t>
      </w:r>
      <w:r w:rsidRPr="002031B8" w:rsidR="007E4F4A">
        <w:t>Christian believer. While there can be little doubt that Christopher Marlo</w:t>
      </w:r>
      <w:r w:rsidRPr="002031B8" w:rsidR="0046786F">
        <w:t>we himself was a sceptic, having been arrested several times on suspicion of atheism</w:t>
      </w:r>
      <w:r w:rsidRPr="002031B8" w:rsidR="00E56984">
        <w:t xml:space="preserve">. This does not mean that the play itself is one that advocates for this viewpoint. </w:t>
      </w:r>
      <w:r w:rsidRPr="002031B8" w:rsidR="00244464">
        <w:t xml:space="preserve">The play focuses on the Character of </w:t>
      </w:r>
      <w:r w:rsidRPr="002031B8" w:rsidR="00244464">
        <w:t>Dr.</w:t>
      </w:r>
      <w:r w:rsidRPr="002031B8" w:rsidR="00244464">
        <w:t xml:space="preserve"> Faustus who signs a deal with the devil in </w:t>
      </w:r>
      <w:r w:rsidRPr="002031B8" w:rsidR="00D377E4">
        <w:t xml:space="preserve">Act One Scene Three. In this act, we see </w:t>
      </w:r>
      <w:r w:rsidRPr="002031B8" w:rsidR="0036418D">
        <w:t xml:space="preserve">one of the first differences between plays in works like the Chester plays, of the York cycle. There is open mockery of the Catholic church in </w:t>
      </w:r>
      <w:r w:rsidRPr="002031B8" w:rsidR="0036418D">
        <w:t>Dr.</w:t>
      </w:r>
      <w:r w:rsidRPr="002031B8" w:rsidR="0036418D">
        <w:t xml:space="preserve"> Faustus. </w:t>
      </w:r>
    </w:p>
    <w:p w:rsidR="00E14B2A" w:rsidRPr="002031B8" w:rsidP="00B66C00" w14:paraId="583B21E1" w14:textId="4F57D60A">
      <w:pPr>
        <w:ind w:firstLine="720"/>
      </w:pPr>
      <w:r w:rsidRPr="002031B8">
        <w:t>“I charge thee to return and change thy shape. Thou art too ugly to attend on me. Go, and return an old Franciscan friar</w:t>
      </w:r>
      <w:r w:rsidRPr="002031B8" w:rsidR="002561D6">
        <w:t>; that holy shape becomes a devil best</w:t>
      </w:r>
      <w:r w:rsidRPr="002031B8" w:rsidR="00B66C00">
        <w:t>.</w:t>
      </w:r>
      <w:r>
        <w:rPr>
          <w:rStyle w:val="FootnoteReference"/>
        </w:rPr>
        <w:footnoteReference w:id="10"/>
      </w:r>
      <w:r w:rsidRPr="002031B8" w:rsidR="002561D6">
        <w:t xml:space="preserve"> </w:t>
      </w:r>
    </w:p>
    <w:p w:rsidR="00B66C00" w:rsidRPr="002031B8" w:rsidP="00B66C00" w14:paraId="351AD128" w14:textId="214CDC0D">
      <w:pPr>
        <w:ind w:firstLine="720"/>
      </w:pPr>
      <w:r w:rsidRPr="002031B8">
        <w:t xml:space="preserve">This sort of mockery of the catholic church is in stark contrast with the earlier medieval mystery plays. Many of which were endorsed by the church. This is indicative of a shift not only in the nature of the play but also in the society this play was written for; this newer, more protestant, renaissance audience was not as bound to the catholic church as their earlier medieval counterparts </w:t>
      </w:r>
      <w:r w:rsidRPr="002031B8" w:rsidR="00885582">
        <w:t xml:space="preserve">were. The mystery plays composed some two hundred years before </w:t>
      </w:r>
      <w:r w:rsidRPr="002031B8" w:rsidR="00C051C9">
        <w:t>were strictly pro-</w:t>
      </w:r>
      <w:r w:rsidRPr="002031B8" w:rsidR="00C051C9">
        <w:t>catholic and</w:t>
      </w:r>
      <w:r w:rsidRPr="002031B8" w:rsidR="00C051C9">
        <w:t xml:space="preserve"> were in many ways bound up in catholic theology.</w:t>
      </w:r>
    </w:p>
    <w:p w:rsidR="00694F43" w:rsidRPr="002031B8" w:rsidP="00B66C00" w14:paraId="27A693F9" w14:textId="6529C41A">
      <w:pPr>
        <w:ind w:firstLine="720"/>
      </w:pPr>
      <w:r w:rsidRPr="002031B8">
        <w:t xml:space="preserve">Faustus as a character is a more morally villainous character than many of the main players in mystery plays. For </w:t>
      </w:r>
      <w:r w:rsidRPr="002031B8">
        <w:t>example</w:t>
      </w:r>
      <w:r w:rsidRPr="002031B8">
        <w:t xml:space="preserve">, in the majority of the Chester Mystery Plays, the main characters that are seen on stage are biblical ones, who behave largely as their biblical counterparts do. </w:t>
      </w:r>
      <w:r w:rsidRPr="002031B8" w:rsidR="008E78BF">
        <w:t xml:space="preserve">The mystery play is at its core connected to the church as a teaching aid for the morality and ethics that are taught by the medieval catholic church. </w:t>
      </w:r>
      <w:r w:rsidRPr="002031B8" w:rsidR="00512111">
        <w:t xml:space="preserve">The lines of these plays are dictated by the corresponding lines of text in the Bible, with some additions for other characters. For </w:t>
      </w:r>
      <w:r w:rsidRPr="002031B8" w:rsidR="00512111">
        <w:t>example</w:t>
      </w:r>
      <w:r w:rsidRPr="002031B8" w:rsidR="00512111">
        <w:t xml:space="preserve"> in the Chester Mystery Play about the crucifixion of Christ, Jesus says this line.</w:t>
      </w:r>
    </w:p>
    <w:p w:rsidR="00A064C7" w:rsidRPr="002031B8" w:rsidP="0043045B" w14:paraId="2F39A08C" w14:textId="2EDC34CD">
      <w:pPr>
        <w:ind w:left="720"/>
      </w:pPr>
      <w:r w:rsidRPr="002031B8">
        <w:t>Father of</w:t>
      </w:r>
      <w:r w:rsidRPr="002031B8">
        <w:t xml:space="preserve"> heaven if thy will </w:t>
      </w:r>
      <w:r w:rsidRPr="002031B8">
        <w:t>be</w:t>
      </w:r>
      <w:r w:rsidRPr="002031B8" w:rsidR="0043045B">
        <w:t xml:space="preserve"> Forgive</w:t>
      </w:r>
      <w:r w:rsidRPr="002031B8">
        <w:t xml:space="preserve"> them for what they have done to me!</w:t>
      </w:r>
      <w:r w:rsidRPr="002031B8" w:rsidR="0043045B">
        <w:t xml:space="preserve"> For they are all blind and many not see How foully they do amiss.</w:t>
      </w:r>
      <w:r>
        <w:rPr>
          <w:rStyle w:val="FootnoteReference"/>
        </w:rPr>
        <w:footnoteReference w:id="11"/>
      </w:r>
      <w:r w:rsidRPr="002031B8" w:rsidR="0043045B">
        <w:t xml:space="preserve"> </w:t>
      </w:r>
    </w:p>
    <w:p w:rsidR="002F57AF" w:rsidRPr="002031B8" w:rsidP="00982019" w14:paraId="3DA66A63" w14:textId="0D5DDCE2">
      <w:r w:rsidRPr="002031B8">
        <w:t xml:space="preserve">This quote is almost exactly word for word what Jesus says in </w:t>
      </w:r>
      <w:r w:rsidRPr="002031B8" w:rsidR="005540C5">
        <w:t>the Gospel of Luke chapter 23:34</w:t>
      </w:r>
      <w:r>
        <w:rPr>
          <w:rStyle w:val="FootnoteReference"/>
        </w:rPr>
        <w:footnoteReference w:id="12"/>
      </w:r>
      <w:r w:rsidRPr="002031B8" w:rsidR="008B286A">
        <w:t xml:space="preserve"> Where Jesus forgives his executioners. This shift in writing frees up</w:t>
      </w:r>
      <w:r w:rsidRPr="002031B8">
        <w:t xml:space="preserve"> playwrights like Christopher Marlowe and allows for a more morally grey play, like </w:t>
      </w:r>
      <w:r w:rsidRPr="002031B8">
        <w:t>Dr.</w:t>
      </w:r>
      <w:r w:rsidRPr="002031B8">
        <w:t xml:space="preserve"> Faustus, to exist on the stage. </w:t>
      </w:r>
    </w:p>
    <w:p w:rsidR="00851FDA" w:rsidRPr="002031B8" w:rsidP="00982019" w14:paraId="251B19CA" w14:textId="6FD850A9">
      <w:r w:rsidRPr="002031B8">
        <w:tab/>
        <w:t xml:space="preserve">The </w:t>
      </w:r>
      <w:r w:rsidRPr="002031B8" w:rsidR="004C4FC9">
        <w:t xml:space="preserve">story of Faustus is one where in the end Faustus </w:t>
      </w:r>
      <w:r w:rsidRPr="002031B8" w:rsidR="004C4FC9">
        <w:t>realises</w:t>
      </w:r>
      <w:r w:rsidRPr="002031B8" w:rsidR="004C4FC9">
        <w:t xml:space="preserve"> he has made a terrible mistake. He realises that his rash grab for power was not a wise long-term plan for success in his life. This is despite the direct warnings of Mephistopheles </w:t>
      </w:r>
      <w:r w:rsidRPr="002031B8" w:rsidR="00C16D59">
        <w:t xml:space="preserve">the Devil in Act 1 scene 3 line </w:t>
      </w:r>
      <w:r w:rsidRPr="002031B8" w:rsidR="00F57C91">
        <w:t>83. This is an interesting section of the play where in many ways the devil is trying to warn off Faustus from making this frivolous deal.</w:t>
      </w:r>
      <w:r>
        <w:rPr>
          <w:rStyle w:val="FootnoteReference"/>
        </w:rPr>
        <w:footnoteReference w:id="13"/>
      </w:r>
    </w:p>
    <w:p w:rsidR="002F57AF" w:rsidRPr="002031B8" w:rsidP="00851FDA" w14:paraId="62F12868" w14:textId="17C2FEE3">
      <w:pPr>
        <w:ind w:firstLine="720"/>
      </w:pPr>
      <w:r w:rsidRPr="002031B8">
        <w:t xml:space="preserve">Faustus is portrayed as a blasphemer and a heretic. Unlike in earlier plays where those character traits were exclusive to villainous or antagonistic characters Marlowe uses them in a protagonist to tell a slightly different story. This is where critics differ in opinion on the morality of the story. Marlowe himself led a life that was </w:t>
      </w:r>
      <w:r w:rsidRPr="002031B8" w:rsidR="00D7482C">
        <w:t>eerily</w:t>
      </w:r>
      <w:r w:rsidRPr="002031B8">
        <w:t xml:space="preserve"> </w:t>
      </w:r>
      <w:r w:rsidRPr="002031B8">
        <w:t xml:space="preserve">similar </w:t>
      </w:r>
      <w:r w:rsidRPr="002031B8" w:rsidR="00423A3C">
        <w:t>to</w:t>
      </w:r>
      <w:r w:rsidRPr="002031B8" w:rsidR="00423A3C">
        <w:t xml:space="preserve"> the life </w:t>
      </w:r>
      <w:r w:rsidRPr="002031B8" w:rsidR="00423A3C">
        <w:t>Dr.</w:t>
      </w:r>
      <w:r w:rsidRPr="002031B8" w:rsidR="00423A3C">
        <w:t xml:space="preserve"> Faustus is portrayed to live, minus the overt appearances of supernatural figures like Mephistopheles. This</w:t>
      </w:r>
      <w:r w:rsidRPr="002031B8" w:rsidR="007E6781">
        <w:t xml:space="preserve"> has </w:t>
      </w:r>
      <w:r w:rsidRPr="002031B8" w:rsidR="007E6781">
        <w:t>led</w:t>
      </w:r>
      <w:r w:rsidRPr="002031B8" w:rsidR="007E6781">
        <w:t xml:space="preserve"> to the idea that perhaps Marlowe was advocating for a more atheistic lifestyle</w:t>
      </w:r>
      <w:r w:rsidRPr="002031B8" w:rsidR="00943CC7">
        <w:t xml:space="preserve"> </w:t>
      </w:r>
      <w:r w:rsidRPr="002031B8" w:rsidR="00994A75">
        <w:t>in his overt criticism of elements of traditional Christianity</w:t>
      </w:r>
      <w:r w:rsidRPr="002031B8" w:rsidR="009953FB">
        <w:t>.</w:t>
      </w:r>
      <w:r>
        <w:rPr>
          <w:rStyle w:val="FootnoteReference"/>
        </w:rPr>
        <w:footnoteReference w:id="14"/>
      </w:r>
      <w:r w:rsidRPr="002031B8" w:rsidR="009953FB">
        <w:t xml:space="preserve"> And while Faustus’ life is </w:t>
      </w:r>
      <w:r w:rsidRPr="002031B8" w:rsidR="009953FB">
        <w:t>self</w:t>
      </w:r>
      <w:r w:rsidRPr="002031B8" w:rsidR="000062F5">
        <w:t>-destructive</w:t>
      </w:r>
      <w:r w:rsidRPr="002031B8" w:rsidR="009953FB">
        <w:t xml:space="preserve"> in its frivolity. </w:t>
      </w:r>
      <w:r w:rsidRPr="002031B8" w:rsidR="000062F5">
        <w:t>Marlowe himself was a noted Rake and Tabacco lover, interestingly living a life that is condemned in the very play he wrote.</w:t>
      </w:r>
      <w:r>
        <w:rPr>
          <w:rStyle w:val="FootnoteReference"/>
        </w:rPr>
        <w:footnoteReference w:id="15"/>
      </w:r>
      <w:r w:rsidRPr="002031B8" w:rsidR="000062F5">
        <w:t xml:space="preserve"> </w:t>
      </w:r>
    </w:p>
    <w:p w:rsidR="00E51F3A" w:rsidRPr="002031B8" w:rsidP="00851FDA" w14:paraId="51248B29" w14:textId="2EADFFA7">
      <w:pPr>
        <w:ind w:firstLine="720"/>
      </w:pPr>
      <w:r w:rsidRPr="002031B8">
        <w:t>One key theme in Faustus is that of repentance, which is a key theme in many of the sections of the Mystery Plays</w:t>
      </w:r>
      <w:r w:rsidRPr="002031B8" w:rsidR="00AC77F8">
        <w:t xml:space="preserve">. As the time of his death approaches, Faustus thinks about the choices he has made and thinks about how he can be saved from damnation if he were to simply repent. His </w:t>
      </w:r>
      <w:r w:rsidRPr="002031B8" w:rsidR="00AC77F8">
        <w:t>eventual</w:t>
      </w:r>
      <w:r w:rsidRPr="002031B8" w:rsidR="00AC77F8">
        <w:t xml:space="preserve"> descent into Hell not having repented has </w:t>
      </w:r>
      <w:r w:rsidRPr="002031B8" w:rsidR="00AC77F8">
        <w:t>led</w:t>
      </w:r>
      <w:r w:rsidRPr="002031B8" w:rsidR="00AC77F8">
        <w:t xml:space="preserve"> to a debate about whether this is a criticism of the Calvinist theologies of Total Depravity, and Unconditional election. Where a person has no control over whether they will repent, as that has already been chosen by God for reasons outside their comprehension.</w:t>
      </w:r>
      <w:r>
        <w:rPr>
          <w:rStyle w:val="FootnoteReference"/>
        </w:rPr>
        <w:footnoteReference w:id="16"/>
      </w:r>
      <w:r w:rsidRPr="002031B8" w:rsidR="00AC77F8">
        <w:t xml:space="preserve"> This is perhaps a subtle critique of the </w:t>
      </w:r>
      <w:r w:rsidRPr="002031B8" w:rsidR="00CD708B">
        <w:t xml:space="preserve">theology of Anglican England at the time that Christopher Marlowe was writing his famous plays. This is </w:t>
      </w:r>
      <w:r w:rsidRPr="002031B8" w:rsidR="00083833">
        <w:t>distinctly like a mystery play where sinners are called to repentance.</w:t>
      </w:r>
    </w:p>
    <w:p w:rsidR="00000CE4" w:rsidRPr="002031B8" w:rsidP="003933C1" w14:paraId="74EFC002" w14:textId="2FC9B508">
      <w:pPr>
        <w:ind w:firstLine="720"/>
      </w:pPr>
      <w:r w:rsidRPr="002031B8">
        <w:t>Another very interesting work from this era is the play “Revengers Tragedy”</w:t>
      </w:r>
      <w:r w:rsidRPr="002031B8" w:rsidR="00A0715A">
        <w:t xml:space="preserve"> This play is a revenge tragedy about </w:t>
      </w:r>
      <w:r w:rsidRPr="002031B8" w:rsidR="009D6C41">
        <w:t xml:space="preserve">revenge and </w:t>
      </w:r>
      <w:r w:rsidRPr="002031B8" w:rsidR="0067080F">
        <w:t xml:space="preserve">murder. </w:t>
      </w:r>
      <w:r w:rsidRPr="002031B8" w:rsidR="0067080F">
        <w:t>It</w:t>
      </w:r>
      <w:r w:rsidRPr="002031B8" w:rsidR="0067080F">
        <w:t xml:space="preserve"> is very different tonally from the earlier mystery plays. This style of </w:t>
      </w:r>
      <w:r w:rsidRPr="002031B8" w:rsidR="00CD7E6E">
        <w:t>revenge</w:t>
      </w:r>
      <w:r w:rsidRPr="002031B8" w:rsidR="0067080F">
        <w:t xml:space="preserve"> tragedy is a far cry from the moral tal</w:t>
      </w:r>
      <w:r w:rsidRPr="002031B8" w:rsidR="00CD7E6E">
        <w:t>es that are found in Mystery plays. This play</w:t>
      </w:r>
      <w:r w:rsidRPr="002031B8" w:rsidR="00130C0F">
        <w:t xml:space="preserve">’s author is disputed. </w:t>
      </w:r>
      <w:r w:rsidRPr="002031B8" w:rsidR="00FE7992">
        <w:t xml:space="preserve">Although for </w:t>
      </w:r>
      <w:r w:rsidRPr="002031B8" w:rsidR="00FE7992">
        <w:t>a number of</w:t>
      </w:r>
      <w:r w:rsidRPr="002031B8" w:rsidR="00FE7992">
        <w:t xml:space="preserve"> years, the authorship of this play was ascribed to Cyr</w:t>
      </w:r>
      <w:r w:rsidRPr="002031B8" w:rsidR="006761EB">
        <w:t>il Tourneur most of modern scholarship agrees that the most likely author is Thomas Middleton.</w:t>
      </w:r>
      <w:r>
        <w:rPr>
          <w:rStyle w:val="FootnoteReference"/>
        </w:rPr>
        <w:footnoteReference w:id="17"/>
      </w:r>
      <w:r w:rsidRPr="002031B8" w:rsidR="00321520">
        <w:t xml:space="preserve"> This play </w:t>
      </w:r>
      <w:r w:rsidRPr="002031B8" w:rsidR="00190296">
        <w:t xml:space="preserve">covers the topic of revenge differently from most medieval mystery plays. In a mystery play </w:t>
      </w:r>
      <w:r w:rsidRPr="002031B8" w:rsidR="00255648">
        <w:t xml:space="preserve">the topic of revenge can be best summed up by the Biblical passage </w:t>
      </w:r>
      <w:r w:rsidRPr="002031B8" w:rsidR="00255648">
        <w:t>most commonly quoted</w:t>
      </w:r>
      <w:r w:rsidRPr="002031B8" w:rsidR="00255648">
        <w:t xml:space="preserve"> about it.</w:t>
      </w:r>
    </w:p>
    <w:p w:rsidR="00000CE4" w:rsidRPr="002031B8" w:rsidP="003933C1" w14:textId="2FC9B508">
      <w:pPr>
        <w:ind w:firstLine="720"/>
      </w:pPr>
    </w:p>
    <w:p w:rsidR="00000CE4" w:rsidRPr="002031B8" w:rsidP="00000CE4" w14:paraId="44DEBDAE" w14:textId="0E0DDB32">
      <w:pPr>
        <w:ind w:left="720"/>
      </w:pPr>
      <w:r w:rsidRPr="002031B8">
        <w:t>Do not take revenge, my dear friends, but leave room for God’s wrath, for it is written: “It is mine to avenge; I will repay,”</w:t>
      </w:r>
      <w:r w:rsidRPr="002031B8">
        <w:rPr>
          <w:vertAlign w:val="superscript"/>
        </w:rPr>
        <w:t>[</w:t>
      </w:r>
      <w:hyperlink r:id="rId5" w:anchor="fen-NIV-28265a" w:tooltip="See footnote a" w:history="1">
        <w:r w:rsidRPr="002031B8">
          <w:rPr>
            <w:rStyle w:val="Hyperlink"/>
            <w:vertAlign w:val="superscript"/>
          </w:rPr>
          <w:t>a</w:t>
        </w:r>
      </w:hyperlink>
      <w:r w:rsidRPr="002031B8">
        <w:rPr>
          <w:vertAlign w:val="superscript"/>
        </w:rPr>
        <w:t>]</w:t>
      </w:r>
      <w:r w:rsidRPr="002031B8">
        <w:t> says the Lord.</w:t>
      </w:r>
      <w:r w:rsidRPr="002031B8">
        <w:t xml:space="preserve"> Roman</w:t>
      </w:r>
      <w:r w:rsidRPr="002031B8" w:rsidR="003C4BA9">
        <w:t>s 12.19</w:t>
      </w:r>
      <w:r>
        <w:rPr>
          <w:rStyle w:val="FootnoteReference"/>
        </w:rPr>
        <w:footnoteReference w:id="18"/>
      </w:r>
    </w:p>
    <w:p w:rsidR="003C4BA9" w:rsidRPr="002031B8" w:rsidP="003C4BA9" w14:paraId="7289961A" w14:textId="3D2DF229">
      <w:r w:rsidRPr="002031B8">
        <w:t>This was the common catholic, and protestant teaching on revenge and vengeance at this time in history, but it still is the common teaching, this play's tackling of this topic in a direct manner, where the protagonist is literally named Vengeance</w:t>
      </w:r>
      <w:r w:rsidRPr="002031B8" w:rsidR="003933C1">
        <w:t>.</w:t>
      </w:r>
      <w:r>
        <w:rPr>
          <w:rStyle w:val="FootnoteReference"/>
        </w:rPr>
        <w:footnoteReference w:id="19"/>
      </w:r>
      <w:r w:rsidRPr="002031B8" w:rsidR="003933C1">
        <w:t xml:space="preserve"> </w:t>
      </w:r>
    </w:p>
    <w:p w:rsidR="003933C1" w:rsidRPr="002031B8" w:rsidP="003C4BA9" w14:paraId="0388C994" w14:textId="41623177">
      <w:r w:rsidRPr="002031B8">
        <w:tab/>
        <w:t xml:space="preserve">In this play, </w:t>
      </w:r>
      <w:r w:rsidRPr="002031B8">
        <w:t>Vindic</w:t>
      </w:r>
      <w:r w:rsidRPr="002031B8" w:rsidR="00FF528F">
        <w:t>e</w:t>
      </w:r>
      <w:r w:rsidRPr="002031B8" w:rsidR="00594ADA">
        <w:t xml:space="preserve"> is a name derived from the Latin </w:t>
      </w:r>
      <w:r w:rsidRPr="002031B8" w:rsidR="00594ADA">
        <w:t>vindicatio</w:t>
      </w:r>
      <w:r w:rsidRPr="002031B8" w:rsidR="00594ADA">
        <w:t xml:space="preserve">, which means </w:t>
      </w:r>
      <w:r w:rsidRPr="002031B8" w:rsidR="00B807DB">
        <w:t>vengeance in English</w:t>
      </w:r>
      <w:r w:rsidRPr="002031B8" w:rsidR="00117113">
        <w:t>. This is a very on-the-nose description of the character</w:t>
      </w:r>
      <w:r w:rsidRPr="002031B8" w:rsidR="00AC5BEE">
        <w:t>. This description is very fi</w:t>
      </w:r>
      <w:r w:rsidRPr="002031B8" w:rsidR="004C3082">
        <w:t>tting for the character, who is on a mission to avenge the murder of his fiancé, Gloriana.</w:t>
      </w:r>
      <w:r w:rsidRPr="002031B8" w:rsidR="00320484">
        <w:t xml:space="preserve"> </w:t>
      </w:r>
      <w:r w:rsidRPr="002031B8" w:rsidR="00320484">
        <w:t>Vindice’s</w:t>
      </w:r>
      <w:r w:rsidRPr="002031B8" w:rsidR="00320484">
        <w:t xml:space="preserve"> fiancé was murdered for rejecting the </w:t>
      </w:r>
      <w:r w:rsidRPr="002031B8" w:rsidR="00320484">
        <w:t>Duke’s</w:t>
      </w:r>
      <w:r w:rsidRPr="002031B8" w:rsidR="00320484">
        <w:t xml:space="preserve"> advances. </w:t>
      </w:r>
      <w:r w:rsidRPr="002031B8" w:rsidR="004D267C">
        <w:t xml:space="preserve">The play is a </w:t>
      </w:r>
      <w:r w:rsidRPr="002031B8" w:rsidR="004D267C">
        <w:t>tragedy,</w:t>
      </w:r>
      <w:r w:rsidRPr="002031B8" w:rsidR="004D267C">
        <w:t xml:space="preserve"> however it is a highly amusing and silly one, the silliness of this play arises from the </w:t>
      </w:r>
      <w:r w:rsidRPr="002031B8" w:rsidR="004D267C">
        <w:t>prosperous</w:t>
      </w:r>
      <w:r w:rsidRPr="002031B8" w:rsidR="004D267C">
        <w:t xml:space="preserve"> ways in which </w:t>
      </w:r>
      <w:r w:rsidRPr="002031B8" w:rsidR="004D267C">
        <w:t>Vi</w:t>
      </w:r>
      <w:r w:rsidRPr="002031B8" w:rsidR="00B90F92">
        <w:t>dice</w:t>
      </w:r>
      <w:r w:rsidRPr="002031B8" w:rsidR="00B90F92">
        <w:t xml:space="preserve"> goes about acquiring his revenge. In </w:t>
      </w:r>
      <w:r w:rsidRPr="002031B8" w:rsidR="002312D3">
        <w:t xml:space="preserve">Act Three Scene Five </w:t>
      </w:r>
      <w:r w:rsidRPr="002031B8" w:rsidR="002312D3">
        <w:t>Vindice</w:t>
      </w:r>
      <w:r w:rsidRPr="002031B8" w:rsidR="002312D3">
        <w:t xml:space="preserve"> and his brother </w:t>
      </w:r>
      <w:r w:rsidRPr="002031B8" w:rsidR="002312D3">
        <w:t>Hip</w:t>
      </w:r>
      <w:r w:rsidRPr="002031B8" w:rsidR="009A08E8">
        <w:t>polito</w:t>
      </w:r>
      <w:r w:rsidRPr="002031B8" w:rsidR="009A08E8">
        <w:t xml:space="preserve"> trick the duke into kissing the skull of Gloriana, </w:t>
      </w:r>
      <w:r w:rsidRPr="002031B8" w:rsidR="009A08E8">
        <w:t>Vindice’s</w:t>
      </w:r>
      <w:r w:rsidRPr="002031B8" w:rsidR="009A08E8">
        <w:t xml:space="preserve"> now deceased fiancé, whose lips have been coated in a poison, </w:t>
      </w:r>
      <w:r w:rsidRPr="002031B8" w:rsidR="008B0B64">
        <w:t>they then force the duke to watch his own cuckolding and then kill him.</w:t>
      </w:r>
      <w:r>
        <w:rPr>
          <w:rStyle w:val="FootnoteReference"/>
        </w:rPr>
        <w:footnoteReference w:id="20"/>
      </w:r>
      <w:r w:rsidRPr="002031B8" w:rsidR="008B0B64">
        <w:t xml:space="preserve"> This is very different from the standard revenge </w:t>
      </w:r>
      <w:r w:rsidRPr="002031B8" w:rsidR="008B0B64">
        <w:t>tragedy</w:t>
      </w:r>
      <w:r w:rsidRPr="002031B8" w:rsidR="008B0B64">
        <w:t xml:space="preserve"> and it borders on excessive violence for the same of it. </w:t>
      </w:r>
      <w:r w:rsidRPr="002031B8" w:rsidR="006F3589">
        <w:t>This is in stark contrast to the very religious plays of medieval mystery plays, where the catharsis of revenge comes through the final Judgment section of the play cycle</w:t>
      </w:r>
      <w:r w:rsidRPr="002031B8" w:rsidR="00B143EC">
        <w:t xml:space="preserve"> rather than direct revenge in the way it is portrayed in this play.</w:t>
      </w:r>
      <w:r>
        <w:rPr>
          <w:rStyle w:val="FootnoteReference"/>
        </w:rPr>
        <w:footnoteReference w:id="21"/>
      </w:r>
      <w:r w:rsidRPr="002031B8" w:rsidR="00B143EC">
        <w:t xml:space="preserve"> </w:t>
      </w:r>
    </w:p>
    <w:p w:rsidR="00252F3A" w:rsidRPr="002031B8" w:rsidP="003C4BA9" w14:paraId="71617E11" w14:textId="031ED9FD">
      <w:r w:rsidRPr="002031B8">
        <w:tab/>
        <w:t xml:space="preserve">The </w:t>
      </w:r>
      <w:r w:rsidRPr="002031B8" w:rsidR="00BE33E3">
        <w:t>Revenger’s</w:t>
      </w:r>
      <w:r w:rsidRPr="002031B8">
        <w:t xml:space="preserve"> </w:t>
      </w:r>
      <w:r w:rsidRPr="002031B8" w:rsidR="00BE33E3">
        <w:t>T</w:t>
      </w:r>
      <w:r w:rsidRPr="002031B8">
        <w:t xml:space="preserve">ragedy however is </w:t>
      </w:r>
      <w:r w:rsidRPr="002031B8" w:rsidR="00BE33E3">
        <w:t>not advocating for this type of revenge</w:t>
      </w:r>
      <w:r w:rsidRPr="002031B8" w:rsidR="00A323D7">
        <w:t>, it is an exploration of the themes of revenge and an exploitation of how courtly life corrupts those involved in it.</w:t>
      </w:r>
      <w:r>
        <w:rPr>
          <w:rStyle w:val="FootnoteReference"/>
        </w:rPr>
        <w:footnoteReference w:id="22"/>
      </w:r>
      <w:r w:rsidRPr="002031B8" w:rsidR="00A323D7">
        <w:t xml:space="preserve"> </w:t>
      </w:r>
      <w:r w:rsidRPr="002031B8" w:rsidR="00B2150C">
        <w:t>This play is similar in ways to the medieval mystery play in that</w:t>
      </w:r>
      <w:r w:rsidRPr="002031B8" w:rsidR="005A6340">
        <w:t xml:space="preserve"> this road to revenge is a tragic one</w:t>
      </w:r>
      <w:r w:rsidRPr="002031B8" w:rsidR="00FD5C0B">
        <w:t xml:space="preserve"> that leads to </w:t>
      </w:r>
      <w:r w:rsidRPr="002031B8" w:rsidR="00FD5C0B">
        <w:t>destruction</w:t>
      </w:r>
      <w:r w:rsidRPr="002031B8" w:rsidR="00FD5C0B">
        <w:t xml:space="preserve">. Unlike the medieval plays this road is not viewed impassively from the lens of the biblical reader, but followed on as </w:t>
      </w:r>
      <w:r w:rsidRPr="002031B8" w:rsidR="00FD5C0B">
        <w:t>Vindice</w:t>
      </w:r>
      <w:r w:rsidRPr="002031B8" w:rsidR="00FD5C0B">
        <w:t xml:space="preserve"> is slowly corrupted into the very thing he has sworn to destroy</w:t>
      </w:r>
      <w:r w:rsidRPr="002031B8">
        <w:t>.</w:t>
      </w:r>
    </w:p>
    <w:p w:rsidR="00B143EC" w:rsidRPr="002031B8" w:rsidP="003C4BA9" w14:paraId="3081B93E" w14:textId="06803C43">
      <w:r w:rsidRPr="002031B8">
        <w:tab/>
        <w:t>In conclusion</w:t>
      </w:r>
      <w:r w:rsidRPr="002031B8">
        <w:t xml:space="preserve">, Dr Faustus and Revenger's tragedies are on the surface drastically different from the medieval mystery plays, however a closer examination of the play reveals that they are similar in their aim. While the Medieval mystery plays are inherently </w:t>
      </w:r>
      <w:r w:rsidRPr="002031B8" w:rsidR="008C58CC">
        <w:t>'preaching' to the audience and overtly telling them what the play is about, Marlowe and the author of Revenger's Tragedy</w:t>
      </w:r>
      <w:r w:rsidRPr="002031B8" w:rsidR="00F94AD2">
        <w:t xml:space="preserve"> explore the themes of their plays, repentance and revenge respectively, </w:t>
      </w:r>
      <w:r w:rsidRPr="002031B8" w:rsidR="003502CA">
        <w:t xml:space="preserve">without directly informing the audience of what is being discussed in the play. The disconnect from the original style of mystery play as a </w:t>
      </w:r>
      <w:r w:rsidRPr="002031B8" w:rsidR="009E6A1C">
        <w:t>church-based</w:t>
      </w:r>
      <w:r w:rsidRPr="002031B8" w:rsidR="003502CA">
        <w:t xml:space="preserve"> teaching aid may have been responsible for this shift in style. </w:t>
      </w:r>
      <w:r w:rsidRPr="002031B8" w:rsidR="00E51F3A">
        <w:t xml:space="preserve">These plays </w:t>
      </w:r>
      <w:r w:rsidRPr="002031B8" w:rsidR="00E51F3A">
        <w:t xml:space="preserve">are inherently rooted in the traditions they arose from, although on the surface they are different in form, and function, but they are not too dissimilar in their message. </w:t>
      </w:r>
    </w:p>
    <w:p w:rsidR="00163EB2" w:rsidP="003C4BA9" w14:paraId="5FC18952" w14:textId="77777777"/>
    <w:p w:rsidR="00B07B7F" w:rsidP="003C4BA9" w14:paraId="3E9C94C0" w14:textId="77777777"/>
    <w:p w:rsidR="00B07B7F" w:rsidP="003C4BA9" w14:paraId="54D40C3E" w14:textId="77777777"/>
    <w:p w:rsidR="00B07B7F" w:rsidP="003C4BA9" w14:paraId="583E914A" w14:textId="77777777"/>
    <w:p w:rsidR="00B07B7F" w:rsidP="003C4BA9" w14:paraId="2CE08EC4" w14:textId="77777777"/>
    <w:p w:rsidR="00B07B7F" w:rsidP="003C4BA9" w14:paraId="302CA248" w14:textId="77777777"/>
    <w:p w:rsidR="00B07B7F" w:rsidP="003C4BA9" w14:paraId="14E927A1" w14:textId="77777777"/>
    <w:p w:rsidR="00B07B7F" w:rsidP="003C4BA9" w14:paraId="155A546C" w14:textId="77777777"/>
    <w:p w:rsidR="00B07B7F" w:rsidP="003C4BA9" w14:paraId="5F36195F" w14:textId="77777777"/>
    <w:p w:rsidR="00B07B7F" w:rsidP="003C4BA9" w14:paraId="5606809F" w14:textId="77777777"/>
    <w:p w:rsidR="00B07B7F" w:rsidP="003C4BA9" w14:paraId="3FB6CA84" w14:textId="77777777"/>
    <w:p w:rsidR="00B07B7F" w:rsidP="003C4BA9" w14:paraId="7CD49CF3" w14:textId="77777777"/>
    <w:p w:rsidR="00B07B7F" w:rsidP="003C4BA9" w14:paraId="305C3942" w14:textId="77777777"/>
    <w:p w:rsidR="00B07B7F" w:rsidP="003C4BA9" w14:paraId="673FB600" w14:textId="77777777"/>
    <w:p w:rsidR="00B07B7F" w:rsidP="003C4BA9" w14:paraId="41066481" w14:textId="77777777"/>
    <w:p w:rsidR="00B07B7F" w:rsidP="003C4BA9" w14:paraId="1C37BF94" w14:textId="77777777"/>
    <w:p w:rsidR="00B07B7F" w:rsidP="003C4BA9" w14:paraId="74FE2F8C" w14:textId="77777777"/>
    <w:p w:rsidR="00B07B7F" w:rsidP="003C4BA9" w14:paraId="13C791FA" w14:textId="77777777"/>
    <w:p w:rsidR="00B07B7F" w:rsidP="003C4BA9" w14:paraId="7E61CCB7" w14:textId="77777777"/>
    <w:p w:rsidR="00B07B7F" w:rsidP="003C4BA9" w14:paraId="1815F7D9" w14:textId="77777777"/>
    <w:p w:rsidR="00B07B7F" w:rsidP="003C4BA9" w14:paraId="1CABF5A3" w14:textId="77777777"/>
    <w:p w:rsidR="00B07B7F" w:rsidP="003C4BA9" w14:paraId="3FCC0C7E" w14:textId="77777777"/>
    <w:p w:rsidR="00B07B7F" w:rsidP="003C4BA9" w14:paraId="5D983B86" w14:textId="77777777"/>
    <w:p w:rsidR="00B07B7F" w:rsidP="003C4BA9" w14:paraId="3DEDEF96" w14:textId="77777777"/>
    <w:p w:rsidR="00B07B7F" w:rsidP="003C4BA9" w14:paraId="1BD9C0C7" w14:textId="77777777"/>
    <w:p w:rsidR="00B07B7F" w:rsidRPr="002031B8" w:rsidP="003C4BA9" w14:paraId="4A567D47" w14:textId="77777777"/>
    <w:p w:rsidR="002031B8" w:rsidRPr="002031B8" w:rsidP="002031B8" w14:paraId="28A58EDB" w14:textId="77777777">
      <w:pPr>
        <w:rPr>
          <w:b/>
          <w:bCs/>
        </w:rPr>
      </w:pPr>
      <w:r w:rsidRPr="002031B8">
        <w:rPr>
          <w:b/>
          <w:bCs/>
        </w:rPr>
        <w:t>Bibliography</w:t>
      </w:r>
    </w:p>
    <w:p w:rsidR="002031B8" w:rsidRPr="002031B8" w:rsidP="002031B8" w14:paraId="72663C86" w14:textId="77777777">
      <w:r w:rsidRPr="002031B8">
        <w:t xml:space="preserve">Bevington, David M, Lars Engle, Katharine Eisaman Maus, and Eric Rasmussen. 2003. </w:t>
      </w:r>
      <w:r w:rsidRPr="002031B8">
        <w:rPr>
          <w:i/>
          <w:iCs/>
        </w:rPr>
        <w:t xml:space="preserve">English Renaissance </w:t>
      </w:r>
      <w:r w:rsidRPr="002031B8">
        <w:rPr>
          <w:i/>
          <w:iCs/>
        </w:rPr>
        <w:t>Drama :</w:t>
      </w:r>
      <w:r w:rsidRPr="002031B8">
        <w:rPr>
          <w:i/>
          <w:iCs/>
        </w:rPr>
        <w:t xml:space="preserve"> A Norton Anthology</w:t>
      </w:r>
      <w:r w:rsidRPr="002031B8">
        <w:t xml:space="preserve"> (New York: W.W. Norton)</w:t>
      </w:r>
    </w:p>
    <w:p w:rsidR="002031B8" w:rsidRPr="002031B8" w:rsidP="002031B8" w14:paraId="572CE022" w14:textId="24128767">
      <w:r w:rsidRPr="002031B8">
        <w:t xml:space="preserve">Editors of the Encyclopaedia Britannica. 2020. ‘Chester Plays | English Theatre’, </w:t>
      </w:r>
      <w:r w:rsidRPr="002031B8">
        <w:rPr>
          <w:i/>
          <w:iCs/>
        </w:rPr>
        <w:t>Encyclopedia</w:t>
      </w:r>
      <w:r w:rsidRPr="002031B8">
        <w:rPr>
          <w:i/>
          <w:iCs/>
        </w:rPr>
        <w:t xml:space="preserve"> Britannica</w:t>
      </w:r>
      <w:r w:rsidRPr="002031B8">
        <w:t xml:space="preserve"> </w:t>
      </w:r>
      <w:hyperlink r:id="rId6" w:history="1">
        <w:r w:rsidRPr="002031B8" w:rsidR="00915A4B">
          <w:rPr>
            <w:rStyle w:val="Hyperlink"/>
          </w:rPr>
          <w:t>https://www.britannica.com/topic/Chester-plays</w:t>
        </w:r>
      </w:hyperlink>
      <w:r w:rsidR="00915A4B">
        <w:t xml:space="preserve"> </w:t>
      </w:r>
    </w:p>
    <w:p w:rsidR="002031B8" w:rsidRPr="002031B8" w:rsidP="002031B8" w14:paraId="6F9F5124" w14:textId="4D97B2A3">
      <w:r w:rsidRPr="002031B8">
        <w:t xml:space="preserve">———. 2024. ‘Thomas Middleton | English Playwright &amp; Poet | Britannica’, </w:t>
      </w:r>
      <w:r w:rsidRPr="002031B8">
        <w:rPr>
          <w:i/>
          <w:iCs/>
        </w:rPr>
        <w:t>Encyclopedia</w:t>
      </w:r>
      <w:r w:rsidRPr="002031B8">
        <w:rPr>
          <w:i/>
          <w:iCs/>
        </w:rPr>
        <w:t xml:space="preserve"> Britannica</w:t>
      </w:r>
      <w:r w:rsidRPr="002031B8">
        <w:t xml:space="preserve"> </w:t>
      </w:r>
      <w:hyperlink r:id="rId7" w:history="1">
        <w:r w:rsidRPr="002031B8" w:rsidR="00915A4B">
          <w:rPr>
            <w:rStyle w:val="Hyperlink"/>
          </w:rPr>
          <w:t>https://www.britannica.com/biography/Thomas-Middleton#ref138298</w:t>
        </w:r>
      </w:hyperlink>
      <w:r w:rsidR="00915A4B">
        <w:t xml:space="preserve"> </w:t>
      </w:r>
      <w:r w:rsidRPr="002031B8">
        <w:t xml:space="preserve"> </w:t>
      </w:r>
      <w:r w:rsidR="00915A4B">
        <w:t xml:space="preserve">   </w:t>
      </w:r>
      <w:r w:rsidRPr="002031B8">
        <w:t>[</w:t>
      </w:r>
      <w:r w:rsidRPr="002031B8">
        <w:t xml:space="preserve">accessed </w:t>
      </w:r>
      <w:r w:rsidR="00915A4B">
        <w:t>16</w:t>
      </w:r>
      <w:r w:rsidRPr="002031B8">
        <w:t xml:space="preserve"> October 2024]</w:t>
      </w:r>
    </w:p>
    <w:p w:rsidR="002031B8" w:rsidP="002031B8" w14:paraId="4DF8B548" w14:textId="20A2EF19">
      <w:r w:rsidRPr="002031B8">
        <w:t xml:space="preserve">Editors of the Encyclopaedia </w:t>
      </w:r>
      <w:r w:rsidRPr="002031B8">
        <w:t>Britannica.</w:t>
      </w:r>
      <w:r w:rsidRPr="002031B8">
        <w:t xml:space="preserve"> 2019. ‘Mystery Play | Dramatic Genre’, </w:t>
      </w:r>
      <w:r w:rsidRPr="002031B8">
        <w:rPr>
          <w:i/>
          <w:iCs/>
        </w:rPr>
        <w:t>Encyclopædia</w:t>
      </w:r>
      <w:r w:rsidRPr="002031B8">
        <w:rPr>
          <w:i/>
          <w:iCs/>
        </w:rPr>
        <w:t xml:space="preserve"> Britannica</w:t>
      </w:r>
      <w:r w:rsidRPr="002031B8">
        <w:t xml:space="preserve"> </w:t>
      </w:r>
      <w:hyperlink r:id="rId8" w:history="1">
        <w:r w:rsidRPr="002031B8" w:rsidR="00915A4B">
          <w:rPr>
            <w:rStyle w:val="Hyperlink"/>
          </w:rPr>
          <w:t>https://www.britannica.com/art/mystery-play</w:t>
        </w:r>
      </w:hyperlink>
      <w:r w:rsidR="00915A4B">
        <w:t xml:space="preserve"> </w:t>
      </w:r>
    </w:p>
    <w:p w:rsidR="00F31A11" w:rsidP="002031B8" w14:paraId="3E1060D0" w14:textId="7871728C">
      <w:r w:rsidRPr="00F31A11">
        <w:t xml:space="preserve">Hussey, Maurice. 1957. </w:t>
      </w:r>
      <w:r w:rsidRPr="00F31A11">
        <w:rPr>
          <w:i/>
          <w:iCs/>
        </w:rPr>
        <w:t>The Chester Mystery Plays</w:t>
      </w:r>
      <w:r w:rsidRPr="00F31A11">
        <w:t xml:space="preserve"> (Heinemann Educational Books Ltd)</w:t>
      </w:r>
    </w:p>
    <w:p w:rsidR="006E7A9B" w:rsidRPr="002031B8" w:rsidP="002031B8" w14:paraId="7A2A51CF" w14:textId="26E5ECFC">
      <w:r w:rsidRPr="006E7A9B">
        <w:t xml:space="preserve">Leech, Clifford. 2019. ‘Christopher Marlowe | English Writer | Britannica’, </w:t>
      </w:r>
      <w:r w:rsidRPr="006E7A9B">
        <w:rPr>
          <w:i/>
          <w:iCs/>
        </w:rPr>
        <w:t>Encyclopædia</w:t>
      </w:r>
      <w:r w:rsidRPr="006E7A9B">
        <w:rPr>
          <w:i/>
          <w:iCs/>
        </w:rPr>
        <w:t xml:space="preserve"> Britannica</w:t>
      </w:r>
      <w:r w:rsidRPr="006E7A9B">
        <w:t xml:space="preserve"> </w:t>
      </w:r>
      <w:hyperlink r:id="rId9" w:history="1">
        <w:r w:rsidRPr="006E7A9B">
          <w:rPr>
            <w:rStyle w:val="Hyperlink"/>
          </w:rPr>
          <w:t>https://www.britannica.com/biography/Christopher-Marlowe</w:t>
        </w:r>
      </w:hyperlink>
      <w:r>
        <w:t xml:space="preserve"> </w:t>
      </w:r>
    </w:p>
    <w:p w:rsidR="002031B8" w:rsidRPr="002031B8" w:rsidP="002031B8" w14:paraId="594F77E0" w14:textId="49B16F48">
      <w:r w:rsidRPr="002031B8">
        <w:t xml:space="preserve">‘Luke 23 NIV - - Bible Gateway’. [n.d.]. </w:t>
      </w:r>
      <w:r w:rsidRPr="002031B8">
        <w:rPr>
          <w:i/>
          <w:iCs/>
        </w:rPr>
        <w:t>Www.biblegateway.com</w:t>
      </w:r>
      <w:r w:rsidRPr="002031B8">
        <w:t xml:space="preserve"> </w:t>
      </w:r>
      <w:hyperlink r:id="rId10" w:history="1">
        <w:r w:rsidRPr="002031B8" w:rsidR="00915A4B">
          <w:rPr>
            <w:rStyle w:val="Hyperlink"/>
          </w:rPr>
          <w:t>https://www.biblegateway.com/passage/?search=Luke%2023&amp;version=NIV</w:t>
        </w:r>
      </w:hyperlink>
      <w:r w:rsidR="00915A4B">
        <w:t xml:space="preserve"> </w:t>
      </w:r>
    </w:p>
    <w:p w:rsidR="002031B8" w:rsidP="002031B8" w14:paraId="58B6BBB8" w14:textId="4ED28953">
      <w:r w:rsidRPr="002031B8">
        <w:t xml:space="preserve">‘Romans 12:19 NIV - - Bible Gateway’. [n.d.]. </w:t>
      </w:r>
      <w:r w:rsidRPr="002031B8">
        <w:rPr>
          <w:i/>
          <w:iCs/>
        </w:rPr>
        <w:t>Www.biblegateway.com</w:t>
      </w:r>
      <w:r w:rsidRPr="002031B8">
        <w:t xml:space="preserve"> </w:t>
      </w:r>
      <w:hyperlink r:id="rId5" w:history="1">
        <w:r w:rsidRPr="002031B8" w:rsidR="00915A4B">
          <w:rPr>
            <w:rStyle w:val="Hyperlink"/>
          </w:rPr>
          <w:t>https://www.biblegateway.com/passage/?search=Romans%2012%3A19&amp;version=NIV</w:t>
        </w:r>
      </w:hyperlink>
      <w:r w:rsidR="00915A4B">
        <w:t xml:space="preserve"> </w:t>
      </w:r>
    </w:p>
    <w:p w:rsidR="009A7B41" w:rsidRPr="009A7B41" w:rsidP="009A7B41" w14:paraId="5777CA9F" w14:textId="77777777">
      <w:r w:rsidRPr="009A7B41">
        <w:t xml:space="preserve">Rose, Martial. 1961. </w:t>
      </w:r>
      <w:r w:rsidRPr="009A7B41">
        <w:rPr>
          <w:i/>
          <w:iCs/>
        </w:rPr>
        <w:t>The Wakefield Mystery Plays / Part 1.</w:t>
      </w:r>
      <w:r w:rsidRPr="009A7B41">
        <w:t xml:space="preserve"> (London: Evans)</w:t>
      </w:r>
    </w:p>
    <w:p w:rsidR="002031B8" w:rsidP="002031B8" w14:paraId="754C5888" w14:textId="4D4A26D8">
      <w:r w:rsidRPr="002031B8">
        <w:t>Victoria and Albert Museum. 2012. ‘</w:t>
      </w:r>
      <w:r w:rsidRPr="002031B8">
        <w:t>V&amp;a</w:t>
      </w:r>
      <w:r w:rsidRPr="002031B8">
        <w:t xml:space="preserve"> · the Story of Theatre’, </w:t>
      </w:r>
      <w:r w:rsidRPr="002031B8">
        <w:rPr>
          <w:i/>
          <w:iCs/>
        </w:rPr>
        <w:t>Victoria and Albert Museum</w:t>
      </w:r>
      <w:r w:rsidRPr="002031B8">
        <w:t xml:space="preserve"> (V&amp;A) </w:t>
      </w:r>
      <w:hyperlink r:id="rId11" w:history="1">
        <w:r w:rsidRPr="002031B8" w:rsidR="00506BA8">
          <w:rPr>
            <w:rStyle w:val="Hyperlink"/>
          </w:rPr>
          <w:t>https://www.vam.ac.uk/articles/the-story-of-theatre</w:t>
        </w:r>
      </w:hyperlink>
      <w:r w:rsidR="00506BA8">
        <w:t xml:space="preserve"> </w:t>
      </w:r>
    </w:p>
    <w:p w:rsidR="00506BA8" w:rsidRPr="00506BA8" w:rsidP="00506BA8" w14:paraId="2FDF8886" w14:textId="27F1D94E">
      <w:r w:rsidRPr="00506BA8">
        <w:t xml:space="preserve">W. Owen Chadwick, and James C Spalding. 2019. ‘Protestantism | Origin, Definition, History, Doctrines, &amp; Facts’, </w:t>
      </w:r>
      <w:r w:rsidRPr="00506BA8">
        <w:rPr>
          <w:i/>
          <w:iCs/>
        </w:rPr>
        <w:t>Encyclopædia</w:t>
      </w:r>
      <w:r w:rsidRPr="00506BA8">
        <w:rPr>
          <w:i/>
          <w:iCs/>
        </w:rPr>
        <w:t xml:space="preserve"> Britannica</w:t>
      </w:r>
      <w:r w:rsidRPr="00506BA8">
        <w:t xml:space="preserve"> </w:t>
      </w:r>
      <w:hyperlink r:id="rId12" w:history="1">
        <w:r w:rsidRPr="00506BA8">
          <w:rPr>
            <w:rStyle w:val="Hyperlink"/>
          </w:rPr>
          <w:t>https://www.britannica.com/topic/Protestantism</w:t>
        </w:r>
      </w:hyperlink>
      <w:r>
        <w:t xml:space="preserve"> </w:t>
      </w:r>
    </w:p>
    <w:p w:rsidR="00506BA8" w:rsidRPr="002031B8" w:rsidP="002031B8" w14:paraId="2BA24B5B" w14:textId="77777777"/>
    <w:p w:rsidR="00163EB2" w:rsidRPr="00337828" w:rsidP="003C4BA9" w14:paraId="7994977F" w14:textId="77777777">
      <w:pPr>
        <w:rPr>
          <w:rFonts w:ascii="Comic Sans MS" w:hAnsi="Comic Sans MS"/>
          <w:sz w:val="28"/>
          <w:szCs w:val="28"/>
        </w:rPr>
      </w:pPr>
    </w:p>
    <w:sectPr>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B66C00" w:rsidP="00B66C00" w14:paraId="079B96E8" w14:textId="77777777">
      <w:pPr>
        <w:spacing w:after="0" w:line="240" w:lineRule="auto"/>
      </w:pPr>
      <w:r>
        <w:separator/>
      </w:r>
    </w:p>
  </w:footnote>
  <w:footnote w:type="continuationSeparator" w:id="1">
    <w:p w:rsidR="00B66C00" w:rsidP="00B66C00" w14:paraId="5C584880" w14:textId="77777777">
      <w:pPr>
        <w:spacing w:after="0" w:line="240" w:lineRule="auto"/>
      </w:pPr>
      <w:r>
        <w:continuationSeparator/>
      </w:r>
    </w:p>
  </w:footnote>
  <w:footnote w:id="2">
    <w:p w:rsidR="009415FC" w14:paraId="24D52397" w14:textId="79348766">
      <w:pPr>
        <w:pStyle w:val="FootnoteText"/>
      </w:pPr>
      <w:r>
        <w:rPr>
          <w:rStyle w:val="FootnoteReference"/>
        </w:rPr>
        <w:footnoteRef/>
      </w:r>
      <w:r>
        <w:t xml:space="preserve"> </w:t>
      </w:r>
      <w:r w:rsidRPr="00D1388C" w:rsidR="000451E6">
        <w:t>Victoria and Albert Museum. 2012. ‘</w:t>
      </w:r>
      <w:r w:rsidRPr="00D1388C" w:rsidR="000451E6">
        <w:t>V&amp;a</w:t>
      </w:r>
      <w:r w:rsidRPr="00D1388C" w:rsidR="000451E6">
        <w:t xml:space="preserve"> · the Story of Theatre’, </w:t>
      </w:r>
      <w:r w:rsidRPr="00D1388C" w:rsidR="000451E6">
        <w:rPr>
          <w:i/>
          <w:iCs/>
        </w:rPr>
        <w:t>Victoria and Albert Museum</w:t>
      </w:r>
      <w:r w:rsidRPr="00D1388C" w:rsidR="000451E6">
        <w:t xml:space="preserve"> (V&amp;A) </w:t>
      </w:r>
      <w:hyperlink r:id="rId1" w:history="1">
        <w:r w:rsidRPr="00265DEE" w:rsidR="000451E6">
          <w:rPr>
            <w:rStyle w:val="Hyperlink"/>
          </w:rPr>
          <w:t>https://www.vam.ac.uk/articles/the-story-of-theatre</w:t>
        </w:r>
      </w:hyperlink>
    </w:p>
  </w:footnote>
  <w:footnote w:id="3">
    <w:p w:rsidR="00D1388C" w:rsidRPr="00D1388C" w:rsidP="00D1388C" w14:paraId="16DCC0B5" w14:textId="25785108">
      <w:pPr>
        <w:pStyle w:val="FootnoteText"/>
      </w:pPr>
      <w:r>
        <w:rPr>
          <w:rStyle w:val="FootnoteReference"/>
        </w:rPr>
        <w:footnoteRef/>
      </w:r>
      <w:r>
        <w:t xml:space="preserve"> </w:t>
      </w:r>
      <w:r w:rsidRPr="00D1388C" w:rsidR="000451E6">
        <w:t>Victoria and Albert Museum. 2012. ‘</w:t>
      </w:r>
      <w:r w:rsidRPr="00D1388C" w:rsidR="000451E6">
        <w:t>V&amp;a</w:t>
      </w:r>
      <w:r w:rsidRPr="00D1388C" w:rsidR="000451E6">
        <w:t xml:space="preserve"> · the Story of Theatre’</w:t>
      </w:r>
    </w:p>
    <w:p w:rsidR="00D1388C" w14:paraId="547B80D0" w14:textId="2DD9B03A">
      <w:pPr>
        <w:pStyle w:val="FootnoteText"/>
      </w:pPr>
    </w:p>
  </w:footnote>
  <w:footnote w:id="4">
    <w:p w:rsidR="000451E6" w14:paraId="2E45C021" w14:textId="5371F857">
      <w:pPr>
        <w:pStyle w:val="FootnoteText"/>
      </w:pPr>
      <w:r>
        <w:rPr>
          <w:rStyle w:val="FootnoteReference"/>
        </w:rPr>
        <w:footnoteRef/>
      </w:r>
      <w:r>
        <w:t xml:space="preserve"> </w:t>
      </w:r>
      <w:r w:rsidRPr="005857E8" w:rsidR="005857E8">
        <w:t>Dr.</w:t>
      </w:r>
      <w:r w:rsidRPr="005857E8" w:rsidR="005857E8">
        <w:t xml:space="preserve"> Peter Mitchell,</w:t>
      </w:r>
      <w:r w:rsidRPr="00667B63" w:rsidR="00667B63">
        <w:t xml:space="preserve"> </w:t>
      </w:r>
      <w:r w:rsidRPr="005857E8" w:rsidR="00667B63">
        <w:t>Error and Sweet Violence:</w:t>
      </w:r>
      <w:r w:rsidRPr="005857E8" w:rsidR="005857E8">
        <w:t xml:space="preserve"> </w:t>
      </w:r>
      <w:r w:rsidRPr="005857E8" w:rsidR="005857E8">
        <w:rPr>
          <w:i/>
          <w:iCs/>
        </w:rPr>
        <w:t>Shakespeare and Renaissance Comedy and Tragedy</w:t>
      </w:r>
      <w:r w:rsidRPr="005857E8" w:rsidR="005857E8">
        <w:t>, (HPEN6033), UWTSD Lampeter Campus, 27 September 2024.</w:t>
      </w:r>
    </w:p>
  </w:footnote>
  <w:footnote w:id="5">
    <w:p w:rsidR="0024658A" w:rsidRPr="002031B8" w:rsidP="0024658A" w14:paraId="00EBE04E" w14:textId="77777777">
      <w:r>
        <w:rPr>
          <w:rStyle w:val="FootnoteReference"/>
        </w:rPr>
        <w:footnoteRef/>
      </w:r>
      <w:r>
        <w:t xml:space="preserve"> </w:t>
      </w:r>
      <w:r w:rsidRPr="002031B8">
        <w:t xml:space="preserve">Bevington, David M, Lars Engle, Katharine Eisaman Maus, and Eric Rasmussen. 2003. </w:t>
      </w:r>
      <w:r w:rsidRPr="002031B8">
        <w:rPr>
          <w:i/>
          <w:iCs/>
        </w:rPr>
        <w:t xml:space="preserve">English Renaissance </w:t>
      </w:r>
      <w:r w:rsidRPr="002031B8">
        <w:rPr>
          <w:i/>
          <w:iCs/>
        </w:rPr>
        <w:t>Drama :</w:t>
      </w:r>
      <w:r w:rsidRPr="002031B8">
        <w:rPr>
          <w:i/>
          <w:iCs/>
        </w:rPr>
        <w:t xml:space="preserve"> A Norton Anthology</w:t>
      </w:r>
      <w:r w:rsidRPr="002031B8">
        <w:t xml:space="preserve"> (New York: W.W. Norton)</w:t>
      </w:r>
    </w:p>
    <w:p w:rsidR="0024658A" w14:paraId="680241A3" w14:textId="7408D185">
      <w:pPr>
        <w:pStyle w:val="FootnoteText"/>
      </w:pPr>
    </w:p>
  </w:footnote>
  <w:footnote w:id="6">
    <w:p w:rsidR="00F31A11" w:rsidRPr="00F31A11" w:rsidP="00F31A11" w14:paraId="150913F7" w14:textId="77777777">
      <w:pPr>
        <w:pStyle w:val="FootnoteText"/>
      </w:pPr>
      <w:r>
        <w:rPr>
          <w:rStyle w:val="FootnoteReference"/>
        </w:rPr>
        <w:footnoteRef/>
      </w:r>
      <w:r>
        <w:t xml:space="preserve"> </w:t>
      </w:r>
      <w:r w:rsidRPr="00F31A11">
        <w:t xml:space="preserve">Hussey, Maurice. 1957. </w:t>
      </w:r>
      <w:r w:rsidRPr="00F31A11">
        <w:rPr>
          <w:i/>
          <w:iCs/>
        </w:rPr>
        <w:t>The Chester Mystery Plays</w:t>
      </w:r>
      <w:r w:rsidRPr="00F31A11">
        <w:t xml:space="preserve"> (Heinemann Educational Books Ltd)</w:t>
      </w:r>
    </w:p>
    <w:p w:rsidR="00F31A11" w14:paraId="035A5763" w14:textId="184F94EB">
      <w:pPr>
        <w:pStyle w:val="FootnoteText"/>
      </w:pPr>
    </w:p>
  </w:footnote>
  <w:footnote w:id="7">
    <w:p w:rsidR="0040320B" w14:paraId="0C7CA0BB" w14:textId="1251F041">
      <w:pPr>
        <w:pStyle w:val="FootnoteText"/>
      </w:pPr>
      <w:r>
        <w:rPr>
          <w:rStyle w:val="FootnoteReference"/>
        </w:rPr>
        <w:footnoteRef/>
      </w:r>
      <w:r>
        <w:t xml:space="preserve"> </w:t>
      </w:r>
      <w:r w:rsidRPr="009A7B41" w:rsidR="009A7B41">
        <w:t xml:space="preserve">Rose, Martial. 1961. </w:t>
      </w:r>
      <w:r w:rsidRPr="009A7B41" w:rsidR="009A7B41">
        <w:rPr>
          <w:i/>
          <w:iCs/>
        </w:rPr>
        <w:t>The Wakefield Mystery Plays / Part 1.</w:t>
      </w:r>
      <w:r w:rsidRPr="009A7B41" w:rsidR="009A7B41">
        <w:t xml:space="preserve"> (London: Evans)</w:t>
      </w:r>
    </w:p>
  </w:footnote>
  <w:footnote w:id="8">
    <w:p w:rsidR="00506BA8" w14:paraId="595060CE" w14:textId="79E2F8F3">
      <w:pPr>
        <w:pStyle w:val="FootnoteText"/>
      </w:pPr>
      <w:r>
        <w:rPr>
          <w:rStyle w:val="FootnoteReference"/>
        </w:rPr>
        <w:footnoteRef/>
      </w:r>
      <w:r>
        <w:t xml:space="preserve"> </w:t>
      </w:r>
      <w:r w:rsidRPr="00506BA8">
        <w:t xml:space="preserve">W. Owen Chadwick, and James C Spalding. 2019. ‘Protestantism | Origin, Definition, History, Doctrines, &amp; Facts’, </w:t>
      </w:r>
      <w:r w:rsidRPr="00506BA8">
        <w:rPr>
          <w:i/>
          <w:iCs/>
        </w:rPr>
        <w:t>Encyclopædia</w:t>
      </w:r>
      <w:r w:rsidRPr="00506BA8">
        <w:rPr>
          <w:i/>
          <w:iCs/>
        </w:rPr>
        <w:t xml:space="preserve"> Britannica</w:t>
      </w:r>
      <w:r w:rsidRPr="00506BA8">
        <w:t xml:space="preserve"> </w:t>
      </w:r>
      <w:hyperlink r:id="rId2" w:history="1">
        <w:r w:rsidRPr="00265DEE">
          <w:rPr>
            <w:rStyle w:val="Hyperlink"/>
          </w:rPr>
          <w:t>https://www.britannica.com/topic/Protestantism</w:t>
        </w:r>
      </w:hyperlink>
      <w:r>
        <w:t xml:space="preserve"> </w:t>
      </w:r>
    </w:p>
  </w:footnote>
  <w:footnote w:id="9">
    <w:p w:rsidR="00506BA8" w:rsidP="00506BA8" w14:paraId="5E3B510D" w14:textId="20D4B80D">
      <w:pPr>
        <w:pStyle w:val="FootnoteText"/>
      </w:pPr>
      <w:r>
        <w:rPr>
          <w:rStyle w:val="FootnoteReference"/>
        </w:rPr>
        <w:footnoteRef/>
      </w:r>
      <w:r>
        <w:t xml:space="preserve"> </w:t>
      </w:r>
      <w:r w:rsidRPr="005857E8">
        <w:t>Dr.</w:t>
      </w:r>
      <w:r w:rsidRPr="005857E8">
        <w:t xml:space="preserve"> Peter Mitchell,</w:t>
      </w:r>
      <w:r w:rsidRPr="00667B63">
        <w:t xml:space="preserve"> </w:t>
      </w:r>
      <w:r w:rsidRPr="005857E8">
        <w:t>Error and Sweet Violence</w:t>
      </w:r>
      <w:r>
        <w:t xml:space="preserve"> </w:t>
      </w:r>
      <w:r w:rsidRPr="005857E8">
        <w:t>27 September 2024.</w:t>
      </w:r>
    </w:p>
    <w:p w:rsidR="00506BA8" w14:paraId="39C566CE" w14:textId="24A14853">
      <w:pPr>
        <w:pStyle w:val="FootnoteText"/>
      </w:pPr>
    </w:p>
  </w:footnote>
  <w:footnote w:id="10">
    <w:p w:rsidR="00B66C00" w:rsidP="00304115" w14:paraId="77BB2F4C" w14:textId="30413468">
      <w:r>
        <w:rPr>
          <w:rStyle w:val="FootnoteReference"/>
        </w:rPr>
        <w:footnoteRef/>
      </w:r>
      <w:r>
        <w:t xml:space="preserve"> </w:t>
      </w:r>
      <w:r w:rsidRPr="002031B8" w:rsidR="00D46B41">
        <w:t xml:space="preserve">Bevington, David M, Lars Engle, Katharine Eisaman Maus, and Eric Rasmussen. 2003. </w:t>
      </w:r>
      <w:r w:rsidRPr="002031B8" w:rsidR="00D46B41">
        <w:rPr>
          <w:i/>
          <w:iCs/>
        </w:rPr>
        <w:t xml:space="preserve">English Renaissance </w:t>
      </w:r>
      <w:r w:rsidRPr="002031B8" w:rsidR="00D46B41">
        <w:rPr>
          <w:i/>
          <w:iCs/>
        </w:rPr>
        <w:t>Drama :</w:t>
      </w:r>
      <w:r w:rsidRPr="002031B8" w:rsidR="00D46B41">
        <w:rPr>
          <w:i/>
          <w:iCs/>
        </w:rPr>
        <w:t xml:space="preserve"> A Norton Anthology</w:t>
      </w:r>
      <w:r w:rsidRPr="002031B8" w:rsidR="00D46B41">
        <w:t xml:space="preserve"> (New York: W.W. Norton)</w:t>
      </w:r>
      <w:r w:rsidR="00D46B41">
        <w:t xml:space="preserve"> pp. </w:t>
      </w:r>
      <w:r w:rsidR="00304115">
        <w:t xml:space="preserve">256 </w:t>
      </w:r>
      <w:r w:rsidR="00304115">
        <w:t>Dr.</w:t>
      </w:r>
      <w:r w:rsidR="00304115">
        <w:t xml:space="preserve"> Faustus 1.3.24-27</w:t>
      </w:r>
    </w:p>
  </w:footnote>
  <w:footnote w:id="11">
    <w:p w:rsidR="0043045B" w14:paraId="50E25A23" w14:textId="127B2151">
      <w:pPr>
        <w:pStyle w:val="FootnoteText"/>
      </w:pPr>
      <w:r>
        <w:rPr>
          <w:rStyle w:val="FootnoteReference"/>
        </w:rPr>
        <w:footnoteRef/>
      </w:r>
      <w:r>
        <w:t xml:space="preserve"> </w:t>
      </w:r>
      <w:r w:rsidRPr="00F31A11" w:rsidR="00304115">
        <w:t xml:space="preserve">Hussey, Maurice. 1957. </w:t>
      </w:r>
      <w:r w:rsidRPr="00F31A11" w:rsidR="00304115">
        <w:rPr>
          <w:i/>
          <w:iCs/>
        </w:rPr>
        <w:t>The Chester Mystery Plays</w:t>
      </w:r>
      <w:r w:rsidR="00304115">
        <w:rPr>
          <w:i/>
          <w:iCs/>
        </w:rPr>
        <w:t xml:space="preserve"> pp. 106</w:t>
      </w:r>
    </w:p>
  </w:footnote>
  <w:footnote w:id="12">
    <w:p w:rsidR="005D28FC" w:rsidP="005D28FC" w14:paraId="64EF78A1" w14:textId="027EF99A">
      <w:r>
        <w:rPr>
          <w:rStyle w:val="FootnoteReference"/>
        </w:rPr>
        <w:footnoteRef/>
      </w:r>
      <w:r>
        <w:t xml:space="preserve"> </w:t>
      </w:r>
      <w:r w:rsidRPr="002031B8">
        <w:t xml:space="preserve">‘Luke 23 NIV - - Bible Gateway’. [n.d.]. </w:t>
      </w:r>
      <w:r w:rsidRPr="002031B8">
        <w:rPr>
          <w:i/>
          <w:iCs/>
        </w:rPr>
        <w:t>Www.biblegateway.com</w:t>
      </w:r>
      <w:r w:rsidRPr="002031B8">
        <w:t xml:space="preserve"> </w:t>
      </w:r>
      <w:hyperlink r:id="rId3" w:history="1">
        <w:r w:rsidRPr="002031B8">
          <w:rPr>
            <w:rStyle w:val="Hyperlink"/>
          </w:rPr>
          <w:t>https://www.biblegateway.com/passage/?search=Luke%2023&amp;version=NIV</w:t>
        </w:r>
      </w:hyperlink>
      <w:r>
        <w:t xml:space="preserve"> </w:t>
      </w:r>
    </w:p>
  </w:footnote>
  <w:footnote w:id="13">
    <w:p w:rsidR="002B21C3" w:rsidRPr="002B21C3" w:rsidP="002B21C3" w14:paraId="6C297C77" w14:textId="32B982D9">
      <w:pPr>
        <w:pStyle w:val="FootnoteText"/>
      </w:pPr>
      <w:r>
        <w:rPr>
          <w:rStyle w:val="FootnoteReference"/>
        </w:rPr>
        <w:footnoteRef/>
      </w:r>
      <w:r>
        <w:t xml:space="preserve"> </w:t>
      </w:r>
      <w:r w:rsidRPr="002B21C3">
        <w:t>Bevington and others 2003</w:t>
      </w:r>
      <w:r>
        <w:t xml:space="preserve"> pp. </w:t>
      </w:r>
      <w:r w:rsidR="00BC0BF3">
        <w:t>258</w:t>
      </w:r>
    </w:p>
    <w:p w:rsidR="002B21C3" w14:paraId="589B683E" w14:textId="0E98D48C">
      <w:pPr>
        <w:pStyle w:val="FootnoteText"/>
      </w:pPr>
    </w:p>
  </w:footnote>
  <w:footnote w:id="14">
    <w:p w:rsidR="00F6694B" w:rsidRPr="00F6694B" w:rsidP="00F6694B" w14:paraId="416423C4" w14:textId="18AF4A53">
      <w:pPr>
        <w:pStyle w:val="FootnoteText"/>
      </w:pPr>
      <w:r>
        <w:rPr>
          <w:rStyle w:val="FootnoteReference"/>
        </w:rPr>
        <w:footnoteRef/>
      </w:r>
      <w:r>
        <w:t xml:space="preserve"> </w:t>
      </w:r>
      <w:r w:rsidRPr="00F6694B">
        <w:t>(Bevington and others 2003)</w:t>
      </w:r>
      <w:r w:rsidR="000F4DC5">
        <w:t xml:space="preserve"> pp.24</w:t>
      </w:r>
      <w:r w:rsidR="004A4CE2">
        <w:t>6</w:t>
      </w:r>
    </w:p>
    <w:p w:rsidR="00F6694B" w14:paraId="15C3EF55" w14:textId="39BD0074">
      <w:pPr>
        <w:pStyle w:val="FootnoteText"/>
      </w:pPr>
    </w:p>
  </w:footnote>
  <w:footnote w:id="15">
    <w:p w:rsidR="009C1224" w:rsidRPr="009C1224" w:rsidP="009C1224" w14:paraId="3ECF718A" w14:textId="5FC70EB2">
      <w:pPr>
        <w:pStyle w:val="FootnoteText"/>
      </w:pPr>
      <w:r>
        <w:rPr>
          <w:rStyle w:val="FootnoteReference"/>
        </w:rPr>
        <w:footnoteRef/>
      </w:r>
      <w:r>
        <w:t xml:space="preserve"> </w:t>
      </w:r>
      <w:r w:rsidRPr="009C1224">
        <w:t xml:space="preserve">Leech, Clifford. 2019. ‘Christopher Marlowe | English Writer | Britannica’, </w:t>
      </w:r>
      <w:r w:rsidRPr="009C1224">
        <w:rPr>
          <w:i/>
          <w:iCs/>
        </w:rPr>
        <w:t>Encyclopædia</w:t>
      </w:r>
      <w:r w:rsidRPr="009C1224">
        <w:rPr>
          <w:i/>
          <w:iCs/>
        </w:rPr>
        <w:t xml:space="preserve"> Britannica</w:t>
      </w:r>
      <w:r w:rsidRPr="009C1224">
        <w:t xml:space="preserve"> </w:t>
      </w:r>
      <w:hyperlink r:id="rId4" w:history="1">
        <w:r w:rsidRPr="00265DEE">
          <w:rPr>
            <w:rStyle w:val="Hyperlink"/>
          </w:rPr>
          <w:t>https://www.britannica.com/biography/Christopher-Marlowe</w:t>
        </w:r>
      </w:hyperlink>
      <w:r>
        <w:t xml:space="preserve"> </w:t>
      </w:r>
    </w:p>
    <w:p w:rsidR="004A4CE2" w14:paraId="2EB90ECD" w14:textId="374398A5">
      <w:pPr>
        <w:pStyle w:val="FootnoteText"/>
      </w:pPr>
    </w:p>
  </w:footnote>
  <w:footnote w:id="16">
    <w:p w:rsidR="001255F3" w14:paraId="643588D3" w14:textId="00469B8A">
      <w:pPr>
        <w:pStyle w:val="FootnoteText"/>
      </w:pPr>
      <w:r>
        <w:rPr>
          <w:rStyle w:val="FootnoteReference"/>
        </w:rPr>
        <w:footnoteRef/>
      </w:r>
      <w:r>
        <w:t xml:space="preserve"> </w:t>
      </w:r>
      <w:r w:rsidRPr="005857E8">
        <w:t>Dr.</w:t>
      </w:r>
      <w:r w:rsidRPr="005857E8">
        <w:t xml:space="preserve"> Peter Mitchell,</w:t>
      </w:r>
      <w:r w:rsidRPr="00667B63">
        <w:t xml:space="preserve"> </w:t>
      </w:r>
      <w:r w:rsidRPr="005857E8">
        <w:t>Error and Sweet Violence</w:t>
      </w:r>
      <w:r>
        <w:t xml:space="preserve"> </w:t>
      </w:r>
      <w:r w:rsidRPr="005857E8">
        <w:t>27 September 2024</w:t>
      </w:r>
    </w:p>
  </w:footnote>
  <w:footnote w:id="17">
    <w:p w:rsidR="001255F3" w14:paraId="6832BAB6" w14:textId="630EE9DA">
      <w:pPr>
        <w:pStyle w:val="FootnoteText"/>
      </w:pPr>
      <w:r>
        <w:rPr>
          <w:rStyle w:val="FootnoteReference"/>
        </w:rPr>
        <w:footnoteRef/>
      </w:r>
      <w:r>
        <w:t xml:space="preserve"> </w:t>
      </w:r>
      <w:r w:rsidRPr="002031B8" w:rsidR="00DC6A07">
        <w:rPr>
          <w:sz w:val="24"/>
          <w:szCs w:val="24"/>
        </w:rPr>
        <w:t>Editors of the Encyclopaedia Britannica.</w:t>
      </w:r>
      <w:r w:rsidR="00DC6A07">
        <w:rPr>
          <w:sz w:val="24"/>
          <w:szCs w:val="24"/>
        </w:rPr>
        <w:t xml:space="preserve"> </w:t>
      </w:r>
      <w:r w:rsidRPr="002031B8" w:rsidR="00DC6A07">
        <w:rPr>
          <w:sz w:val="24"/>
          <w:szCs w:val="24"/>
        </w:rPr>
        <w:t xml:space="preserve">2024. ‘Thomas Middleton | English Playwright &amp; Poet | Britannica’, </w:t>
      </w:r>
      <w:r w:rsidRPr="002031B8" w:rsidR="00DC6A07">
        <w:rPr>
          <w:i/>
          <w:iCs/>
          <w:sz w:val="24"/>
          <w:szCs w:val="24"/>
        </w:rPr>
        <w:t>Encyclopedia</w:t>
      </w:r>
      <w:r w:rsidRPr="002031B8" w:rsidR="00DC6A07">
        <w:rPr>
          <w:i/>
          <w:iCs/>
          <w:sz w:val="24"/>
          <w:szCs w:val="24"/>
        </w:rPr>
        <w:t xml:space="preserve"> Britannica</w:t>
      </w:r>
      <w:r w:rsidRPr="002031B8" w:rsidR="00DC6A07">
        <w:rPr>
          <w:sz w:val="24"/>
          <w:szCs w:val="24"/>
        </w:rPr>
        <w:t xml:space="preserve"> </w:t>
      </w:r>
      <w:hyperlink r:id="rId5" w:history="1">
        <w:r w:rsidRPr="002031B8" w:rsidR="00DC6A07">
          <w:rPr>
            <w:rStyle w:val="Hyperlink"/>
          </w:rPr>
          <w:t>https://www.britannica.com/biography/Thomas-Middleton#ref138298</w:t>
        </w:r>
      </w:hyperlink>
      <w:r w:rsidR="00DC6A07">
        <w:t xml:space="preserve"> </w:t>
      </w:r>
      <w:r w:rsidRPr="002031B8" w:rsidR="00DC6A07">
        <w:rPr>
          <w:sz w:val="24"/>
          <w:szCs w:val="24"/>
        </w:rPr>
        <w:t xml:space="preserve"> </w:t>
      </w:r>
      <w:r w:rsidR="00DC6A07">
        <w:t xml:space="preserve">   </w:t>
      </w:r>
      <w:r w:rsidRPr="002031B8" w:rsidR="00DC6A07">
        <w:rPr>
          <w:sz w:val="24"/>
          <w:szCs w:val="24"/>
        </w:rPr>
        <w:t>[</w:t>
      </w:r>
      <w:r w:rsidRPr="002031B8" w:rsidR="00DC6A07">
        <w:rPr>
          <w:sz w:val="24"/>
          <w:szCs w:val="24"/>
        </w:rPr>
        <w:t xml:space="preserve">accessed </w:t>
      </w:r>
      <w:r w:rsidR="00DC6A07">
        <w:t>16</w:t>
      </w:r>
      <w:r w:rsidRPr="002031B8" w:rsidR="00DC6A07">
        <w:rPr>
          <w:sz w:val="24"/>
          <w:szCs w:val="24"/>
        </w:rPr>
        <w:t xml:space="preserve"> October 2024]</w:t>
      </w:r>
    </w:p>
  </w:footnote>
  <w:footnote w:id="18">
    <w:p w:rsidR="00BA111C" w14:paraId="449EBB9F" w14:textId="1A8419F9">
      <w:pPr>
        <w:pStyle w:val="FootnoteText"/>
      </w:pPr>
      <w:r>
        <w:rPr>
          <w:rStyle w:val="FootnoteReference"/>
        </w:rPr>
        <w:footnoteRef/>
      </w:r>
      <w:r>
        <w:t xml:space="preserve"> </w:t>
      </w:r>
      <w:r w:rsidRPr="002031B8">
        <w:rPr>
          <w:sz w:val="24"/>
          <w:szCs w:val="24"/>
        </w:rPr>
        <w:t xml:space="preserve">Romans 12:19 NIV - - Bible Gateway’. [n.d.]. </w:t>
      </w:r>
      <w:r w:rsidRPr="002031B8">
        <w:rPr>
          <w:i/>
          <w:iCs/>
          <w:sz w:val="24"/>
          <w:szCs w:val="24"/>
        </w:rPr>
        <w:t>Www.biblegateway.com</w:t>
      </w:r>
      <w:r w:rsidRPr="002031B8">
        <w:rPr>
          <w:sz w:val="24"/>
          <w:szCs w:val="24"/>
        </w:rPr>
        <w:t xml:space="preserve"> </w:t>
      </w:r>
      <w:hyperlink r:id="rId6" w:history="1">
        <w:r w:rsidRPr="002031B8">
          <w:rPr>
            <w:rStyle w:val="Hyperlink"/>
          </w:rPr>
          <w:t>https://www.biblegateway.com/passage/?search=Romans%2012%3A19&amp;version=NIV</w:t>
        </w:r>
      </w:hyperlink>
    </w:p>
  </w:footnote>
  <w:footnote w:id="19">
    <w:p w:rsidR="00A37C0E" w14:paraId="26AFF10D" w14:textId="6B216A27">
      <w:pPr>
        <w:pStyle w:val="FootnoteText"/>
      </w:pPr>
      <w:r>
        <w:rPr>
          <w:rStyle w:val="FootnoteReference"/>
        </w:rPr>
        <w:footnoteRef/>
      </w:r>
      <w:r>
        <w:t xml:space="preserve"> </w:t>
      </w:r>
      <w:r w:rsidRPr="00F6694B">
        <w:t>(Bevington and others 2003)</w:t>
      </w:r>
      <w:r>
        <w:t xml:space="preserve"> pp.</w:t>
      </w:r>
      <w:r w:rsidR="00B657AD">
        <w:t>1</w:t>
      </w:r>
      <w:r>
        <w:t>2</w:t>
      </w:r>
      <w:r w:rsidR="00B657AD">
        <w:t>98</w:t>
      </w:r>
    </w:p>
  </w:footnote>
  <w:footnote w:id="20">
    <w:p w:rsidR="00153064" w14:paraId="769AA622" w14:textId="65E99ECD">
      <w:pPr>
        <w:pStyle w:val="FootnoteText"/>
      </w:pPr>
      <w:r>
        <w:rPr>
          <w:rStyle w:val="FootnoteReference"/>
        </w:rPr>
        <w:footnoteRef/>
      </w:r>
      <w:r>
        <w:t xml:space="preserve"> Revengers Tragedy </w:t>
      </w:r>
      <w:r w:rsidR="00725A28">
        <w:t>3.5.</w:t>
      </w:r>
      <w:r w:rsidR="005D5276">
        <w:t>129-225</w:t>
      </w:r>
    </w:p>
  </w:footnote>
  <w:footnote w:id="21">
    <w:p w:rsidR="00D8211E" w14:paraId="6F106AD5" w14:textId="6CFC3F78">
      <w:pPr>
        <w:pStyle w:val="FootnoteText"/>
      </w:pPr>
      <w:r>
        <w:rPr>
          <w:rStyle w:val="FootnoteReference"/>
        </w:rPr>
        <w:footnoteRef/>
      </w:r>
      <w:r>
        <w:t xml:space="preserve"> </w:t>
      </w:r>
      <w:r w:rsidRPr="00F31A11" w:rsidR="00F2077E">
        <w:t xml:space="preserve">Hussey, Maurice. 1957. </w:t>
      </w:r>
      <w:r w:rsidRPr="00F31A11" w:rsidR="00F2077E">
        <w:rPr>
          <w:i/>
          <w:iCs/>
        </w:rPr>
        <w:t>The Chester Mystery Plays</w:t>
      </w:r>
    </w:p>
  </w:footnote>
  <w:footnote w:id="22">
    <w:p w:rsidR="00230FA4" w14:paraId="519D7575" w14:textId="7B4E7411">
      <w:pPr>
        <w:pStyle w:val="FootnoteText"/>
      </w:pPr>
      <w:r>
        <w:rPr>
          <w:rStyle w:val="FootnoteReference"/>
        </w:rPr>
        <w:footnoteRef/>
      </w:r>
      <w:r>
        <w:t xml:space="preserve"> </w:t>
      </w:r>
      <w:r w:rsidRPr="00F6694B">
        <w:t>(Bevington and others 2003)</w:t>
      </w:r>
      <w:r>
        <w:t xml:space="preserve"> pp.129</w:t>
      </w:r>
      <w:r>
        <w:t>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391"/>
    <w:rsid w:val="00000CE4"/>
    <w:rsid w:val="000062F5"/>
    <w:rsid w:val="000451E6"/>
    <w:rsid w:val="00083833"/>
    <w:rsid w:val="000864F7"/>
    <w:rsid w:val="000A2CF0"/>
    <w:rsid w:val="000F4DC5"/>
    <w:rsid w:val="00117113"/>
    <w:rsid w:val="001255F3"/>
    <w:rsid w:val="00130C0F"/>
    <w:rsid w:val="00141AC8"/>
    <w:rsid w:val="00152F73"/>
    <w:rsid w:val="00153064"/>
    <w:rsid w:val="00163EB2"/>
    <w:rsid w:val="00190296"/>
    <w:rsid w:val="002031B8"/>
    <w:rsid w:val="00230FA4"/>
    <w:rsid w:val="002312D3"/>
    <w:rsid w:val="00244464"/>
    <w:rsid w:val="002447E2"/>
    <w:rsid w:val="0024658A"/>
    <w:rsid w:val="0024677F"/>
    <w:rsid w:val="00252F3A"/>
    <w:rsid w:val="00255648"/>
    <w:rsid w:val="002561D6"/>
    <w:rsid w:val="00265DEE"/>
    <w:rsid w:val="002B21C3"/>
    <w:rsid w:val="002F57AF"/>
    <w:rsid w:val="00304115"/>
    <w:rsid w:val="003063FE"/>
    <w:rsid w:val="00314E75"/>
    <w:rsid w:val="00320484"/>
    <w:rsid w:val="00321520"/>
    <w:rsid w:val="00337828"/>
    <w:rsid w:val="003502CA"/>
    <w:rsid w:val="0036418D"/>
    <w:rsid w:val="003933C1"/>
    <w:rsid w:val="003A6B30"/>
    <w:rsid w:val="003C4BA9"/>
    <w:rsid w:val="0040320B"/>
    <w:rsid w:val="00423A3C"/>
    <w:rsid w:val="0043045B"/>
    <w:rsid w:val="004324EE"/>
    <w:rsid w:val="00441DE5"/>
    <w:rsid w:val="0046786F"/>
    <w:rsid w:val="00491EC0"/>
    <w:rsid w:val="004A4CE2"/>
    <w:rsid w:val="004A5391"/>
    <w:rsid w:val="004C3082"/>
    <w:rsid w:val="004C4FC9"/>
    <w:rsid w:val="004D267C"/>
    <w:rsid w:val="00506BA8"/>
    <w:rsid w:val="00512111"/>
    <w:rsid w:val="005540C5"/>
    <w:rsid w:val="00567004"/>
    <w:rsid w:val="005857E8"/>
    <w:rsid w:val="00586927"/>
    <w:rsid w:val="00594ADA"/>
    <w:rsid w:val="005A6340"/>
    <w:rsid w:val="005D28FC"/>
    <w:rsid w:val="005D5276"/>
    <w:rsid w:val="00600BA3"/>
    <w:rsid w:val="006043EB"/>
    <w:rsid w:val="006261F4"/>
    <w:rsid w:val="00647629"/>
    <w:rsid w:val="00667B63"/>
    <w:rsid w:val="0067080F"/>
    <w:rsid w:val="006761EB"/>
    <w:rsid w:val="00687196"/>
    <w:rsid w:val="00694F43"/>
    <w:rsid w:val="006C6CD7"/>
    <w:rsid w:val="006E7A9B"/>
    <w:rsid w:val="006F3589"/>
    <w:rsid w:val="0071477D"/>
    <w:rsid w:val="00725A28"/>
    <w:rsid w:val="00727B41"/>
    <w:rsid w:val="00750727"/>
    <w:rsid w:val="007A4D48"/>
    <w:rsid w:val="007E1C0E"/>
    <w:rsid w:val="007E4F4A"/>
    <w:rsid w:val="007E6781"/>
    <w:rsid w:val="007F5BDD"/>
    <w:rsid w:val="0084714F"/>
    <w:rsid w:val="00851FDA"/>
    <w:rsid w:val="00885582"/>
    <w:rsid w:val="008B0B64"/>
    <w:rsid w:val="008B286A"/>
    <w:rsid w:val="008C58CC"/>
    <w:rsid w:val="008D1FAF"/>
    <w:rsid w:val="008E78BF"/>
    <w:rsid w:val="008F03A6"/>
    <w:rsid w:val="00915A4B"/>
    <w:rsid w:val="009415FC"/>
    <w:rsid w:val="00943CC7"/>
    <w:rsid w:val="00944D7D"/>
    <w:rsid w:val="00982019"/>
    <w:rsid w:val="00994A75"/>
    <w:rsid w:val="009953FB"/>
    <w:rsid w:val="0099612A"/>
    <w:rsid w:val="009A08E8"/>
    <w:rsid w:val="009A7B41"/>
    <w:rsid w:val="009C1224"/>
    <w:rsid w:val="009D6C41"/>
    <w:rsid w:val="009E6A1C"/>
    <w:rsid w:val="009F2D0C"/>
    <w:rsid w:val="009F5767"/>
    <w:rsid w:val="00A064C7"/>
    <w:rsid w:val="00A0715A"/>
    <w:rsid w:val="00A1704D"/>
    <w:rsid w:val="00A22EBA"/>
    <w:rsid w:val="00A323D7"/>
    <w:rsid w:val="00A37C0E"/>
    <w:rsid w:val="00A46FE0"/>
    <w:rsid w:val="00A83AA9"/>
    <w:rsid w:val="00AB0DBE"/>
    <w:rsid w:val="00AB4E09"/>
    <w:rsid w:val="00AC5BEE"/>
    <w:rsid w:val="00AC77F8"/>
    <w:rsid w:val="00B07B7F"/>
    <w:rsid w:val="00B143EC"/>
    <w:rsid w:val="00B2150C"/>
    <w:rsid w:val="00B477C4"/>
    <w:rsid w:val="00B657AD"/>
    <w:rsid w:val="00B66C00"/>
    <w:rsid w:val="00B807DB"/>
    <w:rsid w:val="00B90F92"/>
    <w:rsid w:val="00BA0C8F"/>
    <w:rsid w:val="00BA111C"/>
    <w:rsid w:val="00BC0BF3"/>
    <w:rsid w:val="00BE33E3"/>
    <w:rsid w:val="00BF645E"/>
    <w:rsid w:val="00C051C9"/>
    <w:rsid w:val="00C16D59"/>
    <w:rsid w:val="00C33A58"/>
    <w:rsid w:val="00C44B33"/>
    <w:rsid w:val="00C7229E"/>
    <w:rsid w:val="00CC06A1"/>
    <w:rsid w:val="00CD708B"/>
    <w:rsid w:val="00CD7E6E"/>
    <w:rsid w:val="00CE672C"/>
    <w:rsid w:val="00D11B3B"/>
    <w:rsid w:val="00D1388C"/>
    <w:rsid w:val="00D20A10"/>
    <w:rsid w:val="00D369D3"/>
    <w:rsid w:val="00D377E4"/>
    <w:rsid w:val="00D46B41"/>
    <w:rsid w:val="00D7482C"/>
    <w:rsid w:val="00D771DF"/>
    <w:rsid w:val="00D8211E"/>
    <w:rsid w:val="00D86576"/>
    <w:rsid w:val="00DA7AB5"/>
    <w:rsid w:val="00DC6A07"/>
    <w:rsid w:val="00E14B2A"/>
    <w:rsid w:val="00E37EC8"/>
    <w:rsid w:val="00E51F3A"/>
    <w:rsid w:val="00E56984"/>
    <w:rsid w:val="00E75AA0"/>
    <w:rsid w:val="00E933E1"/>
    <w:rsid w:val="00F2077E"/>
    <w:rsid w:val="00F30BAA"/>
    <w:rsid w:val="00F31A11"/>
    <w:rsid w:val="00F34AFA"/>
    <w:rsid w:val="00F472EE"/>
    <w:rsid w:val="00F57C91"/>
    <w:rsid w:val="00F6694B"/>
    <w:rsid w:val="00F94AD2"/>
    <w:rsid w:val="00FD3A08"/>
    <w:rsid w:val="00FD5C0B"/>
    <w:rsid w:val="00FE7992"/>
    <w:rsid w:val="00FF0C98"/>
    <w:rsid w:val="00FF528F"/>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479A3BC2"/>
  <w15:chartTrackingRefBased/>
  <w15:docId w15:val="{F6A72FAF-E7AF-4C38-B8E5-870CEF386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53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53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53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53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53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53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53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53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53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3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53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53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53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53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53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53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53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5391"/>
    <w:rPr>
      <w:rFonts w:eastAsiaTheme="majorEastAsia" w:cstheme="majorBidi"/>
      <w:color w:val="272727" w:themeColor="text1" w:themeTint="D8"/>
    </w:rPr>
  </w:style>
  <w:style w:type="paragraph" w:styleId="Title">
    <w:name w:val="Title"/>
    <w:basedOn w:val="Normal"/>
    <w:next w:val="Normal"/>
    <w:link w:val="TitleChar"/>
    <w:uiPriority w:val="10"/>
    <w:qFormat/>
    <w:rsid w:val="004A53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53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53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53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5391"/>
    <w:pPr>
      <w:spacing w:before="160"/>
      <w:jc w:val="center"/>
    </w:pPr>
    <w:rPr>
      <w:i/>
      <w:iCs/>
      <w:color w:val="404040" w:themeColor="text1" w:themeTint="BF"/>
    </w:rPr>
  </w:style>
  <w:style w:type="character" w:customStyle="1" w:styleId="QuoteChar">
    <w:name w:val="Quote Char"/>
    <w:basedOn w:val="DefaultParagraphFont"/>
    <w:link w:val="Quote"/>
    <w:uiPriority w:val="29"/>
    <w:rsid w:val="004A5391"/>
    <w:rPr>
      <w:i/>
      <w:iCs/>
      <w:color w:val="404040" w:themeColor="text1" w:themeTint="BF"/>
    </w:rPr>
  </w:style>
  <w:style w:type="paragraph" w:styleId="ListParagraph">
    <w:name w:val="List Paragraph"/>
    <w:basedOn w:val="Normal"/>
    <w:uiPriority w:val="34"/>
    <w:qFormat/>
    <w:rsid w:val="004A5391"/>
    <w:pPr>
      <w:ind w:left="720"/>
      <w:contextualSpacing/>
    </w:pPr>
  </w:style>
  <w:style w:type="character" w:styleId="IntenseEmphasis">
    <w:name w:val="Intense Emphasis"/>
    <w:basedOn w:val="DefaultParagraphFont"/>
    <w:uiPriority w:val="21"/>
    <w:qFormat/>
    <w:rsid w:val="004A5391"/>
    <w:rPr>
      <w:i/>
      <w:iCs/>
      <w:color w:val="0F4761" w:themeColor="accent1" w:themeShade="BF"/>
    </w:rPr>
  </w:style>
  <w:style w:type="paragraph" w:styleId="IntenseQuote">
    <w:name w:val="Intense Quote"/>
    <w:basedOn w:val="Normal"/>
    <w:next w:val="Normal"/>
    <w:link w:val="IntenseQuoteChar"/>
    <w:uiPriority w:val="30"/>
    <w:qFormat/>
    <w:rsid w:val="004A53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5391"/>
    <w:rPr>
      <w:i/>
      <w:iCs/>
      <w:color w:val="0F4761" w:themeColor="accent1" w:themeShade="BF"/>
    </w:rPr>
  </w:style>
  <w:style w:type="character" w:styleId="IntenseReference">
    <w:name w:val="Intense Reference"/>
    <w:basedOn w:val="DefaultParagraphFont"/>
    <w:uiPriority w:val="32"/>
    <w:qFormat/>
    <w:rsid w:val="004A5391"/>
    <w:rPr>
      <w:b/>
      <w:bCs/>
      <w:smallCaps/>
      <w:color w:val="0F4761" w:themeColor="accent1" w:themeShade="BF"/>
      <w:spacing w:val="5"/>
    </w:rPr>
  </w:style>
  <w:style w:type="paragraph" w:styleId="FootnoteText">
    <w:name w:val="footnote text"/>
    <w:basedOn w:val="Normal"/>
    <w:link w:val="FootnoteTextChar"/>
    <w:uiPriority w:val="99"/>
    <w:semiHidden/>
    <w:unhideWhenUsed/>
    <w:rsid w:val="00B66C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6C00"/>
    <w:rPr>
      <w:sz w:val="20"/>
      <w:szCs w:val="20"/>
    </w:rPr>
  </w:style>
  <w:style w:type="character" w:styleId="FootnoteReference">
    <w:name w:val="footnote reference"/>
    <w:basedOn w:val="DefaultParagraphFont"/>
    <w:uiPriority w:val="99"/>
    <w:semiHidden/>
    <w:unhideWhenUsed/>
    <w:rsid w:val="00B66C00"/>
    <w:rPr>
      <w:vertAlign w:val="superscript"/>
    </w:rPr>
  </w:style>
  <w:style w:type="character" w:styleId="Hyperlink">
    <w:name w:val="Hyperlink"/>
    <w:basedOn w:val="DefaultParagraphFont"/>
    <w:uiPriority w:val="99"/>
    <w:unhideWhenUsed/>
    <w:rsid w:val="00000CE4"/>
    <w:rPr>
      <w:color w:val="467886" w:themeColor="hyperlink"/>
      <w:u w:val="single"/>
    </w:rPr>
  </w:style>
  <w:style w:type="character" w:styleId="UnresolvedMention">
    <w:name w:val="Unresolved Mention"/>
    <w:basedOn w:val="DefaultParagraphFont"/>
    <w:uiPriority w:val="99"/>
    <w:semiHidden/>
    <w:unhideWhenUsed/>
    <w:rsid w:val="00000CE4"/>
    <w:rPr>
      <w:color w:val="605E5C"/>
      <w:shd w:val="clear" w:color="auto" w:fill="E1DFDD"/>
    </w:rPr>
  </w:style>
  <w:style w:type="paragraph" w:styleId="NormalWeb">
    <w:name w:val="Normal (Web)"/>
    <w:basedOn w:val="Normal"/>
    <w:uiPriority w:val="99"/>
    <w:semiHidden/>
    <w:unhideWhenUsed/>
    <w:rsid w:val="00D1388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https://www.biblegateway.com/passage/?search=Luke%2023&amp;version=NIV" TargetMode="External" /><Relationship Id="rId11" Type="http://schemas.openxmlformats.org/officeDocument/2006/relationships/hyperlink" Target="https://www.vam.ac.uk/articles/the-story-of-theatre" TargetMode="External" /><Relationship Id="rId12" Type="http://schemas.openxmlformats.org/officeDocument/2006/relationships/hyperlink" Target="https://www.britannica.com/topic/Protestantism" TargetMode="External" /><Relationship Id="rId13" Type="http://schemas.openxmlformats.org/officeDocument/2006/relationships/theme" Target="theme/theme1.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hyperlink" Target="https://www.biblegateway.com/passage/?search=Romans%2012%3A19&amp;version=NIV" TargetMode="External" /><Relationship Id="rId6" Type="http://schemas.openxmlformats.org/officeDocument/2006/relationships/hyperlink" Target="https://www.britannica.com/topic/Chester-plays" TargetMode="External" /><Relationship Id="rId7" Type="http://schemas.openxmlformats.org/officeDocument/2006/relationships/hyperlink" Target="https://www.britannica.com/biography/Thomas-Middleton#ref138298" TargetMode="External" /><Relationship Id="rId8" Type="http://schemas.openxmlformats.org/officeDocument/2006/relationships/hyperlink" Target="https://www.britannica.com/art/mystery-play" TargetMode="External" /><Relationship Id="rId9" Type="http://schemas.openxmlformats.org/officeDocument/2006/relationships/hyperlink" Target="https://www.britannica.com/biography/Christopher-Marlowe" TargetMode="External" /></Relationships>
</file>

<file path=word/_rels/footnotes.xml.rels><?xml version="1.0" encoding="utf-8" standalone="yes"?><Relationships xmlns="http://schemas.openxmlformats.org/package/2006/relationships"><Relationship Id="rId1" Type="http://schemas.openxmlformats.org/officeDocument/2006/relationships/hyperlink" Target="https://www.vam.ac.uk/articles/the-story-of-theatre" TargetMode="External" /><Relationship Id="rId2" Type="http://schemas.openxmlformats.org/officeDocument/2006/relationships/hyperlink" Target="https://www.britannica.com/topic/Protestantism" TargetMode="External" /><Relationship Id="rId3" Type="http://schemas.openxmlformats.org/officeDocument/2006/relationships/hyperlink" Target="https://www.biblegateway.com/passage/?search=Luke%2023&amp;version=NIV" TargetMode="External" /><Relationship Id="rId4" Type="http://schemas.openxmlformats.org/officeDocument/2006/relationships/hyperlink" Target="https://www.britannica.com/biography/Christopher-Marlowe" TargetMode="External" /><Relationship Id="rId5" Type="http://schemas.openxmlformats.org/officeDocument/2006/relationships/hyperlink" Target="https://www.britannica.com/biography/Thomas-Middleton#ref138298" TargetMode="External" /><Relationship Id="rId6" Type="http://schemas.openxmlformats.org/officeDocument/2006/relationships/hyperlink" Target="https://www.biblegateway.com/passage/?search=Romans%2012%3A19&amp;version=NIV"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1718</TotalTime>
  <Pages>7</Pages>
  <Words>2233</Words>
  <Characters>12731</Characters>
  <Application>Microsoft Office Word</Application>
  <DocSecurity>0</DocSecurity>
  <Lines>106</Lines>
  <Paragraphs>29</Paragraphs>
  <ScaleCrop>false</ScaleCrop>
  <Company/>
  <LinksUpToDate>false</LinksUpToDate>
  <CharactersWithSpaces>14935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Josiah Coney</dc:creator>
  <cp:lastModifiedBy>Josiah Coney</cp:lastModifiedBy>
  <cp:revision>175</cp:revision>
  <dcterms:created xsi:type="dcterms:W3CDTF">2024-10-26T17:28:00Z</dcterms:created>
  <dcterms:modified xsi:type="dcterms:W3CDTF">2024-10-27T23:07:00Z</dcterms:modified>
</cp:coreProperties>
</file>