
<file path=[Content_Types].xml><?xml version="1.0" encoding="utf-8"?>
<Types xmlns="http://schemas.openxmlformats.org/package/2006/content-types">
  <Default Extension="png" ContentType="image/pn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body>
    <w:p w14:paraId="34BBE3CB" w14:textId="2A85B6CF" w:rsidR="00361740" w:rsidRDefault="00361740">
      <w:r>
        <w:t>Chelsea Davies – 2106921</w:t>
      </w:r>
    </w:p>
    <w:p w14:paraId="611C5990" w14:textId="66C2FFF5" w:rsidR="00361740" w:rsidRDefault="00361740"/>
    <w:p w14:paraId="61E25542" w14:textId="625467C4" w:rsidR="00361740" w:rsidRDefault="00361740">
      <w:r>
        <w:t>The first 1000 days- ECEY4005/C</w:t>
      </w:r>
    </w:p>
    <w:p w14:paraId="5B1DA9CF" w14:textId="1C0861B6" w:rsidR="00361740" w:rsidRDefault="00361740"/>
    <w:p w14:paraId="08995218" w14:textId="77777777" w:rsidR="00361740" w:rsidRDefault="00361740"/>
    <w:tbl>
      <w:tblPr>
        <w:tblW w:w="9000" w:type="dxa"/>
        <w:tblBorders>
          <w:top w:val="single" w:sz="6" w:space="0" w:color="D2D2D2"/>
          <w:left w:val="single" w:sz="6" w:space="0" w:color="D2D2D2"/>
          <w:bottom w:val="single" w:sz="6" w:space="0" w:color="D2D2D2"/>
          <w:right w:val="single" w:sz="6" w:space="0" w:color="D2D2D2"/>
        </w:tblBorders>
        <w:tblCellMar>
          <w:left w:w="0" w:type="dxa"/>
          <w:right w:w="0" w:type="dxa"/>
        </w:tblCellMar>
        <w:tblLook w:val="04A0" w:firstRow="1" w:lastRow="0" w:firstColumn="1" w:lastColumn="0" w:noHBand="0" w:noVBand="1"/>
      </w:tblPr>
      <w:tblGrid>
        <w:gridCol w:w="9010"/>
      </w:tblGrid>
      <w:tr w:rsidR="00361740" w:rsidRPr="00361740" w14:paraId="12C011E9" w14:textId="77777777" w:rsidTr="00361740">
        <w:tc>
          <w:tcPr>
            <w:tcW w:w="0" w:type="auto"/>
            <w:vAlign w:val="center"/>
            <w:hideMark/>
          </w:tcPr>
          <w:p w14:paraId="40DA5372" w14:textId="3E89BF8F" w:rsidR="00361740" w:rsidRPr="00361740" w:rsidRDefault="00361740" w:rsidP="00361740">
            <w:pPr>
              <w:spacing w:before="100" w:beforeAutospacing="1" w:after="100" w:afterAutospacing="1"/>
              <w:jc w:val="center"/>
              <w:rPr>
                <w:rFonts w:ascii="-webkit-standard" w:eastAsia="Times New Roman" w:hAnsi="-webkit-standard" w:cs="Times New Roman"/>
                <w:color w:val="000000"/>
                <w:lang w:eastAsia="en-GB"/>
              </w:rPr>
            </w:pPr>
            <w:r w:rsidRPr="00361740">
              <w:rPr>
                <w:rFonts w:ascii="-webkit-standard" w:eastAsia="Times New Roman" w:hAnsi="-webkit-standard" w:cs="Times New Roman"/>
                <w:noProof/>
                <w:color w:val="0000FF"/>
                <w:lang w:eastAsia="en-GB"/>
              </w:rPr>
              <w:drawing>
                <wp:inline distT="0" distB="0" distL="0" distR="0" wp14:anchorId="33362FF3" wp14:editId="4AD0924F">
                  <wp:extent cx="5731510" cy="1717040"/>
                  <wp:effectExtent l="0" t="0" r="0" b="0"/>
                  <wp:docPr id="1" name="Picture 1" descr="A picture containing person, indoor, baby&#10;&#10;Description automatically generated">
                    <a:hlinkClick xmlns:a="http://schemas.openxmlformats.org/drawingml/2006/main" r:id="rId4" tgtFrame="&quot;_blank&quot;"/>
                  </wp:docPr>
                  <wp:cNvGraphicFramePr>
                    <a:graphicFrameLocks xmlns:a="http://schemas.openxmlformats.org/drawingml/2006/main" noChangeAspect="1"/>
                  </wp:cNvGraphicFramePr>
                  <a:graphic xmlns:a="http://schemas.openxmlformats.org/drawingml/2006/main">
                    <a:graphicData uri="http://schemas.openxmlformats.org/drawingml/2006/picture">
                      <pic:pic xmlns:pic="http://schemas.openxmlformats.org/drawingml/2006/picture">
                        <pic:nvPicPr>
                          <pic:cNvPr id="1" name="Picture 1" descr="A picture containing person, indoor, baby&#10;&#10;Description automatically generated">
                            <a:hlinkClick r:id="rId4" tgtFrame="&quot;_blank&quot;"/>
                          </pic:cNvPr>
                          <pic:cNvPicPr>
                            <a:picLocks noChangeAspect="1" noChangeArrowheads="1"/>
                          </pic:cNvPicPr>
                        </pic:nvPicPr>
                        <pic:blipFill>
                          <a:blip r:embed="rId5">
                            <a:extLst>
                              <a:ext uri="{28A0092B-C50C-407E-A947-70E740481C1C}">
                                <a14:useLocalDpi xmlns:a14="http://schemas.microsoft.com/office/drawing/2010/main" val="0"/>
                              </a:ext>
                            </a:extLst>
                          </a:blip>
                          <a:srcRect/>
                          <a:stretch>
                            <a:fillRect/>
                          </a:stretch>
                        </pic:blipFill>
                        <pic:spPr bwMode="auto">
                          <a:xfrm>
                            <a:off x="0" y="0"/>
                            <a:ext cx="5731510" cy="1717040"/>
                          </a:xfrm>
                          <a:prstGeom prst="rect">
                            <a:avLst/>
                          </a:prstGeom>
                          <a:noFill/>
                          <a:ln>
                            <a:noFill/>
                          </a:ln>
                        </pic:spPr>
                      </pic:pic>
                    </a:graphicData>
                  </a:graphic>
                </wp:inline>
              </w:drawing>
            </w:r>
          </w:p>
        </w:tc>
      </w:tr>
      <w:tr w:rsidR="00361740" w:rsidRPr="00361740" w14:paraId="429F0540" w14:textId="77777777" w:rsidTr="00361740">
        <w:tc>
          <w:tcPr>
            <w:tcW w:w="0" w:type="auto"/>
            <w:tcMar>
              <w:top w:w="195" w:type="dxa"/>
              <w:left w:w="300" w:type="dxa"/>
              <w:bottom w:w="0" w:type="dxa"/>
              <w:right w:w="300" w:type="dxa"/>
            </w:tcMar>
            <w:hideMark/>
          </w:tcPr>
          <w:p w14:paraId="6D7BD4C9" w14:textId="77777777" w:rsidR="00361740" w:rsidRPr="00361740" w:rsidRDefault="00361740" w:rsidP="00361740">
            <w:pPr>
              <w:spacing w:before="100" w:beforeAutospacing="1" w:after="100" w:afterAutospacing="1"/>
              <w:jc w:val="center"/>
              <w:rPr>
                <w:rFonts w:ascii="-webkit-standard" w:eastAsia="Times New Roman" w:hAnsi="-webkit-standard" w:cs="Times New Roman"/>
                <w:color w:val="000000"/>
                <w:lang w:eastAsia="en-GB"/>
              </w:rPr>
            </w:pPr>
            <w:hyperlink r:id="rId6" w:tgtFrame="_blank" w:history="1">
              <w:r w:rsidRPr="00361740">
                <w:rPr>
                  <w:rFonts w:ascii="Segoe UI Semilight" w:eastAsia="Times New Roman" w:hAnsi="Segoe UI Semilight" w:cs="Segoe UI Semilight"/>
                  <w:color w:val="424242"/>
                  <w:sz w:val="32"/>
                  <w:szCs w:val="32"/>
                  <w:lang w:eastAsia="en-GB"/>
                </w:rPr>
                <w:t>The first thousand days </w:t>
              </w:r>
            </w:hyperlink>
          </w:p>
        </w:tc>
      </w:tr>
      <w:tr w:rsidR="00361740" w:rsidRPr="00361740" w14:paraId="384CB53C" w14:textId="77777777" w:rsidTr="00361740">
        <w:tc>
          <w:tcPr>
            <w:tcW w:w="0" w:type="auto"/>
            <w:tcMar>
              <w:top w:w="195" w:type="dxa"/>
              <w:left w:w="300" w:type="dxa"/>
              <w:bottom w:w="0" w:type="dxa"/>
              <w:right w:w="300" w:type="dxa"/>
            </w:tcMar>
            <w:hideMark/>
          </w:tcPr>
          <w:p w14:paraId="6999472F" w14:textId="77777777" w:rsidR="00361740" w:rsidRPr="00361740" w:rsidRDefault="00361740" w:rsidP="00361740">
            <w:pPr>
              <w:spacing w:before="100" w:beforeAutospacing="1" w:after="100" w:afterAutospacing="1"/>
              <w:rPr>
                <w:rFonts w:ascii="-webkit-standard" w:eastAsia="Times New Roman" w:hAnsi="-webkit-standard" w:cs="Times New Roman"/>
                <w:color w:val="000000"/>
                <w:lang w:eastAsia="en-GB"/>
              </w:rPr>
            </w:pPr>
            <w:r w:rsidRPr="00361740">
              <w:rPr>
                <w:rFonts w:ascii="Segoe UI" w:eastAsia="Times New Roman" w:hAnsi="Segoe UI" w:cs="Segoe UI"/>
                <w:color w:val="424242"/>
                <w:sz w:val="20"/>
                <w:szCs w:val="20"/>
                <w:lang w:eastAsia="en-GB"/>
              </w:rPr>
              <w:t xml:space="preserve">The first thousand days begins from the day of conception up to a child’s second birthday and is a crucial time for their development. It is within this time that the foundations are </w:t>
            </w:r>
            <w:proofErr w:type="spellStart"/>
            <w:r w:rsidRPr="00361740">
              <w:rPr>
                <w:rFonts w:ascii="Segoe UI" w:eastAsia="Times New Roman" w:hAnsi="Segoe UI" w:cs="Segoe UI"/>
                <w:color w:val="424242"/>
                <w:sz w:val="20"/>
                <w:szCs w:val="20"/>
                <w:lang w:eastAsia="en-GB"/>
              </w:rPr>
              <w:t>establ</w:t>
            </w:r>
            <w:proofErr w:type="spellEnd"/>
            <w:r w:rsidRPr="00361740">
              <w:rPr>
                <w:rFonts w:ascii="Segoe UI" w:eastAsia="Times New Roman" w:hAnsi="Segoe UI" w:cs="Segoe UI"/>
                <w:color w:val="424242"/>
                <w:sz w:val="20"/>
                <w:szCs w:val="20"/>
                <w:lang w:eastAsia="en-GB"/>
              </w:rPr>
              <w:t>…</w:t>
            </w:r>
          </w:p>
        </w:tc>
      </w:tr>
      <w:tr w:rsidR="00361740" w:rsidRPr="00361740" w14:paraId="2A92CDF0" w14:textId="77777777" w:rsidTr="00361740">
        <w:tc>
          <w:tcPr>
            <w:tcW w:w="0" w:type="auto"/>
            <w:tcMar>
              <w:top w:w="300" w:type="dxa"/>
              <w:left w:w="300" w:type="dxa"/>
              <w:bottom w:w="300" w:type="dxa"/>
              <w:right w:w="300" w:type="dxa"/>
            </w:tcMar>
            <w:vAlign w:val="center"/>
            <w:hideMark/>
          </w:tcPr>
          <w:tbl>
            <w:tblPr>
              <w:tblW w:w="0" w:type="auto"/>
              <w:jc w:val="center"/>
              <w:tblCellMar>
                <w:left w:w="0" w:type="dxa"/>
                <w:right w:w="0" w:type="dxa"/>
              </w:tblCellMar>
              <w:tblLook w:val="04A0" w:firstRow="1" w:lastRow="0" w:firstColumn="1" w:lastColumn="0" w:noHBand="0" w:noVBand="1"/>
            </w:tblPr>
            <w:tblGrid>
              <w:gridCol w:w="2159"/>
            </w:tblGrid>
            <w:tr w:rsidR="00361740" w:rsidRPr="00361740" w14:paraId="0F07CBD7" w14:textId="77777777">
              <w:trPr>
                <w:jc w:val="center"/>
              </w:trPr>
              <w:tc>
                <w:tcPr>
                  <w:tcW w:w="0" w:type="auto"/>
                  <w:shd w:val="clear" w:color="auto" w:fill="008272"/>
                  <w:tcMar>
                    <w:top w:w="45" w:type="dxa"/>
                    <w:left w:w="300" w:type="dxa"/>
                    <w:bottom w:w="45" w:type="dxa"/>
                    <w:right w:w="300" w:type="dxa"/>
                  </w:tcMar>
                  <w:vAlign w:val="center"/>
                  <w:hideMark/>
                </w:tcPr>
                <w:p w14:paraId="71D18C7F" w14:textId="77777777" w:rsidR="00361740" w:rsidRPr="00361740" w:rsidRDefault="00361740" w:rsidP="00361740">
                  <w:pPr>
                    <w:spacing w:before="100" w:beforeAutospacing="1" w:after="100" w:afterAutospacing="1"/>
                    <w:jc w:val="center"/>
                    <w:rPr>
                      <w:rFonts w:ascii="Times New Roman" w:eastAsia="Times New Roman" w:hAnsi="Times New Roman" w:cs="Times New Roman"/>
                      <w:lang w:eastAsia="en-GB"/>
                    </w:rPr>
                  </w:pPr>
                  <w:hyperlink r:id="rId7" w:tgtFrame="_blank" w:history="1">
                    <w:r w:rsidRPr="00361740">
                      <w:rPr>
                        <w:rFonts w:ascii="Segoe UI Semilight" w:eastAsia="Times New Roman" w:hAnsi="Segoe UI Semilight" w:cs="Segoe UI Semilight"/>
                        <w:color w:val="FFFFFF"/>
                        <w:sz w:val="23"/>
                        <w:szCs w:val="23"/>
                        <w:u w:val="single"/>
                        <w:bdr w:val="single" w:sz="6" w:space="0" w:color="008272" w:frame="1"/>
                        <w:shd w:val="clear" w:color="auto" w:fill="008272"/>
                        <w:lang w:eastAsia="en-GB"/>
                      </w:rPr>
                      <w:t>Go to this Sway</w:t>
                    </w:r>
                  </w:hyperlink>
                </w:p>
              </w:tc>
            </w:tr>
          </w:tbl>
          <w:p w14:paraId="3923B991" w14:textId="77777777" w:rsidR="00361740" w:rsidRPr="00361740" w:rsidRDefault="00361740" w:rsidP="00361740">
            <w:pPr>
              <w:spacing w:before="100" w:beforeAutospacing="1" w:after="100" w:afterAutospacing="1"/>
              <w:jc w:val="center"/>
              <w:rPr>
                <w:rFonts w:ascii="-webkit-standard" w:eastAsia="Times New Roman" w:hAnsi="-webkit-standard" w:cs="Times New Roman"/>
                <w:color w:val="000000"/>
                <w:lang w:eastAsia="en-GB"/>
              </w:rPr>
            </w:pPr>
          </w:p>
        </w:tc>
      </w:tr>
    </w:tbl>
    <w:p w14:paraId="614F7700" w14:textId="77777777" w:rsidR="00361740" w:rsidRDefault="00361740"/>
    <w:p w14:paraId="326CEC5B" w14:textId="0ECD8FEF" w:rsidR="00361740" w:rsidRDefault="00361740">
      <w:hyperlink r:id="rId8" w:history="1">
        <w:r w:rsidRPr="001C0E7D">
          <w:rPr>
            <w:rStyle w:val="Hyperlink"/>
          </w:rPr>
          <w:t>https://sway.office.com/3PqfEHCt4zdZXiaC?ref=Link</w:t>
        </w:r>
      </w:hyperlink>
    </w:p>
    <w:p w14:paraId="5B2B7D15" w14:textId="5C34B0D3" w:rsidR="00361740" w:rsidRDefault="00361740"/>
    <w:p w14:paraId="6C708556" w14:textId="77777777" w:rsidR="00361740" w:rsidRDefault="00361740">
      <w:r>
        <w:br w:type="page"/>
      </w:r>
    </w:p>
    <w:p w14:paraId="42233853" w14:textId="6154DDFA" w:rsidR="00361740" w:rsidRDefault="00361740">
      <w:pPr>
        <w:rPr>
          <w:u w:val="single"/>
        </w:rPr>
      </w:pPr>
      <w:r w:rsidRPr="00361740">
        <w:rPr>
          <w:u w:val="single"/>
        </w:rPr>
        <w:lastRenderedPageBreak/>
        <w:t xml:space="preserve">Reference List </w:t>
      </w:r>
    </w:p>
    <w:p w14:paraId="3E0148D8" w14:textId="77777777" w:rsidR="00361740" w:rsidRPr="0023319B" w:rsidRDefault="00361740" w:rsidP="00361740">
      <w:pPr>
        <w:rPr>
          <w:color w:val="000000" w:themeColor="text1"/>
        </w:rPr>
      </w:pPr>
    </w:p>
    <w:p w14:paraId="525451B2" w14:textId="4F97D74D" w:rsidR="00361740" w:rsidRDefault="00361740" w:rsidP="00361740">
      <w:pPr>
        <w:rPr>
          <w:color w:val="000000" w:themeColor="text1"/>
        </w:rPr>
      </w:pPr>
      <w:r>
        <w:rPr>
          <w:color w:val="000000" w:themeColor="text1"/>
        </w:rPr>
        <w:t xml:space="preserve">Abbott Nutrition News (2018) </w:t>
      </w:r>
      <w:r w:rsidRPr="008F0CB0">
        <w:rPr>
          <w:i/>
          <w:iCs/>
          <w:color w:val="000000" w:themeColor="text1"/>
        </w:rPr>
        <w:t>Understanding Nutrition for Pregnant and New Moms.</w:t>
      </w:r>
      <w:r>
        <w:rPr>
          <w:color w:val="000000" w:themeColor="text1"/>
        </w:rPr>
        <w:t xml:space="preserve"> Available at: </w:t>
      </w:r>
      <w:hyperlink r:id="rId9" w:history="1">
        <w:r w:rsidRPr="001C0E7D">
          <w:rPr>
            <w:rStyle w:val="Hyperlink"/>
          </w:rPr>
          <w:t>https://www.nutritionnews.abbott/pregnancy-childhood/prenatal-breastfeeding/understanding-nutrition-for-pregnant-and-new-moms/</w:t>
        </w:r>
      </w:hyperlink>
      <w:r>
        <w:rPr>
          <w:color w:val="000000" w:themeColor="text1"/>
        </w:rPr>
        <w:t xml:space="preserve"> (Accessed on: 11</w:t>
      </w:r>
      <w:r w:rsidRPr="00A43762">
        <w:rPr>
          <w:color w:val="000000" w:themeColor="text1"/>
          <w:vertAlign w:val="superscript"/>
        </w:rPr>
        <w:t>th</w:t>
      </w:r>
      <w:r>
        <w:rPr>
          <w:color w:val="000000" w:themeColor="text1"/>
        </w:rPr>
        <w:t xml:space="preserve"> January 2022)</w:t>
      </w:r>
    </w:p>
    <w:p w14:paraId="0F2B8E07" w14:textId="77777777" w:rsidR="00361740" w:rsidRDefault="00361740" w:rsidP="00361740">
      <w:pPr>
        <w:rPr>
          <w:color w:val="000000" w:themeColor="text1"/>
        </w:rPr>
      </w:pPr>
    </w:p>
    <w:p w14:paraId="07CF0198" w14:textId="14F448FC" w:rsidR="00361740" w:rsidRDefault="00361740" w:rsidP="00361740">
      <w:pPr>
        <w:rPr>
          <w:color w:val="000000" w:themeColor="text1"/>
        </w:rPr>
      </w:pPr>
      <w:r>
        <w:rPr>
          <w:color w:val="000000" w:themeColor="text1"/>
        </w:rPr>
        <w:t xml:space="preserve">Barlow, J. (2019) ‘The first thousand days’, Professional Pause, 92(8), pp. 48-49. </w:t>
      </w:r>
    </w:p>
    <w:p w14:paraId="7AA0A5FD" w14:textId="77777777" w:rsidR="00361740" w:rsidRDefault="00361740" w:rsidP="00361740">
      <w:pPr>
        <w:rPr>
          <w:color w:val="000000" w:themeColor="text1"/>
        </w:rPr>
      </w:pPr>
    </w:p>
    <w:p w14:paraId="2B7CD539" w14:textId="000CCED4" w:rsidR="00361740" w:rsidRDefault="00361740" w:rsidP="00361740">
      <w:pPr>
        <w:rPr>
          <w:color w:val="000000" w:themeColor="text1"/>
        </w:rPr>
      </w:pPr>
      <w:r>
        <w:rPr>
          <w:color w:val="000000" w:themeColor="text1"/>
        </w:rPr>
        <w:t xml:space="preserve">Bates, B. (2019) </w:t>
      </w:r>
      <w:r w:rsidRPr="00610DD9">
        <w:rPr>
          <w:i/>
          <w:iCs/>
          <w:color w:val="000000" w:themeColor="text1"/>
        </w:rPr>
        <w:t>Learning theories simplified.</w:t>
      </w:r>
      <w:r>
        <w:rPr>
          <w:color w:val="000000" w:themeColor="text1"/>
        </w:rPr>
        <w:t xml:space="preserve"> 2</w:t>
      </w:r>
      <w:r w:rsidRPr="00610DD9">
        <w:rPr>
          <w:color w:val="000000" w:themeColor="text1"/>
          <w:vertAlign w:val="superscript"/>
        </w:rPr>
        <w:t>nd</w:t>
      </w:r>
      <w:r>
        <w:rPr>
          <w:color w:val="000000" w:themeColor="text1"/>
        </w:rPr>
        <w:t xml:space="preserve"> </w:t>
      </w:r>
      <w:proofErr w:type="spellStart"/>
      <w:r>
        <w:rPr>
          <w:color w:val="000000" w:themeColor="text1"/>
        </w:rPr>
        <w:t>edn</w:t>
      </w:r>
      <w:proofErr w:type="spellEnd"/>
      <w:r>
        <w:rPr>
          <w:color w:val="000000" w:themeColor="text1"/>
        </w:rPr>
        <w:t xml:space="preserve">. London: SAGE Publications Ltd. </w:t>
      </w:r>
    </w:p>
    <w:p w14:paraId="06674E7F" w14:textId="77777777" w:rsidR="00361740" w:rsidRDefault="00361740" w:rsidP="00361740">
      <w:pPr>
        <w:rPr>
          <w:color w:val="000000" w:themeColor="text1"/>
        </w:rPr>
      </w:pPr>
    </w:p>
    <w:p w14:paraId="6F0CBD9A" w14:textId="443B0972" w:rsidR="00361740" w:rsidRDefault="00361740" w:rsidP="00361740">
      <w:pPr>
        <w:rPr>
          <w:color w:val="000000" w:themeColor="text1"/>
        </w:rPr>
      </w:pPr>
      <w:r>
        <w:rPr>
          <w:color w:val="000000" w:themeColor="text1"/>
        </w:rPr>
        <w:t xml:space="preserve">BBC News (2021) </w:t>
      </w:r>
      <w:r w:rsidRPr="004B1317">
        <w:rPr>
          <w:i/>
          <w:iCs/>
          <w:color w:val="000000" w:themeColor="text1"/>
        </w:rPr>
        <w:t>Wales has highest child poverty rates in UK says save the children</w:t>
      </w:r>
      <w:r>
        <w:rPr>
          <w:color w:val="000000" w:themeColor="text1"/>
        </w:rPr>
        <w:t xml:space="preserve">. Available at: </w:t>
      </w:r>
      <w:hyperlink r:id="rId10" w:history="1">
        <w:r w:rsidRPr="001C0E7D">
          <w:rPr>
            <w:rStyle w:val="Hyperlink"/>
          </w:rPr>
          <w:t>https://www.bbc.co.uk/news/uk-wales-57157436</w:t>
        </w:r>
      </w:hyperlink>
      <w:r>
        <w:rPr>
          <w:color w:val="000000" w:themeColor="text1"/>
        </w:rPr>
        <w:t xml:space="preserve">  (Accessed on: 11</w:t>
      </w:r>
      <w:r w:rsidRPr="00A43762">
        <w:rPr>
          <w:color w:val="000000" w:themeColor="text1"/>
          <w:vertAlign w:val="superscript"/>
        </w:rPr>
        <w:t>th</w:t>
      </w:r>
      <w:r>
        <w:rPr>
          <w:color w:val="000000" w:themeColor="text1"/>
        </w:rPr>
        <w:t xml:space="preserve"> January 2022)</w:t>
      </w:r>
    </w:p>
    <w:p w14:paraId="27E64176" w14:textId="77777777" w:rsidR="00361740" w:rsidRDefault="00361740" w:rsidP="00361740">
      <w:pPr>
        <w:rPr>
          <w:color w:val="000000" w:themeColor="text1"/>
        </w:rPr>
      </w:pPr>
    </w:p>
    <w:p w14:paraId="56D2AB3D" w14:textId="476A1479" w:rsidR="00361740" w:rsidRDefault="00361740" w:rsidP="00361740">
      <w:pPr>
        <w:rPr>
          <w:color w:val="000000" w:themeColor="text1"/>
        </w:rPr>
      </w:pPr>
      <w:r>
        <w:rPr>
          <w:color w:val="000000" w:themeColor="text1"/>
        </w:rPr>
        <w:t xml:space="preserve">Brodie, K. (2018) </w:t>
      </w:r>
      <w:r w:rsidRPr="00A140B1">
        <w:rPr>
          <w:i/>
          <w:iCs/>
          <w:color w:val="000000" w:themeColor="text1"/>
        </w:rPr>
        <w:t>The Holistic Care and Development of Children from Birth to Three: An Essential Guide for Students and Practitioners</w:t>
      </w:r>
      <w:r>
        <w:rPr>
          <w:color w:val="000000" w:themeColor="text1"/>
        </w:rPr>
        <w:t xml:space="preserve">. Routledge: London </w:t>
      </w:r>
    </w:p>
    <w:p w14:paraId="4BA0402C" w14:textId="77777777" w:rsidR="00361740" w:rsidRDefault="00361740" w:rsidP="00361740">
      <w:pPr>
        <w:rPr>
          <w:color w:val="000000" w:themeColor="text1"/>
        </w:rPr>
      </w:pPr>
    </w:p>
    <w:p w14:paraId="6B002B62" w14:textId="37C76B99" w:rsidR="00361740" w:rsidRDefault="00361740" w:rsidP="00361740">
      <w:pPr>
        <w:rPr>
          <w:color w:val="000000" w:themeColor="text1"/>
        </w:rPr>
      </w:pPr>
      <w:r>
        <w:rPr>
          <w:color w:val="000000" w:themeColor="text1"/>
        </w:rPr>
        <w:t xml:space="preserve">Bruce, T. (2011) </w:t>
      </w:r>
      <w:r w:rsidRPr="00610DD9">
        <w:rPr>
          <w:i/>
          <w:iCs/>
          <w:color w:val="000000" w:themeColor="text1"/>
        </w:rPr>
        <w:t xml:space="preserve">Learning through play for babies, </w:t>
      </w:r>
      <w:proofErr w:type="gramStart"/>
      <w:r w:rsidRPr="00610DD9">
        <w:rPr>
          <w:i/>
          <w:iCs/>
          <w:color w:val="000000" w:themeColor="text1"/>
        </w:rPr>
        <w:t>toddlers</w:t>
      </w:r>
      <w:proofErr w:type="gramEnd"/>
      <w:r w:rsidRPr="00610DD9">
        <w:rPr>
          <w:i/>
          <w:iCs/>
          <w:color w:val="000000" w:themeColor="text1"/>
        </w:rPr>
        <w:t xml:space="preserve"> and young children.</w:t>
      </w:r>
      <w:r>
        <w:rPr>
          <w:color w:val="000000" w:themeColor="text1"/>
        </w:rPr>
        <w:t xml:space="preserve"> 2</w:t>
      </w:r>
      <w:r w:rsidRPr="00610DD9">
        <w:rPr>
          <w:color w:val="000000" w:themeColor="text1"/>
          <w:vertAlign w:val="superscript"/>
        </w:rPr>
        <w:t>nd</w:t>
      </w:r>
      <w:r>
        <w:rPr>
          <w:color w:val="000000" w:themeColor="text1"/>
        </w:rPr>
        <w:t xml:space="preserve"> </w:t>
      </w:r>
      <w:proofErr w:type="spellStart"/>
      <w:r>
        <w:rPr>
          <w:color w:val="000000" w:themeColor="text1"/>
        </w:rPr>
        <w:t>edn</w:t>
      </w:r>
      <w:proofErr w:type="spellEnd"/>
      <w:r>
        <w:rPr>
          <w:color w:val="000000" w:themeColor="text1"/>
        </w:rPr>
        <w:t xml:space="preserve">. Hodder Education: London. </w:t>
      </w:r>
    </w:p>
    <w:p w14:paraId="7877AD16" w14:textId="77777777" w:rsidR="00361740" w:rsidRDefault="00361740" w:rsidP="00361740">
      <w:pPr>
        <w:rPr>
          <w:color w:val="000000" w:themeColor="text1"/>
        </w:rPr>
      </w:pPr>
    </w:p>
    <w:p w14:paraId="008D41D8" w14:textId="22382366" w:rsidR="00361740" w:rsidRDefault="00361740" w:rsidP="00361740">
      <w:pPr>
        <w:rPr>
          <w:color w:val="000000" w:themeColor="text1"/>
        </w:rPr>
      </w:pPr>
      <w:r>
        <w:rPr>
          <w:color w:val="000000" w:themeColor="text1"/>
        </w:rPr>
        <w:t xml:space="preserve">Grasp and </w:t>
      </w:r>
      <w:proofErr w:type="gramStart"/>
      <w:r>
        <w:rPr>
          <w:color w:val="000000" w:themeColor="text1"/>
        </w:rPr>
        <w:t>Gather</w:t>
      </w:r>
      <w:proofErr w:type="gramEnd"/>
      <w:r>
        <w:rPr>
          <w:color w:val="000000" w:themeColor="text1"/>
        </w:rPr>
        <w:t xml:space="preserve">. (2020) [image] Available at: </w:t>
      </w:r>
      <w:hyperlink r:id="rId11" w:history="1">
        <w:r w:rsidRPr="001C0E7D">
          <w:rPr>
            <w:rStyle w:val="Hyperlink"/>
          </w:rPr>
          <w:t>https://graspandgather.co.uk/the-complete-guide-to-treasure-baskets/</w:t>
        </w:r>
      </w:hyperlink>
      <w:r>
        <w:rPr>
          <w:color w:val="000000" w:themeColor="text1"/>
        </w:rPr>
        <w:t xml:space="preserve"> (Accessed on: 15</w:t>
      </w:r>
      <w:r w:rsidRPr="0023319B">
        <w:rPr>
          <w:color w:val="000000" w:themeColor="text1"/>
          <w:vertAlign w:val="superscript"/>
        </w:rPr>
        <w:t>th</w:t>
      </w:r>
      <w:r>
        <w:rPr>
          <w:color w:val="000000" w:themeColor="text1"/>
        </w:rPr>
        <w:t xml:space="preserve"> January 2022) </w:t>
      </w:r>
    </w:p>
    <w:p w14:paraId="5EB2C403" w14:textId="77777777" w:rsidR="00361740" w:rsidRDefault="00361740" w:rsidP="00361740">
      <w:pPr>
        <w:rPr>
          <w:color w:val="000000" w:themeColor="text1"/>
        </w:rPr>
      </w:pPr>
    </w:p>
    <w:p w14:paraId="4623BD08" w14:textId="0B169DA1" w:rsidR="00361740" w:rsidRDefault="00361740" w:rsidP="00361740">
      <w:pPr>
        <w:rPr>
          <w:color w:val="000000" w:themeColor="text1"/>
        </w:rPr>
      </w:pPr>
      <w:r>
        <w:rPr>
          <w:color w:val="000000" w:themeColor="text1"/>
        </w:rPr>
        <w:t xml:space="preserve">Homan, E. (2018) </w:t>
      </w:r>
      <w:r w:rsidRPr="0023319B">
        <w:rPr>
          <w:i/>
          <w:iCs/>
          <w:color w:val="000000" w:themeColor="text1"/>
        </w:rPr>
        <w:t>‘10 tips for creating engaging outdoor learning and play environments’</w:t>
      </w:r>
      <w:r w:rsidRPr="0023319B">
        <w:rPr>
          <w:color w:val="000000" w:themeColor="text1"/>
        </w:rPr>
        <w:t xml:space="preserve">, TG Escapes </w:t>
      </w:r>
      <w:r>
        <w:rPr>
          <w:color w:val="000000" w:themeColor="text1"/>
        </w:rPr>
        <w:t xml:space="preserve">[Blog]. Available at: </w:t>
      </w:r>
      <w:hyperlink r:id="rId12" w:history="1">
        <w:r w:rsidRPr="001C0E7D">
          <w:rPr>
            <w:rStyle w:val="Hyperlink"/>
          </w:rPr>
          <w:t>https://www.tgescapes.co.uk/blog/education-10-tips-creating-engaging-outdoor-learning-and-play-environments</w:t>
        </w:r>
      </w:hyperlink>
      <w:r>
        <w:rPr>
          <w:color w:val="000000" w:themeColor="text1"/>
        </w:rPr>
        <w:t xml:space="preserve"> (Accessed on: 15</w:t>
      </w:r>
      <w:r w:rsidRPr="0023319B">
        <w:rPr>
          <w:color w:val="000000" w:themeColor="text1"/>
          <w:vertAlign w:val="superscript"/>
        </w:rPr>
        <w:t>th</w:t>
      </w:r>
      <w:r>
        <w:rPr>
          <w:color w:val="000000" w:themeColor="text1"/>
        </w:rPr>
        <w:t xml:space="preserve"> January 2022) </w:t>
      </w:r>
    </w:p>
    <w:p w14:paraId="7DA9EA99" w14:textId="77777777" w:rsidR="00361740" w:rsidRDefault="00361740" w:rsidP="00361740">
      <w:pPr>
        <w:rPr>
          <w:color w:val="000000" w:themeColor="text1"/>
        </w:rPr>
      </w:pPr>
    </w:p>
    <w:p w14:paraId="6417B346" w14:textId="7A99E9DD" w:rsidR="00361740" w:rsidRDefault="00361740" w:rsidP="00361740">
      <w:pPr>
        <w:rPr>
          <w:color w:val="000000" w:themeColor="text1"/>
        </w:rPr>
      </w:pPr>
      <w:proofErr w:type="spellStart"/>
      <w:r>
        <w:rPr>
          <w:color w:val="000000" w:themeColor="text1"/>
        </w:rPr>
        <w:t>Huleatt</w:t>
      </w:r>
      <w:proofErr w:type="spellEnd"/>
      <w:r>
        <w:rPr>
          <w:color w:val="000000" w:themeColor="text1"/>
        </w:rPr>
        <w:t xml:space="preserve">, H. (2012) </w:t>
      </w:r>
      <w:r w:rsidRPr="00172523">
        <w:rPr>
          <w:i/>
          <w:iCs/>
          <w:color w:val="000000" w:themeColor="text1"/>
        </w:rPr>
        <w:t>Treasure Baskets</w:t>
      </w:r>
      <w:r>
        <w:rPr>
          <w:color w:val="000000" w:themeColor="text1"/>
        </w:rPr>
        <w:t xml:space="preserve">. Available at: </w:t>
      </w:r>
      <w:hyperlink r:id="rId13" w:history="1">
        <w:r w:rsidRPr="001C0E7D">
          <w:rPr>
            <w:rStyle w:val="Hyperlink"/>
          </w:rPr>
          <w:t>https://www.communityplaythings.co.uk/learning-library/articles/treasure-baskets</w:t>
        </w:r>
      </w:hyperlink>
      <w:r>
        <w:rPr>
          <w:color w:val="000000" w:themeColor="text1"/>
        </w:rPr>
        <w:t xml:space="preserve">  (Accessed on: 15</w:t>
      </w:r>
      <w:r w:rsidRPr="00A43762">
        <w:rPr>
          <w:color w:val="000000" w:themeColor="text1"/>
          <w:vertAlign w:val="superscript"/>
        </w:rPr>
        <w:t>th</w:t>
      </w:r>
      <w:r>
        <w:rPr>
          <w:color w:val="000000" w:themeColor="text1"/>
        </w:rPr>
        <w:t xml:space="preserve"> January 2022) </w:t>
      </w:r>
    </w:p>
    <w:p w14:paraId="7DADADE8" w14:textId="77777777" w:rsidR="00361740" w:rsidRDefault="00361740" w:rsidP="00361740">
      <w:pPr>
        <w:rPr>
          <w:color w:val="000000" w:themeColor="text1"/>
        </w:rPr>
      </w:pPr>
    </w:p>
    <w:p w14:paraId="7C4561C9" w14:textId="0AF58968" w:rsidR="00361740" w:rsidRDefault="00361740" w:rsidP="00361740">
      <w:pPr>
        <w:rPr>
          <w:color w:val="000000" w:themeColor="text1"/>
        </w:rPr>
      </w:pPr>
      <w:r>
        <w:rPr>
          <w:color w:val="000000" w:themeColor="text1"/>
        </w:rPr>
        <w:t xml:space="preserve">Jenkin, L. (2019) </w:t>
      </w:r>
      <w:r w:rsidRPr="00B474B1">
        <w:rPr>
          <w:i/>
          <w:iCs/>
          <w:color w:val="000000" w:themeColor="text1"/>
        </w:rPr>
        <w:t xml:space="preserve">child development – Why the first 1,000 days of children’s lives matter most. </w:t>
      </w:r>
      <w:r>
        <w:rPr>
          <w:color w:val="000000" w:themeColor="text1"/>
        </w:rPr>
        <w:t xml:space="preserve">Available at: </w:t>
      </w:r>
      <w:hyperlink r:id="rId14" w:history="1">
        <w:r w:rsidRPr="001C0E7D">
          <w:rPr>
            <w:rStyle w:val="Hyperlink"/>
          </w:rPr>
          <w:t>https://www.teachearlyyears.com/a-unique-child/view/child-development-why-the-first-1000-days-of-childrens-lives-matter-most</w:t>
        </w:r>
      </w:hyperlink>
      <w:r>
        <w:rPr>
          <w:color w:val="000000" w:themeColor="text1"/>
        </w:rPr>
        <w:t xml:space="preserve"> (Accessed on: 14</w:t>
      </w:r>
      <w:r w:rsidRPr="00A43762">
        <w:rPr>
          <w:color w:val="000000" w:themeColor="text1"/>
          <w:vertAlign w:val="superscript"/>
        </w:rPr>
        <w:t>th</w:t>
      </w:r>
      <w:r>
        <w:rPr>
          <w:color w:val="000000" w:themeColor="text1"/>
        </w:rPr>
        <w:t xml:space="preserve"> January 2022) </w:t>
      </w:r>
    </w:p>
    <w:p w14:paraId="08A51275" w14:textId="77777777" w:rsidR="00361740" w:rsidRDefault="00361740" w:rsidP="00361740">
      <w:pPr>
        <w:rPr>
          <w:color w:val="000000" w:themeColor="text1"/>
        </w:rPr>
      </w:pPr>
    </w:p>
    <w:p w14:paraId="0CC568AA" w14:textId="3FC1C468" w:rsidR="00361740" w:rsidRDefault="00361740" w:rsidP="00361740">
      <w:pPr>
        <w:rPr>
          <w:color w:val="000000" w:themeColor="text1"/>
        </w:rPr>
      </w:pPr>
      <w:r>
        <w:rPr>
          <w:color w:val="000000" w:themeColor="text1"/>
        </w:rPr>
        <w:t xml:space="preserve">Karakochuk, C.D. et al. (2018) </w:t>
      </w:r>
      <w:r w:rsidRPr="00610DD9">
        <w:rPr>
          <w:i/>
          <w:iCs/>
          <w:color w:val="000000" w:themeColor="text1"/>
        </w:rPr>
        <w:t>The biology of the 1000 days</w:t>
      </w:r>
      <w:r>
        <w:rPr>
          <w:color w:val="000000" w:themeColor="text1"/>
        </w:rPr>
        <w:t>. Boca Raton: Taylor &amp; Francis Group.</w:t>
      </w:r>
    </w:p>
    <w:p w14:paraId="0798A293" w14:textId="77777777" w:rsidR="00361740" w:rsidRDefault="00361740" w:rsidP="00361740">
      <w:pPr>
        <w:rPr>
          <w:color w:val="000000" w:themeColor="text1"/>
        </w:rPr>
      </w:pPr>
    </w:p>
    <w:p w14:paraId="0C4CF2FD" w14:textId="05A19E3F" w:rsidR="00361740" w:rsidRDefault="00361740" w:rsidP="00361740">
      <w:pPr>
        <w:rPr>
          <w:color w:val="000000" w:themeColor="text1"/>
        </w:rPr>
      </w:pPr>
      <w:proofErr w:type="spellStart"/>
      <w:r>
        <w:rPr>
          <w:color w:val="000000" w:themeColor="text1"/>
        </w:rPr>
        <w:t>Martland</w:t>
      </w:r>
      <w:proofErr w:type="spellEnd"/>
      <w:r>
        <w:rPr>
          <w:color w:val="000000" w:themeColor="text1"/>
        </w:rPr>
        <w:t xml:space="preserve">, R. (2021) Transitions: ‘Lockdown Babies’ </w:t>
      </w:r>
      <w:proofErr w:type="gramStart"/>
      <w:r>
        <w:rPr>
          <w:color w:val="000000" w:themeColor="text1"/>
        </w:rPr>
        <w:t>In</w:t>
      </w:r>
      <w:proofErr w:type="gramEnd"/>
      <w:r>
        <w:rPr>
          <w:color w:val="000000" w:themeColor="text1"/>
        </w:rPr>
        <w:t xml:space="preserve"> Childcare. Available at: </w:t>
      </w:r>
      <w:hyperlink r:id="rId15" w:history="1">
        <w:r w:rsidRPr="001C0E7D">
          <w:rPr>
            <w:rStyle w:val="Hyperlink"/>
          </w:rPr>
          <w:t>https://www.earlyyearseducator.co.uk/features/article/transitions-lockdown-babies-in-childcare</w:t>
        </w:r>
      </w:hyperlink>
      <w:r>
        <w:rPr>
          <w:color w:val="000000" w:themeColor="text1"/>
        </w:rPr>
        <w:t xml:space="preserve"> (Accessed on: 15</w:t>
      </w:r>
      <w:r w:rsidRPr="00A43762">
        <w:rPr>
          <w:color w:val="000000" w:themeColor="text1"/>
          <w:vertAlign w:val="superscript"/>
        </w:rPr>
        <w:t>th</w:t>
      </w:r>
      <w:r>
        <w:rPr>
          <w:color w:val="000000" w:themeColor="text1"/>
        </w:rPr>
        <w:t xml:space="preserve"> January 2022) </w:t>
      </w:r>
    </w:p>
    <w:p w14:paraId="24409D3F" w14:textId="77777777" w:rsidR="00361740" w:rsidRDefault="00361740" w:rsidP="00361740">
      <w:pPr>
        <w:rPr>
          <w:color w:val="000000" w:themeColor="text1"/>
        </w:rPr>
      </w:pPr>
    </w:p>
    <w:p w14:paraId="7F129458" w14:textId="77777777" w:rsidR="00361740" w:rsidRDefault="00361740" w:rsidP="00361740">
      <w:pPr>
        <w:rPr>
          <w:color w:val="000000" w:themeColor="text1"/>
        </w:rPr>
      </w:pPr>
      <w:r>
        <w:rPr>
          <w:color w:val="000000" w:themeColor="text1"/>
        </w:rPr>
        <w:t xml:space="preserve">Pregnancy birth and baby (2019) </w:t>
      </w:r>
      <w:r w:rsidRPr="00713852">
        <w:rPr>
          <w:i/>
          <w:iCs/>
          <w:color w:val="000000" w:themeColor="text1"/>
        </w:rPr>
        <w:t>The first 1,000 days</w:t>
      </w:r>
      <w:r>
        <w:rPr>
          <w:color w:val="000000" w:themeColor="text1"/>
        </w:rPr>
        <w:t xml:space="preserve">. Available at: </w:t>
      </w:r>
      <w:hyperlink r:id="rId16" w:history="1">
        <w:r w:rsidRPr="001C0E7D">
          <w:rPr>
            <w:rStyle w:val="Hyperlink"/>
          </w:rPr>
          <w:t>https://www.pregnancybirthbaby.org.au/the-first-1000-days</w:t>
        </w:r>
      </w:hyperlink>
      <w:r>
        <w:rPr>
          <w:color w:val="000000" w:themeColor="text1"/>
        </w:rPr>
        <w:t xml:space="preserve"> (Accessed on: 12</w:t>
      </w:r>
      <w:r w:rsidRPr="00A43762">
        <w:rPr>
          <w:color w:val="000000" w:themeColor="text1"/>
          <w:vertAlign w:val="superscript"/>
        </w:rPr>
        <w:t>th</w:t>
      </w:r>
      <w:r>
        <w:rPr>
          <w:color w:val="000000" w:themeColor="text1"/>
        </w:rPr>
        <w:t xml:space="preserve"> January 2022) </w:t>
      </w:r>
    </w:p>
    <w:p w14:paraId="06D1FC44" w14:textId="5DDD42DE" w:rsidR="00361740" w:rsidRDefault="00361740" w:rsidP="00361740">
      <w:pPr>
        <w:rPr>
          <w:color w:val="000000" w:themeColor="text1"/>
        </w:rPr>
      </w:pPr>
      <w:r>
        <w:rPr>
          <w:color w:val="000000" w:themeColor="text1"/>
        </w:rPr>
        <w:lastRenderedPageBreak/>
        <w:t xml:space="preserve">Scott, J. (2020) ‘The first 1000 days: A critical period of nutritional opportunity and vulnerability’, Nutrition &amp; dietetics, 77(3), pp.295. </w:t>
      </w:r>
    </w:p>
    <w:p w14:paraId="0C5B1558" w14:textId="77777777" w:rsidR="00361740" w:rsidRDefault="00361740" w:rsidP="00361740">
      <w:pPr>
        <w:rPr>
          <w:color w:val="000000" w:themeColor="text1"/>
        </w:rPr>
      </w:pPr>
    </w:p>
    <w:p w14:paraId="40C77FC4" w14:textId="1D4E8A84" w:rsidR="00361740" w:rsidRDefault="00361740" w:rsidP="00361740">
      <w:pPr>
        <w:rPr>
          <w:color w:val="000000" w:themeColor="text1"/>
        </w:rPr>
      </w:pPr>
      <w:r>
        <w:rPr>
          <w:color w:val="000000" w:themeColor="text1"/>
        </w:rPr>
        <w:t xml:space="preserve">Simply psychology. (2007) [image] Available at:  </w:t>
      </w:r>
      <w:hyperlink r:id="rId17" w:history="1">
        <w:r w:rsidRPr="001C0E7D">
          <w:rPr>
            <w:rStyle w:val="Hyperlink"/>
          </w:rPr>
          <w:t>https://www.simplypsychology.org/maslow.html</w:t>
        </w:r>
      </w:hyperlink>
      <w:r>
        <w:rPr>
          <w:color w:val="000000" w:themeColor="text1"/>
        </w:rPr>
        <w:t xml:space="preserve"> (Accessed on: 15</w:t>
      </w:r>
      <w:r w:rsidRPr="0023319B">
        <w:rPr>
          <w:color w:val="000000" w:themeColor="text1"/>
          <w:vertAlign w:val="superscript"/>
        </w:rPr>
        <w:t>th</w:t>
      </w:r>
      <w:r>
        <w:rPr>
          <w:color w:val="000000" w:themeColor="text1"/>
        </w:rPr>
        <w:t xml:space="preserve"> January 2022) </w:t>
      </w:r>
    </w:p>
    <w:p w14:paraId="6924B09C" w14:textId="77777777" w:rsidR="00361740" w:rsidRDefault="00361740" w:rsidP="00361740">
      <w:pPr>
        <w:rPr>
          <w:color w:val="000000" w:themeColor="text1"/>
        </w:rPr>
      </w:pPr>
    </w:p>
    <w:p w14:paraId="407D4B7C" w14:textId="3F983587" w:rsidR="00361740" w:rsidRDefault="00361740" w:rsidP="00361740">
      <w:pPr>
        <w:rPr>
          <w:color w:val="000000" w:themeColor="text1"/>
        </w:rPr>
      </w:pPr>
      <w:r>
        <w:rPr>
          <w:color w:val="000000" w:themeColor="text1"/>
        </w:rPr>
        <w:t xml:space="preserve">TG Escapes (2018) [image] Available at: </w:t>
      </w:r>
      <w:hyperlink r:id="rId18" w:history="1">
        <w:r w:rsidRPr="001C0E7D">
          <w:rPr>
            <w:rStyle w:val="Hyperlink"/>
          </w:rPr>
          <w:t>https://www.tgescapes.co.uk/blog/education-10-tips-creating-engaging-outdoor-learning-and-play-environments</w:t>
        </w:r>
      </w:hyperlink>
      <w:r>
        <w:rPr>
          <w:color w:val="000000" w:themeColor="text1"/>
        </w:rPr>
        <w:t xml:space="preserve"> (Accessed on: 15</w:t>
      </w:r>
      <w:r w:rsidRPr="00F44777">
        <w:rPr>
          <w:color w:val="000000" w:themeColor="text1"/>
          <w:vertAlign w:val="superscript"/>
        </w:rPr>
        <w:t>th</w:t>
      </w:r>
      <w:r>
        <w:rPr>
          <w:color w:val="000000" w:themeColor="text1"/>
        </w:rPr>
        <w:t xml:space="preserve"> January 2022) </w:t>
      </w:r>
    </w:p>
    <w:p w14:paraId="4D4A4240" w14:textId="77777777" w:rsidR="00361740" w:rsidRDefault="00361740" w:rsidP="00361740">
      <w:pPr>
        <w:rPr>
          <w:color w:val="000000" w:themeColor="text1"/>
        </w:rPr>
      </w:pPr>
    </w:p>
    <w:p w14:paraId="21C5A040" w14:textId="34DC72A8" w:rsidR="00361740" w:rsidRDefault="00361740" w:rsidP="00361740">
      <w:pPr>
        <w:rPr>
          <w:color w:val="000000" w:themeColor="text1"/>
        </w:rPr>
      </w:pPr>
      <w:r>
        <w:rPr>
          <w:color w:val="000000" w:themeColor="text1"/>
        </w:rPr>
        <w:t xml:space="preserve">The Best Start for life (2021) </w:t>
      </w:r>
      <w:r w:rsidRPr="00AA4BC8">
        <w:rPr>
          <w:i/>
          <w:iCs/>
          <w:color w:val="000000" w:themeColor="text1"/>
        </w:rPr>
        <w:t>A vision for the 1,001 critical days.</w:t>
      </w:r>
      <w:r>
        <w:rPr>
          <w:color w:val="000000" w:themeColor="text1"/>
        </w:rPr>
        <w:t xml:space="preserve"> Available at: </w:t>
      </w:r>
      <w:hyperlink r:id="rId19" w:history="1">
        <w:r w:rsidRPr="001C0E7D">
          <w:rPr>
            <w:rStyle w:val="Hyperlink"/>
          </w:rPr>
          <w:t>https://assets.publishing.service.gov.uk/government/uploads/system/uploads/attachment_data/file/973112/The_best_start_for_life_a_vision_for_the_1_001_critical_days.pdf</w:t>
        </w:r>
      </w:hyperlink>
      <w:r>
        <w:rPr>
          <w:color w:val="000000" w:themeColor="text1"/>
        </w:rPr>
        <w:t xml:space="preserve"> (Accessed on: 15</w:t>
      </w:r>
      <w:r w:rsidRPr="00AA4BC8">
        <w:rPr>
          <w:color w:val="000000" w:themeColor="text1"/>
          <w:vertAlign w:val="superscript"/>
        </w:rPr>
        <w:t>th</w:t>
      </w:r>
      <w:r>
        <w:rPr>
          <w:color w:val="000000" w:themeColor="text1"/>
        </w:rPr>
        <w:t xml:space="preserve"> January 2022)</w:t>
      </w:r>
    </w:p>
    <w:p w14:paraId="082775F8" w14:textId="77777777" w:rsidR="00361740" w:rsidRDefault="00361740" w:rsidP="00361740">
      <w:pPr>
        <w:rPr>
          <w:color w:val="000000" w:themeColor="text1"/>
        </w:rPr>
      </w:pPr>
    </w:p>
    <w:p w14:paraId="35A186AD" w14:textId="6CE563E3" w:rsidR="00361740" w:rsidRDefault="00361740" w:rsidP="00361740">
      <w:pPr>
        <w:rPr>
          <w:color w:val="000000" w:themeColor="text1"/>
        </w:rPr>
      </w:pPr>
      <w:r>
        <w:rPr>
          <w:color w:val="000000" w:themeColor="text1"/>
        </w:rPr>
        <w:t xml:space="preserve">Thousand Days (no date) </w:t>
      </w:r>
      <w:r w:rsidRPr="00DE6C5F">
        <w:rPr>
          <w:i/>
          <w:iCs/>
          <w:color w:val="000000" w:themeColor="text1"/>
        </w:rPr>
        <w:t>Building a fair start</w:t>
      </w:r>
      <w:r>
        <w:rPr>
          <w:i/>
          <w:iCs/>
          <w:color w:val="000000" w:themeColor="text1"/>
        </w:rPr>
        <w:t xml:space="preserve">. </w:t>
      </w:r>
      <w:r>
        <w:rPr>
          <w:color w:val="000000" w:themeColor="text1"/>
        </w:rPr>
        <w:t xml:space="preserve">Available at: </w:t>
      </w:r>
      <w:hyperlink r:id="rId20" w:history="1">
        <w:r w:rsidRPr="001C0E7D">
          <w:rPr>
            <w:rStyle w:val="Hyperlink"/>
          </w:rPr>
          <w:t>https://thousanddays.org/why-1000-days/building-a-fair-start/</w:t>
        </w:r>
      </w:hyperlink>
      <w:r>
        <w:rPr>
          <w:color w:val="000000" w:themeColor="text1"/>
        </w:rPr>
        <w:t xml:space="preserve"> (Accessed on: 12</w:t>
      </w:r>
      <w:r w:rsidRPr="00A43762">
        <w:rPr>
          <w:color w:val="000000" w:themeColor="text1"/>
          <w:vertAlign w:val="superscript"/>
        </w:rPr>
        <w:t>th</w:t>
      </w:r>
      <w:r>
        <w:rPr>
          <w:color w:val="000000" w:themeColor="text1"/>
        </w:rPr>
        <w:t xml:space="preserve"> January 2022)</w:t>
      </w:r>
    </w:p>
    <w:p w14:paraId="3735EF88" w14:textId="77777777" w:rsidR="00361740" w:rsidRDefault="00361740" w:rsidP="00361740">
      <w:pPr>
        <w:rPr>
          <w:color w:val="000000" w:themeColor="text1"/>
        </w:rPr>
      </w:pPr>
    </w:p>
    <w:p w14:paraId="10B86302" w14:textId="2B32F5D2" w:rsidR="00361740" w:rsidRDefault="00361740" w:rsidP="00361740">
      <w:pPr>
        <w:rPr>
          <w:color w:val="000000" w:themeColor="text1"/>
        </w:rPr>
      </w:pPr>
      <w:r>
        <w:rPr>
          <w:color w:val="000000" w:themeColor="text1"/>
        </w:rPr>
        <w:t xml:space="preserve">Thousand Days (no date) </w:t>
      </w:r>
      <w:r w:rsidRPr="003B068A">
        <w:rPr>
          <w:i/>
          <w:iCs/>
          <w:color w:val="000000" w:themeColor="text1"/>
        </w:rPr>
        <w:t>Why 1,000 Days</w:t>
      </w:r>
      <w:r>
        <w:rPr>
          <w:i/>
          <w:iCs/>
          <w:color w:val="000000" w:themeColor="text1"/>
        </w:rPr>
        <w:t xml:space="preserve">. </w:t>
      </w:r>
      <w:r>
        <w:rPr>
          <w:color w:val="000000" w:themeColor="text1"/>
        </w:rPr>
        <w:t>Available at:</w:t>
      </w:r>
      <w:r w:rsidRPr="003B068A">
        <w:rPr>
          <w:i/>
          <w:iCs/>
          <w:color w:val="000000" w:themeColor="text1"/>
        </w:rPr>
        <w:t xml:space="preserve"> </w:t>
      </w:r>
      <w:hyperlink r:id="rId21" w:history="1">
        <w:r w:rsidRPr="001C0E7D">
          <w:rPr>
            <w:rStyle w:val="Hyperlink"/>
          </w:rPr>
          <w:t>https://thousanddays.org/why-1000-days/</w:t>
        </w:r>
      </w:hyperlink>
      <w:r>
        <w:rPr>
          <w:color w:val="000000" w:themeColor="text1"/>
        </w:rPr>
        <w:t xml:space="preserve"> (Accessed on: 12</w:t>
      </w:r>
      <w:r w:rsidRPr="00A43762">
        <w:rPr>
          <w:color w:val="000000" w:themeColor="text1"/>
          <w:vertAlign w:val="superscript"/>
        </w:rPr>
        <w:t>th</w:t>
      </w:r>
      <w:r>
        <w:rPr>
          <w:color w:val="000000" w:themeColor="text1"/>
        </w:rPr>
        <w:t xml:space="preserve"> January 2022)</w:t>
      </w:r>
    </w:p>
    <w:p w14:paraId="5D0D42B8" w14:textId="77777777" w:rsidR="00361740" w:rsidRDefault="00361740" w:rsidP="00361740">
      <w:pPr>
        <w:rPr>
          <w:color w:val="000000" w:themeColor="text1"/>
        </w:rPr>
      </w:pPr>
    </w:p>
    <w:p w14:paraId="0CBAF422" w14:textId="4E4C06D7" w:rsidR="00361740" w:rsidRDefault="00361740" w:rsidP="00361740">
      <w:pPr>
        <w:rPr>
          <w:color w:val="000000" w:themeColor="text1"/>
        </w:rPr>
      </w:pPr>
      <w:r>
        <w:rPr>
          <w:color w:val="000000" w:themeColor="text1"/>
        </w:rPr>
        <w:t xml:space="preserve">Trussell Trust (no date) </w:t>
      </w:r>
      <w:r w:rsidRPr="003B068A">
        <w:rPr>
          <w:i/>
          <w:iCs/>
          <w:color w:val="000000" w:themeColor="text1"/>
        </w:rPr>
        <w:t>How food banks work</w:t>
      </w:r>
      <w:r>
        <w:rPr>
          <w:color w:val="000000" w:themeColor="text1"/>
        </w:rPr>
        <w:t xml:space="preserve">. Available at: </w:t>
      </w:r>
      <w:hyperlink r:id="rId22" w:history="1">
        <w:r w:rsidRPr="001C0E7D">
          <w:rPr>
            <w:rStyle w:val="Hyperlink"/>
          </w:rPr>
          <w:t>https://www.truss</w:t>
        </w:r>
        <w:r w:rsidRPr="001C0E7D">
          <w:rPr>
            <w:rStyle w:val="Hyperlink"/>
          </w:rPr>
          <w:t>e</w:t>
        </w:r>
        <w:r w:rsidRPr="001C0E7D">
          <w:rPr>
            <w:rStyle w:val="Hyperlink"/>
          </w:rPr>
          <w:t>lltrust.org/what-we-do/how-foodbanks-work/</w:t>
        </w:r>
      </w:hyperlink>
      <w:r>
        <w:rPr>
          <w:color w:val="000000" w:themeColor="text1"/>
        </w:rPr>
        <w:t xml:space="preserve"> (Accessed on: 11</w:t>
      </w:r>
      <w:r w:rsidRPr="00A43762">
        <w:rPr>
          <w:color w:val="000000" w:themeColor="text1"/>
          <w:vertAlign w:val="superscript"/>
        </w:rPr>
        <w:t>th</w:t>
      </w:r>
      <w:r>
        <w:rPr>
          <w:color w:val="000000" w:themeColor="text1"/>
        </w:rPr>
        <w:t xml:space="preserve"> January 2022) </w:t>
      </w:r>
    </w:p>
    <w:p w14:paraId="55AF35D4" w14:textId="77777777" w:rsidR="00361740" w:rsidRDefault="00361740" w:rsidP="00361740">
      <w:pPr>
        <w:rPr>
          <w:color w:val="000000" w:themeColor="text1"/>
        </w:rPr>
      </w:pPr>
    </w:p>
    <w:p w14:paraId="7B347CDD" w14:textId="3DB0EA0C" w:rsidR="00361740" w:rsidRDefault="00361740" w:rsidP="00361740">
      <w:pPr>
        <w:rPr>
          <w:color w:val="000000" w:themeColor="text1"/>
        </w:rPr>
      </w:pPr>
      <w:r>
        <w:rPr>
          <w:color w:val="000000" w:themeColor="text1"/>
        </w:rPr>
        <w:t xml:space="preserve">Welsh Government (2021) Enabling pathways Consultation. Available at: </w:t>
      </w:r>
      <w:hyperlink r:id="rId23" w:history="1">
        <w:r w:rsidRPr="001C0E7D">
          <w:rPr>
            <w:rStyle w:val="Hyperlink"/>
          </w:rPr>
          <w:t>https://gov.wales/sites/default/files/consultations/2021-05/enabling-pathways-consultation-document_0.pdf</w:t>
        </w:r>
      </w:hyperlink>
      <w:r>
        <w:rPr>
          <w:color w:val="000000" w:themeColor="text1"/>
        </w:rPr>
        <w:t xml:space="preserve"> (Accessed on: 15</w:t>
      </w:r>
      <w:r w:rsidRPr="00A43762">
        <w:rPr>
          <w:color w:val="000000" w:themeColor="text1"/>
          <w:vertAlign w:val="superscript"/>
        </w:rPr>
        <w:t>th</w:t>
      </w:r>
      <w:r>
        <w:rPr>
          <w:color w:val="000000" w:themeColor="text1"/>
        </w:rPr>
        <w:t xml:space="preserve"> January 2022) </w:t>
      </w:r>
    </w:p>
    <w:p w14:paraId="470F94A4" w14:textId="77777777" w:rsidR="00361740" w:rsidRDefault="00361740" w:rsidP="00361740">
      <w:pPr>
        <w:rPr>
          <w:color w:val="000000" w:themeColor="text1"/>
        </w:rPr>
      </w:pPr>
    </w:p>
    <w:p w14:paraId="27A71330" w14:textId="77777777" w:rsidR="00361740" w:rsidRDefault="00361740" w:rsidP="00361740">
      <w:pPr>
        <w:rPr>
          <w:color w:val="000000" w:themeColor="text1"/>
        </w:rPr>
      </w:pPr>
      <w:r>
        <w:rPr>
          <w:color w:val="000000" w:themeColor="text1"/>
        </w:rPr>
        <w:t xml:space="preserve">Working for Babies (2020) </w:t>
      </w:r>
      <w:r w:rsidRPr="003A2864">
        <w:rPr>
          <w:i/>
          <w:iCs/>
          <w:color w:val="000000" w:themeColor="text1"/>
        </w:rPr>
        <w:t>Babies in lockdown</w:t>
      </w:r>
      <w:r>
        <w:rPr>
          <w:color w:val="000000" w:themeColor="text1"/>
        </w:rPr>
        <w:t xml:space="preserve">. Available at: </w:t>
      </w:r>
      <w:hyperlink r:id="rId24" w:history="1">
        <w:r w:rsidRPr="001C0E7D">
          <w:rPr>
            <w:rStyle w:val="Hyperlink"/>
          </w:rPr>
          <w:t>https://moodle.uwtsd.ac.uk/course/view.php?id=9761</w:t>
        </w:r>
      </w:hyperlink>
      <w:r>
        <w:rPr>
          <w:color w:val="000000" w:themeColor="text1"/>
        </w:rPr>
        <w:t xml:space="preserve"> (Accessed on: 15</w:t>
      </w:r>
      <w:r w:rsidRPr="00A43762">
        <w:rPr>
          <w:color w:val="000000" w:themeColor="text1"/>
          <w:vertAlign w:val="superscript"/>
        </w:rPr>
        <w:t>th</w:t>
      </w:r>
      <w:r>
        <w:rPr>
          <w:color w:val="000000" w:themeColor="text1"/>
        </w:rPr>
        <w:t xml:space="preserve"> January 2022) </w:t>
      </w:r>
    </w:p>
    <w:p w14:paraId="2F7350E2" w14:textId="17B4317C" w:rsidR="008E2E10" w:rsidRDefault="008E2E10"/>
    <w:sectPr w:rsidR="008E2E10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font w:name="Calibri">
    <w:panose1 w:val="020F0502020204030204"/>
    <w:charset w:val="00"/>
    <w:family w:val="swiss"/>
    <w:pitch w:val="variable"/>
    <w:sig w:usb0="E0002AFF" w:usb1="C000ACFF" w:usb2="00000009" w:usb3="00000000" w:csb0="000001F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-webkit-standard">
    <w:altName w:val="Cambria"/>
    <w:panose1 w:val="020B0604020202020204"/>
    <w:charset w:val="00"/>
    <w:family w:val="roman"/>
    <w:notTrueType/>
    <w:pitch w:val="default"/>
  </w:font>
  <w:font w:name="Segoe UI Semilight">
    <w:panose1 w:val="020B0402040204020203"/>
    <w:charset w:val="00"/>
    <w:family w:val="swiss"/>
    <w:pitch w:val="variable"/>
    <w:sig w:usb0="E4002EFF" w:usb1="C000E47F" w:usb2="00000009" w:usb3="00000000" w:csb0="000001FF" w:csb1="00000000"/>
  </w:font>
  <w:font w:name="Segoe UI">
    <w:panose1 w:val="020B0502040204020203"/>
    <w:charset w:val="00"/>
    <w:family w:val="swiss"/>
    <w:pitch w:val="variable"/>
    <w:sig w:usb0="E4002EFF" w:usb1="C000E47F" w:usb2="00000009" w:usb3="00000000" w:csb0="000001FF" w:csb1="00000000"/>
  </w:font>
  <w:font w:name="Calibri Light">
    <w:panose1 w:val="020F0302020204030204"/>
    <w:charset w:val="00"/>
    <w:family w:val="swiss"/>
    <w:pitch w:val="variable"/>
    <w:sig w:usb0="E0002AFF" w:usb1="C000247B" w:usb2="00000009" w:usb3="00000000" w:csb0="000001F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">
  <w:zoom w:percent="160"/>
  <w:proofState w:spelling="clean" w:grammar="clean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361740"/>
    <w:rsid w:val="00361740"/>
    <w:rsid w:val="008E2E10"/>
    <w:rsid w:val="00C75F5A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decimalSymbol w:val="."/>
  <w:listSeparator w:val=","/>
  <w14:docId w14:val="7E54B590"/>
  <w15:chartTrackingRefBased/>
  <w15:docId w15:val="{9FE2EE34-D337-E54D-A312-DAEDB3ED1D0B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ocDefaults>
    <w:rPrDefault>
      <w:rPr>
        <w:rFonts w:asciiTheme="minorHAnsi" w:eastAsiaTheme="minorHAnsi" w:hAnsiTheme="minorHAnsi" w:cstheme="minorBidi"/>
        <w:sz w:val="24"/>
        <w:szCs w:val="24"/>
        <w:lang w:val="en-GB" w:eastAsia="en-US" w:bidi="ar-SA"/>
      </w:rPr>
    </w:rPrDefault>
    <w:pPrDefault/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styleId="Hyperlink">
    <w:name w:val="Hyperlink"/>
    <w:basedOn w:val="DefaultParagraphFont"/>
    <w:uiPriority w:val="99"/>
    <w:unhideWhenUsed/>
    <w:rsid w:val="00361740"/>
    <w:rPr>
      <w:color w:val="0000FF"/>
      <w:u w:val="single"/>
    </w:rPr>
  </w:style>
  <w:style w:type="character" w:customStyle="1" w:styleId="visuallinktitle">
    <w:name w:val="visuallinktitle"/>
    <w:basedOn w:val="DefaultParagraphFont"/>
    <w:rsid w:val="00361740"/>
  </w:style>
  <w:style w:type="character" w:customStyle="1" w:styleId="apple-converted-space">
    <w:name w:val="apple-converted-space"/>
    <w:basedOn w:val="DefaultParagraphFont"/>
    <w:rsid w:val="00361740"/>
  </w:style>
  <w:style w:type="character" w:customStyle="1" w:styleId="visuallinkdescription">
    <w:name w:val="visuallinkdescription"/>
    <w:basedOn w:val="DefaultParagraphFont"/>
    <w:rsid w:val="00361740"/>
  </w:style>
  <w:style w:type="character" w:styleId="UnresolvedMention">
    <w:name w:val="Unresolved Mention"/>
    <w:basedOn w:val="DefaultParagraphFont"/>
    <w:uiPriority w:val="99"/>
    <w:semiHidden/>
    <w:unhideWhenUsed/>
    <w:rsid w:val="00361740"/>
    <w:rPr>
      <w:color w:val="605E5C"/>
      <w:shd w:val="clear" w:color="auto" w:fill="E1DFDD"/>
    </w:rPr>
  </w:style>
  <w:style w:type="character" w:styleId="FollowedHyperlink">
    <w:name w:val="FollowedHyperlink"/>
    <w:basedOn w:val="DefaultParagraphFont"/>
    <w:uiPriority w:val="99"/>
    <w:semiHidden/>
    <w:unhideWhenUsed/>
    <w:rsid w:val="00361740"/>
    <w:rPr>
      <w:color w:val="954F72" w:themeColor="followedHyperlink"/>
      <w:u w:val="single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ivs>
    <w:div w:id="19311606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hyperlink" Target="https://sway.office.com/3PqfEHCt4zdZXiaC?ref=Link" TargetMode="External"/><Relationship Id="rId13" Type="http://schemas.openxmlformats.org/officeDocument/2006/relationships/hyperlink" Target="https://www.communityplaythings.co.uk/learning-library/articles/treasure-baskets" TargetMode="External"/><Relationship Id="rId18" Type="http://schemas.openxmlformats.org/officeDocument/2006/relationships/hyperlink" Target="https://www.tgescapes.co.uk/blog/education-10-tips-creating-engaging-outdoor-learning-and-play-environments" TargetMode="External"/><Relationship Id="rId26" Type="http://schemas.openxmlformats.org/officeDocument/2006/relationships/theme" Target="theme/theme1.xml"/><Relationship Id="rId3" Type="http://schemas.openxmlformats.org/officeDocument/2006/relationships/webSettings" Target="webSettings.xml"/><Relationship Id="rId21" Type="http://schemas.openxmlformats.org/officeDocument/2006/relationships/hyperlink" Target="https://thousanddays.org/why-1000-days/" TargetMode="External"/><Relationship Id="rId7" Type="http://schemas.openxmlformats.org/officeDocument/2006/relationships/hyperlink" Target="https://sway.office.com/3PqfEHCt4zdZXiaC?ref=email" TargetMode="External"/><Relationship Id="rId12" Type="http://schemas.openxmlformats.org/officeDocument/2006/relationships/hyperlink" Target="https://www.tgescapes.co.uk/blog/education-10-tips-creating-engaging-outdoor-learning-and-play-environments" TargetMode="External"/><Relationship Id="rId17" Type="http://schemas.openxmlformats.org/officeDocument/2006/relationships/hyperlink" Target="https://www.simplypsychology.org/maslow.html" TargetMode="External"/><Relationship Id="rId25" Type="http://schemas.openxmlformats.org/officeDocument/2006/relationships/fontTable" Target="fontTable.xml"/><Relationship Id="rId2" Type="http://schemas.openxmlformats.org/officeDocument/2006/relationships/settings" Target="settings.xml"/><Relationship Id="rId16" Type="http://schemas.openxmlformats.org/officeDocument/2006/relationships/hyperlink" Target="https://www.pregnancybirthbaby.org.au/the-first-1000-days" TargetMode="External"/><Relationship Id="rId20" Type="http://schemas.openxmlformats.org/officeDocument/2006/relationships/hyperlink" Target="https://thousanddays.org/why-1000-days/building-a-fair-start/" TargetMode="External"/><Relationship Id="rId1" Type="http://schemas.openxmlformats.org/officeDocument/2006/relationships/styles" Target="styles.xml"/><Relationship Id="rId6" Type="http://schemas.openxmlformats.org/officeDocument/2006/relationships/hyperlink" Target="https://sway.office.com/3PqfEHCt4zdZXiaC?ref=email" TargetMode="External"/><Relationship Id="rId11" Type="http://schemas.openxmlformats.org/officeDocument/2006/relationships/hyperlink" Target="https://graspandgather.co.uk/the-complete-guide-to-treasure-baskets/" TargetMode="External"/><Relationship Id="rId24" Type="http://schemas.openxmlformats.org/officeDocument/2006/relationships/hyperlink" Target="https://moodle.uwtsd.ac.uk/course/view.php?id=9761" TargetMode="External"/><Relationship Id="rId5" Type="http://schemas.openxmlformats.org/officeDocument/2006/relationships/image" Target="media/image1.png"/><Relationship Id="rId15" Type="http://schemas.openxmlformats.org/officeDocument/2006/relationships/hyperlink" Target="https://www.earlyyearseducator.co.uk/features/article/transitions-lockdown-babies-in-childcare" TargetMode="External"/><Relationship Id="rId23" Type="http://schemas.openxmlformats.org/officeDocument/2006/relationships/hyperlink" Target="https://gov.wales/sites/default/files/consultations/2021-05/enabling-pathways-consultation-document_0.pdf" TargetMode="External"/><Relationship Id="rId10" Type="http://schemas.openxmlformats.org/officeDocument/2006/relationships/hyperlink" Target="https://www.bbc.co.uk/news/uk-wales-57157436" TargetMode="External"/><Relationship Id="rId19" Type="http://schemas.openxmlformats.org/officeDocument/2006/relationships/hyperlink" Target="https://assets.publishing.service.gov.uk/government/uploads/system/uploads/attachment_data/file/973112/The_best_start_for_life_a_vision_for_the_1_001_critical_days.pdf" TargetMode="External"/><Relationship Id="rId4" Type="http://schemas.openxmlformats.org/officeDocument/2006/relationships/hyperlink" Target="https://sway.office.com/3PqfEHCt4zdZXiaC?ref=email" TargetMode="External"/><Relationship Id="rId9" Type="http://schemas.openxmlformats.org/officeDocument/2006/relationships/hyperlink" Target="https://www.nutritionnews.abbott/pregnancy-childhood/prenatal-breastfeeding/understanding-nutrition-for-pregnant-and-new-moms/" TargetMode="External"/><Relationship Id="rId14" Type="http://schemas.openxmlformats.org/officeDocument/2006/relationships/hyperlink" Target="https://www.teachearlyyears.com/a-unique-child/view/child-development-why-the-first-1000-days-of-childrens-lives-matter-most" TargetMode="External"/><Relationship Id="rId22" Type="http://schemas.openxmlformats.org/officeDocument/2006/relationships/hyperlink" Target="https://www.trusselltrust.org/what-we-do/how-foodbanks-work/" TargetMode="Externa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8</TotalTime>
  <Pages>3</Pages>
  <Words>908</Words>
  <Characters>5032</Characters>
  <Application>Microsoft Office Word</Application>
  <DocSecurity>0</DocSecurity>
  <Lines>88</Lines>
  <Paragraphs>12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5928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Chelsea Davies (2106921)</dc:creator>
  <cp:keywords/>
  <dc:description/>
  <cp:lastModifiedBy>Chelsea Davies (2106921)</cp:lastModifiedBy>
  <cp:revision>1</cp:revision>
  <dcterms:created xsi:type="dcterms:W3CDTF">2022-01-15T16:23:00Z</dcterms:created>
  <dcterms:modified xsi:type="dcterms:W3CDTF">2022-01-15T16:32:00Z</dcterms:modified>
</cp:coreProperties>
</file>