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0B2F39" w:rsidRDefault="000B2F39">
      <w:pPr>
        <w:jc w:val="center"/>
        <w:rPr>
          <w:b/>
          <w:sz w:val="32"/>
          <w:szCs w:val="32"/>
        </w:rPr>
      </w:pPr>
    </w:p>
    <w:p w14:paraId="00000002" w14:textId="77777777" w:rsidR="000B2F39" w:rsidRDefault="000B2F39">
      <w:pPr>
        <w:jc w:val="center"/>
        <w:rPr>
          <w:b/>
          <w:sz w:val="32"/>
          <w:szCs w:val="32"/>
        </w:rPr>
      </w:pPr>
    </w:p>
    <w:p w14:paraId="00000003" w14:textId="77777777" w:rsidR="000B2F39" w:rsidRDefault="000B2F39">
      <w:pPr>
        <w:jc w:val="center"/>
        <w:rPr>
          <w:b/>
          <w:sz w:val="32"/>
          <w:szCs w:val="32"/>
        </w:rPr>
      </w:pPr>
    </w:p>
    <w:p w14:paraId="00000004" w14:textId="77777777" w:rsidR="000B2F39" w:rsidRDefault="000B2F39">
      <w:pPr>
        <w:jc w:val="center"/>
        <w:rPr>
          <w:b/>
          <w:sz w:val="32"/>
          <w:szCs w:val="32"/>
        </w:rPr>
      </w:pPr>
    </w:p>
    <w:p w14:paraId="00000005" w14:textId="77777777" w:rsidR="000B2F39" w:rsidRDefault="000B2F39">
      <w:pPr>
        <w:jc w:val="center"/>
        <w:rPr>
          <w:b/>
          <w:sz w:val="32"/>
          <w:szCs w:val="32"/>
        </w:rPr>
      </w:pPr>
    </w:p>
    <w:p w14:paraId="00000006" w14:textId="77777777" w:rsidR="000B2F39" w:rsidRDefault="000B2F39">
      <w:pPr>
        <w:jc w:val="center"/>
        <w:rPr>
          <w:b/>
          <w:sz w:val="32"/>
          <w:szCs w:val="32"/>
        </w:rPr>
      </w:pPr>
    </w:p>
    <w:p w14:paraId="00000007" w14:textId="42CDA727" w:rsidR="000B2F39" w:rsidRDefault="006143A4">
      <w:pPr>
        <w:jc w:val="center"/>
        <w:rPr>
          <w:b/>
          <w:sz w:val="32"/>
          <w:szCs w:val="32"/>
        </w:rPr>
      </w:pPr>
      <w:r>
        <w:rPr>
          <w:b/>
          <w:sz w:val="32"/>
          <w:szCs w:val="32"/>
        </w:rPr>
        <w:t>COMMUNITY ENGAGEMENT</w:t>
      </w:r>
    </w:p>
    <w:p w14:paraId="66925583" w14:textId="27A21D47" w:rsidR="00130540" w:rsidRDefault="00B923F4">
      <w:pPr>
        <w:jc w:val="center"/>
        <w:rPr>
          <w:b/>
          <w:sz w:val="32"/>
          <w:szCs w:val="32"/>
        </w:rPr>
      </w:pPr>
      <w:r>
        <w:rPr>
          <w:b/>
          <w:sz w:val="32"/>
          <w:szCs w:val="32"/>
        </w:rPr>
        <w:t>LCBB4002</w:t>
      </w:r>
    </w:p>
    <w:p w14:paraId="00000008" w14:textId="3A4062EC" w:rsidR="000B2F39" w:rsidRDefault="006143A4">
      <w:pPr>
        <w:jc w:val="center"/>
        <w:rPr>
          <w:b/>
        </w:rPr>
      </w:pPr>
      <w:r>
        <w:rPr>
          <w:b/>
        </w:rPr>
        <w:t xml:space="preserve">Student </w:t>
      </w:r>
      <w:r w:rsidR="00D064CC">
        <w:rPr>
          <w:b/>
        </w:rPr>
        <w:t>ID:2030517</w:t>
      </w:r>
    </w:p>
    <w:p w14:paraId="00000009" w14:textId="1149F494" w:rsidR="000B2F39" w:rsidRDefault="00130540">
      <w:pPr>
        <w:jc w:val="center"/>
        <w:rPr>
          <w:b/>
        </w:rPr>
      </w:pPr>
      <w:r>
        <w:rPr>
          <w:b/>
        </w:rPr>
        <w:t>Claudia Georgiana Macarie</w:t>
      </w:r>
    </w:p>
    <w:p w14:paraId="0000000A" w14:textId="77777777" w:rsidR="000B2F39" w:rsidRDefault="006143A4">
      <w:pPr>
        <w:jc w:val="center"/>
        <w:rPr>
          <w:b/>
        </w:rPr>
      </w:pPr>
      <w:r>
        <w:rPr>
          <w:b/>
        </w:rPr>
        <w:t>Executive Summary</w:t>
      </w:r>
    </w:p>
    <w:p w14:paraId="7197F7C8" w14:textId="77777777" w:rsidR="00CE680D" w:rsidRDefault="006143A4">
      <w:pPr>
        <w:rPr>
          <w:color w:val="000000" w:themeColor="text1"/>
        </w:rPr>
      </w:pPr>
      <w:r>
        <w:t xml:space="preserve">Community engagement is an extensive procedure of collaborating the individualities of different cultures and communities with a common goal or adhering activities. The implication of tree plantation in a community effectively increases the inclusive response of participation. The UK government has initiated </w:t>
      </w:r>
      <w:r w:rsidRPr="00205426">
        <w:rPr>
          <w:color w:val="000000" w:themeColor="text1"/>
        </w:rPr>
        <w:t>The England Trees Action Plan 2021 - 2024 to improve the woodland and ecological sustainability in the UK. The study will discuss the principles, standards and best practices of community engagement. The study will discuss the community engagement process and strategies for social media awareness initiatives to promote the event. The study will further discuss the significance of such proactive initiatives.</w:t>
      </w:r>
    </w:p>
    <w:p w14:paraId="03C781F3" w14:textId="77777777" w:rsidR="00CE680D" w:rsidRDefault="00CE680D">
      <w:pPr>
        <w:rPr>
          <w:color w:val="000000" w:themeColor="text1"/>
        </w:rPr>
      </w:pPr>
      <w:r>
        <w:rPr>
          <w:color w:val="000000" w:themeColor="text1"/>
        </w:rPr>
        <w:br w:type="page"/>
      </w:r>
    </w:p>
    <w:sdt>
      <w:sdtPr>
        <w:rPr>
          <w:rFonts w:ascii="Times New Roman" w:eastAsia="Times New Roman" w:hAnsi="Times New Roman" w:cs="Times New Roman"/>
          <w:color w:val="auto"/>
          <w:sz w:val="24"/>
          <w:szCs w:val="24"/>
        </w:rPr>
        <w:id w:val="164289548"/>
        <w:docPartObj>
          <w:docPartGallery w:val="Table of Contents"/>
          <w:docPartUnique/>
        </w:docPartObj>
      </w:sdtPr>
      <w:sdtEndPr>
        <w:rPr>
          <w:b/>
          <w:bCs/>
          <w:noProof/>
        </w:rPr>
      </w:sdtEndPr>
      <w:sdtContent>
        <w:p w14:paraId="3FD031B0" w14:textId="4B557809" w:rsidR="00CE680D" w:rsidRDefault="00CE680D">
          <w:pPr>
            <w:pStyle w:val="TOCHeading"/>
          </w:pPr>
          <w:r>
            <w:t>Table of Contents</w:t>
          </w:r>
        </w:p>
        <w:p w14:paraId="4051401F" w14:textId="5E837E4E" w:rsidR="00CE680D" w:rsidRDefault="00CE680D">
          <w:pPr>
            <w:pStyle w:val="TOC1"/>
            <w:tabs>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01273149" w:history="1">
            <w:r w:rsidRPr="00D00241">
              <w:rPr>
                <w:rStyle w:val="Hyperlink"/>
                <w:noProof/>
              </w:rPr>
              <w:t>1. Introduction</w:t>
            </w:r>
            <w:r>
              <w:rPr>
                <w:noProof/>
                <w:webHidden/>
              </w:rPr>
              <w:tab/>
            </w:r>
            <w:r>
              <w:rPr>
                <w:noProof/>
                <w:webHidden/>
              </w:rPr>
              <w:fldChar w:fldCharType="begin"/>
            </w:r>
            <w:r>
              <w:rPr>
                <w:noProof/>
                <w:webHidden/>
              </w:rPr>
              <w:instrText xml:space="preserve"> PAGEREF _Toc101273149 \h </w:instrText>
            </w:r>
            <w:r>
              <w:rPr>
                <w:noProof/>
                <w:webHidden/>
              </w:rPr>
            </w:r>
            <w:r>
              <w:rPr>
                <w:noProof/>
                <w:webHidden/>
              </w:rPr>
              <w:fldChar w:fldCharType="separate"/>
            </w:r>
            <w:r>
              <w:rPr>
                <w:noProof/>
                <w:webHidden/>
              </w:rPr>
              <w:t>4</w:t>
            </w:r>
            <w:r>
              <w:rPr>
                <w:noProof/>
                <w:webHidden/>
              </w:rPr>
              <w:fldChar w:fldCharType="end"/>
            </w:r>
          </w:hyperlink>
        </w:p>
        <w:p w14:paraId="0815C506" w14:textId="77344892" w:rsidR="00CE680D" w:rsidRDefault="00992D17">
          <w:pPr>
            <w:pStyle w:val="TOC1"/>
            <w:tabs>
              <w:tab w:val="right" w:leader="dot" w:pos="9350"/>
            </w:tabs>
            <w:rPr>
              <w:rFonts w:asciiTheme="minorHAnsi" w:eastAsiaTheme="minorEastAsia" w:hAnsiTheme="minorHAnsi" w:cstheme="minorBidi"/>
              <w:noProof/>
              <w:sz w:val="22"/>
              <w:szCs w:val="22"/>
            </w:rPr>
          </w:pPr>
          <w:hyperlink w:anchor="_Toc101273150" w:history="1">
            <w:r w:rsidR="00CE680D" w:rsidRPr="00D00241">
              <w:rPr>
                <w:rStyle w:val="Hyperlink"/>
                <w:noProof/>
              </w:rPr>
              <w:t>2. Describing the England Trees Action Plan Initiative (2021 - 2024)</w:t>
            </w:r>
            <w:r w:rsidR="00CE680D">
              <w:rPr>
                <w:noProof/>
                <w:webHidden/>
              </w:rPr>
              <w:tab/>
            </w:r>
            <w:r w:rsidR="00CE680D">
              <w:rPr>
                <w:noProof/>
                <w:webHidden/>
              </w:rPr>
              <w:fldChar w:fldCharType="begin"/>
            </w:r>
            <w:r w:rsidR="00CE680D">
              <w:rPr>
                <w:noProof/>
                <w:webHidden/>
              </w:rPr>
              <w:instrText xml:space="preserve"> PAGEREF _Toc101273150 \h </w:instrText>
            </w:r>
            <w:r w:rsidR="00CE680D">
              <w:rPr>
                <w:noProof/>
                <w:webHidden/>
              </w:rPr>
            </w:r>
            <w:r w:rsidR="00CE680D">
              <w:rPr>
                <w:noProof/>
                <w:webHidden/>
              </w:rPr>
              <w:fldChar w:fldCharType="separate"/>
            </w:r>
            <w:r w:rsidR="00CE680D">
              <w:rPr>
                <w:noProof/>
                <w:webHidden/>
              </w:rPr>
              <w:t>4</w:t>
            </w:r>
            <w:r w:rsidR="00CE680D">
              <w:rPr>
                <w:noProof/>
                <w:webHidden/>
              </w:rPr>
              <w:fldChar w:fldCharType="end"/>
            </w:r>
          </w:hyperlink>
        </w:p>
        <w:p w14:paraId="46342FE6" w14:textId="1B1BD1EE" w:rsidR="00CE680D" w:rsidRDefault="00992D17">
          <w:pPr>
            <w:pStyle w:val="TOC1"/>
            <w:tabs>
              <w:tab w:val="right" w:leader="dot" w:pos="9350"/>
            </w:tabs>
            <w:rPr>
              <w:rFonts w:asciiTheme="minorHAnsi" w:eastAsiaTheme="minorEastAsia" w:hAnsiTheme="minorHAnsi" w:cstheme="minorBidi"/>
              <w:noProof/>
              <w:sz w:val="22"/>
              <w:szCs w:val="22"/>
            </w:rPr>
          </w:pPr>
          <w:hyperlink w:anchor="_Toc101273151" w:history="1">
            <w:r w:rsidR="00CE680D" w:rsidRPr="00D00241">
              <w:rPr>
                <w:rStyle w:val="Hyperlink"/>
                <w:noProof/>
              </w:rPr>
              <w:t>3. Analysing the Best Community Engagement Practices and Principles Standard and Benefits of Stakeholders’ Participation</w:t>
            </w:r>
            <w:r w:rsidR="00CE680D">
              <w:rPr>
                <w:noProof/>
                <w:webHidden/>
              </w:rPr>
              <w:tab/>
            </w:r>
            <w:r w:rsidR="00CE680D">
              <w:rPr>
                <w:noProof/>
                <w:webHidden/>
              </w:rPr>
              <w:fldChar w:fldCharType="begin"/>
            </w:r>
            <w:r w:rsidR="00CE680D">
              <w:rPr>
                <w:noProof/>
                <w:webHidden/>
              </w:rPr>
              <w:instrText xml:space="preserve"> PAGEREF _Toc101273151 \h </w:instrText>
            </w:r>
            <w:r w:rsidR="00CE680D">
              <w:rPr>
                <w:noProof/>
                <w:webHidden/>
              </w:rPr>
            </w:r>
            <w:r w:rsidR="00CE680D">
              <w:rPr>
                <w:noProof/>
                <w:webHidden/>
              </w:rPr>
              <w:fldChar w:fldCharType="separate"/>
            </w:r>
            <w:r w:rsidR="00CE680D">
              <w:rPr>
                <w:noProof/>
                <w:webHidden/>
              </w:rPr>
              <w:t>5</w:t>
            </w:r>
            <w:r w:rsidR="00CE680D">
              <w:rPr>
                <w:noProof/>
                <w:webHidden/>
              </w:rPr>
              <w:fldChar w:fldCharType="end"/>
            </w:r>
          </w:hyperlink>
        </w:p>
        <w:p w14:paraId="5B1E77A6" w14:textId="6D4AD94C" w:rsidR="00CE680D" w:rsidRDefault="00992D17">
          <w:pPr>
            <w:pStyle w:val="TOC1"/>
            <w:tabs>
              <w:tab w:val="right" w:leader="dot" w:pos="9350"/>
            </w:tabs>
            <w:rPr>
              <w:rFonts w:asciiTheme="minorHAnsi" w:eastAsiaTheme="minorEastAsia" w:hAnsiTheme="minorHAnsi" w:cstheme="minorBidi"/>
              <w:noProof/>
              <w:sz w:val="22"/>
              <w:szCs w:val="22"/>
            </w:rPr>
          </w:pPr>
          <w:hyperlink w:anchor="_Toc101273152" w:history="1">
            <w:r w:rsidR="00CE680D" w:rsidRPr="00D00241">
              <w:rPr>
                <w:rStyle w:val="Hyperlink"/>
                <w:noProof/>
              </w:rPr>
              <w:t>4. Identification and Establishment of the Relationship between Engagement Strategies and Stakeholders</w:t>
            </w:r>
            <w:r w:rsidR="00CE680D">
              <w:rPr>
                <w:noProof/>
                <w:webHidden/>
              </w:rPr>
              <w:tab/>
            </w:r>
            <w:r w:rsidR="00CE680D">
              <w:rPr>
                <w:noProof/>
                <w:webHidden/>
              </w:rPr>
              <w:fldChar w:fldCharType="begin"/>
            </w:r>
            <w:r w:rsidR="00CE680D">
              <w:rPr>
                <w:noProof/>
                <w:webHidden/>
              </w:rPr>
              <w:instrText xml:space="preserve"> PAGEREF _Toc101273152 \h </w:instrText>
            </w:r>
            <w:r w:rsidR="00CE680D">
              <w:rPr>
                <w:noProof/>
                <w:webHidden/>
              </w:rPr>
            </w:r>
            <w:r w:rsidR="00CE680D">
              <w:rPr>
                <w:noProof/>
                <w:webHidden/>
              </w:rPr>
              <w:fldChar w:fldCharType="separate"/>
            </w:r>
            <w:r w:rsidR="00CE680D">
              <w:rPr>
                <w:noProof/>
                <w:webHidden/>
              </w:rPr>
              <w:t>6</w:t>
            </w:r>
            <w:r w:rsidR="00CE680D">
              <w:rPr>
                <w:noProof/>
                <w:webHidden/>
              </w:rPr>
              <w:fldChar w:fldCharType="end"/>
            </w:r>
          </w:hyperlink>
        </w:p>
        <w:p w14:paraId="3AE10721" w14:textId="6C1CBD20" w:rsidR="00CE680D" w:rsidRDefault="00992D17">
          <w:pPr>
            <w:pStyle w:val="TOC2"/>
            <w:tabs>
              <w:tab w:val="right" w:leader="dot" w:pos="9350"/>
            </w:tabs>
            <w:rPr>
              <w:rFonts w:asciiTheme="minorHAnsi" w:eastAsiaTheme="minorEastAsia" w:hAnsiTheme="minorHAnsi" w:cstheme="minorBidi"/>
              <w:noProof/>
              <w:sz w:val="22"/>
              <w:szCs w:val="22"/>
            </w:rPr>
          </w:pPr>
          <w:hyperlink w:anchor="_Toc101273153" w:history="1">
            <w:r w:rsidR="00CE680D" w:rsidRPr="00D00241">
              <w:rPr>
                <w:rStyle w:val="Hyperlink"/>
                <w:noProof/>
              </w:rPr>
              <w:t>4.1 Describing How Social Media Platform can be used as an Effective Marketing Channel</w:t>
            </w:r>
            <w:r w:rsidR="00CE680D">
              <w:rPr>
                <w:noProof/>
                <w:webHidden/>
              </w:rPr>
              <w:tab/>
            </w:r>
            <w:r w:rsidR="00CE680D">
              <w:rPr>
                <w:noProof/>
                <w:webHidden/>
              </w:rPr>
              <w:fldChar w:fldCharType="begin"/>
            </w:r>
            <w:r w:rsidR="00CE680D">
              <w:rPr>
                <w:noProof/>
                <w:webHidden/>
              </w:rPr>
              <w:instrText xml:space="preserve"> PAGEREF _Toc101273153 \h </w:instrText>
            </w:r>
            <w:r w:rsidR="00CE680D">
              <w:rPr>
                <w:noProof/>
                <w:webHidden/>
              </w:rPr>
            </w:r>
            <w:r w:rsidR="00CE680D">
              <w:rPr>
                <w:noProof/>
                <w:webHidden/>
              </w:rPr>
              <w:fldChar w:fldCharType="separate"/>
            </w:r>
            <w:r w:rsidR="00CE680D">
              <w:rPr>
                <w:noProof/>
                <w:webHidden/>
              </w:rPr>
              <w:t>7</w:t>
            </w:r>
            <w:r w:rsidR="00CE680D">
              <w:rPr>
                <w:noProof/>
                <w:webHidden/>
              </w:rPr>
              <w:fldChar w:fldCharType="end"/>
            </w:r>
          </w:hyperlink>
        </w:p>
        <w:p w14:paraId="65DB3F13" w14:textId="65E5F30E" w:rsidR="00CE680D" w:rsidRDefault="00992D17">
          <w:pPr>
            <w:pStyle w:val="TOC1"/>
            <w:tabs>
              <w:tab w:val="right" w:leader="dot" w:pos="9350"/>
            </w:tabs>
            <w:rPr>
              <w:rFonts w:asciiTheme="minorHAnsi" w:eastAsiaTheme="minorEastAsia" w:hAnsiTheme="minorHAnsi" w:cstheme="minorBidi"/>
              <w:noProof/>
              <w:sz w:val="22"/>
              <w:szCs w:val="22"/>
            </w:rPr>
          </w:pPr>
          <w:hyperlink w:anchor="_Toc101273154" w:history="1">
            <w:r w:rsidR="00CE680D" w:rsidRPr="00D00241">
              <w:rPr>
                <w:rStyle w:val="Hyperlink"/>
                <w:noProof/>
              </w:rPr>
              <w:t>5. The avenues through which community engagement can be promoted</w:t>
            </w:r>
            <w:r w:rsidR="00CE680D">
              <w:rPr>
                <w:noProof/>
                <w:webHidden/>
              </w:rPr>
              <w:tab/>
            </w:r>
            <w:r w:rsidR="00CE680D">
              <w:rPr>
                <w:noProof/>
                <w:webHidden/>
              </w:rPr>
              <w:fldChar w:fldCharType="begin"/>
            </w:r>
            <w:r w:rsidR="00CE680D">
              <w:rPr>
                <w:noProof/>
                <w:webHidden/>
              </w:rPr>
              <w:instrText xml:space="preserve"> PAGEREF _Toc101273154 \h </w:instrText>
            </w:r>
            <w:r w:rsidR="00CE680D">
              <w:rPr>
                <w:noProof/>
                <w:webHidden/>
              </w:rPr>
            </w:r>
            <w:r w:rsidR="00CE680D">
              <w:rPr>
                <w:noProof/>
                <w:webHidden/>
              </w:rPr>
              <w:fldChar w:fldCharType="separate"/>
            </w:r>
            <w:r w:rsidR="00CE680D">
              <w:rPr>
                <w:noProof/>
                <w:webHidden/>
              </w:rPr>
              <w:t>8</w:t>
            </w:r>
            <w:r w:rsidR="00CE680D">
              <w:rPr>
                <w:noProof/>
                <w:webHidden/>
              </w:rPr>
              <w:fldChar w:fldCharType="end"/>
            </w:r>
          </w:hyperlink>
        </w:p>
        <w:p w14:paraId="270F9DB0" w14:textId="7C7BA467" w:rsidR="00CE680D" w:rsidRDefault="00992D17">
          <w:pPr>
            <w:pStyle w:val="TOC1"/>
            <w:tabs>
              <w:tab w:val="right" w:leader="dot" w:pos="9350"/>
            </w:tabs>
            <w:rPr>
              <w:rFonts w:asciiTheme="minorHAnsi" w:eastAsiaTheme="minorEastAsia" w:hAnsiTheme="minorHAnsi" w:cstheme="minorBidi"/>
              <w:noProof/>
              <w:sz w:val="22"/>
              <w:szCs w:val="22"/>
            </w:rPr>
          </w:pPr>
          <w:hyperlink w:anchor="_Toc101273155" w:history="1">
            <w:r w:rsidR="00CE680D" w:rsidRPr="00D00241">
              <w:rPr>
                <w:rStyle w:val="Hyperlink"/>
                <w:noProof/>
              </w:rPr>
              <w:t>6. The reason behind choosing or adopting a forward looking approach for educating community members to understand the impact of the external and internal factors which can affect community development</w:t>
            </w:r>
            <w:r w:rsidR="00CE680D">
              <w:rPr>
                <w:noProof/>
                <w:webHidden/>
              </w:rPr>
              <w:tab/>
            </w:r>
            <w:r w:rsidR="00CE680D">
              <w:rPr>
                <w:noProof/>
                <w:webHidden/>
              </w:rPr>
              <w:fldChar w:fldCharType="begin"/>
            </w:r>
            <w:r w:rsidR="00CE680D">
              <w:rPr>
                <w:noProof/>
                <w:webHidden/>
              </w:rPr>
              <w:instrText xml:space="preserve"> PAGEREF _Toc101273155 \h </w:instrText>
            </w:r>
            <w:r w:rsidR="00CE680D">
              <w:rPr>
                <w:noProof/>
                <w:webHidden/>
              </w:rPr>
            </w:r>
            <w:r w:rsidR="00CE680D">
              <w:rPr>
                <w:noProof/>
                <w:webHidden/>
              </w:rPr>
              <w:fldChar w:fldCharType="separate"/>
            </w:r>
            <w:r w:rsidR="00CE680D">
              <w:rPr>
                <w:noProof/>
                <w:webHidden/>
              </w:rPr>
              <w:t>9</w:t>
            </w:r>
            <w:r w:rsidR="00CE680D">
              <w:rPr>
                <w:noProof/>
                <w:webHidden/>
              </w:rPr>
              <w:fldChar w:fldCharType="end"/>
            </w:r>
          </w:hyperlink>
        </w:p>
        <w:p w14:paraId="1D211DFD" w14:textId="456C7A76" w:rsidR="00CE680D" w:rsidRDefault="00992D17">
          <w:pPr>
            <w:pStyle w:val="TOC1"/>
            <w:tabs>
              <w:tab w:val="right" w:leader="dot" w:pos="9350"/>
            </w:tabs>
            <w:rPr>
              <w:rFonts w:asciiTheme="minorHAnsi" w:eastAsiaTheme="minorEastAsia" w:hAnsiTheme="minorHAnsi" w:cstheme="minorBidi"/>
              <w:noProof/>
              <w:sz w:val="22"/>
              <w:szCs w:val="22"/>
            </w:rPr>
          </w:pPr>
          <w:hyperlink w:anchor="_Toc101273156" w:history="1">
            <w:r w:rsidR="00CE680D" w:rsidRPr="00D00241">
              <w:rPr>
                <w:rStyle w:val="Hyperlink"/>
                <w:noProof/>
              </w:rPr>
              <w:t>7. Conclusion</w:t>
            </w:r>
            <w:r w:rsidR="00CE680D">
              <w:rPr>
                <w:noProof/>
                <w:webHidden/>
              </w:rPr>
              <w:tab/>
            </w:r>
            <w:r w:rsidR="00CE680D">
              <w:rPr>
                <w:noProof/>
                <w:webHidden/>
              </w:rPr>
              <w:fldChar w:fldCharType="begin"/>
            </w:r>
            <w:r w:rsidR="00CE680D">
              <w:rPr>
                <w:noProof/>
                <w:webHidden/>
              </w:rPr>
              <w:instrText xml:space="preserve"> PAGEREF _Toc101273156 \h </w:instrText>
            </w:r>
            <w:r w:rsidR="00CE680D">
              <w:rPr>
                <w:noProof/>
                <w:webHidden/>
              </w:rPr>
            </w:r>
            <w:r w:rsidR="00CE680D">
              <w:rPr>
                <w:noProof/>
                <w:webHidden/>
              </w:rPr>
              <w:fldChar w:fldCharType="separate"/>
            </w:r>
            <w:r w:rsidR="00CE680D">
              <w:rPr>
                <w:noProof/>
                <w:webHidden/>
              </w:rPr>
              <w:t>11</w:t>
            </w:r>
            <w:r w:rsidR="00CE680D">
              <w:rPr>
                <w:noProof/>
                <w:webHidden/>
              </w:rPr>
              <w:fldChar w:fldCharType="end"/>
            </w:r>
          </w:hyperlink>
        </w:p>
        <w:p w14:paraId="1A883D77" w14:textId="5D88D404" w:rsidR="00CE680D" w:rsidRDefault="00992D17">
          <w:pPr>
            <w:pStyle w:val="TOC1"/>
            <w:tabs>
              <w:tab w:val="right" w:leader="dot" w:pos="9350"/>
            </w:tabs>
            <w:rPr>
              <w:rFonts w:asciiTheme="minorHAnsi" w:eastAsiaTheme="minorEastAsia" w:hAnsiTheme="minorHAnsi" w:cstheme="minorBidi"/>
              <w:noProof/>
              <w:sz w:val="22"/>
              <w:szCs w:val="22"/>
            </w:rPr>
          </w:pPr>
          <w:hyperlink w:anchor="_Toc101273157" w:history="1">
            <w:r w:rsidR="00CE680D" w:rsidRPr="00D00241">
              <w:rPr>
                <w:rStyle w:val="Hyperlink"/>
                <w:noProof/>
              </w:rPr>
              <w:t>Reference</w:t>
            </w:r>
            <w:r w:rsidR="00CE680D">
              <w:rPr>
                <w:noProof/>
                <w:webHidden/>
              </w:rPr>
              <w:tab/>
            </w:r>
            <w:r w:rsidR="00CE680D">
              <w:rPr>
                <w:noProof/>
                <w:webHidden/>
              </w:rPr>
              <w:fldChar w:fldCharType="begin"/>
            </w:r>
            <w:r w:rsidR="00CE680D">
              <w:rPr>
                <w:noProof/>
                <w:webHidden/>
              </w:rPr>
              <w:instrText xml:space="preserve"> PAGEREF _Toc101273157 \h </w:instrText>
            </w:r>
            <w:r w:rsidR="00CE680D">
              <w:rPr>
                <w:noProof/>
                <w:webHidden/>
              </w:rPr>
            </w:r>
            <w:r w:rsidR="00CE680D">
              <w:rPr>
                <w:noProof/>
                <w:webHidden/>
              </w:rPr>
              <w:fldChar w:fldCharType="separate"/>
            </w:r>
            <w:r w:rsidR="00CE680D">
              <w:rPr>
                <w:noProof/>
                <w:webHidden/>
              </w:rPr>
              <w:t>12</w:t>
            </w:r>
            <w:r w:rsidR="00CE680D">
              <w:rPr>
                <w:noProof/>
                <w:webHidden/>
              </w:rPr>
              <w:fldChar w:fldCharType="end"/>
            </w:r>
          </w:hyperlink>
        </w:p>
        <w:p w14:paraId="77AACDCD" w14:textId="4B3EB41F" w:rsidR="00CE680D" w:rsidRDefault="00992D17">
          <w:pPr>
            <w:pStyle w:val="TOC2"/>
            <w:tabs>
              <w:tab w:val="right" w:leader="dot" w:pos="9350"/>
            </w:tabs>
            <w:rPr>
              <w:rFonts w:asciiTheme="minorHAnsi" w:eastAsiaTheme="minorEastAsia" w:hAnsiTheme="minorHAnsi" w:cstheme="minorBidi"/>
              <w:noProof/>
              <w:sz w:val="22"/>
              <w:szCs w:val="22"/>
            </w:rPr>
          </w:pPr>
          <w:hyperlink w:anchor="_Toc101273158" w:history="1">
            <w:r w:rsidR="00CE680D" w:rsidRPr="00D00241">
              <w:rPr>
                <w:rStyle w:val="Hyperlink"/>
                <w:noProof/>
              </w:rPr>
              <w:t>Books and journals</w:t>
            </w:r>
            <w:r w:rsidR="00CE680D">
              <w:rPr>
                <w:noProof/>
                <w:webHidden/>
              </w:rPr>
              <w:tab/>
            </w:r>
            <w:r w:rsidR="00CE680D">
              <w:rPr>
                <w:noProof/>
                <w:webHidden/>
              </w:rPr>
              <w:fldChar w:fldCharType="begin"/>
            </w:r>
            <w:r w:rsidR="00CE680D">
              <w:rPr>
                <w:noProof/>
                <w:webHidden/>
              </w:rPr>
              <w:instrText xml:space="preserve"> PAGEREF _Toc101273158 \h </w:instrText>
            </w:r>
            <w:r w:rsidR="00CE680D">
              <w:rPr>
                <w:noProof/>
                <w:webHidden/>
              </w:rPr>
            </w:r>
            <w:r w:rsidR="00CE680D">
              <w:rPr>
                <w:noProof/>
                <w:webHidden/>
              </w:rPr>
              <w:fldChar w:fldCharType="separate"/>
            </w:r>
            <w:r w:rsidR="00CE680D">
              <w:rPr>
                <w:noProof/>
                <w:webHidden/>
              </w:rPr>
              <w:t>12</w:t>
            </w:r>
            <w:r w:rsidR="00CE680D">
              <w:rPr>
                <w:noProof/>
                <w:webHidden/>
              </w:rPr>
              <w:fldChar w:fldCharType="end"/>
            </w:r>
          </w:hyperlink>
        </w:p>
        <w:p w14:paraId="6EA62DED" w14:textId="2CD04E91" w:rsidR="00CE680D" w:rsidRDefault="00992D17">
          <w:pPr>
            <w:pStyle w:val="TOC2"/>
            <w:tabs>
              <w:tab w:val="right" w:leader="dot" w:pos="9350"/>
            </w:tabs>
            <w:rPr>
              <w:rFonts w:asciiTheme="minorHAnsi" w:eastAsiaTheme="minorEastAsia" w:hAnsiTheme="minorHAnsi" w:cstheme="minorBidi"/>
              <w:noProof/>
              <w:sz w:val="22"/>
              <w:szCs w:val="22"/>
            </w:rPr>
          </w:pPr>
          <w:hyperlink w:anchor="_Toc101273159" w:history="1">
            <w:r w:rsidR="00CE680D" w:rsidRPr="00D00241">
              <w:rPr>
                <w:rStyle w:val="Hyperlink"/>
                <w:noProof/>
              </w:rPr>
              <w:t>Websites</w:t>
            </w:r>
            <w:r w:rsidR="00CE680D">
              <w:rPr>
                <w:noProof/>
                <w:webHidden/>
              </w:rPr>
              <w:tab/>
            </w:r>
            <w:r w:rsidR="00CE680D">
              <w:rPr>
                <w:noProof/>
                <w:webHidden/>
              </w:rPr>
              <w:fldChar w:fldCharType="begin"/>
            </w:r>
            <w:r w:rsidR="00CE680D">
              <w:rPr>
                <w:noProof/>
                <w:webHidden/>
              </w:rPr>
              <w:instrText xml:space="preserve"> PAGEREF _Toc101273159 \h </w:instrText>
            </w:r>
            <w:r w:rsidR="00CE680D">
              <w:rPr>
                <w:noProof/>
                <w:webHidden/>
              </w:rPr>
            </w:r>
            <w:r w:rsidR="00CE680D">
              <w:rPr>
                <w:noProof/>
                <w:webHidden/>
              </w:rPr>
              <w:fldChar w:fldCharType="separate"/>
            </w:r>
            <w:r w:rsidR="00CE680D">
              <w:rPr>
                <w:noProof/>
                <w:webHidden/>
              </w:rPr>
              <w:t>13</w:t>
            </w:r>
            <w:r w:rsidR="00CE680D">
              <w:rPr>
                <w:noProof/>
                <w:webHidden/>
              </w:rPr>
              <w:fldChar w:fldCharType="end"/>
            </w:r>
          </w:hyperlink>
        </w:p>
        <w:p w14:paraId="310F03A1" w14:textId="46D6FA68" w:rsidR="00CE680D" w:rsidRDefault="00CE680D">
          <w:r>
            <w:rPr>
              <w:b/>
              <w:bCs/>
              <w:noProof/>
            </w:rPr>
            <w:fldChar w:fldCharType="end"/>
          </w:r>
        </w:p>
      </w:sdtContent>
    </w:sdt>
    <w:p w14:paraId="0000000B" w14:textId="6E09A9E4" w:rsidR="000B2F39" w:rsidRPr="00205426" w:rsidRDefault="006143A4">
      <w:pPr>
        <w:rPr>
          <w:color w:val="000000" w:themeColor="text1"/>
        </w:rPr>
      </w:pPr>
      <w:r w:rsidRPr="00205426">
        <w:rPr>
          <w:color w:val="000000" w:themeColor="text1"/>
        </w:rPr>
        <w:t xml:space="preserve"> </w:t>
      </w:r>
      <w:r w:rsidRPr="00205426">
        <w:rPr>
          <w:color w:val="000000" w:themeColor="text1"/>
        </w:rPr>
        <w:br w:type="page"/>
      </w:r>
    </w:p>
    <w:p w14:paraId="0000000C" w14:textId="77777777" w:rsidR="000B2F39" w:rsidRPr="00205426" w:rsidRDefault="006143A4">
      <w:pPr>
        <w:pStyle w:val="Heading1"/>
        <w:rPr>
          <w:color w:val="000000" w:themeColor="text1"/>
        </w:rPr>
      </w:pPr>
      <w:bookmarkStart w:id="0" w:name="_7gf0joy70nyj" w:colFirst="0" w:colLast="0"/>
      <w:bookmarkStart w:id="1" w:name="_Toc101273149"/>
      <w:bookmarkEnd w:id="0"/>
      <w:r w:rsidRPr="00205426">
        <w:rPr>
          <w:color w:val="000000" w:themeColor="text1"/>
        </w:rPr>
        <w:lastRenderedPageBreak/>
        <w:t>1. Introduction</w:t>
      </w:r>
      <w:bookmarkEnd w:id="1"/>
    </w:p>
    <w:p w14:paraId="0000000D" w14:textId="5902ABFF" w:rsidR="000B2F39" w:rsidRPr="00205426" w:rsidRDefault="006143A4">
      <w:pPr>
        <w:rPr>
          <w:color w:val="000000" w:themeColor="text1"/>
        </w:rPr>
      </w:pPr>
      <w:r w:rsidRPr="00205426">
        <w:rPr>
          <w:color w:val="000000" w:themeColor="text1"/>
        </w:rPr>
        <w:t xml:space="preserve">Community engagement is an iterative </w:t>
      </w:r>
      <w:proofErr w:type="spellStart"/>
      <w:r w:rsidRPr="00205426">
        <w:rPr>
          <w:color w:val="000000" w:themeColor="text1"/>
        </w:rPr>
        <w:t>programme</w:t>
      </w:r>
      <w:proofErr w:type="spellEnd"/>
      <w:r w:rsidRPr="00205426">
        <w:rPr>
          <w:color w:val="000000" w:themeColor="text1"/>
        </w:rPr>
        <w:t xml:space="preserve"> which focuses mostly on collaborative working of work processes together and through the participation of a set of people. The England Trees Action Plan is a community </w:t>
      </w:r>
      <w:r w:rsidR="00043232" w:rsidRPr="00205426">
        <w:rPr>
          <w:color w:val="000000" w:themeColor="text1"/>
        </w:rPr>
        <w:t>engagement program</w:t>
      </w:r>
      <w:r w:rsidRPr="00205426">
        <w:rPr>
          <w:color w:val="000000" w:themeColor="text1"/>
        </w:rPr>
        <w:t xml:space="preserve"> initiated by the UK government. This community engagement program is planned for implementation between the </w:t>
      </w:r>
      <w:r w:rsidR="00043232" w:rsidRPr="00205426">
        <w:rPr>
          <w:color w:val="000000" w:themeColor="text1"/>
        </w:rPr>
        <w:t>years</w:t>
      </w:r>
      <w:r w:rsidRPr="00205426">
        <w:rPr>
          <w:color w:val="000000" w:themeColor="text1"/>
        </w:rPr>
        <w:t xml:space="preserve"> of 2021 to 2024. The report is prepared for describing the community engagement plan initiated by the UK government. The report will </w:t>
      </w:r>
      <w:proofErr w:type="spellStart"/>
      <w:r w:rsidRPr="00205426">
        <w:rPr>
          <w:color w:val="000000" w:themeColor="text1"/>
        </w:rPr>
        <w:t>analyse</w:t>
      </w:r>
      <w:proofErr w:type="spellEnd"/>
      <w:r w:rsidRPr="00205426">
        <w:rPr>
          <w:color w:val="000000" w:themeColor="text1"/>
        </w:rPr>
        <w:t xml:space="preserve"> the best community engagement practices and principles standards as well as benefit from stakeholder's participation. The </w:t>
      </w:r>
      <w:proofErr w:type="spellStart"/>
      <w:r w:rsidRPr="00205426">
        <w:rPr>
          <w:color w:val="000000" w:themeColor="text1"/>
        </w:rPr>
        <w:t>utilisation</w:t>
      </w:r>
      <w:proofErr w:type="spellEnd"/>
      <w:r w:rsidRPr="00205426">
        <w:rPr>
          <w:color w:val="000000" w:themeColor="text1"/>
        </w:rPr>
        <w:t xml:space="preserve"> of social media </w:t>
      </w:r>
      <w:r w:rsidR="00043232" w:rsidRPr="00205426">
        <w:rPr>
          <w:color w:val="000000" w:themeColor="text1"/>
        </w:rPr>
        <w:t>platforms for</w:t>
      </w:r>
      <w:r w:rsidRPr="00205426">
        <w:rPr>
          <w:color w:val="000000" w:themeColor="text1"/>
        </w:rPr>
        <w:t xml:space="preserve"> promoting the engagement prog also described in this report. The reason for choosing forward </w:t>
      </w:r>
    </w:p>
    <w:p w14:paraId="0000000E" w14:textId="02E45BAB" w:rsidR="000B2F39" w:rsidRPr="00205426" w:rsidRDefault="006143A4">
      <w:pPr>
        <w:pStyle w:val="Heading1"/>
        <w:rPr>
          <w:color w:val="000000" w:themeColor="text1"/>
        </w:rPr>
      </w:pPr>
      <w:bookmarkStart w:id="2" w:name="_epukhvrimoz2" w:colFirst="0" w:colLast="0"/>
      <w:bookmarkStart w:id="3" w:name="_Toc101273150"/>
      <w:bookmarkEnd w:id="2"/>
      <w:r w:rsidRPr="00205426">
        <w:rPr>
          <w:color w:val="000000" w:themeColor="text1"/>
        </w:rPr>
        <w:t xml:space="preserve">2. Describing </w:t>
      </w:r>
      <w:r w:rsidR="00043232" w:rsidRPr="00205426">
        <w:rPr>
          <w:color w:val="000000" w:themeColor="text1"/>
        </w:rPr>
        <w:t>the</w:t>
      </w:r>
      <w:r w:rsidRPr="00205426">
        <w:rPr>
          <w:color w:val="000000" w:themeColor="text1"/>
        </w:rPr>
        <w:t xml:space="preserve"> England Trees Action Plan Initiative (2021 - 2024)</w:t>
      </w:r>
      <w:bookmarkEnd w:id="3"/>
    </w:p>
    <w:p w14:paraId="0000000F" w14:textId="77777777" w:rsidR="000B2F39" w:rsidRPr="00205426" w:rsidRDefault="006143A4">
      <w:pPr>
        <w:rPr>
          <w:color w:val="000000" w:themeColor="text1"/>
        </w:rPr>
      </w:pPr>
      <w:r w:rsidRPr="00205426">
        <w:rPr>
          <w:color w:val="000000" w:themeColor="text1"/>
        </w:rPr>
        <w:t>The industrial revolution in 1924 created a significant ecological impact on the woodland area in the UK. England was reported to have around 5.1% woodland areas in 2004 which has improved to 10.1% recently after the government policy incorporation in 2003 (</w:t>
      </w:r>
      <w:proofErr w:type="spellStart"/>
      <w:r w:rsidRPr="00205426">
        <w:rPr>
          <w:color w:val="000000" w:themeColor="text1"/>
        </w:rPr>
        <w:t>Novitas</w:t>
      </w:r>
      <w:proofErr w:type="spellEnd"/>
      <w:r w:rsidRPr="00205426">
        <w:rPr>
          <w:color w:val="000000" w:themeColor="text1"/>
        </w:rPr>
        <w:t xml:space="preserve"> Communications, 2018)‌. The implementation of the green fund in the UK from the treasure was reported to be around £500 million to £640 million. The enactment of the Environmental Act 2021 has created a significant impact on the retailing and production industry. The use of plastic, deforestation and waste management instructions were changed along with a distinguishable change in the Net-zero target policies and carbon emission standards.</w:t>
      </w:r>
    </w:p>
    <w:p w14:paraId="00000010" w14:textId="77777777" w:rsidR="000B2F39" w:rsidRPr="00205426" w:rsidRDefault="006143A4">
      <w:pPr>
        <w:rPr>
          <w:color w:val="000000" w:themeColor="text1"/>
        </w:rPr>
      </w:pPr>
      <w:r w:rsidRPr="00205426">
        <w:rPr>
          <w:color w:val="000000" w:themeColor="text1"/>
        </w:rPr>
        <w:t xml:space="preserve">The tree plantation program (2021 - 2024) is being implemented for enhanced awareness and extensive correlation between the environmental impact created by the public and the responsive initiatives of UK citizens (Gov.uk, 2021)‌. The vision of the initiative is to engage every community in the tree plantation program so that cultural implementation in the tree plantation process can be </w:t>
      </w:r>
      <w:r w:rsidRPr="00205426">
        <w:rPr>
          <w:color w:val="000000" w:themeColor="text1"/>
        </w:rPr>
        <w:lastRenderedPageBreak/>
        <w:t xml:space="preserve">established. This can increase the awareness and relevance of tree plantations frequently in daily life. According to Trout </w:t>
      </w:r>
      <w:r w:rsidRPr="00205426">
        <w:rPr>
          <w:i/>
          <w:color w:val="000000" w:themeColor="text1"/>
        </w:rPr>
        <w:t xml:space="preserve">et al. </w:t>
      </w:r>
      <w:r w:rsidRPr="00205426">
        <w:rPr>
          <w:color w:val="000000" w:themeColor="text1"/>
        </w:rPr>
        <w:t xml:space="preserve">(2018), the </w:t>
      </w:r>
      <w:proofErr w:type="spellStart"/>
      <w:r w:rsidRPr="00205426">
        <w:rPr>
          <w:color w:val="000000" w:themeColor="text1"/>
        </w:rPr>
        <w:t>realisation</w:t>
      </w:r>
      <w:proofErr w:type="spellEnd"/>
      <w:r w:rsidRPr="00205426">
        <w:rPr>
          <w:color w:val="000000" w:themeColor="text1"/>
        </w:rPr>
        <w:t xml:space="preserve"> of environmental criticality is expanded by this process where the evaluation, monitoring and identification of the tree plantation proactiveness of the public can be rewarded by the government. The recognition and self-esteem build-up can also be an extremely effective motivation for such charitable and social well-being activities. </w:t>
      </w:r>
    </w:p>
    <w:p w14:paraId="00000011" w14:textId="77777777" w:rsidR="000B2F39" w:rsidRPr="00205426" w:rsidRDefault="006143A4">
      <w:pPr>
        <w:pStyle w:val="Heading1"/>
        <w:rPr>
          <w:color w:val="000000" w:themeColor="text1"/>
        </w:rPr>
      </w:pPr>
      <w:bookmarkStart w:id="4" w:name="_j11gas5wl4sg" w:colFirst="0" w:colLast="0"/>
      <w:bookmarkStart w:id="5" w:name="_Toc101273151"/>
      <w:bookmarkEnd w:id="4"/>
      <w:r w:rsidRPr="00205426">
        <w:rPr>
          <w:color w:val="000000" w:themeColor="text1"/>
        </w:rPr>
        <w:t xml:space="preserve">3. </w:t>
      </w:r>
      <w:proofErr w:type="spellStart"/>
      <w:r w:rsidRPr="00205426">
        <w:rPr>
          <w:color w:val="000000" w:themeColor="text1"/>
        </w:rPr>
        <w:t>Analysing</w:t>
      </w:r>
      <w:proofErr w:type="spellEnd"/>
      <w:r w:rsidRPr="00205426">
        <w:rPr>
          <w:color w:val="000000" w:themeColor="text1"/>
        </w:rPr>
        <w:t xml:space="preserve"> the Best Community Engagement Practices and Principles Standard and Benefits of Stakeholders’ Participation</w:t>
      </w:r>
      <w:bookmarkEnd w:id="5"/>
    </w:p>
    <w:p w14:paraId="00000012" w14:textId="77777777" w:rsidR="000B2F39" w:rsidRPr="00205426" w:rsidRDefault="006143A4">
      <w:pPr>
        <w:rPr>
          <w:color w:val="000000" w:themeColor="text1"/>
        </w:rPr>
      </w:pPr>
      <w:r w:rsidRPr="00205426">
        <w:rPr>
          <w:color w:val="000000" w:themeColor="text1"/>
        </w:rPr>
        <w:t xml:space="preserve">People, Practice, Policy and performance are the four most important pillars of community engagement. People awareness, policy proposition, performance management and consistent community engagement practices are advocated using an extensive market accordance matrix. According to Nolan </w:t>
      </w:r>
      <w:r w:rsidRPr="00205426">
        <w:rPr>
          <w:i/>
          <w:color w:val="000000" w:themeColor="text1"/>
        </w:rPr>
        <w:t xml:space="preserve">et al. </w:t>
      </w:r>
      <w:r w:rsidRPr="00205426">
        <w:rPr>
          <w:color w:val="000000" w:themeColor="text1"/>
        </w:rPr>
        <w:t>(2020), the demographic analysis and community analysis increase the accuracy and positioning of effective community engagement practices.</w:t>
      </w:r>
    </w:p>
    <w:p w14:paraId="00000013" w14:textId="77777777" w:rsidR="000B2F39" w:rsidRPr="00205426" w:rsidRDefault="006143A4">
      <w:pPr>
        <w:rPr>
          <w:color w:val="000000" w:themeColor="text1"/>
        </w:rPr>
      </w:pPr>
      <w:r w:rsidRPr="00205426">
        <w:rPr>
          <w:color w:val="000000" w:themeColor="text1"/>
        </w:rPr>
        <w:t xml:space="preserve">Planning and decision-making is a good community engagement practice where the diverse opinion and demographic amalgam is </w:t>
      </w:r>
      <w:proofErr w:type="spellStart"/>
      <w:r w:rsidRPr="00205426">
        <w:rPr>
          <w:color w:val="000000" w:themeColor="text1"/>
        </w:rPr>
        <w:t>synthesised</w:t>
      </w:r>
      <w:proofErr w:type="spellEnd"/>
      <w:r w:rsidRPr="00205426">
        <w:rPr>
          <w:color w:val="000000" w:themeColor="text1"/>
        </w:rPr>
        <w:t xml:space="preserve"> in procedural terms. The community development and charitable initiatives allow everyone to get involved in one goal and point out mutual understanding, cultural similarities and perceptual compatibility. Engaging people in service delivery and involvement in small tasks in an initiative like tree plantation triggers the common interest of all cultures. According to Nolan </w:t>
      </w:r>
      <w:r w:rsidRPr="00205426">
        <w:rPr>
          <w:i/>
          <w:color w:val="000000" w:themeColor="text1"/>
        </w:rPr>
        <w:t xml:space="preserve">et al. </w:t>
      </w:r>
      <w:r w:rsidRPr="00205426">
        <w:rPr>
          <w:color w:val="000000" w:themeColor="text1"/>
        </w:rPr>
        <w:t xml:space="preserve">(2020), the penetration effectiveness of tree plantation initiation interests everyone's individual goals for social and environmental sustainability. </w:t>
      </w:r>
    </w:p>
    <w:p w14:paraId="00000014" w14:textId="77777777" w:rsidR="000B2F39" w:rsidRPr="00205426" w:rsidRDefault="006143A4">
      <w:pPr>
        <w:rPr>
          <w:color w:val="000000" w:themeColor="text1"/>
        </w:rPr>
      </w:pPr>
      <w:r w:rsidRPr="00205426">
        <w:rPr>
          <w:color w:val="000000" w:themeColor="text1"/>
        </w:rPr>
        <w:t xml:space="preserve">There are primarily three principles of community engagement. The principles are working with formal and informal leadership in corresponding places, seeking commitment for community involvement and building gradual but collaborative trust. Since the tree plantation initiative in the </w:t>
      </w:r>
      <w:r w:rsidRPr="00205426">
        <w:rPr>
          <w:color w:val="000000" w:themeColor="text1"/>
        </w:rPr>
        <w:lastRenderedPageBreak/>
        <w:t>UK is creating significant options for multiple charitable initiatives, the inclusion pattern and opportunities are wide.</w:t>
      </w:r>
    </w:p>
    <w:p w14:paraId="00000015" w14:textId="77777777" w:rsidR="000B2F39" w:rsidRPr="00205426" w:rsidRDefault="006143A4">
      <w:pPr>
        <w:rPr>
          <w:color w:val="000000" w:themeColor="text1"/>
        </w:rPr>
      </w:pPr>
      <w:r w:rsidRPr="00205426">
        <w:rPr>
          <w:color w:val="000000" w:themeColor="text1"/>
        </w:rPr>
        <w:t xml:space="preserve">Stakeholders' participation is further extensively important in this kind of initiative and community engagement practices. The tree plantation program has a targeted market of public and big business </w:t>
      </w:r>
      <w:proofErr w:type="spellStart"/>
      <w:r w:rsidRPr="00205426">
        <w:rPr>
          <w:color w:val="000000" w:themeColor="text1"/>
        </w:rPr>
        <w:t>organisations</w:t>
      </w:r>
      <w:proofErr w:type="spellEnd"/>
      <w:r w:rsidRPr="00205426">
        <w:rPr>
          <w:color w:val="000000" w:themeColor="text1"/>
        </w:rPr>
        <w:t xml:space="preserve">. The government is a major stakeholder in the initiative for its proactive plan and sustainable tree plantation solution between 2021 and 2024 ‌(Investors In The Environment, 2018). The big business </w:t>
      </w:r>
      <w:proofErr w:type="spellStart"/>
      <w:r w:rsidRPr="00205426">
        <w:rPr>
          <w:color w:val="000000" w:themeColor="text1"/>
        </w:rPr>
        <w:t>organisation</w:t>
      </w:r>
      <w:proofErr w:type="spellEnd"/>
      <w:r w:rsidRPr="00205426">
        <w:rPr>
          <w:color w:val="000000" w:themeColor="text1"/>
        </w:rPr>
        <w:t xml:space="preserve"> are interested in this initiative to sustain their carbon emission index, reduce carbon footprint and improve CSR status in the UK market extensively. The involvement and participation of the public, government institutions, schools, universities and business </w:t>
      </w:r>
      <w:proofErr w:type="spellStart"/>
      <w:r w:rsidRPr="00205426">
        <w:rPr>
          <w:color w:val="000000" w:themeColor="text1"/>
        </w:rPr>
        <w:t>organisations</w:t>
      </w:r>
      <w:proofErr w:type="spellEnd"/>
      <w:r w:rsidRPr="00205426">
        <w:rPr>
          <w:color w:val="000000" w:themeColor="text1"/>
        </w:rPr>
        <w:t xml:space="preserve"> are creating the chances of covering the initiative from the technological, ecological, financial and marketing aspects. </w:t>
      </w:r>
    </w:p>
    <w:p w14:paraId="00000016" w14:textId="77777777" w:rsidR="000B2F39" w:rsidRPr="00205426" w:rsidRDefault="006143A4">
      <w:pPr>
        <w:pStyle w:val="Heading1"/>
        <w:rPr>
          <w:color w:val="000000" w:themeColor="text1"/>
        </w:rPr>
      </w:pPr>
      <w:bookmarkStart w:id="6" w:name="_tbpwvze3mcjr" w:colFirst="0" w:colLast="0"/>
      <w:bookmarkStart w:id="7" w:name="_Toc101273152"/>
      <w:bookmarkEnd w:id="6"/>
      <w:r w:rsidRPr="00205426">
        <w:rPr>
          <w:color w:val="000000" w:themeColor="text1"/>
        </w:rPr>
        <w:t>4. Identification and Establishment of the Relationship between Engagement Strategies and Stakeholders</w:t>
      </w:r>
      <w:bookmarkEnd w:id="7"/>
    </w:p>
    <w:p w14:paraId="00000017" w14:textId="77777777" w:rsidR="000B2F39" w:rsidRPr="00205426" w:rsidRDefault="006143A4">
      <w:pPr>
        <w:rPr>
          <w:color w:val="000000" w:themeColor="text1"/>
        </w:rPr>
      </w:pPr>
      <w:r w:rsidRPr="00205426">
        <w:rPr>
          <w:color w:val="000000" w:themeColor="text1"/>
        </w:rPr>
        <w:t xml:space="preserve">Social media platforms engage all communities in a very simple way nowadays. These engagements can occur for different reasons and in a variety of ways. There are different types to engage in social media platforms including Facebook, Instagram, tweeters, messenger, </w:t>
      </w:r>
      <w:proofErr w:type="spellStart"/>
      <w:r w:rsidRPr="00205426">
        <w:rPr>
          <w:color w:val="000000" w:themeColor="text1"/>
        </w:rPr>
        <w:t>skype</w:t>
      </w:r>
      <w:proofErr w:type="spellEnd"/>
      <w:r w:rsidRPr="00205426">
        <w:rPr>
          <w:color w:val="000000" w:themeColor="text1"/>
        </w:rPr>
        <w:t xml:space="preserve">, Reddit, Pinterest, </w:t>
      </w:r>
      <w:proofErr w:type="spellStart"/>
      <w:r w:rsidRPr="00205426">
        <w:rPr>
          <w:color w:val="000000" w:themeColor="text1"/>
        </w:rPr>
        <w:t>Linkedin</w:t>
      </w:r>
      <w:proofErr w:type="spellEnd"/>
      <w:r w:rsidRPr="00205426">
        <w:rPr>
          <w:color w:val="000000" w:themeColor="text1"/>
        </w:rPr>
        <w:t xml:space="preserve">, etc. These platforms help to communicate with people worldwide. A range of actions can create engagement such as likes, </w:t>
      </w:r>
      <w:proofErr w:type="spellStart"/>
      <w:r w:rsidRPr="00205426">
        <w:rPr>
          <w:color w:val="000000" w:themeColor="text1"/>
        </w:rPr>
        <w:t>favourites</w:t>
      </w:r>
      <w:proofErr w:type="spellEnd"/>
      <w:r w:rsidRPr="00205426">
        <w:rPr>
          <w:color w:val="000000" w:themeColor="text1"/>
        </w:rPr>
        <w:t xml:space="preserve">, comments, shares, retweets, saves, clicks, mentions, replies, etc (Nguyen </w:t>
      </w:r>
      <w:r w:rsidRPr="00205426">
        <w:rPr>
          <w:i/>
          <w:color w:val="000000" w:themeColor="text1"/>
        </w:rPr>
        <w:t xml:space="preserve">et al., </w:t>
      </w:r>
      <w:r w:rsidRPr="00205426">
        <w:rPr>
          <w:color w:val="000000" w:themeColor="text1"/>
        </w:rPr>
        <w:t xml:space="preserve">2018). Engagement via social media is a fruitful way to measure the achievement of any program that goes well or not and whether it can connect or make people or not. People love to see and share good and positive interactions and positive community programs. Also creating groups on social media and doing different types of community activities also encourage others. Social media platforms' connectivity is also a </w:t>
      </w:r>
      <w:r w:rsidRPr="00205426">
        <w:rPr>
          <w:color w:val="000000" w:themeColor="text1"/>
        </w:rPr>
        <w:lastRenderedPageBreak/>
        <w:t>measurement of how many peoples are connected with each other and paying attention or showing interest in different activities which are ongoing. Better marketing on different social media platforms can help to grow activities on a large scale.</w:t>
      </w:r>
    </w:p>
    <w:p w14:paraId="00000018" w14:textId="77777777" w:rsidR="000B2F39" w:rsidRPr="00205426" w:rsidRDefault="006143A4">
      <w:pPr>
        <w:pStyle w:val="Heading2"/>
        <w:rPr>
          <w:color w:val="000000" w:themeColor="text1"/>
        </w:rPr>
      </w:pPr>
      <w:bookmarkStart w:id="8" w:name="_7b75kad7yt8j" w:colFirst="0" w:colLast="0"/>
      <w:bookmarkStart w:id="9" w:name="_Toc101273153"/>
      <w:bookmarkEnd w:id="8"/>
      <w:r w:rsidRPr="00205426">
        <w:rPr>
          <w:color w:val="000000" w:themeColor="text1"/>
        </w:rPr>
        <w:t>4.1 Describing How Social Media Platform can be used as an Effective Marketing Channel</w:t>
      </w:r>
      <w:bookmarkEnd w:id="9"/>
    </w:p>
    <w:p w14:paraId="00000019" w14:textId="77777777" w:rsidR="000B2F39" w:rsidRPr="00205426" w:rsidRDefault="006143A4">
      <w:pPr>
        <w:rPr>
          <w:color w:val="000000" w:themeColor="text1"/>
        </w:rPr>
      </w:pPr>
      <w:r w:rsidRPr="00205426">
        <w:rPr>
          <w:color w:val="000000" w:themeColor="text1"/>
        </w:rPr>
        <w:t xml:space="preserve">There has a large number of social media channels available in the UK. Facebook, Facebook Messenger, Instagram, Tweeters, </w:t>
      </w:r>
      <w:proofErr w:type="spellStart"/>
      <w:r w:rsidRPr="00205426">
        <w:rPr>
          <w:color w:val="000000" w:themeColor="text1"/>
        </w:rPr>
        <w:t>Linkedin</w:t>
      </w:r>
      <w:proofErr w:type="spellEnd"/>
      <w:r w:rsidRPr="00205426">
        <w:rPr>
          <w:color w:val="000000" w:themeColor="text1"/>
        </w:rPr>
        <w:t>, Pinterest, and Reddit are all different platforms that have different modes to connect with stakeholders. Social media allows adding value to the target audience in an aimless way (</w:t>
      </w:r>
      <w:proofErr w:type="spellStart"/>
      <w:r w:rsidRPr="00205426">
        <w:rPr>
          <w:color w:val="000000" w:themeColor="text1"/>
        </w:rPr>
        <w:t>Vervoort</w:t>
      </w:r>
      <w:proofErr w:type="spellEnd"/>
      <w:r w:rsidRPr="00205426">
        <w:rPr>
          <w:color w:val="000000" w:themeColor="text1"/>
        </w:rPr>
        <w:t xml:space="preserve"> </w:t>
      </w:r>
      <w:r w:rsidRPr="00205426">
        <w:rPr>
          <w:i/>
          <w:color w:val="000000" w:themeColor="text1"/>
        </w:rPr>
        <w:t xml:space="preserve">et al., </w:t>
      </w:r>
      <w:r w:rsidRPr="00205426">
        <w:rPr>
          <w:color w:val="000000" w:themeColor="text1"/>
        </w:rPr>
        <w:t>2020). Social media platforms like Facebook, Instagram, and social media tools like messenger, content preference estimation, massive social media engagement data, and logistics synthesis is used in predicting the marketing responsiveness evaluation. Social media is currently the most sustainable and effective marketing tool that is also used for funding, donation, and charitable awareness programs.</w:t>
      </w:r>
    </w:p>
    <w:p w14:paraId="0000001A" w14:textId="77777777" w:rsidR="000B2F39" w:rsidRPr="00205426" w:rsidRDefault="006143A4">
      <w:pPr>
        <w:rPr>
          <w:b/>
          <w:color w:val="000000" w:themeColor="text1"/>
        </w:rPr>
      </w:pPr>
      <w:r w:rsidRPr="00205426">
        <w:rPr>
          <w:b/>
          <w:color w:val="000000" w:themeColor="text1"/>
        </w:rPr>
        <w:t>Influencer Marketing</w:t>
      </w:r>
    </w:p>
    <w:p w14:paraId="0000001B" w14:textId="77777777" w:rsidR="000B2F39" w:rsidRPr="00205426" w:rsidRDefault="006143A4">
      <w:pPr>
        <w:rPr>
          <w:color w:val="000000" w:themeColor="text1"/>
        </w:rPr>
      </w:pPr>
      <w:r w:rsidRPr="00205426">
        <w:rPr>
          <w:color w:val="000000" w:themeColor="text1"/>
        </w:rPr>
        <w:t>Influencer marketing via Instagram and Facebook is a popular strategy that helps a business or community activity grow on a large scale. Creating specific hashtags, and tagging other big projects or influencers can change the game in a very short time (</w:t>
      </w:r>
      <w:proofErr w:type="spellStart"/>
      <w:r w:rsidRPr="00205426">
        <w:rPr>
          <w:color w:val="000000" w:themeColor="text1"/>
        </w:rPr>
        <w:t>Vervoort</w:t>
      </w:r>
      <w:proofErr w:type="spellEnd"/>
      <w:r w:rsidRPr="00205426">
        <w:rPr>
          <w:color w:val="000000" w:themeColor="text1"/>
        </w:rPr>
        <w:t xml:space="preserve"> </w:t>
      </w:r>
      <w:r w:rsidRPr="00205426">
        <w:rPr>
          <w:i/>
          <w:color w:val="000000" w:themeColor="text1"/>
        </w:rPr>
        <w:t xml:space="preserve">et al., </w:t>
      </w:r>
      <w:r w:rsidRPr="00205426">
        <w:rPr>
          <w:color w:val="000000" w:themeColor="text1"/>
        </w:rPr>
        <w:t xml:space="preserve">2020). Setting up a community campaign, marketing campaign, and other strategies influencer marketing helps a lot. </w:t>
      </w:r>
    </w:p>
    <w:p w14:paraId="0000001C" w14:textId="77777777" w:rsidR="000B2F39" w:rsidRPr="00205426" w:rsidRDefault="006143A4">
      <w:pPr>
        <w:rPr>
          <w:b/>
          <w:color w:val="000000" w:themeColor="text1"/>
        </w:rPr>
      </w:pPr>
      <w:r w:rsidRPr="00205426">
        <w:rPr>
          <w:b/>
          <w:color w:val="000000" w:themeColor="text1"/>
        </w:rPr>
        <w:t>Social Media Donation Campaign</w:t>
      </w:r>
    </w:p>
    <w:p w14:paraId="0000001D" w14:textId="77777777" w:rsidR="000B2F39" w:rsidRPr="00205426" w:rsidRDefault="006143A4">
      <w:pPr>
        <w:rPr>
          <w:color w:val="000000" w:themeColor="text1"/>
        </w:rPr>
      </w:pPr>
      <w:r w:rsidRPr="00205426">
        <w:rPr>
          <w:color w:val="000000" w:themeColor="text1"/>
        </w:rPr>
        <w:t xml:space="preserve">While </w:t>
      </w:r>
      <w:proofErr w:type="spellStart"/>
      <w:r w:rsidRPr="00205426">
        <w:rPr>
          <w:color w:val="000000" w:themeColor="text1"/>
        </w:rPr>
        <w:t>organising</w:t>
      </w:r>
      <w:proofErr w:type="spellEnd"/>
      <w:r w:rsidRPr="00205426">
        <w:rPr>
          <w:color w:val="000000" w:themeColor="text1"/>
        </w:rPr>
        <w:t xml:space="preserve"> a campaign of social awareness, community development fundraising is very important to make that activity happen. Social media increases the reach of any </w:t>
      </w:r>
      <w:proofErr w:type="spellStart"/>
      <w:r w:rsidRPr="00205426">
        <w:rPr>
          <w:color w:val="000000" w:themeColor="text1"/>
        </w:rPr>
        <w:t>organisation</w:t>
      </w:r>
      <w:proofErr w:type="spellEnd"/>
      <w:r w:rsidRPr="00205426">
        <w:rPr>
          <w:color w:val="000000" w:themeColor="text1"/>
        </w:rPr>
        <w:t xml:space="preserve"> or group activity using the help of billions of people on different social media channels. Social media </w:t>
      </w:r>
      <w:r w:rsidRPr="00205426">
        <w:rPr>
          <w:color w:val="000000" w:themeColor="text1"/>
        </w:rPr>
        <w:lastRenderedPageBreak/>
        <w:t>posts spread the community activities, the mission of the activity, and other essential things. Fundraising via Facebook and Instagram is a very effective way, the posts are free and it can attack new members or donors. Donors can donate via easily accessible links which are directly connected to a donation page.</w:t>
      </w:r>
    </w:p>
    <w:p w14:paraId="0000001E" w14:textId="77777777" w:rsidR="000B2F39" w:rsidRPr="00205426" w:rsidRDefault="006143A4">
      <w:pPr>
        <w:rPr>
          <w:b/>
          <w:color w:val="000000" w:themeColor="text1"/>
        </w:rPr>
      </w:pPr>
      <w:r w:rsidRPr="00205426">
        <w:rPr>
          <w:b/>
          <w:color w:val="000000" w:themeColor="text1"/>
        </w:rPr>
        <w:t>Merchandise Marketing</w:t>
      </w:r>
    </w:p>
    <w:p w14:paraId="0000001F" w14:textId="77777777" w:rsidR="000B2F39" w:rsidRPr="00205426" w:rsidRDefault="006143A4">
      <w:pPr>
        <w:rPr>
          <w:color w:val="000000" w:themeColor="text1"/>
        </w:rPr>
      </w:pPr>
      <w:r w:rsidRPr="00205426">
        <w:rPr>
          <w:color w:val="000000" w:themeColor="text1"/>
        </w:rPr>
        <w:t>Merchandise marketing is a very effective way to connect customers or donors to the product page, and it gives them correct and specific information about the activity or product (</w:t>
      </w:r>
      <w:proofErr w:type="spellStart"/>
      <w:r w:rsidRPr="00205426">
        <w:rPr>
          <w:color w:val="000000" w:themeColor="text1"/>
        </w:rPr>
        <w:t>Vervoort</w:t>
      </w:r>
      <w:proofErr w:type="spellEnd"/>
      <w:r w:rsidRPr="00205426">
        <w:rPr>
          <w:color w:val="000000" w:themeColor="text1"/>
        </w:rPr>
        <w:t xml:space="preserve"> </w:t>
      </w:r>
      <w:r w:rsidRPr="00205426">
        <w:rPr>
          <w:i/>
          <w:color w:val="000000" w:themeColor="text1"/>
        </w:rPr>
        <w:t xml:space="preserve">et al., </w:t>
      </w:r>
      <w:r w:rsidRPr="00205426">
        <w:rPr>
          <w:color w:val="000000" w:themeColor="text1"/>
        </w:rPr>
        <w:t>2020).. This process helps interested persons to make the decision wisely.</w:t>
      </w:r>
    </w:p>
    <w:p w14:paraId="00000020" w14:textId="77777777" w:rsidR="000B2F39" w:rsidRPr="00205426" w:rsidRDefault="006143A4">
      <w:pPr>
        <w:pStyle w:val="Heading1"/>
        <w:rPr>
          <w:color w:val="000000" w:themeColor="text1"/>
        </w:rPr>
      </w:pPr>
      <w:bookmarkStart w:id="10" w:name="_94ysy7cllzyv" w:colFirst="0" w:colLast="0"/>
      <w:bookmarkStart w:id="11" w:name="_Toc101273154"/>
      <w:bookmarkEnd w:id="10"/>
      <w:r w:rsidRPr="00205426">
        <w:rPr>
          <w:color w:val="000000" w:themeColor="text1"/>
        </w:rPr>
        <w:t>5. The avenues through which community engagement can be promoted</w:t>
      </w:r>
      <w:bookmarkEnd w:id="11"/>
      <w:r w:rsidRPr="00205426">
        <w:rPr>
          <w:color w:val="000000" w:themeColor="text1"/>
        </w:rPr>
        <w:t xml:space="preserve"> </w:t>
      </w:r>
    </w:p>
    <w:p w14:paraId="00000021" w14:textId="77777777" w:rsidR="000B2F39" w:rsidRPr="00205426" w:rsidRDefault="006143A4">
      <w:pPr>
        <w:rPr>
          <w:color w:val="000000" w:themeColor="text1"/>
        </w:rPr>
      </w:pPr>
      <w:r w:rsidRPr="00205426">
        <w:rPr>
          <w:b/>
          <w:color w:val="000000" w:themeColor="text1"/>
        </w:rPr>
        <w:t xml:space="preserve">Build connection: </w:t>
      </w:r>
      <w:r w:rsidRPr="00205426">
        <w:rPr>
          <w:color w:val="000000" w:themeColor="text1"/>
        </w:rPr>
        <w:t xml:space="preserve">According to Tan </w:t>
      </w:r>
      <w:r w:rsidRPr="00205426">
        <w:rPr>
          <w:i/>
          <w:color w:val="000000" w:themeColor="text1"/>
        </w:rPr>
        <w:t>et al</w:t>
      </w:r>
      <w:r w:rsidRPr="00205426">
        <w:rPr>
          <w:color w:val="000000" w:themeColor="text1"/>
        </w:rPr>
        <w:t xml:space="preserve">. (2020), building an authentic connection with the people where the community engagement program is taking place might help to encourage the engagement of the community. The people of the community if they don't get proper information about the program might not get engaged with the program. In terms of The England Trees Action Plan 2021-2024. The government has delivered adequate information through different media channels which helps to encourage the participation of the community members. </w:t>
      </w:r>
    </w:p>
    <w:p w14:paraId="00000022" w14:textId="77777777" w:rsidR="000B2F39" w:rsidRPr="00205426" w:rsidRDefault="006143A4">
      <w:pPr>
        <w:rPr>
          <w:color w:val="000000" w:themeColor="text1"/>
        </w:rPr>
      </w:pPr>
      <w:r w:rsidRPr="00205426">
        <w:rPr>
          <w:b/>
          <w:color w:val="000000" w:themeColor="text1"/>
        </w:rPr>
        <w:t xml:space="preserve">Be responsive: </w:t>
      </w:r>
      <w:r w:rsidRPr="00205426">
        <w:rPr>
          <w:color w:val="000000" w:themeColor="text1"/>
        </w:rPr>
        <w:t xml:space="preserve">According to Muñoz (2021), nowadays experience matters a lot. In terms of a community engagement program if the community members get an instant reply to their queries they will feel that the </w:t>
      </w:r>
      <w:proofErr w:type="spellStart"/>
      <w:r w:rsidRPr="00205426">
        <w:rPr>
          <w:color w:val="000000" w:themeColor="text1"/>
        </w:rPr>
        <w:t>organisation</w:t>
      </w:r>
      <w:proofErr w:type="spellEnd"/>
      <w:r w:rsidRPr="00205426">
        <w:rPr>
          <w:color w:val="000000" w:themeColor="text1"/>
        </w:rPr>
        <w:t xml:space="preserve"> values their presence. It will create a positive experience for them. In the plantation project </w:t>
      </w:r>
      <w:proofErr w:type="spellStart"/>
      <w:r w:rsidRPr="00205426">
        <w:rPr>
          <w:color w:val="000000" w:themeColor="text1"/>
        </w:rPr>
        <w:t>organised</w:t>
      </w:r>
      <w:proofErr w:type="spellEnd"/>
      <w:r w:rsidRPr="00205426">
        <w:rPr>
          <w:color w:val="000000" w:themeColor="text1"/>
        </w:rPr>
        <w:t xml:space="preserve"> by the UK government, people can resolve their queries by direct approach. Thus it helps to encourage community engagement.  </w:t>
      </w:r>
    </w:p>
    <w:p w14:paraId="00000023" w14:textId="2C22F9C0" w:rsidR="000B2F39" w:rsidRPr="00205426" w:rsidRDefault="006143A4">
      <w:pPr>
        <w:rPr>
          <w:color w:val="000000" w:themeColor="text1"/>
        </w:rPr>
      </w:pPr>
      <w:r w:rsidRPr="00205426">
        <w:rPr>
          <w:b/>
          <w:color w:val="000000" w:themeColor="text1"/>
        </w:rPr>
        <w:t xml:space="preserve">Engaging content: </w:t>
      </w:r>
      <w:r w:rsidRPr="00205426">
        <w:rPr>
          <w:color w:val="000000" w:themeColor="text1"/>
        </w:rPr>
        <w:t xml:space="preserve">The content through which an </w:t>
      </w:r>
      <w:proofErr w:type="spellStart"/>
      <w:r w:rsidRPr="00205426">
        <w:rPr>
          <w:color w:val="000000" w:themeColor="text1"/>
        </w:rPr>
        <w:t>organiser</w:t>
      </w:r>
      <w:proofErr w:type="spellEnd"/>
      <w:r w:rsidRPr="00205426">
        <w:rPr>
          <w:color w:val="000000" w:themeColor="text1"/>
        </w:rPr>
        <w:t xml:space="preserve"> aims to generate community engagement needs to be engaging in </w:t>
      </w:r>
      <w:r w:rsidR="00043232" w:rsidRPr="00205426">
        <w:rPr>
          <w:color w:val="000000" w:themeColor="text1"/>
        </w:rPr>
        <w:t>nature (</w:t>
      </w:r>
      <w:r w:rsidRPr="00205426">
        <w:rPr>
          <w:color w:val="000000" w:themeColor="text1"/>
        </w:rPr>
        <w:t xml:space="preserve">Muñoz, 2021). Nowadays enhanced environmental issues have become a popular concern for the people of the UK. In addition to that, they get to </w:t>
      </w:r>
      <w:r w:rsidRPr="00205426">
        <w:rPr>
          <w:color w:val="000000" w:themeColor="text1"/>
        </w:rPr>
        <w:lastRenderedPageBreak/>
        <w:t xml:space="preserve">know about the primary reason behind it is deforestation. In such a situation taking action by the government in this manner not just helps the community to get engaged with the project but also will help to create a positive image of the government in front of the people.     </w:t>
      </w:r>
    </w:p>
    <w:p w14:paraId="00000024" w14:textId="77777777" w:rsidR="000B2F39" w:rsidRPr="00205426" w:rsidRDefault="006143A4">
      <w:pPr>
        <w:rPr>
          <w:b/>
          <w:color w:val="000000" w:themeColor="text1"/>
        </w:rPr>
      </w:pPr>
      <w:r w:rsidRPr="00205426">
        <w:rPr>
          <w:b/>
          <w:color w:val="000000" w:themeColor="text1"/>
        </w:rPr>
        <w:t xml:space="preserve">Build collaborative approach: </w:t>
      </w:r>
      <w:r w:rsidRPr="00205426">
        <w:rPr>
          <w:color w:val="000000" w:themeColor="text1"/>
        </w:rPr>
        <w:t xml:space="preserve">Introducing a collaborative approach in terms of arranging community engagement programs can work successfully to encourage the participation of the community. In a collaborative, every person's participation is encouraged and they are treated with proper respect and dignity (Fraser, 2021). It also helps to build up cultural awareness in people and they start to understand the importance of diversity and inclusive practices in life. The plantation project introduced by the government of the UK brings forward a collaborative approach where every citizen of the country can contribute significantly.  </w:t>
      </w:r>
    </w:p>
    <w:p w14:paraId="00000025" w14:textId="77777777" w:rsidR="000B2F39" w:rsidRPr="00205426" w:rsidRDefault="000B2F39">
      <w:pPr>
        <w:rPr>
          <w:color w:val="000000" w:themeColor="text1"/>
        </w:rPr>
      </w:pPr>
    </w:p>
    <w:p w14:paraId="00000026" w14:textId="77527B5F" w:rsidR="000B2F39" w:rsidRPr="00205426" w:rsidRDefault="006143A4">
      <w:pPr>
        <w:pStyle w:val="Heading1"/>
        <w:rPr>
          <w:color w:val="000000" w:themeColor="text1"/>
        </w:rPr>
      </w:pPr>
      <w:bookmarkStart w:id="12" w:name="_x3odisej4lbc" w:colFirst="0" w:colLast="0"/>
      <w:bookmarkStart w:id="13" w:name="_Toc101273155"/>
      <w:bookmarkEnd w:id="12"/>
      <w:r w:rsidRPr="00205426">
        <w:rPr>
          <w:color w:val="000000" w:themeColor="text1"/>
        </w:rPr>
        <w:t>6. The reason behind choosing or adopting a forward looking approach for educating community members to understand the impact of the external and internal factors which can affect community developmen</w:t>
      </w:r>
      <w:r w:rsidR="00CE680D">
        <w:rPr>
          <w:color w:val="000000" w:themeColor="text1"/>
        </w:rPr>
        <w:t>t</w:t>
      </w:r>
      <w:bookmarkEnd w:id="13"/>
    </w:p>
    <w:p w14:paraId="00000027" w14:textId="77777777" w:rsidR="000B2F39" w:rsidRPr="00205426" w:rsidRDefault="006143A4">
      <w:pPr>
        <w:rPr>
          <w:color w:val="000000" w:themeColor="text1"/>
        </w:rPr>
      </w:pPr>
      <w:r w:rsidRPr="00205426">
        <w:rPr>
          <w:color w:val="000000" w:themeColor="text1"/>
        </w:rPr>
        <w:t xml:space="preserve">Several things can have an impact on the growth of a community. These elements can have just as much of an influence on the growth of a community.  They might even be influencing or causing the problems that are being addressed. The forward thinking approach is used by community engagement practitioners to educate the community to understand several factors which have an influence on community development (Doucette, 2022). Forward looking approaches are planning or thinking about the future and taking smart decisions to achieve the goals. Forward-looking ideas always support the ideas and key priorities which have the power to fulfil the plan of training and education. </w:t>
      </w:r>
    </w:p>
    <w:p w14:paraId="00000028" w14:textId="77777777" w:rsidR="000B2F39" w:rsidRPr="00205426" w:rsidRDefault="006143A4">
      <w:pPr>
        <w:rPr>
          <w:color w:val="000000" w:themeColor="text1"/>
        </w:rPr>
      </w:pPr>
      <w:r w:rsidRPr="00205426">
        <w:rPr>
          <w:b/>
          <w:color w:val="000000" w:themeColor="text1"/>
        </w:rPr>
        <w:lastRenderedPageBreak/>
        <w:t xml:space="preserve">Forward looking approach for internal factors: </w:t>
      </w:r>
      <w:r w:rsidRPr="00205426">
        <w:rPr>
          <w:color w:val="000000" w:themeColor="text1"/>
        </w:rPr>
        <w:t>The community engagement practitioners use the forward looking approach for educating the community about the internal factors which have an impact on the community development. The internet of the community members for the community program is an internal factor which has a direct impact on the community development. The number of interested people participating in the community awareness program like the Trees Action plan of 2021 to 2024 will help to obtain an effective outcome by engaging more people. The participation of the community members and attitude of the community members can also be understood by the community engagement practitioners through the forward looking approach (UniversalClass. 2022). As a result the attitude of the community members portray the acceptance or nonacceptance of the community engagement program of The England Trees action plan of 2021 to 2024.</w:t>
      </w:r>
    </w:p>
    <w:p w14:paraId="00000029" w14:textId="0AE46A5D" w:rsidR="000B2F39" w:rsidRPr="00205426" w:rsidRDefault="006143A4">
      <w:pPr>
        <w:rPr>
          <w:color w:val="000000" w:themeColor="text1"/>
        </w:rPr>
      </w:pPr>
      <w:r w:rsidRPr="00205426">
        <w:rPr>
          <w:b/>
          <w:color w:val="000000" w:themeColor="text1"/>
        </w:rPr>
        <w:t xml:space="preserve">Forward looking approach for external factors: </w:t>
      </w:r>
      <w:r w:rsidRPr="00205426">
        <w:rPr>
          <w:color w:val="000000" w:themeColor="text1"/>
        </w:rPr>
        <w:t xml:space="preserve">The community engagement practitioners </w:t>
      </w:r>
      <w:proofErr w:type="spellStart"/>
      <w:r w:rsidRPr="00205426">
        <w:rPr>
          <w:color w:val="000000" w:themeColor="text1"/>
        </w:rPr>
        <w:t>utilised</w:t>
      </w:r>
      <w:proofErr w:type="spellEnd"/>
      <w:r w:rsidRPr="00205426">
        <w:rPr>
          <w:color w:val="000000" w:themeColor="text1"/>
        </w:rPr>
        <w:t xml:space="preserve"> the forward looking approach to understand the influence of external factors for community development (Doucette, 2022). The external factors are the geographic location, environment condition, legal restriction, government involvement etc. The community engagement is dependent on geographic location of the community engagement program and the environment condition at where the engagement program is initiated. Environmental as well as geographic elements associated to a given region have frequently been important contributors to the amount of development that happens there throughout history (UniversalClass, 2022). Those variables that exist in a community, whether controlled or not, will frequently have an influence on the accomplishment of community development activities. Government engagement with the community engagement program and legal restriction also have influence on the development of the community engagement program. In the case of the The England Trees action Plan, the </w:t>
      </w:r>
      <w:r w:rsidR="00043232">
        <w:rPr>
          <w:color w:val="000000" w:themeColor="text1"/>
        </w:rPr>
        <w:lastRenderedPageBreak/>
        <w:t>engagement of the UK</w:t>
      </w:r>
      <w:r w:rsidRPr="00205426">
        <w:rPr>
          <w:color w:val="000000" w:themeColor="text1"/>
        </w:rPr>
        <w:t xml:space="preserve"> government </w:t>
      </w:r>
      <w:proofErr w:type="spellStart"/>
      <w:r w:rsidRPr="00205426">
        <w:rPr>
          <w:color w:val="000000" w:themeColor="text1"/>
        </w:rPr>
        <w:t>ith</w:t>
      </w:r>
      <w:proofErr w:type="spellEnd"/>
      <w:r w:rsidRPr="00205426">
        <w:rPr>
          <w:color w:val="000000" w:themeColor="text1"/>
        </w:rPr>
        <w:t xml:space="preserve"> the community engagement program has an influence on the betterment of the entire community members.</w:t>
      </w:r>
    </w:p>
    <w:p w14:paraId="0000002A" w14:textId="77777777" w:rsidR="000B2F39" w:rsidRPr="00205426" w:rsidRDefault="006143A4">
      <w:pPr>
        <w:pStyle w:val="Heading1"/>
        <w:rPr>
          <w:color w:val="000000" w:themeColor="text1"/>
        </w:rPr>
      </w:pPr>
      <w:bookmarkStart w:id="14" w:name="_up3vh1dnwocz" w:colFirst="0" w:colLast="0"/>
      <w:bookmarkStart w:id="15" w:name="_Toc101273156"/>
      <w:bookmarkEnd w:id="14"/>
      <w:r w:rsidRPr="00205426">
        <w:rPr>
          <w:color w:val="000000" w:themeColor="text1"/>
        </w:rPr>
        <w:t>7. Conclusion</w:t>
      </w:r>
      <w:bookmarkEnd w:id="15"/>
    </w:p>
    <w:p w14:paraId="0000002B" w14:textId="24BC128A" w:rsidR="000B2F39" w:rsidRPr="00205426" w:rsidRDefault="006143A4">
      <w:pPr>
        <w:rPr>
          <w:color w:val="000000" w:themeColor="text1"/>
        </w:rPr>
      </w:pPr>
      <w:r w:rsidRPr="00205426">
        <w:rPr>
          <w:color w:val="000000" w:themeColor="text1"/>
        </w:rPr>
        <w:t xml:space="preserve">The administration's long-term goal again for </w:t>
      </w:r>
      <w:proofErr w:type="spellStart"/>
      <w:r w:rsidRPr="00205426">
        <w:rPr>
          <w:color w:val="000000" w:themeColor="text1"/>
        </w:rPr>
        <w:t>treescape</w:t>
      </w:r>
      <w:proofErr w:type="spellEnd"/>
      <w:r w:rsidRPr="00205426">
        <w:rPr>
          <w:color w:val="000000" w:themeColor="text1"/>
        </w:rPr>
        <w:t xml:space="preserve"> it intends to have in England around 2050 and beyond is laid out during the England Trees Action Plan 2021-2024. The plan lays out a strategy framework for executing the Nature for Climate Fund, as well as more than 80 policy initiatives that the government will pursue during this Parliament to assist </w:t>
      </w:r>
      <w:proofErr w:type="spellStart"/>
      <w:r w:rsidRPr="00205426">
        <w:rPr>
          <w:color w:val="000000" w:themeColor="text1"/>
        </w:rPr>
        <w:t>realise</w:t>
      </w:r>
      <w:proofErr w:type="spellEnd"/>
      <w:r w:rsidRPr="00205426">
        <w:rPr>
          <w:color w:val="000000" w:themeColor="text1"/>
        </w:rPr>
        <w:t xml:space="preserve"> this objective. The report is based on the community engagement </w:t>
      </w:r>
      <w:r w:rsidR="00205426" w:rsidRPr="00205426">
        <w:rPr>
          <w:color w:val="000000" w:themeColor="text1"/>
        </w:rPr>
        <w:t>program the</w:t>
      </w:r>
      <w:r w:rsidRPr="00205426">
        <w:rPr>
          <w:color w:val="000000" w:themeColor="text1"/>
        </w:rPr>
        <w:t xml:space="preserve"> England Trees Action Plan 2021-2024. A detailed information of the engagement Practices and principles standard and benefits of stakeholders’ participation is mentioned in this paper. The study discusses the community engagement process as well as strategies required for social media awareness initiatives for promoting the event. The study further discusses the significance of such proactive initiatives. The reason behind choosing a forward thinking approach for educating the community members' regarding the internal and ext</w:t>
      </w:r>
      <w:r w:rsidR="00043232">
        <w:rPr>
          <w:color w:val="000000" w:themeColor="text1"/>
        </w:rPr>
        <w:t xml:space="preserve">ernal influencing factors for </w:t>
      </w:r>
      <w:proofErr w:type="spellStart"/>
      <w:r w:rsidR="00043232">
        <w:rPr>
          <w:color w:val="000000" w:themeColor="text1"/>
        </w:rPr>
        <w:t>do</w:t>
      </w:r>
      <w:r w:rsidRPr="00205426">
        <w:rPr>
          <w:color w:val="000000" w:themeColor="text1"/>
        </w:rPr>
        <w:t>community</w:t>
      </w:r>
      <w:proofErr w:type="spellEnd"/>
      <w:r w:rsidRPr="00205426">
        <w:rPr>
          <w:color w:val="000000" w:themeColor="text1"/>
        </w:rPr>
        <w:t xml:space="preserve"> development was also discussed. </w:t>
      </w:r>
      <w:r w:rsidRPr="00205426">
        <w:rPr>
          <w:color w:val="000000" w:themeColor="text1"/>
        </w:rPr>
        <w:br w:type="page"/>
      </w:r>
    </w:p>
    <w:p w14:paraId="0000002C" w14:textId="77777777" w:rsidR="000B2F39" w:rsidRPr="00205426" w:rsidRDefault="006143A4">
      <w:pPr>
        <w:pStyle w:val="Heading1"/>
        <w:rPr>
          <w:color w:val="000000" w:themeColor="text1"/>
        </w:rPr>
      </w:pPr>
      <w:bookmarkStart w:id="16" w:name="_7svat9u3gc7i" w:colFirst="0" w:colLast="0"/>
      <w:bookmarkStart w:id="17" w:name="_Toc101273157"/>
      <w:bookmarkEnd w:id="16"/>
      <w:r w:rsidRPr="00205426">
        <w:rPr>
          <w:color w:val="000000" w:themeColor="text1"/>
        </w:rPr>
        <w:lastRenderedPageBreak/>
        <w:t>Reference</w:t>
      </w:r>
      <w:bookmarkEnd w:id="17"/>
      <w:r w:rsidRPr="00205426">
        <w:rPr>
          <w:color w:val="000000" w:themeColor="text1"/>
        </w:rPr>
        <w:t xml:space="preserve"> </w:t>
      </w:r>
    </w:p>
    <w:p w14:paraId="0EC6D150" w14:textId="77777777" w:rsidR="00FB64D1" w:rsidRDefault="00FB64D1">
      <w:pPr>
        <w:pStyle w:val="Heading2"/>
      </w:pPr>
      <w:bookmarkStart w:id="18" w:name="_4ehg8kx3jq9i" w:colFirst="0" w:colLast="0"/>
      <w:bookmarkStart w:id="19" w:name="_Toc101273158"/>
      <w:bookmarkEnd w:id="18"/>
      <w:r>
        <w:t>Books and journals</w:t>
      </w:r>
      <w:bookmarkEnd w:id="19"/>
      <w:r>
        <w:t xml:space="preserve"> </w:t>
      </w:r>
    </w:p>
    <w:p w14:paraId="7C58A999" w14:textId="77777777" w:rsidR="00FB64D1" w:rsidRDefault="00FB64D1">
      <w:pPr>
        <w:spacing w:after="240"/>
        <w:rPr>
          <w:color w:val="222222"/>
          <w:highlight w:val="white"/>
        </w:rPr>
      </w:pPr>
      <w:r>
        <w:rPr>
          <w:color w:val="222222"/>
          <w:highlight w:val="white"/>
        </w:rPr>
        <w:t xml:space="preserve">Doucette, J.N., (2022). Five strategies for forward thinking. </w:t>
      </w:r>
      <w:r>
        <w:rPr>
          <w:i/>
          <w:color w:val="222222"/>
          <w:highlight w:val="white"/>
        </w:rPr>
        <w:t>Nursing Management</w:t>
      </w:r>
      <w:r>
        <w:rPr>
          <w:color w:val="222222"/>
          <w:highlight w:val="white"/>
        </w:rPr>
        <w:t xml:space="preserve">, </w:t>
      </w:r>
      <w:r>
        <w:rPr>
          <w:i/>
          <w:color w:val="222222"/>
          <w:highlight w:val="white"/>
        </w:rPr>
        <w:t>53</w:t>
      </w:r>
      <w:r>
        <w:rPr>
          <w:color w:val="222222"/>
          <w:highlight w:val="white"/>
        </w:rPr>
        <w:t>(4), p.48.</w:t>
      </w:r>
    </w:p>
    <w:p w14:paraId="706F53FB" w14:textId="77777777" w:rsidR="00FB64D1" w:rsidRDefault="00FB64D1">
      <w:pPr>
        <w:rPr>
          <w:color w:val="222222"/>
          <w:sz w:val="28"/>
          <w:szCs w:val="28"/>
          <w:highlight w:val="white"/>
        </w:rPr>
      </w:pPr>
      <w:r>
        <w:rPr>
          <w:color w:val="222222"/>
          <w:highlight w:val="white"/>
        </w:rPr>
        <w:t xml:space="preserve">Fraser, J., (2021). Mining companies and communities: Collaborative approaches to reduce social risk and advance sustainable development. </w:t>
      </w:r>
      <w:r>
        <w:rPr>
          <w:i/>
          <w:color w:val="222222"/>
          <w:highlight w:val="white"/>
        </w:rPr>
        <w:t>Resources Policy</w:t>
      </w:r>
      <w:r>
        <w:rPr>
          <w:color w:val="222222"/>
          <w:highlight w:val="white"/>
        </w:rPr>
        <w:t xml:space="preserve">, </w:t>
      </w:r>
      <w:r>
        <w:rPr>
          <w:i/>
          <w:color w:val="222222"/>
          <w:highlight w:val="white"/>
        </w:rPr>
        <w:t>74</w:t>
      </w:r>
      <w:r>
        <w:rPr>
          <w:color w:val="222222"/>
          <w:highlight w:val="white"/>
        </w:rPr>
        <w:t>, p.101144.</w:t>
      </w:r>
    </w:p>
    <w:p w14:paraId="79F5B8B2" w14:textId="77777777" w:rsidR="00FB64D1" w:rsidRDefault="00FB64D1">
      <w:pPr>
        <w:spacing w:after="240"/>
        <w:rPr>
          <w:color w:val="222222"/>
        </w:rPr>
      </w:pPr>
      <w:r>
        <w:rPr>
          <w:color w:val="222222"/>
          <w:highlight w:val="white"/>
        </w:rPr>
        <w:t xml:space="preserve">Nguyen, L.H., Hewett, R., </w:t>
      </w:r>
      <w:proofErr w:type="spellStart"/>
      <w:r>
        <w:rPr>
          <w:color w:val="222222"/>
          <w:highlight w:val="white"/>
        </w:rPr>
        <w:t>Namin</w:t>
      </w:r>
      <w:proofErr w:type="spellEnd"/>
      <w:r>
        <w:rPr>
          <w:color w:val="222222"/>
          <w:highlight w:val="white"/>
        </w:rPr>
        <w:t xml:space="preserve">, A.S., Alvarez, N., </w:t>
      </w:r>
      <w:proofErr w:type="spellStart"/>
      <w:r>
        <w:rPr>
          <w:color w:val="222222"/>
          <w:highlight w:val="white"/>
        </w:rPr>
        <w:t>Bradatan</w:t>
      </w:r>
      <w:proofErr w:type="spellEnd"/>
      <w:r>
        <w:rPr>
          <w:color w:val="222222"/>
          <w:highlight w:val="white"/>
        </w:rPr>
        <w:t xml:space="preserve">, C. and Jin, F., (2018), August. Smart and connected water resource management via social media and community engagement. In </w:t>
      </w:r>
      <w:r>
        <w:rPr>
          <w:i/>
          <w:color w:val="222222"/>
          <w:highlight w:val="white"/>
        </w:rPr>
        <w:t>2018 IEEE/ACM International Conference on Advances in Social Networks Analysis and Mining (ASONAM)</w:t>
      </w:r>
      <w:r>
        <w:rPr>
          <w:color w:val="222222"/>
          <w:highlight w:val="white"/>
        </w:rPr>
        <w:t xml:space="preserve"> (pp. 613-616). IEEE.</w:t>
      </w:r>
    </w:p>
    <w:p w14:paraId="62BB6FE2" w14:textId="77777777" w:rsidR="00FB64D1" w:rsidRDefault="00FB64D1">
      <w:pPr>
        <w:spacing w:after="240"/>
        <w:rPr>
          <w:color w:val="222222"/>
        </w:rPr>
      </w:pPr>
      <w:r>
        <w:rPr>
          <w:color w:val="222222"/>
        </w:rPr>
        <w:t xml:space="preserve">Nolan, V., Reader, T., Gilbert, F. and Atkinson, N., 2020. The Ancient Tree Inventory: a summary of the results of a 15 year citizen science project recording ancient, veteran and notable trees across the UK. </w:t>
      </w:r>
      <w:r>
        <w:rPr>
          <w:i/>
          <w:color w:val="222222"/>
        </w:rPr>
        <w:t>Biodiversity and Conservation</w:t>
      </w:r>
      <w:r>
        <w:rPr>
          <w:color w:val="222222"/>
        </w:rPr>
        <w:t xml:space="preserve">, </w:t>
      </w:r>
      <w:r>
        <w:rPr>
          <w:i/>
          <w:color w:val="222222"/>
        </w:rPr>
        <w:t>29</w:t>
      </w:r>
      <w:r>
        <w:rPr>
          <w:color w:val="222222"/>
        </w:rPr>
        <w:t>(11), pp.3103-3129.</w:t>
      </w:r>
    </w:p>
    <w:p w14:paraId="4BC02E9B" w14:textId="77777777" w:rsidR="00FB64D1" w:rsidRDefault="00FB64D1">
      <w:pPr>
        <w:rPr>
          <w:color w:val="222222"/>
        </w:rPr>
      </w:pPr>
      <w:r>
        <w:rPr>
          <w:color w:val="222222"/>
          <w:highlight w:val="white"/>
        </w:rPr>
        <w:t xml:space="preserve">Tan, R.K., Wu, D., Day, S., Zhao, Y., Larson, H.J., Sylvia, S., Tang, W. and Tucker, J.D., (2022). Digital approaches to enhancing community engagement in clinical trials. </w:t>
      </w:r>
      <w:proofErr w:type="spellStart"/>
      <w:r>
        <w:rPr>
          <w:i/>
          <w:color w:val="222222"/>
          <w:highlight w:val="white"/>
        </w:rPr>
        <w:t>npj</w:t>
      </w:r>
      <w:proofErr w:type="spellEnd"/>
      <w:r>
        <w:rPr>
          <w:i/>
          <w:color w:val="222222"/>
          <w:highlight w:val="white"/>
        </w:rPr>
        <w:t xml:space="preserve"> Digital Medicine</w:t>
      </w:r>
      <w:r>
        <w:rPr>
          <w:color w:val="222222"/>
          <w:highlight w:val="white"/>
        </w:rPr>
        <w:t xml:space="preserve">, </w:t>
      </w:r>
      <w:r>
        <w:rPr>
          <w:i/>
          <w:color w:val="222222"/>
          <w:highlight w:val="white"/>
        </w:rPr>
        <w:t>5</w:t>
      </w:r>
      <w:r>
        <w:rPr>
          <w:color w:val="222222"/>
          <w:highlight w:val="white"/>
        </w:rPr>
        <w:t>(1), pp.1-8.</w:t>
      </w:r>
    </w:p>
    <w:p w14:paraId="26C8D3AA" w14:textId="77777777" w:rsidR="00FB64D1" w:rsidRDefault="00FB64D1">
      <w:pPr>
        <w:spacing w:after="240"/>
        <w:rPr>
          <w:color w:val="222222"/>
        </w:rPr>
      </w:pPr>
      <w:r>
        <w:rPr>
          <w:color w:val="222222"/>
        </w:rPr>
        <w:t xml:space="preserve">Trout, R.C., Brooks, S., Combe, F.J. and </w:t>
      </w:r>
      <w:proofErr w:type="spellStart"/>
      <w:r>
        <w:rPr>
          <w:color w:val="222222"/>
        </w:rPr>
        <w:t>Rudlin</w:t>
      </w:r>
      <w:proofErr w:type="spellEnd"/>
      <w:r>
        <w:rPr>
          <w:color w:val="222222"/>
        </w:rPr>
        <w:t>, P., 2018. The different effects of periodic experimental tree removal patterns on the population demography of the hazel dormice (</w:t>
      </w:r>
      <w:proofErr w:type="spellStart"/>
      <w:r>
        <w:rPr>
          <w:color w:val="222222"/>
        </w:rPr>
        <w:t>Muscardinus</w:t>
      </w:r>
      <w:proofErr w:type="spellEnd"/>
      <w:r>
        <w:rPr>
          <w:color w:val="222222"/>
        </w:rPr>
        <w:t xml:space="preserve"> </w:t>
      </w:r>
      <w:proofErr w:type="spellStart"/>
      <w:r>
        <w:rPr>
          <w:color w:val="222222"/>
        </w:rPr>
        <w:t>avellanarius</w:t>
      </w:r>
      <w:proofErr w:type="spellEnd"/>
      <w:r>
        <w:rPr>
          <w:color w:val="222222"/>
        </w:rPr>
        <w:t xml:space="preserve">) in a conifer plantation. </w:t>
      </w:r>
      <w:r>
        <w:rPr>
          <w:i/>
          <w:color w:val="222222"/>
        </w:rPr>
        <w:t>Journal of Vertebrate Biology</w:t>
      </w:r>
      <w:r>
        <w:rPr>
          <w:color w:val="222222"/>
        </w:rPr>
        <w:t xml:space="preserve">, </w:t>
      </w:r>
      <w:r>
        <w:rPr>
          <w:i/>
          <w:color w:val="222222"/>
        </w:rPr>
        <w:t>67</w:t>
      </w:r>
      <w:r>
        <w:rPr>
          <w:color w:val="222222"/>
        </w:rPr>
        <w:t>(2), pp.110-119.</w:t>
      </w:r>
    </w:p>
    <w:p w14:paraId="016CF50E" w14:textId="77777777" w:rsidR="00FB64D1" w:rsidRDefault="00FB64D1">
      <w:pPr>
        <w:spacing w:after="240"/>
        <w:rPr>
          <w:color w:val="222222"/>
        </w:rPr>
      </w:pPr>
      <w:proofErr w:type="spellStart"/>
      <w:r>
        <w:rPr>
          <w:color w:val="222222"/>
          <w:highlight w:val="white"/>
        </w:rPr>
        <w:lastRenderedPageBreak/>
        <w:t>Vervoort</w:t>
      </w:r>
      <w:proofErr w:type="spellEnd"/>
      <w:r>
        <w:rPr>
          <w:color w:val="222222"/>
          <w:highlight w:val="white"/>
        </w:rPr>
        <w:t xml:space="preserve">, D., Ma, X., Luc, J.G. and </w:t>
      </w:r>
      <w:proofErr w:type="spellStart"/>
      <w:r>
        <w:rPr>
          <w:color w:val="222222"/>
          <w:highlight w:val="white"/>
        </w:rPr>
        <w:t>Zieroth</w:t>
      </w:r>
      <w:proofErr w:type="spellEnd"/>
      <w:r>
        <w:rPr>
          <w:color w:val="222222"/>
          <w:highlight w:val="white"/>
        </w:rPr>
        <w:t xml:space="preserve">, S., (2020). Rapid scholarly dissemination and cardiovascular community engagement to combat the </w:t>
      </w:r>
      <w:proofErr w:type="spellStart"/>
      <w:r>
        <w:rPr>
          <w:color w:val="222222"/>
          <w:highlight w:val="white"/>
        </w:rPr>
        <w:t>infodemic</w:t>
      </w:r>
      <w:proofErr w:type="spellEnd"/>
      <w:r>
        <w:rPr>
          <w:color w:val="222222"/>
          <w:highlight w:val="white"/>
        </w:rPr>
        <w:t xml:space="preserve"> of the COVID-19 pandemic. </w:t>
      </w:r>
      <w:r>
        <w:rPr>
          <w:i/>
          <w:color w:val="222222"/>
          <w:highlight w:val="white"/>
        </w:rPr>
        <w:t>Canadian Journal of Cardiology</w:t>
      </w:r>
      <w:r>
        <w:rPr>
          <w:color w:val="222222"/>
          <w:highlight w:val="white"/>
        </w:rPr>
        <w:t xml:space="preserve">, </w:t>
      </w:r>
      <w:r>
        <w:rPr>
          <w:i/>
          <w:color w:val="222222"/>
          <w:highlight w:val="white"/>
        </w:rPr>
        <w:t>36</w:t>
      </w:r>
      <w:r>
        <w:rPr>
          <w:color w:val="222222"/>
          <w:highlight w:val="white"/>
        </w:rPr>
        <w:t>(6), pp.969-e1.</w:t>
      </w:r>
    </w:p>
    <w:p w14:paraId="00000035" w14:textId="77777777" w:rsidR="000B2F39" w:rsidRDefault="006143A4">
      <w:pPr>
        <w:pStyle w:val="Heading2"/>
      </w:pPr>
      <w:bookmarkStart w:id="20" w:name="_90x0118d1xk8" w:colFirst="0" w:colLast="0"/>
      <w:bookmarkStart w:id="21" w:name="_Toc101273159"/>
      <w:bookmarkEnd w:id="20"/>
      <w:r>
        <w:t>Websites</w:t>
      </w:r>
      <w:bookmarkEnd w:id="21"/>
      <w:r>
        <w:t xml:space="preserve">   </w:t>
      </w:r>
    </w:p>
    <w:p w14:paraId="7F52D489" w14:textId="77777777" w:rsidR="00FB64D1" w:rsidRDefault="00FB64D1">
      <w:pPr>
        <w:spacing w:after="240" w:line="360" w:lineRule="auto"/>
        <w:rPr>
          <w:color w:val="222222"/>
        </w:rPr>
      </w:pPr>
      <w:r>
        <w:rPr>
          <w:color w:val="222222"/>
        </w:rPr>
        <w:t xml:space="preserve">Gov.uk. (2021). The England Trees Action Plan 2021-2024. Available at: </w:t>
      </w:r>
      <w:hyperlink r:id="rId7">
        <w:r>
          <w:rPr>
            <w:color w:val="1155CC"/>
            <w:u w:val="single"/>
          </w:rPr>
          <w:t>https://assets.publishing.service.gov.uk/government/uploads/system/uploads/attachment_data/file/987432/england-trees-action-plan.pdf</w:t>
        </w:r>
      </w:hyperlink>
      <w:r>
        <w:rPr>
          <w:color w:val="222222"/>
        </w:rPr>
        <w:t>. [Accessed 19 April 2022].</w:t>
      </w:r>
    </w:p>
    <w:p w14:paraId="27B08CB9" w14:textId="77777777" w:rsidR="00FB64D1" w:rsidRDefault="00FB64D1">
      <w:pPr>
        <w:spacing w:after="240" w:line="360" w:lineRule="auto"/>
        <w:rPr>
          <w:color w:val="222222"/>
        </w:rPr>
      </w:pPr>
      <w:r>
        <w:rPr>
          <w:color w:val="222222"/>
        </w:rPr>
        <w:t xml:space="preserve">Investors In The Environment. (2018). </w:t>
      </w:r>
      <w:r>
        <w:rPr>
          <w:i/>
          <w:color w:val="222222"/>
        </w:rPr>
        <w:t>Environmental &amp; social benefits of tree planting | Investors In The Environment</w:t>
      </w:r>
      <w:r>
        <w:rPr>
          <w:color w:val="222222"/>
        </w:rPr>
        <w:t xml:space="preserve">. Available at: </w:t>
      </w:r>
      <w:hyperlink r:id="rId8">
        <w:r>
          <w:rPr>
            <w:color w:val="1155CC"/>
            <w:u w:val="single"/>
          </w:rPr>
          <w:t>https://www.iie.uk.com/news/environmental-social-benefits-of-tree-planting/</w:t>
        </w:r>
      </w:hyperlink>
      <w:r>
        <w:rPr>
          <w:color w:val="222222"/>
        </w:rPr>
        <w:t xml:space="preserve"> [Accessed 19 April 2022].</w:t>
      </w:r>
    </w:p>
    <w:p w14:paraId="3B135FE9" w14:textId="77777777" w:rsidR="00FB64D1" w:rsidRDefault="00FB64D1">
      <w:r>
        <w:t xml:space="preserve">Muñoz, A (2021) </w:t>
      </w:r>
      <w:r>
        <w:rPr>
          <w:i/>
        </w:rPr>
        <w:t xml:space="preserve">12 powerful tips to boost community engagement </w:t>
      </w:r>
      <w:r>
        <w:t xml:space="preserve">Available at:  </w:t>
      </w:r>
      <w:hyperlink r:id="rId9">
        <w:r>
          <w:rPr>
            <w:color w:val="1155CC"/>
            <w:u w:val="single"/>
          </w:rPr>
          <w:t>https://socialladderapp.com/2021/07/13/community-engagement/</w:t>
        </w:r>
      </w:hyperlink>
      <w:r>
        <w:t xml:space="preserve"> [Accessed 19 March 2022].</w:t>
      </w:r>
    </w:p>
    <w:p w14:paraId="71534B27" w14:textId="77777777" w:rsidR="00FB64D1" w:rsidRDefault="00FB64D1">
      <w:pPr>
        <w:spacing w:after="240" w:line="360" w:lineRule="auto"/>
      </w:pPr>
      <w:proofErr w:type="spellStart"/>
      <w:r>
        <w:rPr>
          <w:color w:val="222222"/>
        </w:rPr>
        <w:t>Novitas</w:t>
      </w:r>
      <w:proofErr w:type="spellEnd"/>
      <w:r>
        <w:rPr>
          <w:color w:val="222222"/>
        </w:rPr>
        <w:t xml:space="preserve"> Communications. (2018). </w:t>
      </w:r>
      <w:r>
        <w:rPr>
          <w:i/>
          <w:color w:val="222222"/>
        </w:rPr>
        <w:t xml:space="preserve">Best Practices in Community Engagement - </w:t>
      </w:r>
      <w:proofErr w:type="spellStart"/>
      <w:r>
        <w:rPr>
          <w:i/>
          <w:color w:val="222222"/>
        </w:rPr>
        <w:t>Novitas</w:t>
      </w:r>
      <w:proofErr w:type="spellEnd"/>
      <w:r>
        <w:rPr>
          <w:i/>
          <w:color w:val="222222"/>
        </w:rPr>
        <w:t xml:space="preserve"> Communications</w:t>
      </w:r>
      <w:r>
        <w:rPr>
          <w:color w:val="222222"/>
        </w:rPr>
        <w:t xml:space="preserve">. Available at: </w:t>
      </w:r>
      <w:hyperlink r:id="rId10">
        <w:r>
          <w:rPr>
            <w:color w:val="1155CC"/>
            <w:u w:val="single"/>
          </w:rPr>
          <w:t>https://novitascommunications.com/best-practices-in-community-engagement/</w:t>
        </w:r>
      </w:hyperlink>
      <w:r>
        <w:rPr>
          <w:color w:val="222222"/>
        </w:rPr>
        <w:t xml:space="preserve"> [Accessed 19 April 2022].</w:t>
      </w:r>
    </w:p>
    <w:p w14:paraId="23770B62" w14:textId="77777777" w:rsidR="00FB64D1" w:rsidRDefault="00FB64D1">
      <w:pPr>
        <w:spacing w:after="240" w:line="360" w:lineRule="auto"/>
        <w:rPr>
          <w:color w:val="222222"/>
          <w:sz w:val="28"/>
          <w:szCs w:val="28"/>
        </w:rPr>
      </w:pPr>
      <w:r>
        <w:rPr>
          <w:color w:val="222222"/>
          <w:highlight w:val="white"/>
        </w:rPr>
        <w:t xml:space="preserve">UniversalClass. (2022). </w:t>
      </w:r>
      <w:r>
        <w:rPr>
          <w:i/>
          <w:color w:val="222222"/>
          <w:highlight w:val="white"/>
        </w:rPr>
        <w:t>Exploring Strategic Factors of Community Development</w:t>
      </w:r>
      <w:r>
        <w:rPr>
          <w:color w:val="222222"/>
          <w:highlight w:val="white"/>
        </w:rPr>
        <w:t xml:space="preserve">. Available at: </w:t>
      </w:r>
      <w:hyperlink r:id="rId11">
        <w:r>
          <w:rPr>
            <w:color w:val="1155CC"/>
            <w:highlight w:val="white"/>
            <w:u w:val="single"/>
          </w:rPr>
          <w:t>https://www.universalclass.com/articles/business/exploring-strategic-factors-of-community-development.htm</w:t>
        </w:r>
      </w:hyperlink>
      <w:r>
        <w:rPr>
          <w:color w:val="222222"/>
          <w:highlight w:val="white"/>
        </w:rPr>
        <w:t xml:space="preserve">  [Accessed: 19 April 2022].</w:t>
      </w:r>
    </w:p>
    <w:sectPr w:rsidR="00FB64D1" w:rsidSect="00FB64D1">
      <w:headerReference w:type="default" r:id="rId12"/>
      <w:footerReference w:type="default" r:id="rId13"/>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79619E" w14:textId="77777777" w:rsidR="00992D17" w:rsidRDefault="00992D17" w:rsidP="00CE680D">
      <w:pPr>
        <w:spacing w:line="240" w:lineRule="auto"/>
      </w:pPr>
      <w:r>
        <w:separator/>
      </w:r>
    </w:p>
  </w:endnote>
  <w:endnote w:type="continuationSeparator" w:id="0">
    <w:p w14:paraId="7DA3E228" w14:textId="77777777" w:rsidR="00992D17" w:rsidRDefault="00992D17" w:rsidP="00CE680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54116364"/>
      <w:docPartObj>
        <w:docPartGallery w:val="Page Numbers (Bottom of Page)"/>
        <w:docPartUnique/>
      </w:docPartObj>
    </w:sdtPr>
    <w:sdtEndPr/>
    <w:sdtContent>
      <w:sdt>
        <w:sdtPr>
          <w:id w:val="-1769616900"/>
          <w:docPartObj>
            <w:docPartGallery w:val="Page Numbers (Top of Page)"/>
            <w:docPartUnique/>
          </w:docPartObj>
        </w:sdtPr>
        <w:sdtEndPr/>
        <w:sdtContent>
          <w:p w14:paraId="2E5B4B82" w14:textId="38D29A1C" w:rsidR="00FB64D1" w:rsidRDefault="00FB64D1">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13</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13</w:t>
            </w:r>
            <w:r>
              <w:rPr>
                <w:b/>
                <w:bCs/>
              </w:rPr>
              <w:fldChar w:fldCharType="end"/>
            </w:r>
          </w:p>
        </w:sdtContent>
      </w:sdt>
    </w:sdtContent>
  </w:sdt>
  <w:p w14:paraId="15222236" w14:textId="77777777" w:rsidR="00FB64D1" w:rsidRDefault="00FB64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D9C003" w14:textId="77777777" w:rsidR="00992D17" w:rsidRDefault="00992D17" w:rsidP="00CE680D">
      <w:pPr>
        <w:spacing w:line="240" w:lineRule="auto"/>
      </w:pPr>
      <w:r>
        <w:separator/>
      </w:r>
    </w:p>
  </w:footnote>
  <w:footnote w:type="continuationSeparator" w:id="0">
    <w:p w14:paraId="32FFF1F1" w14:textId="77777777" w:rsidR="00992D17" w:rsidRDefault="00992D17" w:rsidP="00CE680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830A20" w14:textId="10F5A129" w:rsidR="00CE680D" w:rsidRPr="00FB64D1" w:rsidRDefault="00CE680D" w:rsidP="00CE680D">
    <w:pPr>
      <w:jc w:val="right"/>
    </w:pPr>
    <w:r w:rsidRPr="00FB64D1">
      <w:t>COMMUNITY ENGAGEMENT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2F39"/>
    <w:rsid w:val="00043232"/>
    <w:rsid w:val="000B2F39"/>
    <w:rsid w:val="00130540"/>
    <w:rsid w:val="00205426"/>
    <w:rsid w:val="006143A4"/>
    <w:rsid w:val="00992D17"/>
    <w:rsid w:val="00B923F4"/>
    <w:rsid w:val="00CE680D"/>
    <w:rsid w:val="00D064CC"/>
    <w:rsid w:val="00FB64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69218"/>
  <w15:docId w15:val="{ECD31088-5F24-4F76-8B8B-1C53AE126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US"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CE680D"/>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CE680D"/>
    <w:pPr>
      <w:spacing w:after="100"/>
    </w:pPr>
  </w:style>
  <w:style w:type="paragraph" w:styleId="TOC2">
    <w:name w:val="toc 2"/>
    <w:basedOn w:val="Normal"/>
    <w:next w:val="Normal"/>
    <w:autoRedefine/>
    <w:uiPriority w:val="39"/>
    <w:unhideWhenUsed/>
    <w:rsid w:val="00CE680D"/>
    <w:pPr>
      <w:spacing w:after="100"/>
      <w:ind w:left="240"/>
    </w:pPr>
  </w:style>
  <w:style w:type="character" w:styleId="Hyperlink">
    <w:name w:val="Hyperlink"/>
    <w:basedOn w:val="DefaultParagraphFont"/>
    <w:uiPriority w:val="99"/>
    <w:unhideWhenUsed/>
    <w:rsid w:val="00CE680D"/>
    <w:rPr>
      <w:color w:val="0000FF" w:themeColor="hyperlink"/>
      <w:u w:val="single"/>
    </w:rPr>
  </w:style>
  <w:style w:type="paragraph" w:styleId="Header">
    <w:name w:val="header"/>
    <w:basedOn w:val="Normal"/>
    <w:link w:val="HeaderChar"/>
    <w:uiPriority w:val="99"/>
    <w:unhideWhenUsed/>
    <w:rsid w:val="00CE680D"/>
    <w:pPr>
      <w:tabs>
        <w:tab w:val="center" w:pos="4680"/>
        <w:tab w:val="right" w:pos="9360"/>
      </w:tabs>
      <w:spacing w:line="240" w:lineRule="auto"/>
    </w:pPr>
  </w:style>
  <w:style w:type="character" w:customStyle="1" w:styleId="HeaderChar">
    <w:name w:val="Header Char"/>
    <w:basedOn w:val="DefaultParagraphFont"/>
    <w:link w:val="Header"/>
    <w:uiPriority w:val="99"/>
    <w:rsid w:val="00CE680D"/>
  </w:style>
  <w:style w:type="paragraph" w:styleId="Footer">
    <w:name w:val="footer"/>
    <w:basedOn w:val="Normal"/>
    <w:link w:val="FooterChar"/>
    <w:uiPriority w:val="99"/>
    <w:unhideWhenUsed/>
    <w:rsid w:val="00CE680D"/>
    <w:pPr>
      <w:tabs>
        <w:tab w:val="center" w:pos="4680"/>
        <w:tab w:val="right" w:pos="9360"/>
      </w:tabs>
      <w:spacing w:line="240" w:lineRule="auto"/>
    </w:pPr>
  </w:style>
  <w:style w:type="character" w:customStyle="1" w:styleId="FooterChar">
    <w:name w:val="Footer Char"/>
    <w:basedOn w:val="DefaultParagraphFont"/>
    <w:link w:val="Footer"/>
    <w:uiPriority w:val="99"/>
    <w:rsid w:val="00CE68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www.iie.uk.com/news/environmental-social-benefits-of-tree-planting/"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assets.publishing.service.gov.uk/government/uploads/system/uploads/attachment_data/file/987432/england-trees-action-plan.pdf"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universalclass.com/articles/business/exploring-strategic-factors-of-community-development.ht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novitascommunications.com/best-practices-in-community-engagement/" TargetMode="External"/><Relationship Id="rId4" Type="http://schemas.openxmlformats.org/officeDocument/2006/relationships/webSettings" Target="webSettings.xml"/><Relationship Id="rId9" Type="http://schemas.openxmlformats.org/officeDocument/2006/relationships/hyperlink" Target="https://socialladderapp.com/2021/07/13/community-engagemen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6D93A6-205C-4C0A-B9C2-04B79A2B1AA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12</Pages>
  <Words>3012</Words>
  <Characters>17169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claudia macarie</cp:lastModifiedBy>
  <cp:revision>7</cp:revision>
  <dcterms:created xsi:type="dcterms:W3CDTF">2022-04-19T09:26:00Z</dcterms:created>
  <dcterms:modified xsi:type="dcterms:W3CDTF">2022-05-06T15:05:00Z</dcterms:modified>
</cp:coreProperties>
</file>