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100" w:beforeAutospacing="1" w:after="100" w:afterAutospacing="1" w:line="360" w:lineRule="auto"/>
        <w:ind w:left="5040"/>
        <w:jc w:val="both"/>
        <w:outlineLvl w:val="0"/>
        <w:rPr>
          <w:rFonts w:ascii="Arial" w:eastAsia="Times New Roman" w:cs="Arial" w:hAnsi="Arial"/>
          <w:b/>
          <w:bCs/>
          <w:kern w:val="36"/>
        </w:rPr>
      </w:pPr>
      <w:r>
        <w:rPr>
          <w:rFonts w:ascii="Arial" w:eastAsia="Times New Roman" w:cs="Arial" w:hAnsi="Arial"/>
          <w:b/>
          <w:bCs/>
          <w:kern w:val="36"/>
        </w:rPr>
        <w:drawing>
          <wp:inline distT="0" distB="0" distL="0" distR="0">
            <wp:extent cx="2792095" cy="1158239"/>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2792095" cy="1158239"/>
                    </a:xfrm>
                    <a:prstGeom prst="rect"/>
                    <a:noFill/>
                    <a:ln w="12700" cmpd="sng" cap="flat">
                      <a:noFill/>
                      <a:prstDash val="solid"/>
                      <a:miter/>
                    </a:ln>
                  </pic:spPr>
                </pic:pic>
              </a:graphicData>
            </a:graphic>
          </wp:inline>
        </w:drawing>
      </w:r>
    </w:p>
    <w:tbl>
      <w:tblPr>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CellMar>
          <w:top w:w="0" w:type="dxa"/>
          <w:left w:w="0" w:type="dxa"/>
          <w:bottom w:w="0" w:type="dxa"/>
          <w:right w:w="0" w:type="dxa"/>
        </w:tblCellMar>
      </w:tblPr>
      <w:tblGrid>
        <w:gridCol w:w="2115"/>
        <w:gridCol w:w="5825"/>
      </w:tblGrid>
      <w:tr>
        <w:trPr>
          <w:trHeight w:val="179"/>
        </w:trPr>
        <w:tc>
          <w:tcPr>
            <w:tcW w:w="2115" w:type="dxa"/>
          </w:tcPr>
          <w:p>
            <w:pPr>
              <w:spacing w:line="360" w:lineRule="auto"/>
              <w:jc w:val="both"/>
              <w:rPr>
                <w:rFonts w:ascii="Arial" w:eastAsia="Times New Roman" w:cs="Arial" w:hAnsi="Arial"/>
                <w:b/>
                <w:bCs/>
              </w:rPr>
            </w:pPr>
            <w:r>
              <w:rPr>
                <w:rFonts w:ascii="Arial" w:eastAsia="Times New Roman" w:cs="Arial" w:hAnsi="Arial"/>
                <w:b/>
                <w:bCs/>
              </w:rPr>
              <w:t>Student Name:</w:t>
            </w:r>
          </w:p>
        </w:tc>
        <w:tc>
          <w:tcPr>
            <w:tcW w:w="5825" w:type="dxa"/>
          </w:tcPr>
          <w:p>
            <w:pPr>
              <w:spacing w:line="360" w:lineRule="auto"/>
              <w:jc w:val="both"/>
              <w:rPr>
                <w:rFonts w:ascii="Arial" w:eastAsia="Times New Roman" w:cs="Arial" w:hAnsi="Arial"/>
                <w:bCs/>
              </w:rPr>
            </w:pPr>
            <w:r>
              <w:rPr>
                <w:rFonts w:ascii="Arial" w:eastAsia="Times New Roman" w:cs="Arial" w:hAnsi="Arial"/>
                <w:bCs/>
              </w:rPr>
              <w:t>Zunaira Mushtaq</w:t>
            </w:r>
          </w:p>
        </w:tc>
      </w:tr>
      <w:tr>
        <w:tc>
          <w:tcPr>
            <w:tcW w:w="2115" w:type="dxa"/>
          </w:tcPr>
          <w:p>
            <w:pPr>
              <w:spacing w:line="360" w:lineRule="auto"/>
              <w:jc w:val="both"/>
              <w:rPr>
                <w:rFonts w:ascii="Arial" w:eastAsia="Times New Roman" w:cs="Arial" w:hAnsi="Arial"/>
              </w:rPr>
            </w:pPr>
            <w:r>
              <w:rPr>
                <w:rFonts w:ascii="Arial" w:eastAsia="Times New Roman" w:cs="Arial" w:hAnsi="Arial"/>
                <w:b/>
                <w:bCs/>
              </w:rPr>
              <w:t>Student ID Number:</w:t>
            </w:r>
          </w:p>
        </w:tc>
        <w:tc>
          <w:tcPr>
            <w:tcW w:w="5825" w:type="dxa"/>
          </w:tcPr>
          <w:p>
            <w:pPr>
              <w:spacing w:line="360" w:lineRule="auto"/>
              <w:jc w:val="both"/>
              <w:rPr>
                <w:rFonts w:ascii="Arial" w:eastAsia="Times New Roman" w:cs="Arial" w:hAnsi="Arial"/>
              </w:rPr>
            </w:pPr>
            <w:r>
              <w:rPr>
                <w:rFonts w:ascii="Arial" w:eastAsia="Times New Roman" w:cs="Arial" w:hAnsi="Arial"/>
              </w:rPr>
              <w:t>2536986</w:t>
            </w:r>
          </w:p>
        </w:tc>
      </w:tr>
      <w:tr>
        <w:tc>
          <w:tcPr>
            <w:tcW w:w="2115" w:type="dxa"/>
          </w:tcPr>
          <w:p>
            <w:pPr>
              <w:spacing w:line="360" w:lineRule="auto"/>
              <w:jc w:val="both"/>
              <w:rPr>
                <w:rFonts w:ascii="Arial" w:eastAsia="Times New Roman" w:cs="Arial" w:hAnsi="Arial"/>
              </w:rPr>
            </w:pPr>
            <w:r>
              <w:rPr>
                <w:rFonts w:ascii="Arial" w:eastAsia="Times New Roman" w:cs="Arial" w:hAnsi="Arial"/>
                <w:b/>
                <w:bCs/>
              </w:rPr>
              <w:t>Programme:</w:t>
            </w:r>
          </w:p>
        </w:tc>
        <w:tc>
          <w:tcPr>
            <w:tcW w:w="5825" w:type="dxa"/>
          </w:tcPr>
          <w:p>
            <w:pPr>
              <w:spacing w:line="360" w:lineRule="auto"/>
              <w:jc w:val="both"/>
              <w:rPr>
                <w:rFonts w:ascii="Arial" w:eastAsia="Times New Roman" w:cs="Arial" w:hAnsi="Arial"/>
              </w:rPr>
            </w:pPr>
            <w:r>
              <w:rPr>
                <w:rFonts w:ascii="Arial" w:eastAsia="Times New Roman" w:cs="Arial" w:hAnsi="Arial"/>
              </w:rPr>
              <w:t>Certificate of Higher Education Skills for the Workplace (Health&amp;Social Care)</w:t>
            </w:r>
          </w:p>
        </w:tc>
      </w:tr>
      <w:tr>
        <w:tc>
          <w:tcPr>
            <w:tcW w:w="2115" w:type="dxa"/>
          </w:tcPr>
          <w:p>
            <w:pPr>
              <w:spacing w:line="360" w:lineRule="auto"/>
              <w:jc w:val="both"/>
              <w:rPr>
                <w:rFonts w:ascii="Arial" w:eastAsia="Times New Roman" w:cs="Arial" w:hAnsi="Arial"/>
              </w:rPr>
            </w:pPr>
            <w:r>
              <w:rPr>
                <w:rFonts w:ascii="Arial" w:eastAsia="Times New Roman" w:cs="Arial" w:hAnsi="Arial"/>
                <w:b/>
                <w:bCs/>
              </w:rPr>
              <w:t>Module Title:</w:t>
            </w:r>
          </w:p>
        </w:tc>
        <w:tc>
          <w:tcPr>
            <w:tcW w:w="5825" w:type="dxa"/>
          </w:tcPr>
          <w:p>
            <w:pPr>
              <w:spacing w:line="360" w:lineRule="auto"/>
              <w:jc w:val="both"/>
              <w:rPr>
                <w:rFonts w:ascii="Arial" w:eastAsia="Times New Roman" w:cs="Arial" w:hAnsi="Arial"/>
              </w:rPr>
            </w:pPr>
            <w:r>
              <w:rPr>
                <w:rFonts w:ascii="Arial" w:cs="Arial" w:hAnsi="Arial"/>
              </w:rPr>
              <w:t>Digital Skills and Research Methods</w:t>
            </w:r>
          </w:p>
        </w:tc>
      </w:tr>
      <w:tr>
        <w:tc>
          <w:tcPr>
            <w:tcW w:w="2115" w:type="dxa"/>
          </w:tcPr>
          <w:p>
            <w:pPr>
              <w:spacing w:line="360" w:lineRule="auto"/>
              <w:jc w:val="both"/>
              <w:rPr>
                <w:rFonts w:ascii="Arial" w:eastAsia="Times New Roman" w:cs="Arial" w:hAnsi="Arial"/>
              </w:rPr>
            </w:pPr>
            <w:r>
              <w:rPr>
                <w:rFonts w:ascii="Arial" w:eastAsia="Times New Roman" w:cs="Arial" w:hAnsi="Arial"/>
                <w:b/>
                <w:bCs/>
              </w:rPr>
              <w:t>Module Code:</w:t>
            </w:r>
          </w:p>
        </w:tc>
        <w:tc>
          <w:tcPr>
            <w:tcW w:w="5825" w:type="dxa"/>
          </w:tcPr>
          <w:p>
            <w:pPr>
              <w:spacing w:line="360" w:lineRule="auto"/>
              <w:jc w:val="both"/>
              <w:rPr>
                <w:rFonts w:ascii="Arial" w:eastAsia="Times New Roman" w:cs="Arial" w:hAnsi="Arial"/>
              </w:rPr>
            </w:pPr>
            <w:r>
              <w:rPr>
                <w:rFonts w:ascii="Arial" w:eastAsia="Times New Roman" w:cs="Arial" w:hAnsi="Arial"/>
              </w:rPr>
              <w:t>LCHS4007</w:t>
            </w:r>
          </w:p>
        </w:tc>
      </w:tr>
    </w:tbl>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bookmarkStart w:id="0" w:name="_GoBack"/>
      <w:bookmarkEnd w:id="0"/>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240" w:lineRule="auto"/>
        <w:outlineLvl w:val="1"/>
        <w:rPr>
          <w:rFonts w:ascii="Times New Roman" w:eastAsia="Times New Roman" w:cs="Times New Roman" w:hAnsi="Times New Roman"/>
          <w:b/>
          <w:bCs/>
          <w:sz w:val="36"/>
          <w:szCs w:val="36"/>
        </w:rPr>
      </w:pPr>
      <w:r>
        <w:rPr>
          <w:rFonts w:ascii="Times New Roman" w:eastAsia="Times New Roman" w:cs="Times New Roman" w:hAnsi="Times New Roman"/>
          <w:b/>
          <w:bCs/>
          <w:sz w:val="36"/>
          <w:szCs w:val="36"/>
        </w:rPr>
        <w:t>Table of Contents</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1. Introduction to the Research Paper and Topic Development</w:t>
      </w:r>
      <w:r>
        <w:rPr>
          <w:rFonts w:ascii="Arial" w:eastAsia="Times New Roman" w:cs="Arial" w:hAnsi="Arial"/>
          <w:sz w:val="20"/>
          <w:szCs w:val="20"/>
        </w:rPr>
        <w:t xml:space="preserve"> .................................................................. 3</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2. Understanding the Purpose and Research Question</w:t>
      </w:r>
      <w:r>
        <w:rPr>
          <w:rFonts w:ascii="Arial" w:eastAsia="Times New Roman" w:cs="Arial" w:hAnsi="Arial"/>
          <w:sz w:val="20"/>
          <w:szCs w:val="20"/>
        </w:rPr>
        <w:t xml:space="preserve"> .............................................................................. 4</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3. Understanding the Research Methods</w:t>
      </w:r>
      <w:r>
        <w:rPr>
          <w:rFonts w:ascii="Arial" w:eastAsia="Times New Roman" w:cs="Arial" w:hAnsi="Arial"/>
          <w:sz w:val="20"/>
          <w:szCs w:val="20"/>
        </w:rPr>
        <w:t xml:space="preserve"> .................................................................................................... 4</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3.1 Understanding Research Approaches</w:t>
      </w:r>
      <w:r>
        <w:rPr>
          <w:rFonts w:ascii="Arial" w:eastAsia="Times New Roman" w:cs="Arial" w:hAnsi="Arial"/>
          <w:sz w:val="20"/>
          <w:szCs w:val="20"/>
        </w:rPr>
        <w:t xml:space="preserve"> ............................................................................................... 4</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3.2 Research Design Used in the Selected Study</w:t>
      </w:r>
      <w:r>
        <w:rPr>
          <w:rFonts w:ascii="Arial" w:eastAsia="Times New Roman" w:cs="Arial" w:hAnsi="Arial"/>
          <w:sz w:val="20"/>
          <w:szCs w:val="20"/>
        </w:rPr>
        <w:t xml:space="preserve"> ................................................................................... 5</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3.3 Primary and Secondary Data Collection</w:t>
      </w:r>
      <w:r>
        <w:rPr>
          <w:rFonts w:ascii="Arial" w:eastAsia="Times New Roman" w:cs="Arial" w:hAnsi="Arial"/>
          <w:sz w:val="20"/>
          <w:szCs w:val="20"/>
        </w:rPr>
        <w:t xml:space="preserve"> ............................................................................................ 5</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3.4 Data Collection Methods</w:t>
      </w:r>
      <w:r>
        <w:rPr>
          <w:rFonts w:ascii="Arial" w:eastAsia="Times New Roman" w:cs="Arial" w:hAnsi="Arial"/>
          <w:sz w:val="20"/>
          <w:szCs w:val="20"/>
        </w:rPr>
        <w:t xml:space="preserve"> .................................................................................................................... 5</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3.5 Data Analysis</w:t>
      </w:r>
      <w:r>
        <w:rPr>
          <w:rFonts w:ascii="Arial" w:eastAsia="Times New Roman" w:cs="Arial" w:hAnsi="Arial"/>
          <w:sz w:val="20"/>
          <w:szCs w:val="20"/>
        </w:rPr>
        <w:t xml:space="preserve"> ..................................................................................................................................... 6</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sz w:val="20"/>
          <w:szCs w:val="20"/>
        </w:rPr>
        <w:t> </w:t>
      </w:r>
      <w:r>
        <w:rPr>
          <w:rFonts w:ascii="Arial" w:eastAsia="Times New Roman" w:cs="Arial" w:hAnsi="Arial"/>
          <w:bCs/>
          <w:sz w:val="20"/>
          <w:szCs w:val="20"/>
        </w:rPr>
        <w:t>3.6 Evaluation of the Research Methods</w:t>
      </w:r>
      <w:r>
        <w:rPr>
          <w:rFonts w:ascii="Arial" w:eastAsia="Times New Roman" w:cs="Arial" w:hAnsi="Arial"/>
          <w:sz w:val="20"/>
          <w:szCs w:val="20"/>
        </w:rPr>
        <w:t xml:space="preserve"> ................................................................................................. 6</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4. Conclusion</w:t>
      </w:r>
      <w:r>
        <w:rPr>
          <w:rFonts w:ascii="Arial" w:eastAsia="Times New Roman" w:cs="Arial" w:hAnsi="Arial"/>
          <w:sz w:val="20"/>
          <w:szCs w:val="20"/>
        </w:rPr>
        <w:t xml:space="preserve"> ............................................................................................................................................... 7</w:t>
      </w:r>
    </w:p>
    <w:p>
      <w:pPr>
        <w:spacing w:before="100" w:beforeAutospacing="1" w:after="100" w:afterAutospacing="1" w:line="240" w:lineRule="auto"/>
        <w:jc w:val="both"/>
        <w:rPr>
          <w:rFonts w:ascii="Arial" w:eastAsia="Times New Roman" w:cs="Arial" w:hAnsi="Arial"/>
          <w:sz w:val="20"/>
          <w:szCs w:val="20"/>
        </w:rPr>
      </w:pPr>
      <w:r>
        <w:rPr>
          <w:rFonts w:ascii="Arial" w:eastAsia="Times New Roman" w:cs="Arial" w:hAnsi="Arial"/>
          <w:bCs/>
          <w:sz w:val="20"/>
          <w:szCs w:val="20"/>
        </w:rPr>
        <w:t>References</w:t>
      </w:r>
      <w:r>
        <w:rPr>
          <w:rFonts w:ascii="Arial" w:eastAsia="Times New Roman" w:cs="Arial" w:hAnsi="Arial"/>
          <w:sz w:val="20"/>
          <w:szCs w:val="20"/>
        </w:rPr>
        <w:t xml:space="preserve"> .................................................................................................................................................. 8</w:t>
      </w: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p>
    <w:p>
      <w:pPr>
        <w:spacing w:before="100" w:beforeAutospacing="1" w:after="100" w:afterAutospacing="1" w:line="360" w:lineRule="auto"/>
        <w:jc w:val="both"/>
        <w:outlineLvl w:val="0"/>
        <w:rPr>
          <w:rFonts w:ascii="Arial" w:eastAsia="Times New Roman" w:cs="Arial" w:hAnsi="Arial"/>
          <w:b/>
          <w:bCs/>
          <w:kern w:val="36"/>
        </w:rPr>
      </w:pPr>
      <w:r>
        <w:rPr>
          <w:rFonts w:ascii="Arial" w:eastAsia="Times New Roman" w:cs="Arial" w:hAnsi="Arial"/>
          <w:b/>
          <w:bCs/>
          <w:kern w:val="36"/>
        </w:rPr>
        <w:t xml:space="preserve">Section 1: Introducing the Research Paper and Topic Development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The selected research paper is</w:t>
      </w:r>
      <w:r>
        <w:rPr>
          <w:rFonts w:ascii="Arial" w:eastAsia="Times New Roman" w:cs="Arial" w:hAnsi="Arial"/>
          <w:b/>
          <w:bCs/>
        </w:rPr>
        <w:t xml:space="preserve"> “A cross-sectional study of discipline-based self-perceived digital literacy competencies of nursing students"</w:t>
      </w:r>
      <w:r>
        <w:rPr>
          <w:rFonts w:ascii="Arial" w:eastAsia="Times New Roman" w:cs="Arial" w:hAnsi="Arial"/>
        </w:rPr>
        <w:t xml:space="preserve"> by </w:t>
      </w:r>
      <w:r>
        <w:rPr>
          <w:rFonts w:ascii="Arial" w:eastAsia="Times New Roman" w:cs="Arial" w:hAnsi="Arial"/>
          <w:b/>
          <w:bCs/>
        </w:rPr>
        <w:t>Martzoukou, Luders, Mair, Kostagiolas, Johnson, Work and Fulton</w:t>
      </w:r>
      <w:r>
        <w:rPr>
          <w:rFonts w:ascii="Arial" w:eastAsia="Times New Roman" w:cs="Arial" w:hAnsi="Arial"/>
        </w:rPr>
        <w:t xml:space="preserve">, published in </w:t>
      </w:r>
      <w:r>
        <w:rPr>
          <w:rFonts w:ascii="Arial" w:eastAsia="Times New Roman" w:cs="Arial" w:hAnsi="Arial"/>
          <w:bCs/>
        </w:rPr>
        <w:t>2024</w:t>
      </w:r>
      <w:r>
        <w:rPr>
          <w:rFonts w:ascii="Arial" w:eastAsia="Times New Roman" w:cs="Arial" w:hAnsi="Arial"/>
        </w:rPr>
        <w:t xml:space="preserve"> in the </w:t>
      </w:r>
      <w:r>
        <w:rPr>
          <w:rFonts w:ascii="Arial" w:eastAsia="Times New Roman" w:cs="Arial" w:hAnsi="Arial"/>
          <w:i/>
          <w:iCs/>
        </w:rPr>
        <w:t>Journal of Advanced Nursing</w:t>
      </w:r>
      <w:r>
        <w:rPr>
          <w:rFonts w:ascii="Arial" w:eastAsia="Times New Roman" w:cs="Arial" w:hAnsi="Arial"/>
        </w:rPr>
        <w:t xml:space="preserve">.  The study investigates the level of digital literacy among undergraduate healthcare students studying at Robert Gordon University in Scotland. As digital technologies have become integral to healthcare delivery, the researchers explored whether students possess the knowledge, confidence and skills required to use digital systems effectively during their education and future professional practice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The research topic was developed in response to the rapid digital transformation of UK health and social care services. Electronic patient records, virtual consultations, clinical decision-support systems and digital communication platforms are now routinely used across the NHS. Consequently, healthcare professionals are expected to demonstrate strong digital capabilities alongside their clinical competence (NHS England, 2023). The researchers recognised that although universities increasingly incorporate technology into healthcare education, evidence regarding students' digital literacy remains limited. Identifying strengths and weaknesses in students' digital capabilities therefore provides an evidence base for improving healthcare education and workforce preparedness (Health Education England, 2023).</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research focuses on </w:t>
      </w:r>
      <w:r>
        <w:rPr>
          <w:rFonts w:ascii="Arial" w:eastAsia="Times New Roman" w:cs="Arial" w:hAnsi="Arial"/>
          <w:bCs/>
        </w:rPr>
        <w:t>undergraduate nursing, midwifery and paramedic students</w:t>
      </w:r>
      <w:r>
        <w:rPr>
          <w:rFonts w:ascii="Arial" w:eastAsia="Times New Roman" w:cs="Arial" w:hAnsi="Arial"/>
        </w:rPr>
        <w:t xml:space="preserve">, who represent the future UK healthcare workforce. These students will routinely use electronic health records, digital documentation systems, telehealth technologies and evidence-based information resources when delivering patient care. Assessing their digital literacy allows educators to identify learning needs before students enter clinical practice, thereby supporting safer and more effective healthcare delivery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This topic is particularly important within UK health and social care because digital competence is now recognised as a core professional capability. The </w:t>
      </w:r>
      <w:r>
        <w:rPr>
          <w:rFonts w:ascii="Arial" w:eastAsia="Times New Roman" w:cs="Arial" w:hAnsi="Arial"/>
          <w:bCs/>
        </w:rPr>
        <w:t>Nursing and Midwifery Council (2023)</w:t>
      </w:r>
      <w:r>
        <w:rPr>
          <w:rFonts w:ascii="Arial" w:eastAsia="Times New Roman" w:cs="Arial" w:hAnsi="Arial"/>
        </w:rPr>
        <w:t xml:space="preserve"> requires registrants to use digital technologies responsibly, maintain accurate electronic records and apply digital information to improve patient care. Similarly, the </w:t>
      </w:r>
      <w:r>
        <w:rPr>
          <w:rFonts w:ascii="Arial" w:eastAsia="Times New Roman" w:cs="Arial" w:hAnsi="Arial"/>
          <w:bCs/>
        </w:rPr>
        <w:t>NHS Long Term Workforce Plan</w:t>
      </w:r>
      <w:r>
        <w:rPr>
          <w:rFonts w:ascii="Arial" w:eastAsia="Times New Roman" w:cs="Arial" w:hAnsi="Arial"/>
        </w:rPr>
        <w:t xml:space="preserve"> identifies digital capability as a priority for developing a workforce that can deliver high-quality, technology-enabled healthcare (NHS England, 2023). Therefore, this study provides practical evidence that universities can use to strengthen digital literacy education and better prepare future healthcare professionals for contemporary NHS practice.</w:t>
      </w:r>
    </w:p>
    <w:p>
      <w:pPr>
        <w:spacing w:before="100" w:beforeAutospacing="1" w:after="100" w:afterAutospacing="1" w:line="360" w:lineRule="auto"/>
        <w:jc w:val="both"/>
        <w:outlineLvl w:val="1"/>
        <w:rPr>
          <w:rFonts w:ascii="Arial" w:eastAsia="Times New Roman" w:cs="Arial" w:hAnsi="Arial"/>
          <w:b/>
          <w:bCs/>
        </w:rPr>
      </w:pPr>
      <w:r>
        <w:rPr>
          <w:rFonts w:ascii="Arial" w:eastAsia="Times New Roman" w:cs="Arial" w:hAnsi="Arial"/>
          <w:b/>
          <w:bCs/>
        </w:rPr>
        <w:t xml:space="preserve">2. Understanding the Purpose and Research Question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primary objective of </w:t>
      </w:r>
      <w:r>
        <w:rPr>
          <w:rFonts w:ascii="Arial" w:eastAsia="Times New Roman" w:cs="Arial" w:hAnsi="Arial"/>
          <w:bCs/>
        </w:rPr>
        <w:t>Martzoukou et al. (2024)</w:t>
      </w:r>
      <w:r>
        <w:rPr>
          <w:rFonts w:ascii="Arial" w:eastAsia="Times New Roman" w:cs="Arial" w:hAnsi="Arial"/>
        </w:rPr>
        <w:t xml:space="preserve"> was to evaluate the digital literacy competencies of undergraduate nursing, midwifery and paramedic students and identify factors influencing their confidence in using digital technologies for learning and future clinical practice. Specifically, the researchers sought to determine students' strengths and areas requiring further development across key digital capability domains. By investigating these competencies, the study aimed to generate evidence that could support curriculum improvement and better prepare healthcare students for digitally enabled NHS services (Martzoukou </w:t>
      </w:r>
      <w:r>
        <w:rPr>
          <w:rFonts w:ascii="Arial" w:eastAsia="Times New Roman" w:cs="Arial" w:hAnsi="Arial"/>
          <w:iCs/>
        </w:rPr>
        <w:t>et al</w:t>
      </w:r>
      <w:r>
        <w:rPr>
          <w:rFonts w:ascii="Arial" w:eastAsia="Times New Roman" w:cs="Arial" w:hAnsi="Arial"/>
        </w:rPr>
        <w:t>., 2024). The research therefore addresses an important educational challenge within contemporary UK health and social care.</w:t>
      </w:r>
    </w:p>
    <w:p>
      <w:pPr>
        <w:spacing w:before="100" w:beforeAutospacing="1" w:after="100" w:afterAutospacing="1" w:line="360" w:lineRule="auto"/>
        <w:jc w:val="both"/>
        <w:outlineLvl w:val="1"/>
        <w:rPr>
          <w:rFonts w:ascii="Arial" w:eastAsia="Times New Roman" w:cs="Arial" w:hAnsi="Arial"/>
          <w:b/>
          <w:bCs/>
        </w:rPr>
      </w:pPr>
      <w:r>
        <w:rPr>
          <w:rFonts w:ascii="Arial" w:eastAsia="Times New Roman" w:cs="Arial" w:hAnsi="Arial"/>
          <w:b/>
          <w:bCs/>
        </w:rPr>
        <w:t xml:space="preserve">3. Understanding the Research Methods </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3.1 Research Approaches</w:t>
      </w:r>
    </w:p>
    <w:p>
      <w:pPr>
        <w:spacing w:before="100" w:beforeAutospacing="1" w:after="100" w:afterAutospacing="1" w:line="360" w:lineRule="auto"/>
        <w:jc w:val="both"/>
        <w:rPr>
          <w:rFonts w:ascii="Arial" w:cs="Arial" w:hAnsi="Arial"/>
        </w:rPr>
      </w:pPr>
      <w:r>
        <w:rPr>
          <w:rFonts w:ascii="Arial" w:cs="Arial" w:hAnsi="Arial"/>
        </w:rPr>
        <w:t>A suitable research approach guides the collection, analysis and interpretation of evidence according to the study objectives (Pandey and Pandey, 2021).</w:t>
      </w:r>
    </w:p>
    <w:p>
      <w:pPr>
        <w:spacing w:before="100" w:beforeAutospacing="1" w:after="100" w:afterAutospacing="1" w:line="360" w:lineRule="auto"/>
        <w:jc w:val="both"/>
        <w:rPr>
          <w:rFonts w:ascii="Arial" w:cs="Arial" w:hAnsi="Arial"/>
        </w:rPr>
      </w:pPr>
      <w:r>
        <w:rPr>
          <w:rStyle w:val="20"/>
          <w:rFonts w:ascii="Arial" w:cs="Arial" w:hAnsi="Arial"/>
        </w:rPr>
        <w:t>Quantitative research</w:t>
      </w:r>
      <w:r>
        <w:rPr>
          <w:rFonts w:ascii="Arial" w:cs="Arial" w:hAnsi="Arial"/>
        </w:rPr>
        <w:t xml:space="preserve"> uses numerical data and statistical analysis to produce objective findings and identify relationships or patterns between variables </w:t>
      </w:r>
      <w:r>
        <w:rPr>
          <w:rStyle w:val="20"/>
          <w:rFonts w:ascii="Arial" w:cs="Arial" w:hAnsi="Arial"/>
          <w:b w:val="0"/>
        </w:rPr>
        <w:t>(Gray and Grove, 2021)</w:t>
      </w:r>
      <w:r>
        <w:rPr>
          <w:rFonts w:ascii="Arial" w:cs="Arial" w:hAnsi="Arial"/>
          <w:b/>
        </w:rPr>
        <w:t>.</w:t>
      </w:r>
      <w:r>
        <w:rPr>
          <w:rFonts w:ascii="Arial" w:cs="Arial" w:hAnsi="Arial"/>
        </w:rPr>
        <w:t xml:space="preserve"> </w:t>
      </w:r>
      <w:r>
        <w:rPr>
          <w:rStyle w:val="20"/>
          <w:rFonts w:ascii="Arial" w:cs="Arial" w:hAnsi="Arial"/>
        </w:rPr>
        <w:t>Qualitative research</w:t>
      </w:r>
      <w:r>
        <w:rPr>
          <w:rFonts w:ascii="Arial" w:cs="Arial" w:hAnsi="Arial"/>
        </w:rPr>
        <w:t xml:space="preserve"> explores individuals' experiences, perceptions and behaviours through non-numerical methods, such as interviews, observations and focus groups, to gain a deeper understanding of healthcare issues </w:t>
      </w:r>
      <w:r>
        <w:rPr>
          <w:rStyle w:val="20"/>
          <w:rFonts w:ascii="Arial" w:cs="Arial" w:hAnsi="Arial"/>
          <w:b w:val="0"/>
        </w:rPr>
        <w:t>(Silverman, 2021)</w:t>
      </w:r>
      <w:r>
        <w:rPr>
          <w:rFonts w:ascii="Arial" w:cs="Arial" w:hAnsi="Arial"/>
          <w:b/>
        </w:rPr>
        <w:t>.</w:t>
      </w:r>
      <w:r>
        <w:rPr>
          <w:rFonts w:ascii="Arial" w:cs="Arial" w:hAnsi="Arial"/>
        </w:rPr>
        <w:t xml:space="preserve"> </w:t>
      </w:r>
      <w:r>
        <w:rPr>
          <w:rStyle w:val="20"/>
          <w:rFonts w:ascii="Arial" w:cs="Arial" w:hAnsi="Arial"/>
        </w:rPr>
        <w:t>Mixed-methods research</w:t>
      </w:r>
      <w:r>
        <w:rPr>
          <w:rFonts w:ascii="Arial" w:cs="Arial" w:hAnsi="Arial"/>
        </w:rPr>
        <w:t xml:space="preserve"> combines quantitative and qualitative approaches, integrating statistical findings with participants' perspectives to provide a more comprehensive understanding of complex health and social care challenges </w:t>
      </w:r>
      <w:r>
        <w:rPr>
          <w:rStyle w:val="20"/>
          <w:rFonts w:ascii="Arial" w:cs="Arial" w:hAnsi="Arial"/>
          <w:b w:val="0"/>
        </w:rPr>
        <w:t>(Guetterman, 2023)</w:t>
      </w:r>
      <w:r>
        <w:rPr>
          <w:rFonts w:ascii="Arial" w:cs="Arial" w:hAnsi="Arial"/>
          <w:b/>
        </w:rPr>
        <w:t>.</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study by </w:t>
      </w:r>
      <w:r>
        <w:rPr>
          <w:rFonts w:ascii="Arial" w:eastAsia="Times New Roman" w:cs="Arial" w:hAnsi="Arial"/>
          <w:bCs/>
        </w:rPr>
        <w:t>Martzoukou et al. (2024)</w:t>
      </w:r>
      <w:r>
        <w:rPr>
          <w:rFonts w:ascii="Arial" w:eastAsia="Times New Roman" w:cs="Arial" w:hAnsi="Arial"/>
        </w:rPr>
        <w:t xml:space="preserve"> primarily used a </w:t>
      </w:r>
      <w:r>
        <w:rPr>
          <w:rFonts w:ascii="Arial" w:eastAsia="Times New Roman" w:cs="Arial" w:hAnsi="Arial"/>
          <w:bCs/>
        </w:rPr>
        <w:t>quantitative research approach</w:t>
      </w:r>
      <w:r>
        <w:rPr>
          <w:rFonts w:ascii="Arial" w:eastAsia="Times New Roman" w:cs="Arial" w:hAnsi="Arial"/>
        </w:rPr>
        <w:t xml:space="preserve"> because it measured undergraduate nursing, midwifery and paramedic students' digital literacy competencies using structured questionnaire responses. Statistical analysis enabled comparisons across participant groups and identified areas requiring educational improvement. Although a small number of open-ended questions were included, these supported the numerical findings, meaning the study remained predominantly quantitative (Martzoukou </w:t>
      </w:r>
      <w:r>
        <w:rPr>
          <w:rFonts w:ascii="Arial" w:eastAsia="Times New Roman" w:cs="Arial" w:hAnsi="Arial"/>
          <w:iCs/>
        </w:rPr>
        <w:t>et al</w:t>
      </w:r>
      <w:r>
        <w:rPr>
          <w:rFonts w:ascii="Arial" w:eastAsia="Times New Roman" w:cs="Arial" w:hAnsi="Arial"/>
        </w:rPr>
        <w:t>., 2024).</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3.2 Research Design Used in the Selected Study</w:t>
      </w:r>
    </w:p>
    <w:p>
      <w:pPr>
        <w:spacing w:before="100" w:beforeAutospacing="1" w:after="100" w:afterAutospacing="1" w:line="360" w:lineRule="auto"/>
        <w:jc w:val="both"/>
        <w:rPr>
          <w:rFonts w:ascii="Arial" w:eastAsia="Times New Roman" w:cs="Arial" w:hAnsi="Arial"/>
        </w:rPr>
      </w:pPr>
      <w:r>
        <w:rPr>
          <w:rFonts w:ascii="Arial" w:cs="Arial" w:hAnsi="Arial"/>
        </w:rPr>
        <w:t xml:space="preserve">The researchers adopted a </w:t>
      </w:r>
      <w:r>
        <w:rPr>
          <w:rStyle w:val="20"/>
          <w:rFonts w:ascii="Arial" w:cs="Arial" w:hAnsi="Arial"/>
          <w:b w:val="0"/>
        </w:rPr>
        <w:t>cross-sectional survey design</w:t>
      </w:r>
      <w:r>
        <w:rPr>
          <w:rFonts w:ascii="Arial" w:cs="Arial" w:hAnsi="Arial"/>
        </w:rPr>
        <w:t xml:space="preserve">, which involves collecting information from a defined population at a single point in time to examine current characteristics, knowledge or behaviours (Setia, 2022). This design is widely used in health and social care because it enables researchers to obtain data efficiently without requiring long-term follow-up. In the selected study, </w:t>
      </w:r>
      <w:r>
        <w:rPr>
          <w:rStyle w:val="20"/>
          <w:rFonts w:ascii="Arial" w:cs="Arial" w:hAnsi="Arial"/>
          <w:b w:val="0"/>
        </w:rPr>
        <w:t>Martzoukou et al. (2024)</w:t>
      </w:r>
      <w:r>
        <w:rPr>
          <w:rFonts w:ascii="Arial" w:cs="Arial" w:hAnsi="Arial"/>
          <w:b/>
        </w:rPr>
        <w:t xml:space="preserve"> </w:t>
      </w:r>
      <w:r>
        <w:rPr>
          <w:rFonts w:ascii="Arial" w:cs="Arial" w:hAnsi="Arial"/>
        </w:rPr>
        <w:t xml:space="preserve">invited approximately </w:t>
      </w:r>
      <w:r>
        <w:rPr>
          <w:rStyle w:val="20"/>
          <w:rFonts w:ascii="Arial" w:cs="Arial" w:hAnsi="Arial"/>
          <w:b w:val="0"/>
        </w:rPr>
        <w:t>1,200 nursing, midwifery and paramedic students</w:t>
      </w:r>
      <w:r>
        <w:rPr>
          <w:rFonts w:ascii="Arial" w:cs="Arial" w:hAnsi="Arial"/>
        </w:rPr>
        <w:t xml:space="preserve"> at Robert Gordon University to participate in an online questionnaire. </w:t>
      </w:r>
      <w:r>
        <w:rPr>
          <w:rStyle w:val="20"/>
          <w:rFonts w:ascii="Arial" w:cs="Arial" w:hAnsi="Arial"/>
          <w:b w:val="0"/>
        </w:rPr>
        <w:t>A total of 182 students completed the survey, representing a response rate of around 15%</w:t>
      </w:r>
      <w:r>
        <w:rPr>
          <w:rFonts w:ascii="Arial" w:cs="Arial" w:hAnsi="Arial"/>
        </w:rPr>
        <w:t xml:space="preserve"> (Martzoukou </w:t>
      </w:r>
      <w:r>
        <w:rPr>
          <w:rStyle w:val="18"/>
          <w:rFonts w:ascii="Arial" w:cs="Arial" w:hAnsi="Arial"/>
          <w:i w:val="0"/>
        </w:rPr>
        <w:t>et al</w:t>
      </w:r>
      <w:r>
        <w:rPr>
          <w:rFonts w:ascii="Arial" w:cs="Arial" w:hAnsi="Arial"/>
          <w:i/>
        </w:rPr>
        <w:t>.,</w:t>
      </w:r>
      <w:r>
        <w:rPr>
          <w:rFonts w:ascii="Arial" w:cs="Arial" w:hAnsi="Arial"/>
        </w:rPr>
        <w:t xml:space="preserve"> 2024). Collecting data during one academic period enabled the researchers to evaluate students' current digital literacy competencies and compare findings across demographic groups and course types. The study also followed the </w:t>
      </w:r>
      <w:r>
        <w:rPr>
          <w:rStyle w:val="20"/>
          <w:rFonts w:ascii="Arial" w:cs="Arial" w:hAnsi="Arial"/>
          <w:b w:val="0"/>
        </w:rPr>
        <w:t>STROBE</w:t>
      </w:r>
      <w:r>
        <w:rPr>
          <w:rFonts w:ascii="Arial" w:cs="Arial" w:hAnsi="Arial"/>
          <w:b/>
        </w:rPr>
        <w:t xml:space="preserve"> </w:t>
      </w:r>
      <w:r>
        <w:rPr>
          <w:rFonts w:ascii="Arial" w:cs="Arial" w:hAnsi="Arial"/>
        </w:rPr>
        <w:t xml:space="preserve">reporting guideline, which strengthens the transparency and quality of observational research by ensuring that study methods and findings are reported systematically (von Elm </w:t>
      </w:r>
      <w:r>
        <w:rPr>
          <w:rStyle w:val="18"/>
          <w:rFonts w:ascii="Arial" w:cs="Arial" w:hAnsi="Arial"/>
          <w:i w:val="0"/>
        </w:rPr>
        <w:t>et al</w:t>
      </w:r>
      <w:r>
        <w:rPr>
          <w:rFonts w:ascii="Arial" w:cs="Arial" w:hAnsi="Arial"/>
          <w:i/>
        </w:rPr>
        <w:t>.,</w:t>
      </w:r>
      <w:r>
        <w:rPr>
          <w:rFonts w:ascii="Arial" w:cs="Arial" w:hAnsi="Arial"/>
        </w:rPr>
        <w:t xml:space="preserve"> 2021). From a practical perspective, the results help universities identify digital skills gaps and develop targeted educational interventions that better prepare future healthcare professionals for technology-enabled NHS practice.</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3.3 Primary and Secondary Data Collection</w:t>
      </w:r>
    </w:p>
    <w:p>
      <w:pPr>
        <w:pStyle w:val="17"/>
        <w:spacing w:line="360" w:lineRule="auto"/>
        <w:jc w:val="both"/>
        <w:rPr>
          <w:rFonts w:ascii="Arial" w:cs="Arial" w:hAnsi="Arial"/>
          <w:sz w:val="22"/>
          <w:szCs w:val="22"/>
        </w:rPr>
      </w:pPr>
      <w:r>
        <w:rPr>
          <w:rFonts w:ascii="Arial" w:cs="Arial" w:hAnsi="Arial"/>
          <w:sz w:val="22"/>
          <w:szCs w:val="22"/>
        </w:rPr>
        <w:t xml:space="preserve">Research data can be gathered through either </w:t>
      </w:r>
      <w:r>
        <w:rPr>
          <w:rStyle w:val="20"/>
          <w:rFonts w:ascii="Arial" w:cs="Arial" w:hAnsi="Arial"/>
          <w:b w:val="0"/>
          <w:sz w:val="22"/>
          <w:szCs w:val="22"/>
        </w:rPr>
        <w:t>primary</w:t>
      </w:r>
      <w:r>
        <w:rPr>
          <w:rFonts w:ascii="Arial" w:cs="Arial" w:hAnsi="Arial"/>
          <w:sz w:val="22"/>
          <w:szCs w:val="22"/>
        </w:rPr>
        <w:t xml:space="preserve"> or </w:t>
      </w:r>
      <w:r>
        <w:rPr>
          <w:rStyle w:val="20"/>
          <w:rFonts w:ascii="Arial" w:cs="Arial" w:hAnsi="Arial"/>
          <w:b w:val="0"/>
          <w:sz w:val="22"/>
          <w:szCs w:val="22"/>
        </w:rPr>
        <w:t>secondary</w:t>
      </w:r>
      <w:r>
        <w:rPr>
          <w:rFonts w:ascii="Arial" w:cs="Arial" w:hAnsi="Arial"/>
          <w:sz w:val="22"/>
          <w:szCs w:val="22"/>
        </w:rPr>
        <w:t xml:space="preserve"> sources. </w:t>
      </w:r>
      <w:r>
        <w:rPr>
          <w:rStyle w:val="20"/>
          <w:rFonts w:ascii="Arial" w:cs="Arial" w:hAnsi="Arial"/>
          <w:b w:val="0"/>
          <w:sz w:val="22"/>
          <w:szCs w:val="22"/>
        </w:rPr>
        <w:t>Primary data</w:t>
      </w:r>
      <w:r>
        <w:rPr>
          <w:rFonts w:ascii="Arial" w:cs="Arial" w:hAnsi="Arial"/>
          <w:sz w:val="22"/>
          <w:szCs w:val="22"/>
        </w:rPr>
        <w:t xml:space="preserve"> refer to information collected directly from participants to address a specific research objective, whereas </w:t>
      </w:r>
      <w:r>
        <w:rPr>
          <w:rStyle w:val="20"/>
          <w:rFonts w:ascii="Arial" w:cs="Arial" w:hAnsi="Arial"/>
          <w:b w:val="0"/>
          <w:sz w:val="22"/>
          <w:szCs w:val="22"/>
        </w:rPr>
        <w:t>secondary data</w:t>
      </w:r>
      <w:r>
        <w:rPr>
          <w:rFonts w:ascii="Arial" w:cs="Arial" w:hAnsi="Arial"/>
          <w:sz w:val="22"/>
          <w:szCs w:val="22"/>
        </w:rPr>
        <w:t xml:space="preserve"> consist of existing information that was originally collected for a different purpose and is subsequently analysed by researchers (Walliman, 2021).</w:t>
      </w:r>
    </w:p>
    <w:p>
      <w:pPr>
        <w:pStyle w:val="19"/>
        <w:spacing w:line="360" w:lineRule="auto"/>
        <w:jc w:val="both"/>
        <w:rPr>
          <w:rFonts w:ascii="Arial" w:cs="Arial" w:hAnsi="Arial"/>
          <w:sz w:val="22"/>
          <w:szCs w:val="22"/>
        </w:rPr>
      </w:pPr>
      <w:r>
        <w:rPr>
          <w:rFonts w:ascii="Arial" w:cs="Arial" w:hAnsi="Arial"/>
          <w:sz w:val="22"/>
          <w:szCs w:val="22"/>
        </w:rPr>
        <w:t>In the selected study</w:t>
      </w:r>
      <w:r>
        <w:rPr>
          <w:rFonts w:ascii="Arial" w:cs="Arial" w:hAnsi="Arial"/>
          <w:b/>
          <w:sz w:val="22"/>
          <w:szCs w:val="22"/>
        </w:rPr>
        <w:t xml:space="preserve">, </w:t>
      </w:r>
      <w:r>
        <w:rPr>
          <w:rStyle w:val="20"/>
          <w:rFonts w:ascii="Arial" w:cs="Arial" w:hAnsi="Arial"/>
          <w:b w:val="0"/>
          <w:sz w:val="22"/>
          <w:szCs w:val="22"/>
        </w:rPr>
        <w:t>Martzoukou et al. (2024)</w:t>
      </w:r>
      <w:r>
        <w:rPr>
          <w:rFonts w:ascii="Arial" w:cs="Arial" w:hAnsi="Arial"/>
          <w:sz w:val="22"/>
          <w:szCs w:val="22"/>
        </w:rPr>
        <w:t xml:space="preserve"> employed </w:t>
      </w:r>
      <w:r>
        <w:rPr>
          <w:rStyle w:val="20"/>
          <w:rFonts w:ascii="Arial" w:cs="Arial" w:hAnsi="Arial"/>
          <w:b w:val="0"/>
          <w:sz w:val="22"/>
          <w:szCs w:val="22"/>
        </w:rPr>
        <w:t>primary data collection</w:t>
      </w:r>
      <w:r>
        <w:rPr>
          <w:rFonts w:ascii="Arial" w:cs="Arial" w:hAnsi="Arial"/>
          <w:sz w:val="22"/>
          <w:szCs w:val="22"/>
        </w:rPr>
        <w:t xml:space="preserve"> by gathering original data from undergraduate nursing, midwifery and paramedic students using an online questionnaire. Collecting first-hand information enabled the researchers to assess students' current digital literacy competencies accurately rather than relying on previously published evidence. From a practical perspective, the findings provide universities with evidence to identify gaps in digital capability, enhance curriculum content and equip future healthcare professionals with the digital skills required to deliver safe and effective technology-enabled care within the NHS.</w:t>
      </w:r>
    </w:p>
    <w:p>
      <w:pPr>
        <w:pStyle w:val="19"/>
        <w:spacing w:line="360" w:lineRule="auto"/>
        <w:jc w:val="both"/>
        <w:rPr>
          <w:rFonts w:ascii="Arial" w:cs="Arial" w:hAnsi="Arial"/>
          <w:sz w:val="22"/>
          <w:szCs w:val="22"/>
        </w:rPr>
      </w:pPr>
      <w:r>
        <w:rPr>
          <w:rFonts w:ascii="Arial" w:cs="Arial" w:hAnsi="Arial"/>
          <w:b/>
          <w:bCs/>
        </w:rPr>
        <w:t>3.4 Data Collection Methods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researchers collected </w:t>
      </w:r>
      <w:r>
        <w:rPr>
          <w:rFonts w:ascii="Arial" w:eastAsia="Times New Roman" w:cs="Arial" w:hAnsi="Arial"/>
          <w:bCs/>
        </w:rPr>
        <w:t>primary quantitative data</w:t>
      </w:r>
      <w:r>
        <w:rPr>
          <w:rFonts w:ascii="Arial" w:eastAsia="Times New Roman" w:cs="Arial" w:hAnsi="Arial"/>
        </w:rPr>
        <w:t xml:space="preserve"> using a </w:t>
      </w:r>
      <w:r>
        <w:rPr>
          <w:rFonts w:ascii="Arial" w:eastAsia="Times New Roman" w:cs="Arial" w:hAnsi="Arial"/>
          <w:bCs/>
        </w:rPr>
        <w:t>self-administered online questionnaire</w:t>
      </w:r>
      <w:r>
        <w:rPr>
          <w:rFonts w:ascii="Arial" w:eastAsia="Times New Roman" w:cs="Arial" w:hAnsi="Arial"/>
        </w:rPr>
        <w:t xml:space="preserve">, a method that enables standardised information to be gathered efficiently from a large number of participants (Taherdoost, 2022). The questionnaire was developed from the </w:t>
      </w:r>
      <w:r>
        <w:rPr>
          <w:rFonts w:ascii="Arial" w:eastAsia="Times New Roman" w:cs="Arial" w:hAnsi="Arial"/>
          <w:bCs/>
        </w:rPr>
        <w:t>Jisc Digital Capabilities Framework</w:t>
      </w:r>
      <w:r>
        <w:rPr>
          <w:rFonts w:ascii="Arial" w:eastAsia="Times New Roman" w:cs="Arial" w:hAnsi="Arial"/>
        </w:rPr>
        <w:t xml:space="preserve"> and adapted to suit undergraduate nursing, midwifery and paramedic education (Martzoukou </w:t>
      </w:r>
      <w:r>
        <w:rPr>
          <w:rFonts w:ascii="Arial" w:eastAsia="Times New Roman" w:cs="Arial" w:hAnsi="Arial"/>
          <w:iCs/>
        </w:rPr>
        <w:t>et al</w:t>
      </w:r>
      <w:r>
        <w:rPr>
          <w:rFonts w:ascii="Arial" w:eastAsia="Times New Roman" w:cs="Arial" w:hAnsi="Arial"/>
        </w:rPr>
        <w:t xml:space="preserve">., 2024). Ethical approval was obtained before data collection, participation was voluntary and informed consent was secured electronically. The survey was distributed to eligible students between </w:t>
      </w:r>
      <w:r>
        <w:rPr>
          <w:rFonts w:ascii="Arial" w:eastAsia="Times New Roman" w:cs="Arial" w:hAnsi="Arial"/>
          <w:bCs/>
        </w:rPr>
        <w:t>November and December 2021</w:t>
      </w:r>
      <w:r>
        <w:rPr>
          <w:rFonts w:ascii="Arial" w:eastAsia="Times New Roman" w:cs="Arial" w:hAnsi="Arial"/>
        </w:rPr>
        <w:t xml:space="preserve"> and included </w:t>
      </w:r>
      <w:r>
        <w:rPr>
          <w:rFonts w:ascii="Arial" w:eastAsia="Times New Roman" w:cs="Arial" w:hAnsi="Arial"/>
          <w:bCs/>
        </w:rPr>
        <w:t>Likert-scale questions</w:t>
      </w:r>
      <w:r>
        <w:rPr>
          <w:rFonts w:ascii="Arial" w:eastAsia="Times New Roman" w:cs="Arial" w:hAnsi="Arial"/>
        </w:rPr>
        <w:t xml:space="preserve"> together with several </w:t>
      </w:r>
      <w:r>
        <w:rPr>
          <w:rFonts w:ascii="Arial" w:eastAsia="Times New Roman" w:cs="Arial" w:hAnsi="Arial"/>
          <w:bCs/>
        </w:rPr>
        <w:t>open-ended questions</w:t>
      </w:r>
      <w:r>
        <w:rPr>
          <w:rFonts w:ascii="Arial" w:eastAsia="Times New Roman" w:cs="Arial" w:hAnsi="Arial"/>
        </w:rPr>
        <w:t xml:space="preserve"> that allowed participants to explain their views. The researchers also assessed reliability using </w:t>
      </w:r>
      <w:r>
        <w:rPr>
          <w:rFonts w:ascii="Arial" w:eastAsia="Times New Roman" w:cs="Arial" w:hAnsi="Arial"/>
          <w:bCs/>
        </w:rPr>
        <w:t>Cronbach's alpha</w:t>
      </w:r>
      <w:r>
        <w:rPr>
          <w:rFonts w:ascii="Arial" w:eastAsia="Times New Roman" w:cs="Arial" w:hAnsi="Arial"/>
        </w:rPr>
        <w:t xml:space="preserve">, confirming acceptable internal consistency before analysing the data (Martzoukou </w:t>
      </w:r>
      <w:r>
        <w:rPr>
          <w:rFonts w:ascii="Arial" w:eastAsia="Times New Roman" w:cs="Arial" w:hAnsi="Arial"/>
          <w:iCs/>
        </w:rPr>
        <w:t>et al</w:t>
      </w:r>
      <w:r>
        <w:rPr>
          <w:rFonts w:ascii="Arial" w:eastAsia="Times New Roman" w:cs="Arial" w:hAnsi="Arial"/>
        </w:rPr>
        <w:t>., 2024). These procedures enhanced the quality and trustworthiness of the evidence collected.</w:t>
      </w:r>
    </w:p>
    <w:p>
      <w:pPr>
        <w:tabs>
          <w:tab w:val="left" w:pos="6060"/>
        </w:tabs>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3.5 Data Analysis</w:t>
        <w:tab/>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Following data collection, the researchers analysed the questionnaire responses using </w:t>
      </w:r>
      <w:r>
        <w:rPr>
          <w:rFonts w:ascii="Arial" w:eastAsia="Times New Roman" w:cs="Arial" w:hAnsi="Arial"/>
          <w:bCs/>
        </w:rPr>
        <w:t>descriptive</w:t>
      </w:r>
      <w:r>
        <w:rPr>
          <w:rFonts w:ascii="Arial" w:eastAsia="Times New Roman" w:cs="Arial" w:hAnsi="Arial"/>
        </w:rPr>
        <w:t xml:space="preserve"> and </w:t>
      </w:r>
      <w:r>
        <w:rPr>
          <w:rFonts w:ascii="Arial" w:eastAsia="Times New Roman" w:cs="Arial" w:hAnsi="Arial"/>
          <w:bCs/>
        </w:rPr>
        <w:t>non-parametric inferential statistics</w:t>
      </w:r>
      <w:r>
        <w:rPr>
          <w:rFonts w:ascii="Arial" w:eastAsia="Times New Roman" w:cs="Arial" w:hAnsi="Arial"/>
        </w:rPr>
        <w:t xml:space="preserve">. Descriptive statistics summarised demographic information and digital literacy scores, while </w:t>
      </w:r>
      <w:r>
        <w:rPr>
          <w:rFonts w:ascii="Arial" w:eastAsia="Times New Roman" w:cs="Arial" w:hAnsi="Arial"/>
          <w:bCs/>
        </w:rPr>
        <w:t>Mann-Whitney U</w:t>
      </w:r>
      <w:r>
        <w:rPr>
          <w:rFonts w:ascii="Arial" w:eastAsia="Times New Roman" w:cs="Arial" w:hAnsi="Arial"/>
        </w:rPr>
        <w:t xml:space="preserve"> and </w:t>
      </w:r>
      <w:r>
        <w:rPr>
          <w:rFonts w:ascii="Arial" w:eastAsia="Times New Roman" w:cs="Arial" w:hAnsi="Arial"/>
          <w:bCs/>
        </w:rPr>
        <w:t>Kruskal-Wallis</w:t>
      </w:r>
      <w:r>
        <w:rPr>
          <w:rFonts w:ascii="Arial" w:eastAsia="Times New Roman" w:cs="Arial" w:hAnsi="Arial"/>
        </w:rPr>
        <w:t xml:space="preserve"> tests examined differences between participant groups according to age and programme of study (Martzoukou </w:t>
      </w:r>
      <w:r>
        <w:rPr>
          <w:rFonts w:ascii="Arial" w:eastAsia="Times New Roman" w:cs="Arial" w:hAnsi="Arial"/>
          <w:iCs/>
        </w:rPr>
        <w:t>et al</w:t>
      </w:r>
      <w:r>
        <w:rPr>
          <w:rFonts w:ascii="Arial" w:eastAsia="Times New Roman" w:cs="Arial" w:hAnsi="Arial"/>
        </w:rPr>
        <w:t xml:space="preserve">., 2024). These statistical techniques are suitable when data do not satisfy the assumptions required for parametric testing (Field, 2024). Responses to the open-ended questions were analysed using </w:t>
      </w:r>
      <w:r>
        <w:rPr>
          <w:rFonts w:ascii="Arial" w:eastAsia="Times New Roman" w:cs="Arial" w:hAnsi="Arial"/>
          <w:bCs/>
        </w:rPr>
        <w:t>qualitative content analysis</w:t>
      </w:r>
      <w:r>
        <w:rPr>
          <w:rFonts w:ascii="Arial" w:eastAsia="Times New Roman" w:cs="Arial" w:hAnsi="Arial"/>
        </w:rPr>
        <w:t>, allowing common ideas to be organised into meaningful categories (Schreier, 2021). Combining statistical findings with participants' comments enabled the researchers to interpret the results more effectively and identify practical recommendations for improving digital literacy education within healthcare programmes.</w:t>
      </w:r>
    </w:p>
    <w:p>
      <w:pPr>
        <w:spacing w:before="100" w:beforeAutospacing="1" w:after="100" w:afterAutospacing="1" w:line="360" w:lineRule="auto"/>
        <w:jc w:val="both"/>
        <w:outlineLvl w:val="2"/>
        <w:rPr>
          <w:rFonts w:ascii="Arial" w:eastAsia="Times New Roman" w:cs="Arial" w:hAnsi="Arial"/>
          <w:b/>
          <w:bCs/>
        </w:rPr>
      </w:pPr>
      <w:r>
        <w:rPr>
          <w:rFonts w:ascii="Arial" w:eastAsia="Times New Roman" w:cs="Arial" w:hAnsi="Arial"/>
          <w:b/>
          <w:bCs/>
        </w:rPr>
        <w:t>3.6 Evaluation of the Research Methods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The research methodology demonstrates several strengths. Using a validated questionnaire, obtaining ethical approval, testing reliability through </w:t>
      </w:r>
      <w:r>
        <w:rPr>
          <w:rFonts w:ascii="Arial" w:eastAsia="Times New Roman" w:cs="Arial" w:hAnsi="Arial"/>
          <w:bCs/>
        </w:rPr>
        <w:t>Cronbach's alpha</w:t>
      </w:r>
      <w:r>
        <w:rPr>
          <w:rFonts w:ascii="Arial" w:eastAsia="Times New Roman" w:cs="Arial" w:hAnsi="Arial"/>
        </w:rPr>
        <w:t xml:space="preserve"> and applying appropriate statistical analyses increased the credibility and dependability of the findings (Martzoukou </w:t>
      </w:r>
      <w:r>
        <w:rPr>
          <w:rFonts w:ascii="Arial" w:eastAsia="Times New Roman" w:cs="Arial" w:hAnsi="Arial"/>
          <w:iCs/>
        </w:rPr>
        <w:t>et al</w:t>
      </w:r>
      <w:r>
        <w:rPr>
          <w:rFonts w:ascii="Arial" w:eastAsia="Times New Roman" w:cs="Arial" w:hAnsi="Arial"/>
        </w:rPr>
        <w:t>., 2024). Collecting evidence from nursing, midwifery and paramedic students also enabled useful comparisons across healthcare disciplines, providing universities with evidence to strengthen digital skills training before students enter professional practice.</w:t>
      </w:r>
    </w:p>
    <w:p>
      <w:pPr>
        <w:spacing w:before="100" w:beforeAutospacing="1" w:after="100" w:afterAutospacing="1" w:line="360" w:lineRule="auto"/>
        <w:jc w:val="both"/>
        <w:rPr>
          <w:rFonts w:ascii="Arial" w:eastAsia="Times New Roman" w:cs="Arial" w:hAnsi="Arial"/>
        </w:rPr>
      </w:pPr>
      <w:r>
        <w:rPr>
          <w:rFonts w:ascii="Arial" w:cs="Arial" w:hAnsi="Arial"/>
        </w:rPr>
        <w:t>The study has some limitations. As it was conducted in a single Scottish university, the findings may not be generalisable to other settings, and self-reported responses may not accurately represent students' actual digital competence (Polit and Beck, 2021). The cross-sectional design captured data at one point in time only. The methodology provides valuable evidence to support curriculum development and strengthen students' readiness for technology-enabled practice within UK health and social care.</w:t>
      </w:r>
    </w:p>
    <w:p>
      <w:pPr>
        <w:spacing w:before="100" w:beforeAutospacing="1" w:after="100" w:afterAutospacing="1" w:line="360" w:lineRule="auto"/>
        <w:jc w:val="both"/>
        <w:rPr>
          <w:rFonts w:ascii="Arial" w:eastAsia="Times New Roman" w:cs="Arial" w:hAnsi="Arial"/>
          <w:b/>
        </w:rPr>
      </w:pPr>
      <w:r>
        <w:rPr>
          <w:rFonts w:ascii="Arial" w:eastAsia="Times New Roman" w:cs="Arial" w:hAnsi="Arial"/>
          <w:b/>
        </w:rPr>
        <w:t xml:space="preserve">Conclusion </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This report has examined the research conducted by Martzoukou et al. (2024) and demonstrated how a published research paper can be interpreted by analysing its purpose, methodology and contribution to UK health and social care. The report explained how the researchers investigated digital literacy among undergraduate nursing, midwifery and paramedic students and why this issue is increasingly important as healthcare services become more dependent on digital technologies. It also evaluated the quantitative research approach, cross-sectional survey design, primary data collection methods and statistical techniques used to produce reliable findings.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Reviewing the research methodology has shown that selecting appropriate methods is essential for generating credible evidence that can support improvements in healthcare education and professional practice. The study demonstrated how ethical research procedures, reliable data collection tools and suitable analytical methods contribute to trustworthy conclusions. Evaluating both the strengths and limitations of the methodology also highlighted the importance of interpreting research critically before applying findings to real-world healthcare settings.</w:t>
      </w:r>
    </w:p>
    <w:p>
      <w:pPr>
        <w:spacing w:before="100" w:beforeAutospacing="1" w:after="100" w:afterAutospacing="1" w:line="360" w:lineRule="auto"/>
        <w:jc w:val="both"/>
        <w:rPr>
          <w:rFonts w:ascii="Arial" w:eastAsia="Times New Roman" w:cs="Arial" w:hAnsi="Arial"/>
        </w:rPr>
      </w:pPr>
      <w:r>
        <w:rPr>
          <w:rFonts w:ascii="Arial" w:eastAsia="Times New Roman" w:cs="Arial" w:hAnsi="Arial"/>
        </w:rPr>
        <w:t xml:space="preserve">Completing this report has strengthened my understanding of research literacy by improving my ability to identify research designs, evaluate methodological quality and interpret research findings objectively. These skills will support my future academic studies by enabling me to locate credible evidence and critically assess published research. </w:t>
      </w:r>
      <w:r>
        <w:rPr>
          <w:rStyle w:val="20"/>
          <w:rFonts w:ascii="Arial" w:cs="Arial" w:hAnsi="Arial"/>
          <w:b w:val="0"/>
        </w:rPr>
        <w:t>In my future practice,</w:t>
      </w:r>
      <w:r>
        <w:rPr>
          <w:rFonts w:ascii="Arial" w:cs="Arial" w:hAnsi="Arial"/>
        </w:rPr>
        <w:t xml:space="preserve"> this knowledge will support evidence-based decision-making and the delivery of safe, person-centred and technology-enabled care while enabling me to contribute to continuous improvement within UK health and social care services.</w:t>
      </w:r>
    </w:p>
    <w:p>
      <w:pPr>
        <w:tabs>
          <w:tab w:val="left" w:pos="7190"/>
        </w:tabs>
        <w:spacing w:before="100" w:beforeAutospacing="1" w:after="100" w:afterAutospacing="1" w:line="360" w:lineRule="auto"/>
        <w:jc w:val="both"/>
        <w:rPr>
          <w:rFonts w:ascii="Arial" w:eastAsia="Times New Roman" w:cs="Arial" w:hAnsi="Arial"/>
          <w:b/>
        </w:rPr>
      </w:pPr>
      <w:r>
        <w:rPr>
          <w:rFonts w:ascii="Arial" w:eastAsia="Times New Roman" w:cs="Arial" w:hAnsi="Arial"/>
          <w:b/>
        </w:rPr>
        <w:tab/>
      </w:r>
    </w:p>
    <w:p>
      <w:pPr>
        <w:tabs>
          <w:tab w:val="left" w:pos="5320"/>
        </w:tabs>
        <w:spacing w:line="360" w:lineRule="auto"/>
        <w:jc w:val="both"/>
        <w:rPr>
          <w:rFonts w:ascii="Arial" w:cs="Arial" w:hAnsi="Arial"/>
          <w:b/>
        </w:rPr>
      </w:pPr>
    </w:p>
    <w:p>
      <w:pPr>
        <w:tabs>
          <w:tab w:val="left" w:pos="5320"/>
        </w:tabs>
        <w:spacing w:line="360" w:lineRule="auto"/>
        <w:jc w:val="both"/>
        <w:rPr>
          <w:rFonts w:ascii="Arial" w:cs="Arial" w:hAnsi="Arial"/>
          <w:b/>
        </w:rPr>
      </w:pPr>
      <w:r>
        <w:rPr>
          <w:rFonts w:ascii="Arial" w:cs="Arial" w:hAnsi="Arial"/>
          <w:b/>
        </w:rPr>
        <w:t>REFERENCES</w:t>
      </w:r>
    </w:p>
    <w:p>
      <w:pPr>
        <w:pStyle w:val="17"/>
        <w:spacing w:line="360" w:lineRule="auto"/>
        <w:jc w:val="both"/>
        <w:rPr>
          <w:rFonts w:ascii="Arial" w:cs="Arial" w:hAnsi="Arial"/>
          <w:sz w:val="22"/>
          <w:szCs w:val="22"/>
        </w:rPr>
      </w:pPr>
      <w:r>
        <w:rPr>
          <w:rFonts w:ascii="Arial" w:cs="Arial" w:hAnsi="Arial"/>
          <w:sz w:val="22"/>
          <w:szCs w:val="22"/>
        </w:rPr>
        <w:t xml:space="preserve">Field, A. (2024) </w:t>
      </w:r>
      <w:r>
        <w:rPr>
          <w:rStyle w:val="18"/>
          <w:rFonts w:ascii="Arial" w:cs="Arial" w:hAnsi="Arial"/>
          <w:sz w:val="22"/>
          <w:szCs w:val="22"/>
        </w:rPr>
        <w:t>Discovering Statistics Using IBM SPSS Statistics</w:t>
      </w:r>
      <w:r>
        <w:rPr>
          <w:rFonts w:ascii="Arial" w:cs="Arial" w:hAnsi="Arial"/>
          <w:sz w:val="22"/>
          <w:szCs w:val="22"/>
        </w:rPr>
        <w:t>. 6th edn. London: Sage.</w:t>
      </w:r>
    </w:p>
    <w:p>
      <w:pPr>
        <w:pStyle w:val="17"/>
        <w:spacing w:line="360" w:lineRule="auto"/>
        <w:jc w:val="both"/>
        <w:rPr>
          <w:rFonts w:ascii="Arial" w:cs="Arial" w:hAnsi="Arial"/>
          <w:sz w:val="22"/>
          <w:szCs w:val="22"/>
        </w:rPr>
      </w:pPr>
      <w:r>
        <w:rPr>
          <w:rFonts w:ascii="Arial" w:cs="Arial" w:hAnsi="Arial"/>
          <w:sz w:val="22"/>
          <w:szCs w:val="22"/>
        </w:rPr>
        <w:t xml:space="preserve">Gray, J.R. and Grove, S.K. (2021) </w:t>
      </w:r>
      <w:r>
        <w:rPr>
          <w:rStyle w:val="18"/>
          <w:rFonts w:ascii="Arial" w:cs="Arial" w:hAnsi="Arial"/>
          <w:sz w:val="22"/>
          <w:szCs w:val="22"/>
        </w:rPr>
        <w:t>Burns and Grove's The Practice of Nursing Research: Appraisal, Synthesis, and Generation of Evidence</w:t>
      </w:r>
      <w:r>
        <w:rPr>
          <w:rFonts w:ascii="Arial" w:cs="Arial" w:hAnsi="Arial"/>
          <w:sz w:val="22"/>
          <w:szCs w:val="22"/>
        </w:rPr>
        <w:t>. 9th edn. St. Louis: Elsevier.</w:t>
      </w:r>
    </w:p>
    <w:p>
      <w:pPr>
        <w:pStyle w:val="19"/>
        <w:spacing w:line="360" w:lineRule="auto"/>
        <w:jc w:val="both"/>
        <w:rPr>
          <w:rFonts w:ascii="Arial" w:cs="Arial" w:hAnsi="Arial"/>
          <w:sz w:val="22"/>
          <w:szCs w:val="22"/>
        </w:rPr>
      </w:pPr>
      <w:r>
        <w:rPr>
          <w:rFonts w:ascii="Arial" w:cs="Arial" w:hAnsi="Arial"/>
          <w:sz w:val="22"/>
          <w:szCs w:val="22"/>
        </w:rPr>
        <w:t xml:space="preserve">Guetterman, T.C. (2023) </w:t>
      </w:r>
      <w:r>
        <w:rPr>
          <w:rStyle w:val="18"/>
          <w:rFonts w:ascii="Arial" w:cs="Arial" w:hAnsi="Arial"/>
          <w:sz w:val="22"/>
          <w:szCs w:val="22"/>
        </w:rPr>
        <w:t>The Routledge Reviewer’s Guide to Mixed Methods Analysis</w:t>
      </w:r>
      <w:r>
        <w:rPr>
          <w:rFonts w:ascii="Arial" w:cs="Arial" w:hAnsi="Arial"/>
          <w:sz w:val="22"/>
          <w:szCs w:val="22"/>
        </w:rPr>
        <w:t>. London: Routledge.</w:t>
      </w:r>
    </w:p>
    <w:p>
      <w:pPr>
        <w:pStyle w:val="17"/>
        <w:spacing w:line="360" w:lineRule="auto"/>
        <w:jc w:val="both"/>
        <w:rPr>
          <w:rFonts w:ascii="Arial" w:cs="Arial" w:hAnsi="Arial"/>
          <w:sz w:val="22"/>
          <w:szCs w:val="22"/>
        </w:rPr>
      </w:pPr>
      <w:r>
        <w:rPr>
          <w:rFonts w:ascii="Arial" w:cs="Arial" w:hAnsi="Arial"/>
          <w:sz w:val="22"/>
          <w:szCs w:val="22"/>
        </w:rPr>
        <w:t xml:space="preserve">Health Education England (2023) </w:t>
      </w:r>
      <w:r>
        <w:rPr>
          <w:rStyle w:val="18"/>
          <w:rFonts w:ascii="Arial" w:cs="Arial" w:hAnsi="Arial"/>
          <w:sz w:val="22"/>
          <w:szCs w:val="22"/>
        </w:rPr>
        <w:t>A digital framework for the health and care workforce</w:t>
      </w:r>
      <w:r>
        <w:rPr>
          <w:rFonts w:ascii="Arial" w:cs="Arial" w:hAnsi="Arial"/>
          <w:sz w:val="22"/>
          <w:szCs w:val="22"/>
        </w:rPr>
        <w:t>. London: Health Education England.</w:t>
      </w:r>
    </w:p>
    <w:p>
      <w:pPr>
        <w:spacing w:line="360" w:lineRule="auto"/>
        <w:jc w:val="both"/>
        <w:rPr>
          <w:rFonts w:ascii="Arial" w:cs="Arial" w:hAnsi="Arial"/>
        </w:rPr>
      </w:pPr>
      <w:r>
        <w:rPr>
          <w:rFonts w:ascii="Arial" w:cs="Arial" w:hAnsi="Arial"/>
        </w:rPr>
        <w:t xml:space="preserve">Martzoukou, K., Fulton, C., Kostagiolas, P. and Lavranos, C. (2024) 'Digital literacy in higher education: A case study of undergraduate nursing, midwifery and paramedic students', </w:t>
      </w:r>
      <w:r>
        <w:rPr>
          <w:rStyle w:val="18"/>
          <w:rFonts w:ascii="Arial" w:cs="Arial" w:hAnsi="Arial"/>
        </w:rPr>
        <w:t>Nurse Education in Practice</w:t>
      </w:r>
      <w:r>
        <w:rPr>
          <w:rFonts w:ascii="Arial" w:cs="Arial" w:hAnsi="Arial"/>
        </w:rPr>
        <w:t>, 73, 103821.</w:t>
      </w:r>
    </w:p>
    <w:p>
      <w:pPr>
        <w:pStyle w:val="19"/>
        <w:spacing w:line="360" w:lineRule="auto"/>
        <w:jc w:val="both"/>
        <w:rPr>
          <w:rFonts w:ascii="Arial" w:cs="Arial" w:hAnsi="Arial"/>
          <w:sz w:val="22"/>
          <w:szCs w:val="22"/>
        </w:rPr>
      </w:pPr>
      <w:r>
        <w:rPr>
          <w:rFonts w:ascii="Arial" w:cs="Arial" w:hAnsi="Arial"/>
          <w:sz w:val="22"/>
          <w:szCs w:val="22"/>
        </w:rPr>
        <w:t xml:space="preserve">NHS England (2023) </w:t>
      </w:r>
      <w:r>
        <w:rPr>
          <w:rStyle w:val="18"/>
          <w:rFonts w:ascii="Arial" w:cs="Arial" w:hAnsi="Arial"/>
          <w:sz w:val="22"/>
          <w:szCs w:val="22"/>
        </w:rPr>
        <w:t>NHS Long Term Workforce Plan</w:t>
      </w:r>
      <w:r>
        <w:rPr>
          <w:rFonts w:ascii="Arial" w:cs="Arial" w:hAnsi="Arial"/>
          <w:sz w:val="22"/>
          <w:szCs w:val="22"/>
        </w:rPr>
        <w:t>. London: NHS England.</w:t>
      </w:r>
    </w:p>
    <w:p>
      <w:pPr>
        <w:pStyle w:val="19"/>
        <w:spacing w:line="360" w:lineRule="auto"/>
        <w:jc w:val="both"/>
        <w:rPr>
          <w:rFonts w:ascii="Arial" w:cs="Arial" w:hAnsi="Arial"/>
          <w:sz w:val="22"/>
          <w:szCs w:val="22"/>
        </w:rPr>
      </w:pPr>
      <w:r>
        <w:rPr>
          <w:rFonts w:ascii="Arial" w:cs="Arial" w:hAnsi="Arial"/>
          <w:sz w:val="22"/>
          <w:szCs w:val="22"/>
        </w:rPr>
        <w:t xml:space="preserve">Nursing and Midwifery Council (2023) </w:t>
      </w:r>
      <w:r>
        <w:rPr>
          <w:rStyle w:val="18"/>
          <w:rFonts w:ascii="Arial" w:cs="Arial" w:hAnsi="Arial"/>
          <w:sz w:val="22"/>
          <w:szCs w:val="22"/>
        </w:rPr>
        <w:t>The Code: Professional standards of practice and behaviour for nurses, midwives and nursing associates</w:t>
      </w:r>
      <w:r>
        <w:rPr>
          <w:rFonts w:ascii="Arial" w:cs="Arial" w:hAnsi="Arial"/>
          <w:sz w:val="22"/>
          <w:szCs w:val="22"/>
        </w:rPr>
        <w:t>. London: NMC.</w:t>
      </w:r>
    </w:p>
    <w:p>
      <w:pPr>
        <w:pStyle w:val="19"/>
        <w:spacing w:line="360" w:lineRule="auto"/>
        <w:jc w:val="both"/>
        <w:rPr>
          <w:rFonts w:ascii="Arial" w:cs="Arial" w:hAnsi="Arial"/>
          <w:sz w:val="22"/>
          <w:szCs w:val="22"/>
        </w:rPr>
      </w:pPr>
      <w:r>
        <w:rPr>
          <w:rFonts w:ascii="Arial" w:cs="Arial" w:hAnsi="Arial"/>
          <w:sz w:val="22"/>
          <w:szCs w:val="22"/>
        </w:rPr>
        <w:t xml:space="preserve">Pandey, P. and Pandey, M.M. (2021) </w:t>
      </w:r>
      <w:r>
        <w:rPr>
          <w:rStyle w:val="18"/>
          <w:rFonts w:ascii="Arial" w:cs="Arial" w:hAnsi="Arial"/>
          <w:sz w:val="22"/>
          <w:szCs w:val="22"/>
        </w:rPr>
        <w:t>Research Methodology: Tools and Techniques</w:t>
      </w:r>
      <w:r>
        <w:rPr>
          <w:rFonts w:ascii="Arial" w:cs="Arial" w:hAnsi="Arial"/>
          <w:sz w:val="22"/>
          <w:szCs w:val="22"/>
        </w:rPr>
        <w:t>. Bridge Center.</w:t>
      </w:r>
    </w:p>
    <w:p>
      <w:pPr>
        <w:pStyle w:val="19"/>
        <w:spacing w:line="360" w:lineRule="auto"/>
        <w:jc w:val="both"/>
        <w:rPr>
          <w:rFonts w:ascii="Arial" w:cs="Arial" w:hAnsi="Arial"/>
          <w:sz w:val="22"/>
          <w:szCs w:val="22"/>
        </w:rPr>
      </w:pPr>
      <w:r>
        <w:rPr>
          <w:rFonts w:ascii="Arial" w:cs="Arial" w:hAnsi="Arial"/>
          <w:sz w:val="22"/>
          <w:szCs w:val="22"/>
        </w:rPr>
        <w:t xml:space="preserve">Polit, D.F. and Beck, C.T. (2021) </w:t>
      </w:r>
      <w:r>
        <w:rPr>
          <w:rStyle w:val="18"/>
          <w:rFonts w:ascii="Arial" w:cs="Arial" w:hAnsi="Arial"/>
          <w:sz w:val="22"/>
          <w:szCs w:val="22"/>
        </w:rPr>
        <w:t>Essentials of Nursing Research: Appraising Evidence for Nursing Practice</w:t>
      </w:r>
      <w:r>
        <w:rPr>
          <w:rFonts w:ascii="Arial" w:cs="Arial" w:hAnsi="Arial"/>
          <w:sz w:val="22"/>
          <w:szCs w:val="22"/>
        </w:rPr>
        <w:t>. 10th edn. Philadelphia: Wolters Kluwer.</w:t>
      </w:r>
    </w:p>
    <w:p>
      <w:pPr>
        <w:pStyle w:val="19"/>
        <w:spacing w:line="360" w:lineRule="auto"/>
        <w:jc w:val="both"/>
        <w:rPr>
          <w:rFonts w:ascii="Arial" w:cs="Arial" w:hAnsi="Arial"/>
          <w:sz w:val="22"/>
          <w:szCs w:val="22"/>
        </w:rPr>
      </w:pPr>
      <w:r>
        <w:rPr>
          <w:rFonts w:ascii="Arial" w:cs="Arial" w:hAnsi="Arial"/>
          <w:sz w:val="22"/>
          <w:szCs w:val="22"/>
        </w:rPr>
        <w:t xml:space="preserve">Schreier, M. (2021) </w:t>
      </w:r>
      <w:r>
        <w:rPr>
          <w:rStyle w:val="18"/>
          <w:rFonts w:ascii="Arial" w:cs="Arial" w:hAnsi="Arial"/>
          <w:sz w:val="22"/>
          <w:szCs w:val="22"/>
        </w:rPr>
        <w:t>Qualitative Content Analysis in Practice</w:t>
      </w:r>
      <w:r>
        <w:rPr>
          <w:rFonts w:ascii="Arial" w:cs="Arial" w:hAnsi="Arial"/>
          <w:sz w:val="22"/>
          <w:szCs w:val="22"/>
        </w:rPr>
        <w:t>. 2nd edn. London: Sage.</w:t>
      </w:r>
    </w:p>
    <w:p>
      <w:pPr>
        <w:pStyle w:val="19"/>
        <w:spacing w:line="360" w:lineRule="auto"/>
        <w:jc w:val="both"/>
        <w:rPr>
          <w:rFonts w:ascii="Arial" w:cs="Arial" w:hAnsi="Arial"/>
          <w:sz w:val="22"/>
          <w:szCs w:val="22"/>
        </w:rPr>
      </w:pPr>
      <w:r>
        <w:rPr>
          <w:rFonts w:ascii="Arial" w:cs="Arial" w:hAnsi="Arial"/>
          <w:sz w:val="22"/>
          <w:szCs w:val="22"/>
        </w:rPr>
        <w:t xml:space="preserve">Setia, M.S. (2022) 'Methodology Series Module 3: Cross-sectional Studies', </w:t>
      </w:r>
      <w:r>
        <w:rPr>
          <w:rStyle w:val="18"/>
          <w:rFonts w:ascii="Arial" w:cs="Arial" w:hAnsi="Arial"/>
          <w:sz w:val="22"/>
          <w:szCs w:val="22"/>
        </w:rPr>
        <w:t>Indian Journal of Dermatology</w:t>
      </w:r>
      <w:r>
        <w:rPr>
          <w:rFonts w:ascii="Arial" w:cs="Arial" w:hAnsi="Arial"/>
          <w:sz w:val="22"/>
          <w:szCs w:val="22"/>
        </w:rPr>
        <w:t>, 67(1), pp. 1–6.</w:t>
      </w:r>
    </w:p>
    <w:p>
      <w:pPr>
        <w:pStyle w:val="19"/>
        <w:spacing w:line="360" w:lineRule="auto"/>
        <w:jc w:val="both"/>
        <w:rPr>
          <w:rFonts w:ascii="Arial" w:cs="Arial" w:hAnsi="Arial"/>
          <w:sz w:val="22"/>
          <w:szCs w:val="22"/>
        </w:rPr>
      </w:pPr>
      <w:r>
        <w:rPr>
          <w:rFonts w:ascii="Arial" w:cs="Arial" w:hAnsi="Arial"/>
          <w:sz w:val="22"/>
          <w:szCs w:val="22"/>
        </w:rPr>
        <w:t xml:space="preserve">Silverman, D. (2021) </w:t>
      </w:r>
      <w:r>
        <w:rPr>
          <w:rStyle w:val="18"/>
          <w:rFonts w:ascii="Arial" w:cs="Arial" w:hAnsi="Arial"/>
          <w:sz w:val="22"/>
          <w:szCs w:val="22"/>
        </w:rPr>
        <w:t>Qualitative Research</w:t>
      </w:r>
      <w:r>
        <w:rPr>
          <w:rFonts w:ascii="Arial" w:cs="Arial" w:hAnsi="Arial"/>
          <w:sz w:val="22"/>
          <w:szCs w:val="22"/>
        </w:rPr>
        <w:t>. 5th edn. London: Sage.</w:t>
      </w:r>
    </w:p>
    <w:p>
      <w:pPr>
        <w:pStyle w:val="19"/>
        <w:spacing w:line="360" w:lineRule="auto"/>
        <w:jc w:val="both"/>
        <w:rPr>
          <w:rFonts w:ascii="Arial" w:cs="Arial" w:hAnsi="Arial"/>
          <w:sz w:val="22"/>
          <w:szCs w:val="22"/>
        </w:rPr>
      </w:pPr>
      <w:r>
        <w:rPr>
          <w:rFonts w:ascii="Arial" w:cs="Arial" w:hAnsi="Arial"/>
          <w:sz w:val="22"/>
          <w:szCs w:val="22"/>
        </w:rPr>
        <w:t xml:space="preserve">Taherdoost, H. (2022) 'What are different research approaches? Comprehensive review of qualitative, quantitative and mixed method research, their applications, types and limitations', </w:t>
      </w:r>
      <w:r>
        <w:rPr>
          <w:rStyle w:val="18"/>
          <w:rFonts w:ascii="Arial" w:cs="Arial" w:hAnsi="Arial"/>
          <w:sz w:val="22"/>
          <w:szCs w:val="22"/>
        </w:rPr>
        <w:t>Journal of Management Science and Engineering Research</w:t>
      </w:r>
      <w:r>
        <w:rPr>
          <w:rFonts w:ascii="Arial" w:cs="Arial" w:hAnsi="Arial"/>
          <w:sz w:val="22"/>
          <w:szCs w:val="22"/>
        </w:rPr>
        <w:t>, 5(1), pp. 53–63.</w:t>
      </w:r>
    </w:p>
    <w:p>
      <w:pPr>
        <w:pStyle w:val="19"/>
        <w:spacing w:line="360" w:lineRule="auto"/>
        <w:jc w:val="both"/>
        <w:rPr>
          <w:rFonts w:ascii="Arial" w:cs="Arial" w:hAnsi="Arial"/>
          <w:sz w:val="22"/>
          <w:szCs w:val="22"/>
        </w:rPr>
      </w:pPr>
      <w:r>
        <w:rPr>
          <w:rFonts w:ascii="Arial" w:cs="Arial" w:hAnsi="Arial"/>
          <w:sz w:val="22"/>
          <w:szCs w:val="22"/>
        </w:rPr>
        <w:t xml:space="preserve">von Elm, E., Altman, D.G., Egger, M., Pocock, S.J., Gøtzsche, P.C. and Vandenbroucke, J.P. (2021) 'The Strengthening the Reporting of Observational Studies in Epidemiology (STROBE) Statement', </w:t>
      </w:r>
      <w:r>
        <w:rPr>
          <w:rStyle w:val="18"/>
          <w:rFonts w:ascii="Arial" w:cs="Arial" w:hAnsi="Arial"/>
          <w:sz w:val="22"/>
          <w:szCs w:val="22"/>
        </w:rPr>
        <w:t>International Journal of Surgery</w:t>
      </w:r>
      <w:r>
        <w:rPr>
          <w:rFonts w:ascii="Arial" w:cs="Arial" w:hAnsi="Arial"/>
          <w:sz w:val="22"/>
          <w:szCs w:val="22"/>
        </w:rPr>
        <w:t>, 95, 106182.</w:t>
      </w:r>
    </w:p>
    <w:p>
      <w:pPr>
        <w:pStyle w:val="19"/>
        <w:spacing w:line="360" w:lineRule="auto"/>
        <w:jc w:val="both"/>
        <w:rPr>
          <w:rFonts w:ascii="Arial" w:cs="Arial" w:hAnsi="Arial"/>
          <w:sz w:val="22"/>
          <w:szCs w:val="22"/>
        </w:rPr>
      </w:pPr>
      <w:r>
        <w:rPr>
          <w:rFonts w:ascii="Arial" w:cs="Arial" w:hAnsi="Arial"/>
          <w:sz w:val="22"/>
          <w:szCs w:val="22"/>
        </w:rPr>
        <w:t xml:space="preserve">Walliman, N. (2021) </w:t>
      </w:r>
      <w:r>
        <w:rPr>
          <w:rStyle w:val="18"/>
          <w:rFonts w:ascii="Arial" w:cs="Arial" w:hAnsi="Arial"/>
          <w:sz w:val="22"/>
          <w:szCs w:val="22"/>
        </w:rPr>
        <w:t>Research Methods: The Basics</w:t>
      </w:r>
      <w:r>
        <w:rPr>
          <w:rFonts w:ascii="Arial" w:cs="Arial" w:hAnsi="Arial"/>
          <w:sz w:val="22"/>
          <w:szCs w:val="22"/>
        </w:rPr>
        <w:t>. 3rd edn. London: Routledge.</w:t>
      </w:r>
    </w:p>
    <w:sectPr>
      <w:footerReference w:type="default" r:id="rId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Luxi Sans">
    <w:altName w:val="Droid Sans"/>
    <w:panose1 w:val="00000000000000000000"/>
    <w:charset w:val="00"/>
    <w:family w:val="auto"/>
    <w:pitch w:val="variable"/>
    <w:sig w:usb0="00000000" w:usb1="00000000" w:usb2="00000000" w:usb3="00000000" w:csb0="00000000" w:csb1="00000000"/>
  </w:font>
  <w:font w:name="HONOR black body">
    <w:altName w:val="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643137146"/>
      <w:docPartObj>
        <w:docPartGallery/>
        <w:docPartUnique/>
      </w:docPartObj>
    </w:sdtPr>
    <w:sdtContent>
      <w:p>
        <w:pPr>
          <w:pStyle w:val="16"/>
          <w:tabs>
            <w:tab w:val="center" w:pos="4680"/>
            <w:tab w:val="right" w:pos="9360"/>
          </w:tabs>
          <w:jc w:val="right"/>
        </w:pPr>
        <w:r>
          <w:fldChar w:fldCharType="begin"/>
        </w:r>
        <w:r>
          <w:instrText xml:space="preserve"> PAGE   \* MERGEFORMAT </w:instrText>
        </w:r>
        <w:r>
          <w:fldChar w:fldCharType="separate"/>
        </w:r>
        <w:r>
          <w:t>9</w:t>
        </w:r>
        <w:r>
          <w:fldChar w:fldCharType="end"/>
        </w:r>
      </w:p>
    </w:sdtContent>
  </w:sdt>
  <w:p>
    <w:pPr>
      <w:pStyle w:val="16"/>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91"/>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Calibri" w:eastAsia="Calibri" w:cs="Arial" w:hAnsi="Calibri"/>
      <w:sz w:val="22"/>
      <w:szCs w:val="22"/>
      <w:lang w:val="en-US" w:eastAsia="en-US" w:bidi="ar-SA"/>
    </w:rPr>
  </w:style>
  <w:style w:type="paragraph" w:styleId="1">
    <w:name w:val="heading 1"/>
    <w:basedOn w:val="0"/>
    <w:next w:val="0"/>
    <w:pPr>
      <w:keepNext/>
      <w:keepLines/>
      <w:spacing w:before="340" w:after="330" w:line="578" w:lineRule="auto"/>
      <w:outlineLvl w:val="0"/>
    </w:pPr>
    <w:rPr>
      <w:b/>
      <w:bCs/>
      <w:kern w:val="44"/>
      <w:sz w:val="44"/>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pdq2pg_selectionanchorcontainer"/>
    <w:basedOn w:val="0"/>
    <w:pPr>
      <w:spacing w:before="100" w:beforeAutospacing="1" w:after="100" w:afterAutospacing="1" w:line="240" w:lineRule="auto"/>
    </w:pPr>
    <w:rPr>
      <w:rFonts w:ascii="Times New Roman" w:eastAsia="Times New Roman" w:cs="Times New Roman" w:hAnsi="Times New Roman"/>
      <w:sz w:val="24"/>
      <w:szCs w:val="24"/>
    </w:rPr>
  </w:style>
  <w:style w:type="character" w:styleId="18">
    <w:name w:val="Emphasis"/>
    <w:basedOn w:val="10"/>
    <w:rPr>
      <w:i/>
      <w:iCs/>
    </w:rPr>
  </w:style>
  <w:style w:type="paragraph" w:styleId="19">
    <w:name w:val="Normal (Web)"/>
    <w:basedOn w:val="0"/>
    <w:pPr>
      <w:spacing w:before="100" w:beforeAutospacing="1" w:after="100" w:afterAutospacing="1" w:line="240" w:lineRule="auto"/>
    </w:pPr>
    <w:rPr>
      <w:rFonts w:ascii="Times New Roman" w:eastAsia="Times New Roman" w:cs="Times New Roman" w:hAnsi="Times New Roman"/>
      <w:sz w:val="24"/>
      <w:szCs w:val="24"/>
    </w:rPr>
  </w:style>
  <w:style w:type="character" w:styleId="20">
    <w:name w:val="Strong"/>
    <w:basedOn w:val="10"/>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85</TotalTime>
  <Application>Honor_Office</Application>
  <Pages>9</Pages>
  <Words>1997</Words>
  <Characters>14235</Characters>
  <Lines>232</Lines>
  <Paragraphs>66</Paragraphs>
  <CharactersWithSpaces>16169</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Zuhra Asghar</dc:creator>
  <cp:lastModifiedBy>HONOR Docs</cp:lastModifiedBy>
  <cp:revision>7</cp:revision>
  <dcterms:created xsi:type="dcterms:W3CDTF">2026-07-12T12:21:00Z</dcterms:created>
  <dcterms:modified xsi:type="dcterms:W3CDTF">2026-07-13T15:01:05Z</dcterms:modified>
</cp:coreProperties>
</file>