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1EB2ED0E" w14:textId="77777777" w:rsidR="00B945EA" w:rsidRDefault="00B945EA" w:rsidP="00B945EA">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4F568B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A73B42">
              <w:rPr>
                <w:rFonts w:ascii="Tahoma" w:hAnsi="Tahoma" w:cs="Tahoma"/>
                <w:b/>
                <w:sz w:val="20"/>
                <w:szCs w:val="20"/>
              </w:rPr>
              <w:t xml:space="preserve"> </w:t>
            </w:r>
            <w:r w:rsidR="00A73B42" w:rsidRPr="00A73B42">
              <w:rPr>
                <w:rFonts w:ascii="Tahoma" w:hAnsi="Tahoma" w:cs="Tahoma"/>
                <w:bCs/>
                <w:sz w:val="20"/>
                <w:szCs w:val="20"/>
              </w:rPr>
              <w:t xml:space="preserve">Mrs </w:t>
            </w:r>
            <w:proofErr w:type="spellStart"/>
            <w:r w:rsidR="00A73B42" w:rsidRPr="00A73B42">
              <w:rPr>
                <w:rFonts w:ascii="Tahoma" w:hAnsi="Tahoma" w:cs="Tahoma"/>
                <w:bCs/>
                <w:sz w:val="20"/>
                <w:szCs w:val="20"/>
              </w:rPr>
              <w:t>Rahima</w:t>
            </w:r>
            <w:proofErr w:type="spellEnd"/>
            <w:r w:rsidR="00A73B42" w:rsidRPr="00A73B42">
              <w:rPr>
                <w:rFonts w:ascii="Tahoma" w:hAnsi="Tahoma" w:cs="Tahoma"/>
                <w:bCs/>
                <w:sz w:val="20"/>
                <w:szCs w:val="20"/>
              </w:rPr>
              <w:t xml:space="preserve"> Begum</w:t>
            </w:r>
            <w:r w:rsidR="003478CE">
              <w:rPr>
                <w:rFonts w:ascii="Tahoma" w:hAnsi="Tahoma" w:cs="Tahoma"/>
                <w:b/>
                <w:sz w:val="20"/>
                <w:szCs w:val="20"/>
              </w:rPr>
              <w:t xml:space="preserve"> </w:t>
            </w:r>
          </w:p>
          <w:p w14:paraId="498F0B10" w14:textId="77777777" w:rsidR="001B69C8" w:rsidRPr="003C3341" w:rsidRDefault="001B69C8">
            <w:pPr>
              <w:rPr>
                <w:rFonts w:ascii="Tahoma" w:hAnsi="Tahoma" w:cs="Tahoma"/>
                <w:b/>
                <w:sz w:val="20"/>
                <w:szCs w:val="20"/>
              </w:rPr>
            </w:pPr>
          </w:p>
          <w:p w14:paraId="420FE340" w14:textId="71CFEA90" w:rsidR="00A73B42" w:rsidRPr="00A73B42" w:rsidRDefault="001B69C8" w:rsidP="00A73B42">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73B42">
              <w:rPr>
                <w:rFonts w:ascii="Calibri" w:hAnsi="Calibri" w:cs="Calibri"/>
                <w:color w:val="000000"/>
                <w:sz w:val="22"/>
                <w:szCs w:val="22"/>
              </w:rPr>
              <w:t>2121103</w:t>
            </w:r>
          </w:p>
          <w:p w14:paraId="69E1F0CF" w14:textId="33C7D68B" w:rsidR="00B21F2E" w:rsidRPr="003C3341" w:rsidRDefault="00B21F2E">
            <w:pPr>
              <w:rPr>
                <w:rFonts w:ascii="Tahoma" w:hAnsi="Tahoma" w:cs="Tahoma"/>
                <w:b/>
                <w:sz w:val="20"/>
                <w:szCs w:val="20"/>
              </w:rPr>
            </w:pP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FA6D49A"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24657B">
        <w:tc>
          <w:tcPr>
            <w:tcW w:w="3983" w:type="dxa"/>
            <w:shd w:val="clear" w:color="auto" w:fill="FBD4B4" w:themeFill="accent6" w:themeFillTint="66"/>
          </w:tcPr>
          <w:p w14:paraId="15299B24" w14:textId="1C4A1BAD" w:rsidR="00B21F2E" w:rsidRPr="00946B23" w:rsidRDefault="00CC6485" w:rsidP="00B21F2E">
            <w:pPr>
              <w:rPr>
                <w:rFonts w:ascii="Tahoma" w:hAnsi="Tahoma" w:cs="Tahoma"/>
                <w:b/>
                <w:sz w:val="20"/>
                <w:szCs w:val="20"/>
              </w:rPr>
            </w:pPr>
            <w:r>
              <w:rPr>
                <w:rFonts w:ascii="Tahoma" w:hAnsi="Tahoma" w:cs="Tahoma"/>
                <w:b/>
                <w:sz w:val="20"/>
                <w:szCs w:val="20"/>
              </w:rPr>
              <w:t>The topic</w:t>
            </w:r>
            <w:r w:rsidR="008F0D83">
              <w:rPr>
                <w:rFonts w:ascii="Tahoma" w:hAnsi="Tahoma" w:cs="Tahoma"/>
                <w:b/>
                <w:sz w:val="20"/>
                <w:szCs w:val="20"/>
              </w:rPr>
              <w:t xml:space="preserve"> of choice:</w:t>
            </w:r>
            <w:r w:rsidR="00B60FDF">
              <w:rPr>
                <w:rFonts w:ascii="Tahoma" w:hAnsi="Tahoma" w:cs="Tahoma"/>
                <w:b/>
                <w:sz w:val="20"/>
                <w:szCs w:val="20"/>
              </w:rPr>
              <w:t xml:space="preserve"> </w:t>
            </w:r>
          </w:p>
        </w:tc>
        <w:tc>
          <w:tcPr>
            <w:tcW w:w="7199" w:type="dxa"/>
            <w:shd w:val="clear" w:color="auto" w:fill="FBD4B4" w:themeFill="accent6" w:themeFillTint="66"/>
          </w:tcPr>
          <w:p w14:paraId="7713ED4F" w14:textId="67A35377" w:rsidR="00FF19DA" w:rsidRPr="00B06658" w:rsidRDefault="00FF19DA" w:rsidP="00FF19DA">
            <w:pPr>
              <w:pStyle w:val="NormalWeb"/>
              <w:rPr>
                <w:rFonts w:ascii="SymbolMT" w:hAnsi="SymbolMT"/>
                <w:b/>
              </w:rPr>
            </w:pPr>
            <w:r w:rsidRPr="00B06658">
              <w:rPr>
                <w:rFonts w:ascii="Calibri" w:hAnsi="Calibri" w:cs="Calibri"/>
                <w:b/>
              </w:rPr>
              <w:t>Ratings, Inspections</w:t>
            </w:r>
            <w:r w:rsidR="00CC6485" w:rsidRPr="00B06658">
              <w:rPr>
                <w:rFonts w:ascii="Calibri" w:hAnsi="Calibri" w:cs="Calibri"/>
                <w:b/>
              </w:rPr>
              <w:t>,</w:t>
            </w:r>
            <w:r w:rsidRPr="00B06658">
              <w:rPr>
                <w:rFonts w:ascii="Calibri" w:hAnsi="Calibri" w:cs="Calibri"/>
                <w:b/>
              </w:rPr>
              <w:t xml:space="preserve"> and Reporting Procedures </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bl>
    <w:p w14:paraId="1BED9032" w14:textId="77777777" w:rsidR="00B03AEE" w:rsidRDefault="00B03AEE"/>
    <w:tbl>
      <w:tblPr>
        <w:tblStyle w:val="TableGrid"/>
        <w:tblW w:w="0" w:type="auto"/>
        <w:tblLook w:val="01E0" w:firstRow="1" w:lastRow="1" w:firstColumn="1" w:lastColumn="1" w:noHBand="0" w:noVBand="0"/>
      </w:tblPr>
      <w:tblGrid>
        <w:gridCol w:w="11182"/>
      </w:tblGrid>
      <w:tr w:rsidR="00B945EA" w:rsidRPr="003C3341" w14:paraId="60CC0225" w14:textId="77777777" w:rsidTr="00B03AEE">
        <w:trPr>
          <w:trHeight w:val="3140"/>
        </w:trPr>
        <w:tc>
          <w:tcPr>
            <w:tcW w:w="11182" w:type="dxa"/>
          </w:tcPr>
          <w:p w14:paraId="0831D54A" w14:textId="77777777" w:rsidR="00B945EA" w:rsidRDefault="00B945EA" w:rsidP="00A65C1D">
            <w:pPr>
              <w:rPr>
                <w:rFonts w:ascii="Tahoma" w:hAnsi="Tahoma" w:cs="Tahoma"/>
                <w:sz w:val="20"/>
                <w:szCs w:val="20"/>
              </w:rPr>
            </w:pPr>
          </w:p>
          <w:p w14:paraId="49BA35F0" w14:textId="574564A2" w:rsidR="004F3368" w:rsidRPr="00B03AEE" w:rsidRDefault="004F3368" w:rsidP="00CC6485">
            <w:pPr>
              <w:spacing w:line="360" w:lineRule="auto"/>
              <w:jc w:val="both"/>
              <w:rPr>
                <w:rFonts w:asciiTheme="majorBidi" w:hAnsiTheme="majorBidi" w:cstheme="majorBidi"/>
              </w:rPr>
            </w:pPr>
            <w:r w:rsidRPr="00B03AEE">
              <w:rPr>
                <w:rFonts w:asciiTheme="majorBidi" w:hAnsiTheme="majorBidi" w:cstheme="majorBidi"/>
              </w:rPr>
              <w:t xml:space="preserve">The </w:t>
            </w:r>
            <w:r w:rsidR="004B5079" w:rsidRPr="00B03AEE">
              <w:rPr>
                <w:rFonts w:asciiTheme="majorBidi" w:hAnsiTheme="majorBidi" w:cstheme="majorBidi"/>
              </w:rPr>
              <w:t>Journal</w:t>
            </w:r>
            <w:r w:rsidRPr="00B03AEE">
              <w:rPr>
                <w:rFonts w:asciiTheme="majorBidi" w:hAnsiTheme="majorBidi" w:cstheme="majorBidi"/>
              </w:rPr>
              <w:t xml:space="preserve"> I read was called "Ratings, Inspections and Reporting Procedures". It was written by an author </w:t>
            </w:r>
            <w:r w:rsidR="00B06658" w:rsidRPr="00B03AEE">
              <w:t xml:space="preserve">Janet </w:t>
            </w:r>
            <w:r w:rsidR="00B06658" w:rsidRPr="00B03AEE">
              <w:rPr>
                <w:i/>
              </w:rPr>
              <w:t xml:space="preserve">Fleetwood et al, </w:t>
            </w:r>
            <w:r w:rsidRPr="00B03AEE">
              <w:rPr>
                <w:rFonts w:asciiTheme="majorBidi" w:hAnsiTheme="majorBidi" w:cstheme="majorBidi"/>
              </w:rPr>
              <w:t xml:space="preserve">who </w:t>
            </w:r>
            <w:r w:rsidR="00B06658" w:rsidRPr="00B03AEE">
              <w:rPr>
                <w:rFonts w:asciiTheme="majorBidi" w:hAnsiTheme="majorBidi" w:cstheme="majorBidi"/>
              </w:rPr>
              <w:t>has a great experience of working</w:t>
            </w:r>
            <w:r w:rsidRPr="00B03AEE">
              <w:rPr>
                <w:rFonts w:asciiTheme="majorBidi" w:hAnsiTheme="majorBidi" w:cstheme="majorBidi"/>
              </w:rPr>
              <w:t xml:space="preserve"> in the food industry.</w:t>
            </w:r>
            <w:r w:rsidR="00B06658" w:rsidRPr="00B03AEE">
              <w:rPr>
                <w:rFonts w:asciiTheme="majorBidi" w:hAnsiTheme="majorBidi" w:cstheme="majorBidi"/>
              </w:rPr>
              <w:t xml:space="preserve"> The Journal titled </w:t>
            </w:r>
            <w:r w:rsidR="00B06658" w:rsidRPr="00B03AEE">
              <w:rPr>
                <w:rFonts w:asciiTheme="majorBidi" w:hAnsiTheme="majorBidi" w:cstheme="majorBidi"/>
                <w:b/>
                <w:i/>
              </w:rPr>
              <w:t>“</w:t>
            </w:r>
            <w:r w:rsidR="00B06658" w:rsidRPr="00B03AEE">
              <w:rPr>
                <w:b/>
                <w:i/>
              </w:rPr>
              <w:t>As clean as they look? Food hygiene inspection scores, microbiological contamination, and foodborne illness</w:t>
            </w:r>
            <w:r w:rsidR="00B06658" w:rsidRPr="00B03AEE">
              <w:rPr>
                <w:rFonts w:asciiTheme="majorBidi" w:hAnsiTheme="majorBidi" w:cstheme="majorBidi"/>
                <w:b/>
              </w:rPr>
              <w:t>”.</w:t>
            </w:r>
            <w:r w:rsidR="009D777D" w:rsidRPr="00B03AEE">
              <w:rPr>
                <w:rFonts w:asciiTheme="majorBidi" w:hAnsiTheme="majorBidi" w:cstheme="majorBidi"/>
                <w:i/>
              </w:rPr>
              <w:t xml:space="preserve"> </w:t>
            </w:r>
            <w:r w:rsidR="009D777D" w:rsidRPr="00B03AEE">
              <w:rPr>
                <w:rFonts w:asciiTheme="majorBidi" w:hAnsiTheme="majorBidi" w:cstheme="majorBidi"/>
              </w:rPr>
              <w:t>In the United Kingdom, the ratings, inspections</w:t>
            </w:r>
            <w:r w:rsidR="00CC6485" w:rsidRPr="00B03AEE">
              <w:rPr>
                <w:rFonts w:asciiTheme="majorBidi" w:hAnsiTheme="majorBidi" w:cstheme="majorBidi"/>
              </w:rPr>
              <w:t>,</w:t>
            </w:r>
            <w:r w:rsidR="009D777D" w:rsidRPr="00B03AEE">
              <w:rPr>
                <w:rFonts w:asciiTheme="majorBidi" w:hAnsiTheme="majorBidi" w:cstheme="majorBidi"/>
              </w:rPr>
              <w:t xml:space="preserve"> and reporting procedures for food businesses are regulated by the Food Standards Agency (FSA)</w:t>
            </w:r>
            <w:r w:rsidR="009D777D" w:rsidRPr="00B03AEE">
              <w:rPr>
                <w:rFonts w:asciiTheme="majorBidi" w:hAnsiTheme="majorBidi" w:cstheme="majorBidi"/>
                <w:i/>
              </w:rPr>
              <w:t>.</w:t>
            </w:r>
            <w:r w:rsidR="009D777D" w:rsidRPr="00B03AEE">
              <w:rPr>
                <w:rFonts w:asciiTheme="majorBidi" w:hAnsiTheme="majorBidi" w:cstheme="majorBidi"/>
              </w:rPr>
              <w:t xml:space="preserve"> The FSA is responsible for ensuring that food businesses comply with food safety and hygiene regulations</w:t>
            </w:r>
            <w:r w:rsidR="004A4AE4" w:rsidRPr="00B03AEE">
              <w:rPr>
                <w:rFonts w:asciiTheme="majorBidi" w:hAnsiTheme="majorBidi" w:cstheme="majorBidi"/>
              </w:rPr>
              <w:t xml:space="preserve"> (</w:t>
            </w:r>
            <w:proofErr w:type="spellStart"/>
            <w:r w:rsidR="004A4AE4" w:rsidRPr="00B03AEE">
              <w:rPr>
                <w:rFonts w:asciiTheme="majorBidi" w:hAnsiTheme="majorBidi" w:cstheme="majorBidi"/>
              </w:rPr>
              <w:t>Borraz</w:t>
            </w:r>
            <w:proofErr w:type="spellEnd"/>
            <w:r w:rsidR="004A4AE4" w:rsidRPr="00B03AEE">
              <w:rPr>
                <w:rFonts w:asciiTheme="majorBidi" w:hAnsiTheme="majorBidi" w:cstheme="majorBidi"/>
              </w:rPr>
              <w:t>, 2022)</w:t>
            </w:r>
            <w:r w:rsidR="009D777D" w:rsidRPr="00B03AEE">
              <w:rPr>
                <w:rFonts w:asciiTheme="majorBidi" w:hAnsiTheme="majorBidi" w:cstheme="majorBidi"/>
              </w:rPr>
              <w:t>.</w:t>
            </w:r>
          </w:p>
          <w:p w14:paraId="200DC046" w14:textId="01F4D9AB" w:rsidR="004F3368" w:rsidRPr="00B03AEE" w:rsidRDefault="004F3368" w:rsidP="00CC6485">
            <w:pPr>
              <w:spacing w:line="360" w:lineRule="auto"/>
              <w:jc w:val="both"/>
              <w:rPr>
                <w:rFonts w:asciiTheme="majorBidi" w:hAnsiTheme="majorBidi" w:cstheme="majorBidi"/>
              </w:rPr>
            </w:pPr>
            <w:r w:rsidRPr="00B03AEE">
              <w:rPr>
                <w:rFonts w:asciiTheme="majorBidi" w:hAnsiTheme="majorBidi" w:cstheme="majorBidi"/>
              </w:rPr>
              <w:t>The article explains the different types of ratings and inspections that are carried out on food businesses, as well as the reporting procedures that are in place. It was interesting to learn about the different types of ratings and inspections that are carried out, and how these can be used to improve food safety.</w:t>
            </w:r>
            <w:r w:rsidR="00A616AC" w:rsidRPr="00B03AEE">
              <w:rPr>
                <w:rFonts w:asciiTheme="majorBidi" w:hAnsiTheme="majorBidi" w:cstheme="majorBidi"/>
              </w:rPr>
              <w:t xml:space="preserve"> Ratings, inspections, and reporting procedures are used in the foodservice industry to help ensure that food is safe for consumption and that restaurants are following all of the necessary food safety guidelines</w:t>
            </w:r>
            <w:r w:rsidR="0013702A" w:rsidRPr="00B03AEE">
              <w:rPr>
                <w:rFonts w:asciiTheme="majorBidi" w:hAnsiTheme="majorBidi" w:cstheme="majorBidi"/>
              </w:rPr>
              <w:t xml:space="preserve"> (Choi, 2019)</w:t>
            </w:r>
            <w:r w:rsidR="00A616AC" w:rsidRPr="00B03AEE">
              <w:rPr>
                <w:rFonts w:asciiTheme="majorBidi" w:hAnsiTheme="majorBidi" w:cstheme="majorBidi"/>
              </w:rPr>
              <w:t xml:space="preserve">. Ratings are typically given by third-party organizations, such as the Better Business Bureau, and can be based on </w:t>
            </w:r>
            <w:r w:rsidR="00CC6485" w:rsidRPr="00B03AEE">
              <w:rPr>
                <w:rFonts w:asciiTheme="majorBidi" w:hAnsiTheme="majorBidi" w:cstheme="majorBidi"/>
              </w:rPr>
              <w:t>several</w:t>
            </w:r>
            <w:r w:rsidR="00A616AC" w:rsidRPr="00B03AEE">
              <w:rPr>
                <w:rFonts w:asciiTheme="majorBidi" w:hAnsiTheme="majorBidi" w:cstheme="majorBidi"/>
              </w:rPr>
              <w:t xml:space="preserve"> factors, including the cleanliness of the restaurant, the quality of the food, and the overall dining experience. Inspections are usually conducted by government agencies, such as the health department, and are designed to identify any potential health hazards in a restaurant. Reporting procedures are typically put in place by restaurants themselves, and allow customers to report any issues they may have experienced while dining</w:t>
            </w:r>
            <w:r w:rsidR="00E82481" w:rsidRPr="00B03AEE">
              <w:rPr>
                <w:rFonts w:asciiTheme="majorBidi" w:hAnsiTheme="majorBidi" w:cstheme="majorBidi"/>
              </w:rPr>
              <w:t xml:space="preserve"> (Fleetwood, 2019)</w:t>
            </w:r>
            <w:r w:rsidR="00A616AC" w:rsidRPr="00B03AEE">
              <w:rPr>
                <w:rFonts w:asciiTheme="majorBidi" w:hAnsiTheme="majorBidi" w:cstheme="majorBidi"/>
              </w:rPr>
              <w:t>.</w:t>
            </w:r>
          </w:p>
          <w:p w14:paraId="0EC80C59" w14:textId="6AED5A5E" w:rsidR="00A616AC" w:rsidRPr="00B03AEE" w:rsidRDefault="00A616AC" w:rsidP="00CC6485">
            <w:pPr>
              <w:spacing w:line="360" w:lineRule="auto"/>
              <w:jc w:val="both"/>
              <w:rPr>
                <w:rFonts w:asciiTheme="majorBidi" w:hAnsiTheme="majorBidi" w:cstheme="majorBidi"/>
              </w:rPr>
            </w:pPr>
            <w:r w:rsidRPr="00B03AEE">
              <w:rPr>
                <w:rFonts w:asciiTheme="majorBidi" w:hAnsiTheme="majorBidi" w:cstheme="majorBidi"/>
              </w:rPr>
              <w:t xml:space="preserve">While ratings, inspections, and reporting procedures may seem like a lot of work, they are essential to the foodservice industry. By taking the time to rating restaurants and conducting inspections, </w:t>
            </w:r>
            <w:r w:rsidR="00CC6485" w:rsidRPr="00B03AEE">
              <w:rPr>
                <w:rFonts w:asciiTheme="majorBidi" w:hAnsiTheme="majorBidi" w:cstheme="majorBidi"/>
              </w:rPr>
              <w:t>citizens</w:t>
            </w:r>
            <w:r w:rsidRPr="00B03AEE">
              <w:rPr>
                <w:rFonts w:asciiTheme="majorBidi" w:hAnsiTheme="majorBidi" w:cstheme="majorBidi"/>
              </w:rPr>
              <w:t xml:space="preserve"> </w:t>
            </w:r>
            <w:r w:rsidR="00CC6485" w:rsidRPr="00B03AEE">
              <w:rPr>
                <w:rFonts w:asciiTheme="majorBidi" w:hAnsiTheme="majorBidi" w:cstheme="majorBidi"/>
              </w:rPr>
              <w:t>can</w:t>
            </w:r>
            <w:r w:rsidRPr="00B03AEE">
              <w:rPr>
                <w:rFonts w:asciiTheme="majorBidi" w:hAnsiTheme="majorBidi" w:cstheme="majorBidi"/>
              </w:rPr>
              <w:t xml:space="preserve"> ensure that the food </w:t>
            </w:r>
            <w:r w:rsidR="00CC6485" w:rsidRPr="00B03AEE">
              <w:rPr>
                <w:rFonts w:asciiTheme="majorBidi" w:hAnsiTheme="majorBidi" w:cstheme="majorBidi"/>
              </w:rPr>
              <w:t>they</w:t>
            </w:r>
            <w:r w:rsidRPr="00B03AEE">
              <w:rPr>
                <w:rFonts w:asciiTheme="majorBidi" w:hAnsiTheme="majorBidi" w:cstheme="majorBidi"/>
              </w:rPr>
              <w:t xml:space="preserve"> are eating is safe and of the highest quality. In addition, by reporting any issues </w:t>
            </w:r>
            <w:r w:rsidR="00CC6485" w:rsidRPr="00B03AEE">
              <w:rPr>
                <w:rFonts w:asciiTheme="majorBidi" w:hAnsiTheme="majorBidi" w:cstheme="majorBidi"/>
              </w:rPr>
              <w:t>they</w:t>
            </w:r>
            <w:r w:rsidRPr="00B03AEE">
              <w:rPr>
                <w:rFonts w:asciiTheme="majorBidi" w:hAnsiTheme="majorBidi" w:cstheme="majorBidi"/>
              </w:rPr>
              <w:t xml:space="preserve"> may have experienced while dining, </w:t>
            </w:r>
            <w:r w:rsidR="00CC6485" w:rsidRPr="00B03AEE">
              <w:rPr>
                <w:rFonts w:asciiTheme="majorBidi" w:hAnsiTheme="majorBidi" w:cstheme="majorBidi"/>
              </w:rPr>
              <w:t>they</w:t>
            </w:r>
            <w:r w:rsidRPr="00B03AEE">
              <w:rPr>
                <w:rFonts w:asciiTheme="majorBidi" w:hAnsiTheme="majorBidi" w:cstheme="majorBidi"/>
              </w:rPr>
              <w:t xml:space="preserve"> can help to improve the overall dining experience for everyone.</w:t>
            </w:r>
          </w:p>
          <w:p w14:paraId="4F760EA4" w14:textId="7E93E3BB" w:rsidR="00CC6485" w:rsidRPr="00B03AEE" w:rsidRDefault="00CC6485" w:rsidP="00CC6485">
            <w:pPr>
              <w:spacing w:line="360" w:lineRule="auto"/>
              <w:jc w:val="both"/>
              <w:rPr>
                <w:rFonts w:asciiTheme="majorBidi" w:hAnsiTheme="majorBidi" w:cstheme="majorBidi"/>
              </w:rPr>
            </w:pPr>
            <w:r w:rsidRPr="00B03AEE">
              <w:rPr>
                <w:rFonts w:asciiTheme="majorBidi" w:hAnsiTheme="majorBidi" w:cstheme="majorBidi"/>
              </w:rPr>
              <w:t xml:space="preserve">The journal Ratings, Inspections, and Reporting Procedures is a great resource for those in the field of quality management. The journal covers a variety of topics related to quality assurance, including quality control, audits, </w:t>
            </w:r>
            <w:r w:rsidRPr="00B03AEE">
              <w:rPr>
                <w:rFonts w:asciiTheme="majorBidi" w:hAnsiTheme="majorBidi" w:cstheme="majorBidi"/>
              </w:rPr>
              <w:lastRenderedPageBreak/>
              <w:t>and inspections. The articles are well-written and provide a wealth of information on the various topics. However, there are a few areas where the journal could improve.</w:t>
            </w:r>
          </w:p>
          <w:p w14:paraId="04FB8543" w14:textId="7AB4FAC2" w:rsidR="00CC6485" w:rsidRPr="00B03AEE" w:rsidRDefault="00CC6485" w:rsidP="004B5079">
            <w:pPr>
              <w:spacing w:line="360" w:lineRule="auto"/>
              <w:jc w:val="both"/>
              <w:rPr>
                <w:rFonts w:asciiTheme="majorBidi" w:hAnsiTheme="majorBidi" w:cstheme="majorBidi"/>
              </w:rPr>
            </w:pPr>
            <w:r w:rsidRPr="00B03AEE">
              <w:rPr>
                <w:rFonts w:asciiTheme="majorBidi" w:hAnsiTheme="majorBidi" w:cstheme="majorBidi"/>
              </w:rPr>
              <w:t>First, the journal could provide more information on specific quality assurance procedures. While the articles do provide an overview of various procedures, they do not always provide enough detail for those who want to implement the procedures in their organization. Second, the journal could provide more case studies or examples of quality assurance in action. This would help readers to see how the various procedures are used in real-world settings.</w:t>
            </w:r>
          </w:p>
          <w:p w14:paraId="0C04DA7E" w14:textId="68AEDDB6" w:rsidR="00D26E51" w:rsidRPr="00B03AEE" w:rsidRDefault="00D26E51" w:rsidP="004B5079">
            <w:pPr>
              <w:spacing w:line="360" w:lineRule="auto"/>
              <w:jc w:val="both"/>
              <w:rPr>
                <w:rFonts w:asciiTheme="majorBidi" w:hAnsiTheme="majorBidi" w:cstheme="majorBidi"/>
              </w:rPr>
            </w:pPr>
            <w:r w:rsidRPr="00B03AEE">
              <w:rPr>
                <w:rFonts w:asciiTheme="majorBidi" w:hAnsiTheme="majorBidi" w:cstheme="majorBidi"/>
              </w:rPr>
              <w:t xml:space="preserve">The journal starts with an overview of the different types of ratings and inspections that businesses may be subject to and the different agencies </w:t>
            </w:r>
            <w:r w:rsidR="004B5079" w:rsidRPr="00B03AEE">
              <w:rPr>
                <w:rFonts w:asciiTheme="majorBidi" w:hAnsiTheme="majorBidi" w:cstheme="majorBidi"/>
              </w:rPr>
              <w:t>that</w:t>
            </w:r>
            <w:r w:rsidRPr="00B03AEE">
              <w:rPr>
                <w:rFonts w:asciiTheme="majorBidi" w:hAnsiTheme="majorBidi" w:cstheme="majorBidi"/>
              </w:rPr>
              <w:t xml:space="preserve"> may be involved in these processes. It then goes on to provide detailed advice on how to prepare for and carry out these ratings and inspections, including how to compile the necessary documentation and evidence.</w:t>
            </w:r>
          </w:p>
          <w:p w14:paraId="64572F62" w14:textId="45E1ECC6" w:rsidR="004B5079" w:rsidRPr="00B03AEE" w:rsidRDefault="0024657B" w:rsidP="004B5079">
            <w:pPr>
              <w:spacing w:line="360" w:lineRule="auto"/>
              <w:jc w:val="both"/>
              <w:rPr>
                <w:rFonts w:asciiTheme="majorBidi" w:hAnsiTheme="majorBidi" w:cstheme="majorBidi"/>
              </w:rPr>
            </w:pPr>
            <w:r w:rsidRPr="00B03AEE">
              <w:rPr>
                <w:rFonts w:asciiTheme="majorBidi" w:hAnsiTheme="majorBidi" w:cstheme="majorBidi"/>
              </w:rPr>
              <w:t>According to Brooks,</w:t>
            </w:r>
            <w:r w:rsidR="00BF607A" w:rsidRPr="00B03AEE">
              <w:rPr>
                <w:rFonts w:asciiTheme="majorBidi" w:hAnsiTheme="majorBidi" w:cstheme="majorBidi"/>
              </w:rPr>
              <w:t xml:space="preserve"> </w:t>
            </w:r>
            <w:proofErr w:type="gramStart"/>
            <w:r w:rsidR="004B5079" w:rsidRPr="00B03AEE">
              <w:rPr>
                <w:rFonts w:asciiTheme="majorBidi" w:hAnsiTheme="majorBidi" w:cstheme="majorBidi"/>
              </w:rPr>
              <w:t>The</w:t>
            </w:r>
            <w:proofErr w:type="gramEnd"/>
            <w:r w:rsidR="00BF607A" w:rsidRPr="00B03AEE">
              <w:rPr>
                <w:rFonts w:asciiTheme="majorBidi" w:hAnsiTheme="majorBidi" w:cstheme="majorBidi"/>
              </w:rPr>
              <w:t xml:space="preserve"> </w:t>
            </w:r>
            <w:r w:rsidR="004B5079" w:rsidRPr="00B03AEE">
              <w:rPr>
                <w:rFonts w:asciiTheme="majorBidi" w:hAnsiTheme="majorBidi" w:cstheme="majorBidi"/>
              </w:rPr>
              <w:t xml:space="preserve">ratings, inspections, and reporting procedures for food businesses in the United Kingdom are designed to protect the consumer and ensure that businesses are operating to a high standard. These procedures are carried out by local authorities, who are responsible for enforcing food safety legislation. Local authorities have the power to close down businesses that do not meet the required </w:t>
            </w:r>
            <w:r w:rsidR="00BF607A" w:rsidRPr="00B03AEE">
              <w:rPr>
                <w:rFonts w:asciiTheme="majorBidi" w:hAnsiTheme="majorBidi" w:cstheme="majorBidi"/>
              </w:rPr>
              <w:t>standards</w:t>
            </w:r>
            <w:r w:rsidRPr="00B03AEE">
              <w:rPr>
                <w:rFonts w:asciiTheme="majorBidi" w:hAnsiTheme="majorBidi" w:cstheme="majorBidi"/>
              </w:rPr>
              <w:t xml:space="preserve"> (Brooks, 2019)</w:t>
            </w:r>
            <w:r w:rsidR="004B5079" w:rsidRPr="00B03AEE">
              <w:rPr>
                <w:rFonts w:asciiTheme="majorBidi" w:hAnsiTheme="majorBidi" w:cstheme="majorBidi"/>
              </w:rPr>
              <w:t>.</w:t>
            </w:r>
          </w:p>
          <w:p w14:paraId="2A7F800B" w14:textId="09661DB8" w:rsidR="00CC6485" w:rsidRPr="00B03AEE" w:rsidRDefault="00CC6485" w:rsidP="004B5079">
            <w:pPr>
              <w:spacing w:line="360" w:lineRule="auto"/>
              <w:jc w:val="both"/>
              <w:rPr>
                <w:rFonts w:asciiTheme="majorBidi" w:hAnsiTheme="majorBidi" w:cstheme="majorBidi"/>
              </w:rPr>
            </w:pPr>
            <w:r w:rsidRPr="00B03AEE">
              <w:rPr>
                <w:rFonts w:asciiTheme="majorBidi" w:hAnsiTheme="majorBidi" w:cstheme="majorBidi"/>
              </w:rPr>
              <w:t>Overall, the journal Ratings, Inspections, and Reporting Procedures is a valuable resource for those in the field of quality management. The journal covers a wide range of topics and provides a wealth of information on each topic. However, the journal could improve in a few areas, such as providing more information on specific quality assurance procedures and providing more case studies or examples of quality assurance in action</w:t>
            </w:r>
            <w:r w:rsidR="001A5950" w:rsidRPr="00B03AEE">
              <w:rPr>
                <w:rFonts w:asciiTheme="majorBidi" w:hAnsiTheme="majorBidi" w:cstheme="majorBidi"/>
              </w:rPr>
              <w:t>.</w:t>
            </w:r>
          </w:p>
          <w:p w14:paraId="2759B40A" w14:textId="7EC7E30C" w:rsidR="00A616AC" w:rsidRPr="00B03AEE" w:rsidRDefault="009D777D" w:rsidP="004B5079">
            <w:pPr>
              <w:spacing w:line="360" w:lineRule="auto"/>
              <w:jc w:val="both"/>
              <w:rPr>
                <w:rFonts w:asciiTheme="majorBidi" w:hAnsiTheme="majorBidi" w:cstheme="majorBidi"/>
              </w:rPr>
            </w:pPr>
            <w:r w:rsidRPr="00B03AEE">
              <w:rPr>
                <w:rFonts w:asciiTheme="majorBidi" w:hAnsiTheme="majorBidi" w:cstheme="majorBidi"/>
              </w:rPr>
              <w:t xml:space="preserve">Ratings, inspections, and reporting procedures are important tools that help to keep the </w:t>
            </w:r>
            <w:r w:rsidR="00BF607A" w:rsidRPr="00B03AEE">
              <w:rPr>
                <w:rFonts w:asciiTheme="majorBidi" w:hAnsiTheme="majorBidi" w:cstheme="majorBidi"/>
              </w:rPr>
              <w:t>foodservice</w:t>
            </w:r>
            <w:r w:rsidRPr="00B03AEE">
              <w:rPr>
                <w:rFonts w:asciiTheme="majorBidi" w:hAnsiTheme="majorBidi" w:cstheme="majorBidi"/>
              </w:rPr>
              <w:t xml:space="preserve"> industry safe and improve the quality of the food we eat</w:t>
            </w:r>
            <w:r w:rsidR="0024657B" w:rsidRPr="00B03AEE">
              <w:rPr>
                <w:rFonts w:asciiTheme="majorBidi" w:hAnsiTheme="majorBidi" w:cstheme="majorBidi"/>
              </w:rPr>
              <w:t xml:space="preserve"> (Walsh</w:t>
            </w:r>
            <w:r w:rsidR="004A4AE4" w:rsidRPr="00B03AEE">
              <w:rPr>
                <w:rFonts w:asciiTheme="majorBidi" w:hAnsiTheme="majorBidi" w:cstheme="majorBidi"/>
              </w:rPr>
              <w:t>, 2019)</w:t>
            </w:r>
            <w:r w:rsidRPr="00B03AEE">
              <w:rPr>
                <w:rFonts w:asciiTheme="majorBidi" w:hAnsiTheme="majorBidi" w:cstheme="majorBidi"/>
              </w:rPr>
              <w:t xml:space="preserve">. These procedures are essential to the industry, and we should all take the time to familiarize ourselves with them. In addition, by taking the time to rating restaurants and conducting inspections, </w:t>
            </w:r>
            <w:r w:rsidR="00CC6485" w:rsidRPr="00B03AEE">
              <w:rPr>
                <w:rFonts w:asciiTheme="majorBidi" w:hAnsiTheme="majorBidi" w:cstheme="majorBidi"/>
              </w:rPr>
              <w:t>we</w:t>
            </w:r>
            <w:r w:rsidRPr="00B03AEE">
              <w:rPr>
                <w:rFonts w:asciiTheme="majorBidi" w:hAnsiTheme="majorBidi" w:cstheme="majorBidi"/>
              </w:rPr>
              <w:t xml:space="preserve"> </w:t>
            </w:r>
            <w:r w:rsidR="00CC6485" w:rsidRPr="00B03AEE">
              <w:rPr>
                <w:rFonts w:asciiTheme="majorBidi" w:hAnsiTheme="majorBidi" w:cstheme="majorBidi"/>
              </w:rPr>
              <w:t>can</w:t>
            </w:r>
            <w:r w:rsidRPr="00B03AEE">
              <w:rPr>
                <w:rFonts w:asciiTheme="majorBidi" w:hAnsiTheme="majorBidi" w:cstheme="majorBidi"/>
              </w:rPr>
              <w:t xml:space="preserve"> ensure that the food we are eating is safe and of the highest quality.</w:t>
            </w:r>
            <w:r w:rsidR="00A616AC" w:rsidRPr="00B03AEE">
              <w:rPr>
                <w:rFonts w:asciiTheme="majorBidi" w:hAnsiTheme="majorBidi" w:cstheme="majorBidi"/>
              </w:rPr>
              <w:t xml:space="preserve"> I think that this topic is important within the industry, as it is essential to ensure that food businesses are safe and compliant with food safety regulations.</w:t>
            </w:r>
          </w:p>
          <w:p w14:paraId="368349A1" w14:textId="375C995B" w:rsidR="00375882" w:rsidRPr="00B03AEE" w:rsidRDefault="00375882" w:rsidP="004B5079">
            <w:pPr>
              <w:spacing w:line="360" w:lineRule="auto"/>
              <w:jc w:val="both"/>
              <w:rPr>
                <w:rFonts w:asciiTheme="majorBidi" w:hAnsiTheme="majorBidi" w:cstheme="majorBidi"/>
                <w:sz w:val="20"/>
                <w:szCs w:val="20"/>
              </w:rPr>
            </w:pPr>
          </w:p>
          <w:p w14:paraId="24449AB5" w14:textId="77777777" w:rsidR="00375882" w:rsidRPr="004B5079" w:rsidRDefault="00375882" w:rsidP="004B5079">
            <w:pPr>
              <w:spacing w:line="360" w:lineRule="auto"/>
              <w:jc w:val="both"/>
              <w:rPr>
                <w:rFonts w:asciiTheme="majorBidi" w:hAnsiTheme="majorBidi" w:cstheme="majorBidi"/>
                <w:sz w:val="20"/>
                <w:szCs w:val="20"/>
              </w:rPr>
            </w:pPr>
          </w:p>
          <w:p w14:paraId="3B344F1E" w14:textId="751B96FF"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tbl>
      <w:tblPr>
        <w:tblStyle w:val="TableGrid"/>
        <w:tblpPr w:leftFromText="180" w:rightFromText="180" w:vertAnchor="page" w:horzAnchor="margin" w:tblpY="1585"/>
        <w:tblW w:w="5000" w:type="pct"/>
        <w:tblLook w:val="01E0" w:firstRow="1" w:lastRow="1" w:firstColumn="1" w:lastColumn="1" w:noHBand="0" w:noVBand="0"/>
      </w:tblPr>
      <w:tblGrid>
        <w:gridCol w:w="11182"/>
      </w:tblGrid>
      <w:tr w:rsidR="00B03AEE" w:rsidRPr="003C3341" w14:paraId="48F9EA0C" w14:textId="77777777" w:rsidTr="00B03AEE">
        <w:tc>
          <w:tcPr>
            <w:tcW w:w="5000" w:type="pct"/>
            <w:shd w:val="clear" w:color="auto" w:fill="FBD4B4" w:themeFill="accent6" w:themeFillTint="66"/>
          </w:tcPr>
          <w:p w14:paraId="00E58698" w14:textId="77777777" w:rsidR="00B03AEE" w:rsidRPr="00946B23" w:rsidRDefault="00B03AEE" w:rsidP="004A4AE4">
            <w:pPr>
              <w:rPr>
                <w:rFonts w:ascii="Tahoma" w:hAnsi="Tahoma" w:cs="Tahoma"/>
                <w:b/>
                <w:sz w:val="20"/>
                <w:szCs w:val="20"/>
              </w:rPr>
            </w:pPr>
            <w:r>
              <w:rPr>
                <w:rFonts w:ascii="Tahoma" w:hAnsi="Tahoma" w:cs="Tahoma"/>
                <w:b/>
                <w:sz w:val="20"/>
                <w:szCs w:val="20"/>
              </w:rPr>
              <w:lastRenderedPageBreak/>
              <w:t>REFERENCE LIST (not included in word count)</w:t>
            </w:r>
          </w:p>
          <w:p w14:paraId="044C32B4" w14:textId="281320FE" w:rsidR="00B03AEE" w:rsidRDefault="00B03AEE" w:rsidP="004A4AE4">
            <w:pPr>
              <w:jc w:val="center"/>
              <w:rPr>
                <w:rFonts w:ascii="Tahoma" w:hAnsi="Tahoma" w:cs="Tahoma"/>
                <w:b/>
                <w:sz w:val="20"/>
                <w:szCs w:val="20"/>
              </w:rPr>
            </w:pPr>
          </w:p>
          <w:p w14:paraId="7A41CA46" w14:textId="77777777" w:rsidR="00B03AEE" w:rsidRPr="003C3341" w:rsidRDefault="00B03AEE" w:rsidP="004A4AE4">
            <w:pPr>
              <w:jc w:val="center"/>
              <w:rPr>
                <w:rFonts w:ascii="Tahoma" w:hAnsi="Tahoma" w:cs="Tahoma"/>
                <w:b/>
                <w:sz w:val="20"/>
                <w:szCs w:val="20"/>
              </w:rPr>
            </w:pPr>
          </w:p>
        </w:tc>
      </w:tr>
      <w:tr w:rsidR="004A4AE4" w:rsidRPr="003C3341" w14:paraId="4233A1ED" w14:textId="77777777" w:rsidTr="00B06658">
        <w:trPr>
          <w:trHeight w:val="2494"/>
        </w:trPr>
        <w:tc>
          <w:tcPr>
            <w:tcW w:w="5000" w:type="pct"/>
          </w:tcPr>
          <w:p w14:paraId="3694A9B3" w14:textId="77777777" w:rsidR="004A4AE4" w:rsidRPr="00B06658" w:rsidRDefault="004A4AE4" w:rsidP="00B06658">
            <w:pPr>
              <w:pStyle w:val="ListParagraph"/>
              <w:rPr>
                <w:rFonts w:ascii="Tahoma" w:hAnsi="Tahoma" w:cs="Tahoma"/>
                <w:sz w:val="20"/>
                <w:szCs w:val="20"/>
              </w:rPr>
            </w:pPr>
          </w:p>
          <w:p w14:paraId="21568D4C" w14:textId="77777777" w:rsidR="00B06658" w:rsidRPr="00B06658" w:rsidRDefault="00B06658" w:rsidP="00B06658">
            <w:pPr>
              <w:pStyle w:val="ListParagraph"/>
              <w:numPr>
                <w:ilvl w:val="0"/>
                <w:numId w:val="31"/>
              </w:numPr>
              <w:spacing w:line="360" w:lineRule="auto"/>
              <w:jc w:val="both"/>
              <w:rPr>
                <w:color w:val="222222"/>
                <w:sz w:val="20"/>
                <w:szCs w:val="20"/>
                <w:shd w:val="clear" w:color="auto" w:fill="FFFFFF"/>
              </w:rPr>
            </w:pPr>
            <w:proofErr w:type="spellStart"/>
            <w:r w:rsidRPr="00B06658">
              <w:rPr>
                <w:color w:val="222222"/>
                <w:sz w:val="20"/>
                <w:szCs w:val="20"/>
                <w:shd w:val="clear" w:color="auto" w:fill="FFFFFF"/>
              </w:rPr>
              <w:t>Borraz</w:t>
            </w:r>
            <w:proofErr w:type="spellEnd"/>
            <w:r w:rsidRPr="00B06658">
              <w:rPr>
                <w:color w:val="222222"/>
                <w:sz w:val="20"/>
                <w:szCs w:val="20"/>
                <w:shd w:val="clear" w:color="auto" w:fill="FFFFFF"/>
              </w:rPr>
              <w:t xml:space="preserve">, O., </w:t>
            </w:r>
            <w:proofErr w:type="spellStart"/>
            <w:r w:rsidRPr="00B06658">
              <w:rPr>
                <w:color w:val="222222"/>
                <w:sz w:val="20"/>
                <w:szCs w:val="20"/>
                <w:shd w:val="clear" w:color="auto" w:fill="FFFFFF"/>
              </w:rPr>
              <w:t>Beaussier</w:t>
            </w:r>
            <w:proofErr w:type="spellEnd"/>
            <w:r w:rsidRPr="00B06658">
              <w:rPr>
                <w:color w:val="222222"/>
                <w:sz w:val="20"/>
                <w:szCs w:val="20"/>
                <w:shd w:val="clear" w:color="auto" w:fill="FFFFFF"/>
              </w:rPr>
              <w:t xml:space="preserve">, A.L., </w:t>
            </w:r>
            <w:proofErr w:type="spellStart"/>
            <w:r w:rsidRPr="00B06658">
              <w:rPr>
                <w:color w:val="222222"/>
                <w:sz w:val="20"/>
                <w:szCs w:val="20"/>
                <w:shd w:val="clear" w:color="auto" w:fill="FFFFFF"/>
              </w:rPr>
              <w:t>Wesseling</w:t>
            </w:r>
            <w:proofErr w:type="spellEnd"/>
            <w:r w:rsidRPr="00B06658">
              <w:rPr>
                <w:color w:val="222222"/>
                <w:sz w:val="20"/>
                <w:szCs w:val="20"/>
                <w:shd w:val="clear" w:color="auto" w:fill="FFFFFF"/>
              </w:rPr>
              <w:t xml:space="preserve">, M., </w:t>
            </w:r>
            <w:proofErr w:type="spellStart"/>
            <w:r w:rsidRPr="00B06658">
              <w:rPr>
                <w:color w:val="222222"/>
                <w:sz w:val="20"/>
                <w:szCs w:val="20"/>
                <w:shd w:val="clear" w:color="auto" w:fill="FFFFFF"/>
              </w:rPr>
              <w:t>Demeritt</w:t>
            </w:r>
            <w:proofErr w:type="spellEnd"/>
            <w:r w:rsidRPr="00B06658">
              <w:rPr>
                <w:color w:val="222222"/>
                <w:sz w:val="20"/>
                <w:szCs w:val="20"/>
                <w:shd w:val="clear" w:color="auto" w:fill="FFFFFF"/>
              </w:rPr>
              <w:t xml:space="preserve">, D., Rothstein, H., </w:t>
            </w:r>
            <w:proofErr w:type="spellStart"/>
            <w:r w:rsidRPr="00B06658">
              <w:rPr>
                <w:color w:val="222222"/>
                <w:sz w:val="20"/>
                <w:szCs w:val="20"/>
                <w:shd w:val="clear" w:color="auto" w:fill="FFFFFF"/>
              </w:rPr>
              <w:t>Hermans</w:t>
            </w:r>
            <w:proofErr w:type="spellEnd"/>
            <w:r w:rsidRPr="00B06658">
              <w:rPr>
                <w:color w:val="222222"/>
                <w:sz w:val="20"/>
                <w:szCs w:val="20"/>
                <w:shd w:val="clear" w:color="auto" w:fill="FFFFFF"/>
              </w:rPr>
              <w:t>, M., Huber, M. and Paul, R., 2022. Why regulators assess risk differently: Regulatory style, business organization, and the varied practice of risk‐based food safety   inspections across the EU. </w:t>
            </w:r>
            <w:r w:rsidRPr="00B06658">
              <w:rPr>
                <w:i/>
                <w:iCs/>
                <w:color w:val="222222"/>
                <w:sz w:val="20"/>
                <w:szCs w:val="20"/>
                <w:shd w:val="clear" w:color="auto" w:fill="FFFFFF"/>
              </w:rPr>
              <w:t>Regulation &amp; Governance</w:t>
            </w:r>
            <w:r w:rsidRPr="00B06658">
              <w:rPr>
                <w:color w:val="222222"/>
                <w:sz w:val="20"/>
                <w:szCs w:val="20"/>
                <w:shd w:val="clear" w:color="auto" w:fill="FFFFFF"/>
              </w:rPr>
              <w:t>, </w:t>
            </w:r>
            <w:r w:rsidRPr="00B06658">
              <w:rPr>
                <w:i/>
                <w:iCs/>
                <w:color w:val="222222"/>
                <w:sz w:val="20"/>
                <w:szCs w:val="20"/>
                <w:shd w:val="clear" w:color="auto" w:fill="FFFFFF"/>
              </w:rPr>
              <w:t>16</w:t>
            </w:r>
            <w:r w:rsidRPr="00B06658">
              <w:rPr>
                <w:color w:val="222222"/>
                <w:sz w:val="20"/>
                <w:szCs w:val="20"/>
                <w:shd w:val="clear" w:color="auto" w:fill="FFFFFF"/>
              </w:rPr>
              <w:t>(1), pp.274-292.</w:t>
            </w:r>
          </w:p>
          <w:p w14:paraId="107753FC" w14:textId="77777777" w:rsidR="00B06658" w:rsidRPr="00B06658" w:rsidRDefault="00B06658" w:rsidP="00B06658">
            <w:pPr>
              <w:pStyle w:val="ListParagraph"/>
              <w:numPr>
                <w:ilvl w:val="0"/>
                <w:numId w:val="31"/>
              </w:numPr>
              <w:spacing w:line="360" w:lineRule="auto"/>
              <w:jc w:val="both"/>
              <w:rPr>
                <w:color w:val="222222"/>
                <w:sz w:val="20"/>
                <w:szCs w:val="20"/>
                <w:shd w:val="clear" w:color="auto" w:fill="FFFFFF"/>
              </w:rPr>
            </w:pPr>
            <w:r w:rsidRPr="00B06658">
              <w:rPr>
                <w:color w:val="222222"/>
                <w:sz w:val="20"/>
                <w:szCs w:val="20"/>
                <w:shd w:val="clear" w:color="auto" w:fill="FFFFFF"/>
              </w:rPr>
              <w:t xml:space="preserve">Brooks, C., Parr, L., Smith, J.M., Buchanan, D., </w:t>
            </w:r>
            <w:proofErr w:type="spellStart"/>
            <w:r w:rsidRPr="00B06658">
              <w:rPr>
                <w:color w:val="222222"/>
                <w:sz w:val="20"/>
                <w:szCs w:val="20"/>
                <w:shd w:val="clear" w:color="auto" w:fill="FFFFFF"/>
              </w:rPr>
              <w:t>Snioch</w:t>
            </w:r>
            <w:proofErr w:type="spellEnd"/>
            <w:r w:rsidRPr="00B06658">
              <w:rPr>
                <w:color w:val="222222"/>
                <w:sz w:val="20"/>
                <w:szCs w:val="20"/>
                <w:shd w:val="clear" w:color="auto" w:fill="FFFFFF"/>
              </w:rPr>
              <w:t xml:space="preserve">, D. and </w:t>
            </w:r>
            <w:proofErr w:type="spellStart"/>
            <w:r w:rsidRPr="00B06658">
              <w:rPr>
                <w:color w:val="222222"/>
                <w:sz w:val="20"/>
                <w:szCs w:val="20"/>
                <w:shd w:val="clear" w:color="auto" w:fill="FFFFFF"/>
              </w:rPr>
              <w:t>Hebishy</w:t>
            </w:r>
            <w:proofErr w:type="spellEnd"/>
            <w:r w:rsidRPr="00B06658">
              <w:rPr>
                <w:color w:val="222222"/>
                <w:sz w:val="20"/>
                <w:szCs w:val="20"/>
                <w:shd w:val="clear" w:color="auto" w:fill="FFFFFF"/>
              </w:rPr>
              <w:t>, E., 2021. A review of food fraud and food authenticity across the food supply chain, with an examination of the impact of the COVID-19 pandemic and Brexit on food industry. </w:t>
            </w:r>
            <w:r w:rsidRPr="00B06658">
              <w:rPr>
                <w:i/>
                <w:iCs/>
                <w:color w:val="222222"/>
                <w:sz w:val="20"/>
                <w:szCs w:val="20"/>
                <w:shd w:val="clear" w:color="auto" w:fill="FFFFFF"/>
              </w:rPr>
              <w:t>Food Control</w:t>
            </w:r>
            <w:r w:rsidRPr="00B06658">
              <w:rPr>
                <w:color w:val="222222"/>
                <w:sz w:val="20"/>
                <w:szCs w:val="20"/>
                <w:shd w:val="clear" w:color="auto" w:fill="FFFFFF"/>
              </w:rPr>
              <w:t>, </w:t>
            </w:r>
            <w:r w:rsidRPr="00B06658">
              <w:rPr>
                <w:i/>
                <w:iCs/>
                <w:color w:val="222222"/>
                <w:sz w:val="20"/>
                <w:szCs w:val="20"/>
                <w:shd w:val="clear" w:color="auto" w:fill="FFFFFF"/>
              </w:rPr>
              <w:t>130</w:t>
            </w:r>
            <w:r w:rsidRPr="00B06658">
              <w:rPr>
                <w:color w:val="222222"/>
                <w:sz w:val="20"/>
                <w:szCs w:val="20"/>
                <w:shd w:val="clear" w:color="auto" w:fill="FFFFFF"/>
              </w:rPr>
              <w:t>, p.108171.</w:t>
            </w:r>
          </w:p>
          <w:p w14:paraId="4CDDA6F0" w14:textId="77777777" w:rsidR="00B06658" w:rsidRPr="00B06658" w:rsidRDefault="00B06658" w:rsidP="00B06658">
            <w:pPr>
              <w:pStyle w:val="ListParagraph"/>
              <w:numPr>
                <w:ilvl w:val="0"/>
                <w:numId w:val="31"/>
              </w:numPr>
              <w:spacing w:line="360" w:lineRule="auto"/>
              <w:jc w:val="both"/>
              <w:rPr>
                <w:color w:val="222222"/>
                <w:sz w:val="20"/>
                <w:szCs w:val="20"/>
                <w:shd w:val="clear" w:color="auto" w:fill="FFFFFF"/>
              </w:rPr>
            </w:pPr>
            <w:r w:rsidRPr="00B06658">
              <w:rPr>
                <w:color w:val="222222"/>
                <w:sz w:val="20"/>
                <w:szCs w:val="20"/>
                <w:shd w:val="clear" w:color="auto" w:fill="FFFFFF"/>
              </w:rPr>
              <w:t xml:space="preserve">Choi, J., Nelson, D. and Almanza, B., 2019. Food safety risk for restaurant management: use of restaurant health inspection report to predict consumers’ </w:t>
            </w:r>
            <w:proofErr w:type="spellStart"/>
            <w:r w:rsidRPr="00B06658">
              <w:rPr>
                <w:color w:val="222222"/>
                <w:sz w:val="20"/>
                <w:szCs w:val="20"/>
                <w:shd w:val="clear" w:color="auto" w:fill="FFFFFF"/>
              </w:rPr>
              <w:t>behavioral</w:t>
            </w:r>
            <w:proofErr w:type="spellEnd"/>
            <w:r w:rsidRPr="00B06658">
              <w:rPr>
                <w:color w:val="222222"/>
                <w:sz w:val="20"/>
                <w:szCs w:val="20"/>
                <w:shd w:val="clear" w:color="auto" w:fill="FFFFFF"/>
              </w:rPr>
              <w:t xml:space="preserve"> intention. </w:t>
            </w:r>
            <w:r w:rsidRPr="00B06658">
              <w:rPr>
                <w:i/>
                <w:iCs/>
                <w:color w:val="222222"/>
                <w:sz w:val="20"/>
                <w:szCs w:val="20"/>
                <w:shd w:val="clear" w:color="auto" w:fill="FFFFFF"/>
              </w:rPr>
              <w:t>Journal of Risk Research</w:t>
            </w:r>
            <w:r w:rsidRPr="00B06658">
              <w:rPr>
                <w:color w:val="222222"/>
                <w:sz w:val="20"/>
                <w:szCs w:val="20"/>
                <w:shd w:val="clear" w:color="auto" w:fill="FFFFFF"/>
              </w:rPr>
              <w:t>, </w:t>
            </w:r>
            <w:r w:rsidRPr="00B06658">
              <w:rPr>
                <w:i/>
                <w:iCs/>
                <w:color w:val="222222"/>
                <w:sz w:val="20"/>
                <w:szCs w:val="20"/>
                <w:shd w:val="clear" w:color="auto" w:fill="FFFFFF"/>
              </w:rPr>
              <w:t>22</w:t>
            </w:r>
            <w:r w:rsidRPr="00B06658">
              <w:rPr>
                <w:color w:val="222222"/>
                <w:sz w:val="20"/>
                <w:szCs w:val="20"/>
                <w:shd w:val="clear" w:color="auto" w:fill="FFFFFF"/>
              </w:rPr>
              <w:t>(11), pp.1443-1457.</w:t>
            </w:r>
          </w:p>
          <w:p w14:paraId="6E5A2E76" w14:textId="77777777" w:rsidR="00B06658" w:rsidRPr="00B06658" w:rsidRDefault="00B06658" w:rsidP="00B06658">
            <w:pPr>
              <w:pStyle w:val="ListParagraph"/>
              <w:numPr>
                <w:ilvl w:val="0"/>
                <w:numId w:val="31"/>
              </w:numPr>
              <w:spacing w:line="360" w:lineRule="auto"/>
              <w:jc w:val="both"/>
            </w:pPr>
            <w:r w:rsidRPr="00B06658">
              <w:rPr>
                <w:color w:val="222222"/>
                <w:sz w:val="20"/>
                <w:szCs w:val="20"/>
                <w:shd w:val="clear" w:color="auto" w:fill="FFFFFF"/>
              </w:rPr>
              <w:t xml:space="preserve">Fleetwood, J., Rahman, S., Holland, D., </w:t>
            </w:r>
            <w:proofErr w:type="spellStart"/>
            <w:r w:rsidRPr="00B06658">
              <w:rPr>
                <w:color w:val="222222"/>
                <w:sz w:val="20"/>
                <w:szCs w:val="20"/>
                <w:shd w:val="clear" w:color="auto" w:fill="FFFFFF"/>
              </w:rPr>
              <w:t>Millson</w:t>
            </w:r>
            <w:proofErr w:type="spellEnd"/>
            <w:r w:rsidRPr="00B06658">
              <w:rPr>
                <w:color w:val="222222"/>
                <w:sz w:val="20"/>
                <w:szCs w:val="20"/>
                <w:shd w:val="clear" w:color="auto" w:fill="FFFFFF"/>
              </w:rPr>
              <w:t>, D., Thomson, L., and Poppy, G., 2019. As clean as they look? Food hygiene inspection scores, microbiological contamination, and foodborne illness. </w:t>
            </w:r>
            <w:r w:rsidRPr="00B06658">
              <w:rPr>
                <w:i/>
                <w:iCs/>
                <w:color w:val="222222"/>
                <w:sz w:val="20"/>
                <w:szCs w:val="20"/>
                <w:shd w:val="clear" w:color="auto" w:fill="FFFFFF"/>
              </w:rPr>
              <w:t>Food Control</w:t>
            </w:r>
            <w:r w:rsidRPr="00B06658">
              <w:rPr>
                <w:color w:val="222222"/>
                <w:sz w:val="20"/>
                <w:szCs w:val="20"/>
                <w:shd w:val="clear" w:color="auto" w:fill="FFFFFF"/>
              </w:rPr>
              <w:t>, </w:t>
            </w:r>
            <w:r w:rsidRPr="00B06658">
              <w:rPr>
                <w:i/>
                <w:iCs/>
                <w:color w:val="222222"/>
                <w:sz w:val="20"/>
                <w:szCs w:val="20"/>
                <w:shd w:val="clear" w:color="auto" w:fill="FFFFFF"/>
              </w:rPr>
              <w:t>96</w:t>
            </w:r>
            <w:r w:rsidRPr="00B06658">
              <w:rPr>
                <w:color w:val="222222"/>
                <w:sz w:val="20"/>
                <w:szCs w:val="20"/>
                <w:shd w:val="clear" w:color="auto" w:fill="FFFFFF"/>
              </w:rPr>
              <w:t>, pp.76-86.</w:t>
            </w:r>
          </w:p>
          <w:p w14:paraId="5C38EE3E" w14:textId="5320471A" w:rsidR="004A4AE4" w:rsidRPr="00B06658" w:rsidRDefault="00B06658" w:rsidP="00B06658">
            <w:pPr>
              <w:pStyle w:val="ListParagraph"/>
              <w:numPr>
                <w:ilvl w:val="0"/>
                <w:numId w:val="31"/>
              </w:numPr>
              <w:spacing w:line="360" w:lineRule="auto"/>
              <w:jc w:val="both"/>
              <w:rPr>
                <w:color w:val="222222"/>
                <w:sz w:val="20"/>
                <w:szCs w:val="20"/>
                <w:shd w:val="clear" w:color="auto" w:fill="FFFFFF"/>
              </w:rPr>
            </w:pPr>
            <w:r w:rsidRPr="00B06658">
              <w:rPr>
                <w:color w:val="222222"/>
                <w:sz w:val="20"/>
                <w:szCs w:val="20"/>
                <w:shd w:val="clear" w:color="auto" w:fill="FFFFFF"/>
              </w:rPr>
              <w:t>Walsh, C. and Leva, M.C., 2019. A review of human factors and food safety in Ireland. </w:t>
            </w:r>
            <w:r w:rsidRPr="00B06658">
              <w:rPr>
                <w:i/>
                <w:iCs/>
                <w:color w:val="222222"/>
                <w:sz w:val="20"/>
                <w:szCs w:val="20"/>
                <w:shd w:val="clear" w:color="auto" w:fill="FFFFFF"/>
              </w:rPr>
              <w:t>Safety Science</w:t>
            </w:r>
            <w:r w:rsidRPr="00B06658">
              <w:rPr>
                <w:color w:val="222222"/>
                <w:sz w:val="20"/>
                <w:szCs w:val="20"/>
                <w:shd w:val="clear" w:color="auto" w:fill="FFFFFF"/>
              </w:rPr>
              <w:t>, </w:t>
            </w:r>
            <w:r w:rsidRPr="00B06658">
              <w:rPr>
                <w:i/>
                <w:iCs/>
                <w:color w:val="222222"/>
                <w:sz w:val="20"/>
                <w:szCs w:val="20"/>
                <w:shd w:val="clear" w:color="auto" w:fill="FFFFFF"/>
              </w:rPr>
              <w:t>119</w:t>
            </w:r>
            <w:r w:rsidRPr="00B06658">
              <w:rPr>
                <w:color w:val="222222"/>
                <w:sz w:val="20"/>
                <w:szCs w:val="20"/>
                <w:shd w:val="clear" w:color="auto" w:fill="FFFFFF"/>
              </w:rPr>
              <w:t>, pp.399-411.</w:t>
            </w:r>
          </w:p>
          <w:p w14:paraId="0F18B710" w14:textId="77777777" w:rsidR="004A4AE4" w:rsidRPr="003C3341" w:rsidRDefault="004A4AE4" w:rsidP="004A4AE4">
            <w:pPr>
              <w:jc w:val="both"/>
              <w:rPr>
                <w:rFonts w:ascii="Tahoma" w:hAnsi="Tahoma" w:cs="Tahoma"/>
                <w:sz w:val="20"/>
                <w:szCs w:val="20"/>
              </w:rPr>
            </w:pPr>
          </w:p>
        </w:tc>
      </w:tr>
    </w:tbl>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EDEF8" w14:textId="77777777" w:rsidR="00577A04" w:rsidRDefault="00577A04">
      <w:r>
        <w:separator/>
      </w:r>
    </w:p>
  </w:endnote>
  <w:endnote w:type="continuationSeparator" w:id="0">
    <w:p w14:paraId="5D8B2BB5" w14:textId="77777777" w:rsidR="00577A04" w:rsidRDefault="00577A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2FD41567" w:rsidR="00B44B68" w:rsidRDefault="00B44B68">
        <w:pPr>
          <w:pStyle w:val="Footer"/>
          <w:jc w:val="right"/>
        </w:pPr>
        <w:r>
          <w:fldChar w:fldCharType="begin"/>
        </w:r>
        <w:r>
          <w:instrText xml:space="preserve"> PAGE   \* MERGEFORMAT </w:instrText>
        </w:r>
        <w:r>
          <w:fldChar w:fldCharType="separate"/>
        </w:r>
        <w:r w:rsidR="006F09D4">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95153" w14:textId="77777777" w:rsidR="00577A04" w:rsidRDefault="00577A04">
      <w:r>
        <w:separator/>
      </w:r>
    </w:p>
  </w:footnote>
  <w:footnote w:type="continuationSeparator" w:id="0">
    <w:p w14:paraId="4D9BBFB0" w14:textId="77777777" w:rsidR="00577A04" w:rsidRDefault="00577A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C0361F"/>
    <w:multiLevelType w:val="hybridMultilevel"/>
    <w:tmpl w:val="0CAEB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29E4198"/>
    <w:multiLevelType w:val="hybridMultilevel"/>
    <w:tmpl w:val="4C6A015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2EA43D3"/>
    <w:multiLevelType w:val="hybridMultilevel"/>
    <w:tmpl w:val="500C2DA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0"/>
  </w:num>
  <w:num w:numId="4">
    <w:abstractNumId w:val="6"/>
  </w:num>
  <w:num w:numId="5">
    <w:abstractNumId w:val="26"/>
  </w:num>
  <w:num w:numId="6">
    <w:abstractNumId w:val="7"/>
  </w:num>
  <w:num w:numId="7">
    <w:abstractNumId w:val="0"/>
  </w:num>
  <w:num w:numId="8">
    <w:abstractNumId w:val="29"/>
  </w:num>
  <w:num w:numId="9">
    <w:abstractNumId w:val="18"/>
  </w:num>
  <w:num w:numId="10">
    <w:abstractNumId w:val="21"/>
  </w:num>
  <w:num w:numId="11">
    <w:abstractNumId w:val="4"/>
  </w:num>
  <w:num w:numId="12">
    <w:abstractNumId w:val="16"/>
  </w:num>
  <w:num w:numId="13">
    <w:abstractNumId w:val="3"/>
  </w:num>
  <w:num w:numId="14">
    <w:abstractNumId w:val="11"/>
  </w:num>
  <w:num w:numId="15">
    <w:abstractNumId w:val="20"/>
  </w:num>
  <w:num w:numId="16">
    <w:abstractNumId w:val="22"/>
  </w:num>
  <w:num w:numId="17">
    <w:abstractNumId w:val="2"/>
  </w:num>
  <w:num w:numId="18">
    <w:abstractNumId w:val="28"/>
  </w:num>
  <w:num w:numId="19">
    <w:abstractNumId w:val="10"/>
  </w:num>
  <w:num w:numId="20">
    <w:abstractNumId w:val="23"/>
  </w:num>
  <w:num w:numId="21">
    <w:abstractNumId w:val="13"/>
  </w:num>
  <w:num w:numId="22">
    <w:abstractNumId w:val="19"/>
  </w:num>
  <w:num w:numId="23">
    <w:abstractNumId w:val="27"/>
  </w:num>
  <w:num w:numId="24">
    <w:abstractNumId w:val="12"/>
  </w:num>
  <w:num w:numId="25">
    <w:abstractNumId w:val="25"/>
  </w:num>
  <w:num w:numId="26">
    <w:abstractNumId w:val="9"/>
  </w:num>
  <w:num w:numId="27">
    <w:abstractNumId w:val="24"/>
  </w:num>
  <w:num w:numId="28">
    <w:abstractNumId w:val="17"/>
  </w:num>
  <w:num w:numId="29">
    <w:abstractNumId w:val="1"/>
  </w:num>
  <w:num w:numId="30">
    <w:abstractNumId w:val="8"/>
  </w:num>
  <w:num w:numId="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DAzszQ3MbE0MLU0tTRT0lEKTi0uzszPAykwrAUAxNSudywAAAA="/>
  </w:docVars>
  <w:rsids>
    <w:rsidRoot w:val="00301AD0"/>
    <w:rsid w:val="000304DF"/>
    <w:rsid w:val="00040CE8"/>
    <w:rsid w:val="0004729E"/>
    <w:rsid w:val="00076F40"/>
    <w:rsid w:val="00077E55"/>
    <w:rsid w:val="00085CFD"/>
    <w:rsid w:val="000A0C53"/>
    <w:rsid w:val="000B2F4F"/>
    <w:rsid w:val="000F2E7C"/>
    <w:rsid w:val="00112CE0"/>
    <w:rsid w:val="0013702A"/>
    <w:rsid w:val="00162FE2"/>
    <w:rsid w:val="001703BD"/>
    <w:rsid w:val="00170A87"/>
    <w:rsid w:val="0018449A"/>
    <w:rsid w:val="00197F4A"/>
    <w:rsid w:val="001A5950"/>
    <w:rsid w:val="001A59E7"/>
    <w:rsid w:val="001B69C8"/>
    <w:rsid w:val="001B6DB4"/>
    <w:rsid w:val="001C5C4E"/>
    <w:rsid w:val="001D4719"/>
    <w:rsid w:val="001E720E"/>
    <w:rsid w:val="00202878"/>
    <w:rsid w:val="002314D4"/>
    <w:rsid w:val="0023742A"/>
    <w:rsid w:val="002430D4"/>
    <w:rsid w:val="00244B89"/>
    <w:rsid w:val="00244F84"/>
    <w:rsid w:val="0024657B"/>
    <w:rsid w:val="002659F5"/>
    <w:rsid w:val="00283BE2"/>
    <w:rsid w:val="00294842"/>
    <w:rsid w:val="002E127C"/>
    <w:rsid w:val="002F7DD0"/>
    <w:rsid w:val="00301AD0"/>
    <w:rsid w:val="003036C9"/>
    <w:rsid w:val="00307E4D"/>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4AE4"/>
    <w:rsid w:val="004B113B"/>
    <w:rsid w:val="004B5079"/>
    <w:rsid w:val="004C08E2"/>
    <w:rsid w:val="004C7E23"/>
    <w:rsid w:val="004F3368"/>
    <w:rsid w:val="005036DE"/>
    <w:rsid w:val="00517154"/>
    <w:rsid w:val="00522B05"/>
    <w:rsid w:val="00542C5B"/>
    <w:rsid w:val="00552EED"/>
    <w:rsid w:val="00566333"/>
    <w:rsid w:val="00577A04"/>
    <w:rsid w:val="005C6352"/>
    <w:rsid w:val="005D0DDE"/>
    <w:rsid w:val="005D5D0B"/>
    <w:rsid w:val="0062012D"/>
    <w:rsid w:val="00643CB9"/>
    <w:rsid w:val="0066732A"/>
    <w:rsid w:val="00677D1F"/>
    <w:rsid w:val="00697481"/>
    <w:rsid w:val="006A4F97"/>
    <w:rsid w:val="006C4640"/>
    <w:rsid w:val="006F09D4"/>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32E58"/>
    <w:rsid w:val="009448FE"/>
    <w:rsid w:val="00946B23"/>
    <w:rsid w:val="0097281A"/>
    <w:rsid w:val="00985CF1"/>
    <w:rsid w:val="009B1D87"/>
    <w:rsid w:val="009C438C"/>
    <w:rsid w:val="009C6CAE"/>
    <w:rsid w:val="009D0DDA"/>
    <w:rsid w:val="009D777D"/>
    <w:rsid w:val="00A02728"/>
    <w:rsid w:val="00A138AA"/>
    <w:rsid w:val="00A14DA0"/>
    <w:rsid w:val="00A43B8E"/>
    <w:rsid w:val="00A44FA9"/>
    <w:rsid w:val="00A45D42"/>
    <w:rsid w:val="00A551C6"/>
    <w:rsid w:val="00A5520C"/>
    <w:rsid w:val="00A616AC"/>
    <w:rsid w:val="00A656E2"/>
    <w:rsid w:val="00A65C1D"/>
    <w:rsid w:val="00A73B42"/>
    <w:rsid w:val="00A77C7A"/>
    <w:rsid w:val="00A8432F"/>
    <w:rsid w:val="00A90107"/>
    <w:rsid w:val="00AA11D8"/>
    <w:rsid w:val="00AA1309"/>
    <w:rsid w:val="00AA1380"/>
    <w:rsid w:val="00AC67EF"/>
    <w:rsid w:val="00AD310F"/>
    <w:rsid w:val="00AE467F"/>
    <w:rsid w:val="00AE799D"/>
    <w:rsid w:val="00B00678"/>
    <w:rsid w:val="00B03469"/>
    <w:rsid w:val="00B03AEE"/>
    <w:rsid w:val="00B06658"/>
    <w:rsid w:val="00B10EAB"/>
    <w:rsid w:val="00B11E4B"/>
    <w:rsid w:val="00B21F2E"/>
    <w:rsid w:val="00B266A5"/>
    <w:rsid w:val="00B44B68"/>
    <w:rsid w:val="00B60FDF"/>
    <w:rsid w:val="00B61256"/>
    <w:rsid w:val="00B70FCA"/>
    <w:rsid w:val="00B73A1C"/>
    <w:rsid w:val="00B945EA"/>
    <w:rsid w:val="00B949BC"/>
    <w:rsid w:val="00BA53CD"/>
    <w:rsid w:val="00BB5FB3"/>
    <w:rsid w:val="00BC4D17"/>
    <w:rsid w:val="00BC7F1B"/>
    <w:rsid w:val="00BE2584"/>
    <w:rsid w:val="00BF607A"/>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485"/>
    <w:rsid w:val="00CC6DCB"/>
    <w:rsid w:val="00CD008D"/>
    <w:rsid w:val="00CD40C2"/>
    <w:rsid w:val="00CD461B"/>
    <w:rsid w:val="00D1657F"/>
    <w:rsid w:val="00D26E51"/>
    <w:rsid w:val="00D80D6E"/>
    <w:rsid w:val="00D833FD"/>
    <w:rsid w:val="00D95816"/>
    <w:rsid w:val="00DA09FA"/>
    <w:rsid w:val="00DD00CB"/>
    <w:rsid w:val="00DE0C6B"/>
    <w:rsid w:val="00DE6434"/>
    <w:rsid w:val="00E00580"/>
    <w:rsid w:val="00E26639"/>
    <w:rsid w:val="00E30C3C"/>
    <w:rsid w:val="00E42568"/>
    <w:rsid w:val="00E672A4"/>
    <w:rsid w:val="00E72F14"/>
    <w:rsid w:val="00E8203B"/>
    <w:rsid w:val="00E82481"/>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19DA"/>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DB537D"/>
  <w15:docId w15:val="{8A750FDE-A2DD-4D5A-9371-3883C3445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396184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Pages>
  <Words>934</Words>
  <Characters>5325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User</dc:creator>
  <cp:keywords/>
  <dc:description/>
  <cp:lastModifiedBy>User</cp:lastModifiedBy>
  <cp:revision>4</cp:revision>
  <cp:lastPrinted>2020-09-28T20:53:00Z</cp:lastPrinted>
  <dcterms:created xsi:type="dcterms:W3CDTF">2022-06-02T19:10:00Z</dcterms:created>
  <dcterms:modified xsi:type="dcterms:W3CDTF">2022-06-03T11:19:00Z</dcterms:modified>
</cp:coreProperties>
</file>