
<file path=[Content_Types].xml><?xml version="1.0" encoding="utf-8"?>
<Types xmlns="http://schemas.openxmlformats.org/package/2006/content-types">
  <Default Extension="xml" ContentType="application/xml"/>
  <Default Extension="png" ContentType="image/png"/>
  <Default Extension="tiff" ContentType="image/tif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56" w:beforeLines="50" w:after="156" w:afterLines="50" w:line="360" w:lineRule="auto"/>
        <w:rPr>
          <w:rFonts w:ascii="Calibri" w:hAnsi="Calibri" w:cs="Calibri"/>
        </w:rPr>
      </w:pPr>
      <w:r>
        <w:rPr>
          <w:rFonts w:ascii="Calibri" w:hAnsi="Calibri" w:cs="Calibri"/>
        </w:rPr>
        <w:t xml:space="preserve">Assessment Title: Business environmental auditing of the Hilton Hotel Group during the Covid-19 pandemic </w:t>
      </w:r>
    </w:p>
    <w:p>
      <w:pPr>
        <w:spacing w:before="156" w:beforeLines="50" w:after="156" w:afterLines="50" w:line="360" w:lineRule="auto"/>
        <w:rPr>
          <w:rFonts w:hint="default" w:ascii="Calibri" w:hAnsi="Calibri" w:cs="Calibri" w:eastAsiaTheme="minorEastAsia"/>
          <w:lang w:val="en-US" w:eastAsia="zh-CN"/>
        </w:rPr>
      </w:pPr>
      <w:r>
        <w:rPr>
          <w:rFonts w:ascii="Calibri" w:hAnsi="Calibri" w:cs="Calibri"/>
        </w:rPr>
        <w:t xml:space="preserve">Module Code:  </w:t>
      </w:r>
      <w:r>
        <w:rPr>
          <w:rFonts w:hint="eastAsia" w:ascii="Calibri" w:hAnsi="Calibri" w:cs="Calibri"/>
          <w:lang w:val="en-US" w:eastAsia="zh-CN"/>
        </w:rPr>
        <w:t>BMBM6016</w:t>
      </w:r>
    </w:p>
    <w:p>
      <w:pPr>
        <w:spacing w:before="156" w:beforeLines="50" w:after="156" w:afterLines="50" w:line="360" w:lineRule="auto"/>
        <w:rPr>
          <w:rFonts w:hint="default" w:ascii="Calibri" w:hAnsi="Calibri" w:cs="Calibri" w:eastAsiaTheme="minorEastAsia"/>
          <w:lang w:val="en-US" w:eastAsia="zh-CN"/>
        </w:rPr>
      </w:pPr>
      <w:r>
        <w:rPr>
          <w:rFonts w:ascii="Calibri" w:hAnsi="Calibri" w:cs="Calibri"/>
        </w:rPr>
        <w:t xml:space="preserve">Name and Student ID: </w:t>
      </w:r>
      <w:r>
        <w:rPr>
          <w:rFonts w:hint="eastAsia" w:ascii="Calibri" w:hAnsi="Calibri" w:cs="Calibri"/>
          <w:lang w:val="en-US" w:eastAsia="zh-CN"/>
        </w:rPr>
        <w:t>Dahao Liu   2100526</w:t>
      </w:r>
    </w:p>
    <w:p>
      <w:pPr>
        <w:spacing w:before="156" w:beforeLines="50" w:after="156" w:afterLines="50" w:line="360" w:lineRule="auto"/>
        <w:rPr>
          <w:rFonts w:ascii="Calibri" w:hAnsi="Calibri" w:cs="Calibri"/>
        </w:rPr>
      </w:pPr>
      <w:r>
        <w:rPr>
          <w:rFonts w:ascii="Calibri" w:hAnsi="Calibri" w:cs="Calibri"/>
        </w:rPr>
        <w:t xml:space="preserve">Word count: </w:t>
      </w:r>
      <w:r>
        <w:rPr>
          <w:rFonts w:ascii="Calibri" w:hAnsi="Calibri" w:cs="Calibri"/>
          <w:b/>
          <w:bCs/>
        </w:rPr>
        <w:t>2748</w:t>
      </w:r>
      <w:bookmarkStart w:id="14" w:name="_GoBack"/>
      <w:bookmarkEnd w:id="14"/>
    </w:p>
    <w:p>
      <w:pPr>
        <w:spacing w:before="156" w:beforeLines="50" w:after="156" w:afterLines="50" w:line="360" w:lineRule="auto"/>
        <w:rPr>
          <w:rFonts w:ascii="Calibri" w:hAnsi="Calibri" w:cs="Calibri"/>
        </w:rPr>
      </w:pPr>
    </w:p>
    <w:p>
      <w:pPr>
        <w:spacing w:before="156" w:beforeLines="50" w:after="156" w:afterLines="50" w:line="360" w:lineRule="auto"/>
        <w:rPr>
          <w:rFonts w:ascii="Calibri" w:hAnsi="Calibri" w:cs="Calibri"/>
        </w:rPr>
      </w:pPr>
    </w:p>
    <w:p>
      <w:pPr>
        <w:widowControl/>
        <w:jc w:val="left"/>
        <w:rPr>
          <w:rFonts w:ascii="Calibri" w:hAnsi="Calibri" w:cs="Calibri"/>
        </w:rPr>
      </w:pPr>
      <w:r>
        <w:rPr>
          <w:rFonts w:ascii="Calibri" w:hAnsi="Calibri" w:cs="Calibri"/>
        </w:rPr>
        <w:br w:type="page"/>
      </w:r>
    </w:p>
    <w:p>
      <w:pPr>
        <w:pBdr>
          <w:bottom w:val="single" w:color="14415C" w:themeColor="accent3" w:themeShade="BF" w:sz="12" w:space="1"/>
        </w:pBdr>
        <w:spacing w:before="156" w:beforeLines="50" w:after="156" w:afterLines="50" w:line="360" w:lineRule="auto"/>
        <w:outlineLvl w:val="0"/>
        <w:rPr>
          <w:rFonts w:ascii="Calibri" w:hAnsi="Calibri" w:cs="Calibri"/>
          <w:b/>
          <w:bCs/>
          <w:sz w:val="32"/>
          <w:szCs w:val="32"/>
        </w:rPr>
      </w:pPr>
      <w:bookmarkStart w:id="0" w:name="_Toc98380859"/>
      <w:r>
        <w:rPr>
          <w:rFonts w:hint="eastAsia" w:ascii="Calibri" w:hAnsi="Calibri" w:cs="Calibri"/>
          <w:b/>
          <w:bCs/>
          <w:sz w:val="32"/>
          <w:szCs w:val="32"/>
        </w:rPr>
        <w:t>A</w:t>
      </w:r>
      <w:r>
        <w:rPr>
          <w:rFonts w:ascii="Calibri" w:hAnsi="Calibri" w:cs="Calibri"/>
          <w:b/>
          <w:bCs/>
          <w:sz w:val="32"/>
          <w:szCs w:val="32"/>
        </w:rPr>
        <w:t>bstract</w:t>
      </w:r>
      <w:bookmarkEnd w:id="0"/>
    </w:p>
    <w:p>
      <w:pPr>
        <w:spacing w:before="156" w:beforeLines="50" w:after="156" w:afterLines="50" w:line="360" w:lineRule="auto"/>
        <w:jc w:val="left"/>
        <w:rPr>
          <w:rFonts w:ascii="Calibri" w:hAnsi="Calibri" w:cs="Calibri"/>
          <w:sz w:val="24"/>
          <w:szCs w:val="24"/>
        </w:rPr>
      </w:pPr>
      <w:r>
        <w:rPr>
          <w:rFonts w:hint="eastAsia" w:ascii="Calibri" w:hAnsi="Calibri" w:cs="Calibri"/>
          <w:sz w:val="24"/>
          <w:szCs w:val="24"/>
        </w:rPr>
        <w:t>T</w:t>
      </w:r>
      <w:r>
        <w:rPr>
          <w:rFonts w:ascii="Calibri" w:hAnsi="Calibri" w:cs="Calibri"/>
          <w:sz w:val="24"/>
          <w:szCs w:val="24"/>
        </w:rPr>
        <w:t xml:space="preserve">he ongoing Covid-19 pandemic has significantly affected the global business world especially the hotel industry. To shed light on how businesses in this industry should cope with the pandemic and prepare for the post-pandemic era, this report selects Hilton group as the case for a strategic audit. This report used the PESTEL analysis framework, the Porter’s Five Forces framework, the McKinsey’s 7s framework and the SWOT analysis framework. This report finds that the Hilton company needs to revisit its current strategy focusing on patching its weaknesses to prepare for the fierce competition from market incumbents in the future so that it can face the challenges from the political and social environments. </w:t>
      </w:r>
    </w:p>
    <w:p>
      <w:pPr>
        <w:widowControl/>
        <w:jc w:val="left"/>
        <w:rPr>
          <w:rFonts w:ascii="Calibri" w:hAnsi="Calibri" w:cs="Calibri"/>
          <w:sz w:val="24"/>
          <w:szCs w:val="24"/>
        </w:rPr>
      </w:pPr>
      <w:r>
        <w:rPr>
          <w:rFonts w:ascii="Calibri" w:hAnsi="Calibri" w:cs="Calibri"/>
          <w:sz w:val="24"/>
          <w:szCs w:val="24"/>
        </w:rPr>
        <w:br w:type="page"/>
      </w:r>
    </w:p>
    <w:p>
      <w:pPr>
        <w:pBdr>
          <w:bottom w:val="single" w:color="14415C" w:themeColor="accent3" w:themeShade="BF" w:sz="12" w:space="1"/>
        </w:pBdr>
        <w:spacing w:before="156" w:beforeLines="50" w:after="156" w:afterLines="50" w:line="360" w:lineRule="auto"/>
        <w:outlineLvl w:val="0"/>
        <w:rPr>
          <w:rFonts w:ascii="Calibri" w:hAnsi="Calibri" w:cs="Calibri"/>
          <w:b/>
          <w:bCs/>
          <w:sz w:val="32"/>
          <w:szCs w:val="32"/>
        </w:rPr>
      </w:pPr>
      <w:bookmarkStart w:id="1" w:name="_Toc98380742"/>
      <w:bookmarkStart w:id="2" w:name="_Toc98380860"/>
      <w:r>
        <w:rPr>
          <w:rFonts w:ascii="Calibri" w:hAnsi="Calibri" w:cs="Calibri"/>
          <w:b/>
          <w:bCs/>
          <w:sz w:val="32"/>
          <w:szCs w:val="32"/>
        </w:rPr>
        <w:t>Table of contents</w:t>
      </w:r>
      <w:bookmarkEnd w:id="1"/>
      <w:bookmarkEnd w:id="2"/>
      <w:r>
        <w:rPr>
          <w:rFonts w:ascii="Calibri" w:hAnsi="Calibri" w:cs="Calibri"/>
          <w:b/>
          <w:bCs/>
          <w:sz w:val="32"/>
          <w:szCs w:val="32"/>
        </w:rPr>
        <w:t xml:space="preserve"> </w:t>
      </w:r>
    </w:p>
    <w:sdt>
      <w:sdtPr>
        <w:rPr>
          <w:lang w:val="zh-CN"/>
        </w:rPr>
        <w:id w:val="1254863573"/>
        <w:docPartObj>
          <w:docPartGallery w:val="Table of Contents"/>
          <w:docPartUnique/>
        </w:docPartObj>
      </w:sdtPr>
      <w:sdtEndPr>
        <w:rPr>
          <w:b/>
          <w:bCs/>
          <w:lang w:val="zh-CN"/>
        </w:rPr>
      </w:sdtEndPr>
      <w:sdtContent>
        <w:p>
          <w:pPr>
            <w:pStyle w:val="9"/>
            <w:tabs>
              <w:tab w:val="right" w:leader="dot" w:pos="9016"/>
            </w:tabs>
            <w:spacing w:line="480" w:lineRule="auto"/>
            <w:rPr>
              <w:lang w:val="en-US"/>
            </w:rPr>
          </w:pPr>
          <w:r>
            <w:fldChar w:fldCharType="begin"/>
          </w:r>
          <w:r>
            <w:instrText xml:space="preserve"> TOC \o "1-3" \h \z \u </w:instrText>
          </w:r>
          <w:r>
            <w:fldChar w:fldCharType="separate"/>
          </w:r>
          <w:r>
            <w:fldChar w:fldCharType="begin"/>
          </w:r>
          <w:r>
            <w:instrText xml:space="preserve"> HYPERLINK \l "_Toc98380859" </w:instrText>
          </w:r>
          <w:r>
            <w:fldChar w:fldCharType="separate"/>
          </w:r>
          <w:r>
            <w:rPr>
              <w:rStyle w:val="8"/>
              <w:rFonts w:ascii="Calibri" w:hAnsi="Calibri" w:cs="Calibri"/>
              <w:b/>
              <w:bCs/>
            </w:rPr>
            <w:t>Abstract</w:t>
          </w:r>
          <w:r>
            <w:tab/>
          </w:r>
          <w:r>
            <w:fldChar w:fldCharType="end"/>
          </w:r>
        </w:p>
        <w:p>
          <w:pPr>
            <w:pStyle w:val="9"/>
            <w:tabs>
              <w:tab w:val="right" w:leader="dot" w:pos="9016"/>
            </w:tabs>
            <w:spacing w:line="480" w:lineRule="auto"/>
            <w:rPr>
              <w:lang w:val="en-US"/>
            </w:rPr>
          </w:pPr>
          <w:r>
            <w:fldChar w:fldCharType="begin"/>
          </w:r>
          <w:r>
            <w:instrText xml:space="preserve"> HYPERLINK \l "_Toc98380860" </w:instrText>
          </w:r>
          <w:r>
            <w:fldChar w:fldCharType="separate"/>
          </w:r>
          <w:r>
            <w:rPr>
              <w:rStyle w:val="8"/>
              <w:rFonts w:ascii="Calibri" w:hAnsi="Calibri" w:cs="Calibri"/>
              <w:b/>
              <w:bCs/>
            </w:rPr>
            <w:t>Table of contents</w:t>
          </w:r>
          <w:r>
            <w:tab/>
          </w:r>
          <w:r>
            <w:fldChar w:fldCharType="end"/>
          </w:r>
        </w:p>
        <w:p>
          <w:pPr>
            <w:pStyle w:val="9"/>
            <w:tabs>
              <w:tab w:val="left" w:pos="420"/>
              <w:tab w:val="right" w:leader="dot" w:pos="9016"/>
            </w:tabs>
            <w:spacing w:line="480" w:lineRule="auto"/>
            <w:rPr>
              <w:lang w:val="en-US"/>
            </w:rPr>
          </w:pPr>
          <w:r>
            <w:fldChar w:fldCharType="begin"/>
          </w:r>
          <w:r>
            <w:instrText xml:space="preserve"> HYPERLINK \l "_Toc98380861" </w:instrText>
          </w:r>
          <w:r>
            <w:fldChar w:fldCharType="separate"/>
          </w:r>
          <w:r>
            <w:rPr>
              <w:rStyle w:val="8"/>
              <w:rFonts w:ascii="Calibri" w:hAnsi="Calibri" w:cs="Calibri"/>
              <w:b/>
              <w:bCs/>
            </w:rPr>
            <w:t>1.</w:t>
          </w:r>
          <w:r>
            <w:rPr>
              <w:lang w:val="en-US"/>
            </w:rPr>
            <w:tab/>
          </w:r>
          <w:r>
            <w:rPr>
              <w:rStyle w:val="8"/>
              <w:rFonts w:ascii="Calibri" w:hAnsi="Calibri" w:cs="Calibri"/>
              <w:b/>
              <w:bCs/>
            </w:rPr>
            <w:t>Introduction</w:t>
          </w:r>
          <w:r>
            <w:tab/>
          </w:r>
          <w:r>
            <w:fldChar w:fldCharType="begin"/>
          </w:r>
          <w:r>
            <w:instrText xml:space="preserve"> PAGEREF _Toc98380861 \h </w:instrText>
          </w:r>
          <w:r>
            <w:fldChar w:fldCharType="separate"/>
          </w:r>
          <w:r>
            <w:t>1</w:t>
          </w:r>
          <w:r>
            <w:fldChar w:fldCharType="end"/>
          </w:r>
          <w:r>
            <w:fldChar w:fldCharType="end"/>
          </w:r>
        </w:p>
        <w:p>
          <w:pPr>
            <w:pStyle w:val="9"/>
            <w:tabs>
              <w:tab w:val="left" w:pos="420"/>
              <w:tab w:val="right" w:leader="dot" w:pos="9016"/>
            </w:tabs>
            <w:spacing w:line="480" w:lineRule="auto"/>
            <w:rPr>
              <w:lang w:val="en-US"/>
            </w:rPr>
          </w:pPr>
          <w:r>
            <w:fldChar w:fldCharType="begin"/>
          </w:r>
          <w:r>
            <w:instrText xml:space="preserve"> HYPERLINK \l "_Toc98380862" </w:instrText>
          </w:r>
          <w:r>
            <w:fldChar w:fldCharType="separate"/>
          </w:r>
          <w:r>
            <w:rPr>
              <w:rStyle w:val="8"/>
              <w:rFonts w:ascii="Calibri" w:hAnsi="Calibri" w:cs="Calibri"/>
              <w:b/>
              <w:bCs/>
            </w:rPr>
            <w:t>2.</w:t>
          </w:r>
          <w:r>
            <w:rPr>
              <w:lang w:val="en-US"/>
            </w:rPr>
            <w:tab/>
          </w:r>
          <w:r>
            <w:rPr>
              <w:rStyle w:val="8"/>
              <w:rFonts w:ascii="Calibri" w:hAnsi="Calibri" w:cs="Calibri"/>
              <w:b/>
              <w:bCs/>
            </w:rPr>
            <w:t>Main body</w:t>
          </w:r>
          <w:r>
            <w:tab/>
          </w:r>
          <w:r>
            <w:fldChar w:fldCharType="begin"/>
          </w:r>
          <w:r>
            <w:instrText xml:space="preserve"> PAGEREF _Toc98380862 \h </w:instrText>
          </w:r>
          <w:r>
            <w:fldChar w:fldCharType="separate"/>
          </w:r>
          <w:r>
            <w:t>3</w:t>
          </w:r>
          <w:r>
            <w:fldChar w:fldCharType="end"/>
          </w:r>
          <w:r>
            <w:fldChar w:fldCharType="end"/>
          </w:r>
        </w:p>
        <w:p>
          <w:pPr>
            <w:pStyle w:val="10"/>
            <w:tabs>
              <w:tab w:val="left" w:pos="1050"/>
              <w:tab w:val="right" w:leader="dot" w:pos="9016"/>
            </w:tabs>
            <w:spacing w:line="480" w:lineRule="auto"/>
            <w:rPr>
              <w:lang w:val="en-US"/>
            </w:rPr>
          </w:pPr>
          <w:r>
            <w:fldChar w:fldCharType="begin"/>
          </w:r>
          <w:r>
            <w:instrText xml:space="preserve"> HYPERLINK \l "_Toc98380863" </w:instrText>
          </w:r>
          <w:r>
            <w:fldChar w:fldCharType="separate"/>
          </w:r>
          <w:r>
            <w:rPr>
              <w:rStyle w:val="8"/>
              <w:rFonts w:ascii="Calibri" w:hAnsi="Calibri" w:cs="Calibri"/>
              <w:b/>
              <w:bCs/>
            </w:rPr>
            <w:t>2.1.</w:t>
          </w:r>
          <w:r>
            <w:rPr>
              <w:lang w:val="en-US"/>
            </w:rPr>
            <w:tab/>
          </w:r>
          <w:r>
            <w:rPr>
              <w:rStyle w:val="8"/>
              <w:rFonts w:ascii="Calibri" w:hAnsi="Calibri" w:cs="Calibri"/>
              <w:b/>
              <w:bCs/>
            </w:rPr>
            <w:t>PESTEL analysis</w:t>
          </w:r>
          <w:r>
            <w:tab/>
          </w:r>
          <w:r>
            <w:fldChar w:fldCharType="begin"/>
          </w:r>
          <w:r>
            <w:instrText xml:space="preserve"> PAGEREF _Toc98380863 \h </w:instrText>
          </w:r>
          <w:r>
            <w:fldChar w:fldCharType="separate"/>
          </w:r>
          <w:r>
            <w:t>3</w:t>
          </w:r>
          <w:r>
            <w:fldChar w:fldCharType="end"/>
          </w:r>
          <w:r>
            <w:fldChar w:fldCharType="end"/>
          </w:r>
        </w:p>
        <w:p>
          <w:pPr>
            <w:pStyle w:val="11"/>
            <w:tabs>
              <w:tab w:val="left" w:pos="1260"/>
              <w:tab w:val="right" w:leader="dot" w:pos="9016"/>
            </w:tabs>
            <w:spacing w:line="480" w:lineRule="auto"/>
            <w:rPr>
              <w:lang w:val="en-US"/>
            </w:rPr>
          </w:pPr>
          <w:r>
            <w:fldChar w:fldCharType="begin"/>
          </w:r>
          <w:r>
            <w:instrText xml:space="preserve"> HYPERLINK \l "_Toc98380864" </w:instrText>
          </w:r>
          <w:r>
            <w:fldChar w:fldCharType="separate"/>
          </w:r>
          <w:r>
            <w:rPr>
              <w:rStyle w:val="8"/>
              <w:rFonts w:ascii="Wingdings" w:hAnsi="Wingdings" w:cs="Calibri"/>
            </w:rPr>
            <w:t></w:t>
          </w:r>
          <w:r>
            <w:rPr>
              <w:lang w:val="en-US"/>
            </w:rPr>
            <w:tab/>
          </w:r>
          <w:r>
            <w:rPr>
              <w:rStyle w:val="8"/>
              <w:rFonts w:ascii="Calibri" w:hAnsi="Calibri" w:cs="Calibri"/>
            </w:rPr>
            <w:t>Political aspect</w:t>
          </w:r>
          <w:r>
            <w:tab/>
          </w:r>
          <w:r>
            <w:fldChar w:fldCharType="begin"/>
          </w:r>
          <w:r>
            <w:instrText xml:space="preserve"> PAGEREF _Toc98380864 \h </w:instrText>
          </w:r>
          <w:r>
            <w:fldChar w:fldCharType="separate"/>
          </w:r>
          <w:r>
            <w:t>4</w:t>
          </w:r>
          <w:r>
            <w:fldChar w:fldCharType="end"/>
          </w:r>
          <w:r>
            <w:fldChar w:fldCharType="end"/>
          </w:r>
        </w:p>
        <w:p>
          <w:pPr>
            <w:pStyle w:val="11"/>
            <w:tabs>
              <w:tab w:val="left" w:pos="1260"/>
              <w:tab w:val="right" w:leader="dot" w:pos="9016"/>
            </w:tabs>
            <w:spacing w:line="480" w:lineRule="auto"/>
            <w:rPr>
              <w:lang w:val="en-US"/>
            </w:rPr>
          </w:pPr>
          <w:r>
            <w:fldChar w:fldCharType="begin"/>
          </w:r>
          <w:r>
            <w:instrText xml:space="preserve"> HYPERLINK \l "_Toc98380865" </w:instrText>
          </w:r>
          <w:r>
            <w:fldChar w:fldCharType="separate"/>
          </w:r>
          <w:r>
            <w:rPr>
              <w:rStyle w:val="8"/>
              <w:rFonts w:ascii="Wingdings" w:hAnsi="Wingdings" w:cs="Calibri"/>
            </w:rPr>
            <w:t></w:t>
          </w:r>
          <w:r>
            <w:rPr>
              <w:lang w:val="en-US"/>
            </w:rPr>
            <w:tab/>
          </w:r>
          <w:r>
            <w:rPr>
              <w:rStyle w:val="8"/>
              <w:rFonts w:ascii="Calibri" w:hAnsi="Calibri" w:cs="Calibri"/>
            </w:rPr>
            <w:t>Social aspect</w:t>
          </w:r>
          <w:r>
            <w:tab/>
          </w:r>
          <w:r>
            <w:fldChar w:fldCharType="begin"/>
          </w:r>
          <w:r>
            <w:instrText xml:space="preserve"> PAGEREF _Toc98380865 \h </w:instrText>
          </w:r>
          <w:r>
            <w:fldChar w:fldCharType="separate"/>
          </w:r>
          <w:r>
            <w:t>5</w:t>
          </w:r>
          <w:r>
            <w:fldChar w:fldCharType="end"/>
          </w:r>
          <w:r>
            <w:fldChar w:fldCharType="end"/>
          </w:r>
        </w:p>
        <w:p>
          <w:pPr>
            <w:pStyle w:val="10"/>
            <w:tabs>
              <w:tab w:val="left" w:pos="1050"/>
              <w:tab w:val="right" w:leader="dot" w:pos="9016"/>
            </w:tabs>
            <w:spacing w:line="480" w:lineRule="auto"/>
            <w:rPr>
              <w:lang w:val="en-US"/>
            </w:rPr>
          </w:pPr>
          <w:r>
            <w:fldChar w:fldCharType="begin"/>
          </w:r>
          <w:r>
            <w:instrText xml:space="preserve"> HYPERLINK \l "_Toc98380866" </w:instrText>
          </w:r>
          <w:r>
            <w:fldChar w:fldCharType="separate"/>
          </w:r>
          <w:r>
            <w:rPr>
              <w:rStyle w:val="8"/>
              <w:rFonts w:ascii="Calibri" w:hAnsi="Calibri" w:cs="Calibri"/>
              <w:b/>
              <w:bCs/>
            </w:rPr>
            <w:t>2.2.</w:t>
          </w:r>
          <w:r>
            <w:rPr>
              <w:lang w:val="en-US"/>
            </w:rPr>
            <w:tab/>
          </w:r>
          <w:r>
            <w:rPr>
              <w:rStyle w:val="8"/>
              <w:rFonts w:ascii="Calibri" w:hAnsi="Calibri" w:cs="Calibri"/>
              <w:b/>
              <w:bCs/>
            </w:rPr>
            <w:t>Porter’s Five Forces analysis</w:t>
          </w:r>
          <w:r>
            <w:tab/>
          </w:r>
          <w:r>
            <w:fldChar w:fldCharType="begin"/>
          </w:r>
          <w:r>
            <w:instrText xml:space="preserve"> PAGEREF _Toc98380866 \h </w:instrText>
          </w:r>
          <w:r>
            <w:fldChar w:fldCharType="separate"/>
          </w:r>
          <w:r>
            <w:t>6</w:t>
          </w:r>
          <w:r>
            <w:fldChar w:fldCharType="end"/>
          </w:r>
          <w:r>
            <w:fldChar w:fldCharType="end"/>
          </w:r>
        </w:p>
        <w:p>
          <w:pPr>
            <w:pStyle w:val="10"/>
            <w:tabs>
              <w:tab w:val="left" w:pos="1050"/>
              <w:tab w:val="right" w:leader="dot" w:pos="9016"/>
            </w:tabs>
            <w:spacing w:line="480" w:lineRule="auto"/>
            <w:rPr>
              <w:lang w:val="en-US"/>
            </w:rPr>
          </w:pPr>
          <w:r>
            <w:fldChar w:fldCharType="begin"/>
          </w:r>
          <w:r>
            <w:instrText xml:space="preserve"> HYPERLINK \l "_Toc98380867" </w:instrText>
          </w:r>
          <w:r>
            <w:fldChar w:fldCharType="separate"/>
          </w:r>
          <w:r>
            <w:rPr>
              <w:rStyle w:val="8"/>
              <w:rFonts w:ascii="Calibri" w:hAnsi="Calibri" w:cs="Calibri"/>
              <w:b/>
              <w:bCs/>
            </w:rPr>
            <w:t>2.3.</w:t>
          </w:r>
          <w:r>
            <w:rPr>
              <w:lang w:val="en-US"/>
            </w:rPr>
            <w:tab/>
          </w:r>
          <w:r>
            <w:rPr>
              <w:rStyle w:val="8"/>
              <w:rFonts w:ascii="Calibri" w:hAnsi="Calibri" w:cs="Calibri"/>
              <w:b/>
              <w:bCs/>
            </w:rPr>
            <w:t>McKinsey’s 7s framework</w:t>
          </w:r>
          <w:r>
            <w:tab/>
          </w:r>
          <w:r>
            <w:fldChar w:fldCharType="begin"/>
          </w:r>
          <w:r>
            <w:instrText xml:space="preserve"> PAGEREF _Toc98380867 \h </w:instrText>
          </w:r>
          <w:r>
            <w:fldChar w:fldCharType="separate"/>
          </w:r>
          <w:r>
            <w:t>7</w:t>
          </w:r>
          <w:r>
            <w:fldChar w:fldCharType="end"/>
          </w:r>
          <w:r>
            <w:fldChar w:fldCharType="end"/>
          </w:r>
        </w:p>
        <w:p>
          <w:pPr>
            <w:pStyle w:val="10"/>
            <w:tabs>
              <w:tab w:val="left" w:pos="1050"/>
              <w:tab w:val="right" w:leader="dot" w:pos="9016"/>
            </w:tabs>
            <w:spacing w:line="480" w:lineRule="auto"/>
            <w:rPr>
              <w:lang w:val="en-US"/>
            </w:rPr>
          </w:pPr>
          <w:r>
            <w:fldChar w:fldCharType="begin"/>
          </w:r>
          <w:r>
            <w:instrText xml:space="preserve"> HYPERLINK \l "_Toc98380868" </w:instrText>
          </w:r>
          <w:r>
            <w:fldChar w:fldCharType="separate"/>
          </w:r>
          <w:r>
            <w:rPr>
              <w:rStyle w:val="8"/>
              <w:rFonts w:ascii="Calibri" w:hAnsi="Calibri" w:cs="Calibri"/>
              <w:b/>
              <w:bCs/>
            </w:rPr>
            <w:t>2.4.</w:t>
          </w:r>
          <w:r>
            <w:rPr>
              <w:lang w:val="en-US"/>
            </w:rPr>
            <w:tab/>
          </w:r>
          <w:r>
            <w:rPr>
              <w:rStyle w:val="8"/>
              <w:rFonts w:ascii="Calibri" w:hAnsi="Calibri" w:cs="Calibri"/>
              <w:b/>
              <w:bCs/>
            </w:rPr>
            <w:t>SWOT analysis</w:t>
          </w:r>
          <w:r>
            <w:tab/>
          </w:r>
          <w:r>
            <w:fldChar w:fldCharType="begin"/>
          </w:r>
          <w:r>
            <w:instrText xml:space="preserve"> PAGEREF _Toc98380868 \h </w:instrText>
          </w:r>
          <w:r>
            <w:fldChar w:fldCharType="separate"/>
          </w:r>
          <w:r>
            <w:t>8</w:t>
          </w:r>
          <w:r>
            <w:fldChar w:fldCharType="end"/>
          </w:r>
          <w:r>
            <w:fldChar w:fldCharType="end"/>
          </w:r>
        </w:p>
        <w:p>
          <w:pPr>
            <w:pStyle w:val="9"/>
            <w:tabs>
              <w:tab w:val="left" w:pos="420"/>
              <w:tab w:val="right" w:leader="dot" w:pos="9016"/>
            </w:tabs>
            <w:spacing w:line="480" w:lineRule="auto"/>
            <w:rPr>
              <w:lang w:val="en-US"/>
            </w:rPr>
          </w:pPr>
          <w:r>
            <w:fldChar w:fldCharType="begin"/>
          </w:r>
          <w:r>
            <w:instrText xml:space="preserve"> HYPERLINK \l "_Toc98380869" </w:instrText>
          </w:r>
          <w:r>
            <w:fldChar w:fldCharType="separate"/>
          </w:r>
          <w:r>
            <w:rPr>
              <w:rStyle w:val="8"/>
              <w:rFonts w:ascii="Calibri" w:hAnsi="Calibri" w:cs="Calibri"/>
              <w:b/>
              <w:bCs/>
            </w:rPr>
            <w:t>3.</w:t>
          </w:r>
          <w:r>
            <w:rPr>
              <w:lang w:val="en-US"/>
            </w:rPr>
            <w:tab/>
          </w:r>
          <w:r>
            <w:rPr>
              <w:rStyle w:val="8"/>
              <w:rFonts w:ascii="Calibri" w:hAnsi="Calibri" w:cs="Calibri"/>
              <w:b/>
              <w:bCs/>
            </w:rPr>
            <w:t>Recommendations</w:t>
          </w:r>
          <w:r>
            <w:tab/>
          </w:r>
          <w:r>
            <w:fldChar w:fldCharType="begin"/>
          </w:r>
          <w:r>
            <w:instrText xml:space="preserve"> PAGEREF _Toc98380869 \h </w:instrText>
          </w:r>
          <w:r>
            <w:fldChar w:fldCharType="separate"/>
          </w:r>
          <w:r>
            <w:t>9</w:t>
          </w:r>
          <w:r>
            <w:fldChar w:fldCharType="end"/>
          </w:r>
          <w:r>
            <w:fldChar w:fldCharType="end"/>
          </w:r>
        </w:p>
        <w:p>
          <w:pPr>
            <w:pStyle w:val="9"/>
            <w:tabs>
              <w:tab w:val="left" w:pos="420"/>
              <w:tab w:val="right" w:leader="dot" w:pos="9016"/>
            </w:tabs>
            <w:spacing w:line="480" w:lineRule="auto"/>
            <w:rPr>
              <w:lang w:val="en-US"/>
            </w:rPr>
          </w:pPr>
          <w:r>
            <w:fldChar w:fldCharType="begin"/>
          </w:r>
          <w:r>
            <w:instrText xml:space="preserve"> HYPERLINK \l "_Toc98380870" </w:instrText>
          </w:r>
          <w:r>
            <w:fldChar w:fldCharType="separate"/>
          </w:r>
          <w:r>
            <w:rPr>
              <w:rStyle w:val="8"/>
              <w:rFonts w:ascii="Calibri" w:hAnsi="Calibri" w:cs="Calibri"/>
              <w:b/>
              <w:bCs/>
            </w:rPr>
            <w:t>4.</w:t>
          </w:r>
          <w:r>
            <w:rPr>
              <w:lang w:val="en-US"/>
            </w:rPr>
            <w:tab/>
          </w:r>
          <w:r>
            <w:rPr>
              <w:rStyle w:val="8"/>
              <w:rFonts w:ascii="Calibri" w:hAnsi="Calibri" w:cs="Calibri"/>
              <w:b/>
              <w:bCs/>
            </w:rPr>
            <w:t>Conclusions</w:t>
          </w:r>
          <w:r>
            <w:tab/>
          </w:r>
          <w:r>
            <w:fldChar w:fldCharType="begin"/>
          </w:r>
          <w:r>
            <w:instrText xml:space="preserve"> PAGEREF _Toc98380870 \h </w:instrText>
          </w:r>
          <w:r>
            <w:fldChar w:fldCharType="separate"/>
          </w:r>
          <w:r>
            <w:t>10</w:t>
          </w:r>
          <w:r>
            <w:fldChar w:fldCharType="end"/>
          </w:r>
          <w:r>
            <w:fldChar w:fldCharType="end"/>
          </w:r>
        </w:p>
        <w:p>
          <w:pPr>
            <w:pStyle w:val="9"/>
            <w:tabs>
              <w:tab w:val="right" w:leader="dot" w:pos="9016"/>
            </w:tabs>
            <w:spacing w:line="480" w:lineRule="auto"/>
            <w:rPr>
              <w:lang w:val="en-US"/>
            </w:rPr>
          </w:pPr>
          <w:r>
            <w:fldChar w:fldCharType="begin"/>
          </w:r>
          <w:r>
            <w:instrText xml:space="preserve"> HYPERLINK \l "_Toc98380871" </w:instrText>
          </w:r>
          <w:r>
            <w:fldChar w:fldCharType="separate"/>
          </w:r>
          <w:r>
            <w:rPr>
              <w:rStyle w:val="8"/>
              <w:rFonts w:ascii="Calibri" w:hAnsi="Calibri" w:cs="Calibri"/>
              <w:b/>
              <w:bCs/>
            </w:rPr>
            <w:t>Reference list</w:t>
          </w:r>
          <w:r>
            <w:tab/>
          </w:r>
          <w:r>
            <w:fldChar w:fldCharType="begin"/>
          </w:r>
          <w:r>
            <w:instrText xml:space="preserve"> PAGEREF _Toc98380871 \h </w:instrText>
          </w:r>
          <w:r>
            <w:fldChar w:fldCharType="separate"/>
          </w:r>
          <w:r>
            <w:t>11</w:t>
          </w:r>
          <w:r>
            <w:fldChar w:fldCharType="end"/>
          </w:r>
          <w:r>
            <w:fldChar w:fldCharType="end"/>
          </w:r>
        </w:p>
        <w:p>
          <w:pPr>
            <w:spacing w:line="480" w:lineRule="auto"/>
          </w:pPr>
          <w:r>
            <w:rPr>
              <w:b/>
              <w:bCs/>
              <w:lang w:val="zh-CN"/>
            </w:rPr>
            <w:fldChar w:fldCharType="end"/>
          </w:r>
        </w:p>
      </w:sdtContent>
    </w:sdt>
    <w:p>
      <w:pPr>
        <w:spacing w:before="156" w:beforeLines="50" w:after="156" w:afterLines="50" w:line="360" w:lineRule="auto"/>
        <w:jc w:val="left"/>
        <w:rPr>
          <w:rFonts w:ascii="Calibri" w:hAnsi="Calibri" w:cs="Calibri"/>
        </w:rPr>
      </w:pPr>
    </w:p>
    <w:p>
      <w:pPr>
        <w:spacing w:before="156" w:beforeLines="50" w:after="156" w:afterLines="50" w:line="360" w:lineRule="auto"/>
        <w:jc w:val="left"/>
        <w:rPr>
          <w:rFonts w:ascii="Calibri" w:hAnsi="Calibri" w:cs="Calibri"/>
        </w:rPr>
      </w:pPr>
    </w:p>
    <w:p>
      <w:pPr>
        <w:spacing w:before="156" w:beforeLines="50" w:after="156" w:afterLines="50" w:line="360" w:lineRule="auto"/>
        <w:jc w:val="left"/>
        <w:rPr>
          <w:rFonts w:ascii="Calibri" w:hAnsi="Calibri" w:cs="Calibri"/>
        </w:rPr>
      </w:pPr>
      <w:r>
        <w:rPr>
          <w:rFonts w:ascii="Calibri" w:hAnsi="Calibri" w:cs="Calibri"/>
        </w:rPr>
        <w:br w:type="page"/>
      </w:r>
    </w:p>
    <w:p>
      <w:pPr>
        <w:pBdr>
          <w:bottom w:val="single" w:color="14415C" w:themeColor="accent3" w:themeShade="BF" w:sz="12" w:space="1"/>
        </w:pBdr>
        <w:spacing w:before="156" w:beforeLines="50" w:after="156" w:afterLines="50" w:line="360" w:lineRule="auto"/>
        <w:outlineLvl w:val="0"/>
        <w:rPr>
          <w:rFonts w:ascii="Calibri" w:hAnsi="Calibri" w:cs="Calibri"/>
          <w:b/>
          <w:bCs/>
          <w:sz w:val="32"/>
          <w:szCs w:val="32"/>
        </w:rPr>
        <w:sectPr>
          <w:footerReference r:id="rId3" w:type="default"/>
          <w:pgSz w:w="11906" w:h="16838"/>
          <w:pgMar w:top="1440" w:right="1440" w:bottom="1440" w:left="1440" w:header="851" w:footer="992" w:gutter="0"/>
          <w:cols w:space="425" w:num="1"/>
          <w:docGrid w:type="lines" w:linePitch="312" w:charSpace="0"/>
        </w:sectPr>
      </w:pPr>
    </w:p>
    <w:p>
      <w:pPr>
        <w:pStyle w:val="14"/>
        <w:numPr>
          <w:ilvl w:val="0"/>
          <w:numId w:val="1"/>
        </w:numPr>
        <w:pBdr>
          <w:bottom w:val="single" w:color="14415C" w:themeColor="accent3" w:themeShade="BF" w:sz="12" w:space="1"/>
        </w:pBdr>
        <w:spacing w:before="156" w:beforeLines="50" w:after="156" w:afterLines="50" w:line="360" w:lineRule="auto"/>
        <w:ind w:firstLineChars="0"/>
        <w:outlineLvl w:val="0"/>
        <w:rPr>
          <w:rFonts w:ascii="Calibri" w:hAnsi="Calibri" w:cs="Calibri"/>
          <w:b/>
          <w:bCs/>
          <w:sz w:val="32"/>
          <w:szCs w:val="32"/>
        </w:rPr>
      </w:pPr>
      <w:bookmarkStart w:id="3" w:name="_Toc98380861"/>
      <w:r>
        <w:rPr>
          <w:rFonts w:ascii="Calibri" w:hAnsi="Calibri" w:cs="Calibri"/>
          <w:b/>
          <w:bCs/>
          <w:sz w:val="32"/>
          <w:szCs w:val="32"/>
        </w:rPr>
        <w:t>Introduction</w:t>
      </w:r>
      <w:bookmarkEnd w:id="3"/>
      <w:r>
        <w:rPr>
          <w:rFonts w:ascii="Calibri" w:hAnsi="Calibri" w:cs="Calibri"/>
          <w:b/>
          <w:bCs/>
          <w:sz w:val="32"/>
          <w:szCs w:val="32"/>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At the end of 2019, during the time when the US-Sino trade war and the protectionism emerged around the world, an epidemic broke out in Wuhan, China and rapidly evolved to a global pandemic. The Covid-19 pandemic, as defined by the World Health Organisation, is a contagious disease caused by the Sars-Cov-2 virus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{"citationItems":[{"id":"ITEM-1","itemData":{"URL":"https://www.who.int/health-topics/coronavirus#tab=tab_1","accessed":{"date-parts":[["2022","3","16"]]},"author":[{"dropping-particle":"","family":"World Health Organisation","given":"","non-dropping-particle":"","parse-names":false,"suffix":""}],"id":"ITEM-1","issued":{"date-parts":[["2021"]]},"title":"Coronavirus","type":"webpage"},"uris":["http://www.mendeley.com/documents/?uuid=33fa442b-3bc9-37a2-a06a-71aa2f337792"]}],"mendeley":{"formattedCitation":"(World Health Organisation, 2021)","plainTextFormattedCitation":"(World Health Organisation, 2021)","previouslyFormattedCitation":"(World Health Organisation,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(World Health Organisation, 2021)</w:t>
      </w:r>
      <w:r>
        <w:rPr>
          <w:rFonts w:ascii="Calibri" w:hAnsi="Calibri" w:cs="Calibri"/>
          <w:sz w:val="24"/>
          <w:szCs w:val="24"/>
        </w:rPr>
        <w:fldChar w:fldCharType="end"/>
      </w:r>
      <w:r>
        <w:rPr>
          <w:rFonts w:ascii="Calibri" w:hAnsi="Calibri" w:cs="Calibri"/>
          <w:sz w:val="24"/>
          <w:szCs w:val="24"/>
        </w:rPr>
        <w:t xml:space="preserve">. As reported by the World Health Organisation, death toll of the Covid-19 pandemic and the confirmed case number has been increasing, though have slowed down in increase rate, has been increasing in the past months with the emergence of variants of the virus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{"citationItems":[{"id":"ITEM-1","itemData":{"URL":"https://www.who.int/emergencies/diseases/novel-coronavirus-2019/situation-reports","accessed":{"date-parts":[["2022","3","16"]]},"author":[{"dropping-particle":"","family":"World Health Organisation","given":"","non-dropping-particle":"","parse-names":false,"suffix":""}],"id":"ITEM-1","issued":{"date-parts":[["2022"]]},"title":"Coronavirus Disease (COVID-19) Situation Reports","type":"webpage"},"uris":["http://www.mendeley.com/documents/?uuid=fcf53ae7-96e2-30ba-9e54-a9d05bc37ada"]}],"mendeley":{"formattedCitation":"(World Health Organisation, 2022)","plainTextFormattedCitation":"(World Health Organisation, 2022)","previouslyFormattedCitation":"(World Health Organisation, 2022)"},"properties":{"noteIndex":0},"schema":"https://github.com/citation-style-language/schema/raw/master/csl-citation.json"}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(World Health Organisation, 2022)</w:t>
      </w:r>
      <w:r>
        <w:rPr>
          <w:rFonts w:ascii="Calibri" w:hAnsi="Calibri" w:cs="Calibri"/>
          <w:sz w:val="24"/>
          <w:szCs w:val="24"/>
        </w:rPr>
        <w:fldChar w:fldCharType="end"/>
      </w:r>
      <w:r>
        <w:rPr>
          <w:rFonts w:ascii="Calibri" w:hAnsi="Calibri" w:cs="Calibri"/>
          <w:sz w:val="24"/>
          <w:szCs w:val="24"/>
        </w:rPr>
        <w:t>.</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development of the pandemic is not yet clear. Though new variants such as the Omicron variant has shown signs of decreasing in toxicity and increasing in the level of contagiousness, healthcare studies have not confirmed the ending of the pandemic in the near future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{"citationItems":[{"id":"ITEM-1","itemData":{"DOI":"10.1080/14760584.2022.2021074","ISSN":"1476-0584","author":[{"dropping-particle":"","family":"Hossain","given":"Md Kamal","non-dropping-particle":"","parse-names":false,"suffix":""},{"dropping-particle":"","family":"Hassanzadeganroudsari","given":"Majid","non-dropping-particle":"","parse-names":false,"suffix":""},{"dropping-particle":"","family":"Feehan","given":"Jack","non-dropping-particle":"","parse-names":false,"suffix":""},{"dropping-particle":"","family":"Apostolopoulos","given":"Vasso","non-dropping-particle":"","parse-names":false,"suffix":""}],"container-title":"Expert Review of Vaccines","id":"ITEM-1","issue":"3","issued":{"date-parts":[["2022","3","4"]]},"note":"doi: 10.1080/14760584.2022.2021074","page":"355-376","publisher":"Taylor &amp; Francis","title":"The race for a COVID-19 vaccine: where are we up to?","type":"article-journal","volume":"21"},"uris":["http://www.mendeley.com/documents/?uuid=4553b980-e2e0-4d3d-a8f9-448b5733e9cb"]}],"mendeley":{"formattedCitation":"(Hossain &lt;i&gt;et al.&lt;/i&gt;, 2022)","plainTextFormattedCitation":"(Hossain et al., 2022)","previouslyFormattedCitation":"(Hossain &lt;i&gt;et al.&lt;/i&gt;, 2022)"},"properties":{"noteIndex":0},"schema":"https://github.com/citation-style-language/schema/raw/master/csl-citation.json"}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 xml:space="preserve">(Hossain </w:t>
      </w:r>
      <w:r>
        <w:rPr>
          <w:rFonts w:ascii="Calibri" w:hAnsi="Calibri" w:cs="Calibri"/>
          <w:i/>
          <w:sz w:val="24"/>
          <w:szCs w:val="24"/>
        </w:rPr>
        <w:t>et al.</w:t>
      </w:r>
      <w:r>
        <w:rPr>
          <w:rFonts w:ascii="Calibri" w:hAnsi="Calibri" w:cs="Calibri"/>
          <w:sz w:val="24"/>
          <w:szCs w:val="24"/>
        </w:rPr>
        <w:t>, 2022)</w:t>
      </w:r>
      <w:r>
        <w:rPr>
          <w:rFonts w:ascii="Calibri" w:hAnsi="Calibri" w:cs="Calibri"/>
          <w:sz w:val="24"/>
          <w:szCs w:val="24"/>
        </w:rPr>
        <w:fldChar w:fldCharType="end"/>
      </w:r>
      <w:r>
        <w:rPr>
          <w:rFonts w:ascii="Calibri" w:hAnsi="Calibri" w:cs="Calibri"/>
          <w:sz w:val="24"/>
          <w:szCs w:val="24"/>
        </w:rPr>
        <w:t xml:space="preserve">.. The above introduction to the situation of the Covid-19 pandemic indicates that the pandemic, with its significant impact in the world, is likely to continue to affect the world in a complex way.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frontline combating the pandemic, apart from governmental and healthcare workers, is the service industry such as the tourism industry and the hospitality industry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{"citationItems":[{"id":"ITEM-1","itemData":{"DOI":"https://doi.org/10.1016/j.jbusres.2020.11.043","ISSN":"0148-2963","abstract":"COVID-19 has brought about a marked slowdown in global economic development. Companies have been forced to adopt new managerial guidelines to adapt to the difficult conditions and to survive in this “new normal”. The recent and still scarce literature in this field seeks to provide suitable solutions to prevent irreparable disruption and help strengthen business, but does not apply advanced statistical methods to that end. The aim of this paper is to identify the current research lines developed around COVID-19 and their impact on the business environment, applying text mining methodology. The analysis, which uses statistical software R, focuses on systematic review of studies published in prestigious journals of business and marketing areas. In light of the results obtained, three different areas of intervention were identified. The common thread that runs through all of them is the need to introduce new forms of action to improve citizens' quality of life.","author":[{"dropping-particle":"","family":"Carracedo","given":"Patricia","non-dropping-particle":"","parse-names":false,"suffix":""},{"dropping-particle":"","family":"Puertas","given":"Rosa","non-dropping-particle":"","parse-names":false,"suffix":""},{"dropping-particle":"","family":"Marti","given":"Luisa","non-dropping-particle":"","parse-names":false,"suffix":""}],"container-title":"Journal of Business Research","id":"ITEM-1","issued":{"date-parts":[["2021"]]},"page":"586-593","title":"Research lines on the impact of the COVID-19 pandemic on business. A text mining analysis","type":"article-journal","volume":"132"},"uris":["http://www.mendeley.com/documents/?uuid=bf0f839b-bf63-4b20-997c-24225229e03a"]}],"mendeley":{"formattedCitation":"(Carracedo, Puertas and Marti, 2021)","plainTextFormattedCitation":"(Carracedo, Puertas and Marti, 2021)","previouslyFormattedCitation":"(Carracedo, Puertas and Marti,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(Carracedo, Puertas and Marti, 2021)</w:t>
      </w:r>
      <w:r>
        <w:rPr>
          <w:rFonts w:ascii="Calibri" w:hAnsi="Calibri" w:cs="Calibri"/>
          <w:sz w:val="24"/>
          <w:szCs w:val="24"/>
        </w:rPr>
        <w:fldChar w:fldCharType="end"/>
      </w:r>
      <w:r>
        <w:rPr>
          <w:rFonts w:ascii="Calibri" w:hAnsi="Calibri" w:cs="Calibri"/>
          <w:sz w:val="24"/>
          <w:szCs w:val="24"/>
        </w:rPr>
        <w:t xml:space="preserve">. As found by Nhamo, Dube and Chikodzi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{"citationItems":[{"id":"ITEM-1","itemData":{"DOI":"10.1007/978-3-030-56231-1_8","ISBN":"978-3-030-56231-1","abstract":"While the tourism industry was on a steady growth path up to 2019, it remains sensitive and vulnerable to natural and political shocks. Such shocks have been on the increase in the recent past. Of concern has been the increase in diseases and pandemics which have become more prevalent since 2000 to 2020. As a result of the interlinkages in the tourism industry, disease outbreaks are often disruptive to global tourism economies. This chapter assesses the impact of COVID-19 on the hotel industry and shared accommodation in the form of Airbnb. Using critical document analysis and tracking hotel bookings from machine learning data for five top global online travel agencies and the American Hotel and Lodging Association, among other authoritative sources, the study found that COVID-19 has had a devastating impact on the sector. COVID-19 has led to massive booking cancellations and record low bookings with adverse effects on annual accommodation bookings for 2020 globally. This has, in turn, resulted in hotel closures and empty rooms for Airbnb properties. The slump in business has further led to record high hotel employee layoffs and/or furloughs, while Airbnb property owners battle to pay fixed expenses and mortgages on their properties. In addition, most global hotel chains have cancelled dividend payments and postponed capital expenditure to avoid bankruptcy and industry collapse. There are real fears that the impact of the pandemic, far exceeding previous disasters such as SARS, will reverse the gains and the contribution made towards the achievement of the Sustainable Development Goals. This study recommends the scaling up of several government and private sector relief funds and other measures aimed at assisting both the industry and its employees hardest hit by COVID-19. Particular attention should be given to small- to medium-size enterprises and establishments in developing countries.","author":[{"dropping-particle":"","family":"Nhamo","given":"Godwell","non-dropping-particle":"","parse-names":false,"suffix":""},{"dropping-particle":"","family":"Dube","given":"Kaitano","non-dropping-particle":"","parse-names":false,"suffix":""},{"dropping-particle":"","family":"Chikodzi","given":"David","non-dropping-particle":"","parse-names":false,"suffix":""}],"editor":[{"dropping-particle":"","family":"Nhamo","given":"Godwell","non-dropping-particle":"","parse-names":false,"suffix":""},{"dropping-particle":"","family":"Dube","given":"Kaitano","non-dropping-particle":"","parse-names":false,"suffix":""},{"dropping-particle":"","family":"Chikodzi","given":"David","non-dropping-particle":"","parse-names":false,"suffix":""}],"id":"ITEM-1","issued":{"date-parts":[["2020"]]},"page":"183-204","publisher":"Springer International Publishing","publisher-place":"Cham","title":"Impacts and Implications of COVID-19 on the Global Hotel Industry and Airbnb BT  - Counting the Cost of COVID-19 on the Global Tourism Industry","type":"chapter"},"uris":["http://www.mendeley.com/documents/?uuid=3fb4b4d2-e50b-449b-a4ae-8bce48a61857"]}],"mendeley":{"formattedCitation":"(Nhamo, Dube and Chikodzi, 2020)","manualFormatting":"(2020)","plainTextFormattedCitation":"(Nhamo, Dube and Chikodzi, 2020)","previouslyFormattedCitation":"(Nhamo, Dube and Chikodzi, 2020)"},"properties":{"noteIndex":0},"schema":"https://github.com/citation-style-language/schema/raw/master/csl-citation.json"}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(2020)</w:t>
      </w:r>
      <w:r>
        <w:rPr>
          <w:rFonts w:ascii="Calibri" w:hAnsi="Calibri" w:cs="Calibri"/>
          <w:sz w:val="24"/>
          <w:szCs w:val="24"/>
        </w:rPr>
        <w:fldChar w:fldCharType="end"/>
      </w:r>
      <w:r>
        <w:rPr>
          <w:rFonts w:ascii="Calibri" w:hAnsi="Calibri" w:cs="Calibri"/>
          <w:sz w:val="24"/>
          <w:szCs w:val="24"/>
        </w:rPr>
        <w:t xml:space="preserve">, the global hotel industry has suffered from devastating impact from the Covid-19 with massive cancellations of bookings and constant travel restriction policies announced by authorities. As reported by Statista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URL":"https://www-statista-com/study/71360/covid-19/","accessed":{"date-parts":[["2022","3","16"]]},"author":[{"dropping-particle":"","family":"Statista","given":"","non-dropping-particle":"","parse-names":false,"suffix":""}],"id":"ITEM-1","issued":{"date-parts":[["2022"]]},"title":"Statista Mobility Market Outlook","type":"webpage"},"uris":["http://www.mendeley.com/documents/?uuid=b81e73a3-74b1-393e-8d46-64ef6ad41dc1"]}],"mendeley":{"formattedCitation":"(Statista, 2022)","manualFormatting":"(2022)","plainTextFormattedCitation":"(Statista, 2022)","previouslyFormattedCitation":"(Statista, 2022)"},"properties":{"noteIndex":0},"schema":"https://github.com/citation-style-language/schema/raw/master/csl-citation.json"}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(2022)</w:t>
      </w:r>
      <w:r>
        <w:rPr>
          <w:rFonts w:ascii="Calibri" w:hAnsi="Calibri" w:cs="Calibri"/>
          <w:sz w:val="24"/>
          <w:szCs w:val="24"/>
        </w:rPr>
        <w:fldChar w:fldCharType="end"/>
      </w:r>
      <w:r>
        <w:rPr>
          <w:rFonts w:ascii="Calibri" w:hAnsi="Calibri" w:cs="Calibri"/>
          <w:sz w:val="24"/>
          <w:szCs w:val="24"/>
        </w:rPr>
        <w:t xml:space="preserve">, the total revenue of the global tourism and accommodation industry in the year 2020 has decreased by over 70% regarding the forecast based on the figure in 2019.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future of the industry deserves a critical analysis for strategic guidance. To deepen the understanding of how the pandemic has affected the industry and how businesses in the industry could cope with crises alike in the future, this study selects one leading company in the industry to analyse, from the external and internal environmental aspects, the impact from the Covid-19 pandemic on the company and to offer solid recommendations regarding how the strategy of the company should be adjusted.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case focused in this study is the Hilton Worldwide Holdings Inc. The company is one of the largest chain hotel companies in the world with 403 established hotels worldwide in its 18 brands from top luxury hotel brands such as the Waldorf Astoria Hotel &amp; Resort to economic hotel brands such as the Motto by Hilton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URL":"https://ir.hilton.com/financial-reporting/quarterly-results/2021","accessed":{"date-parts":[["2022","3","16"]]},"author":[{"dropping-particle":"","family":"Hilton","given":"","non-dropping-particle":"","parse-names":false,"suffix":""}],"id":"ITEM-1","issued":{"date-parts":[["2021"]]},"title":"Hilton – Quarterly Results 2021","type":"webpage"},"uris":["http://www.mendeley.com/documents/?uuid=d3363214-72c2-3fc9-95d9-0982f2793e1b"]}],"mendeley":{"formattedCitation":"(Hilton, 2021)","plainTextFormattedCitation":"(Hilton, 2021)","previouslyFormattedCitation":"(Hilton,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(Hilton, 2021)</w:t>
      </w:r>
      <w:r>
        <w:rPr>
          <w:rFonts w:ascii="Calibri" w:hAnsi="Calibri" w:cs="Calibri"/>
          <w:sz w:val="24"/>
          <w:szCs w:val="24"/>
        </w:rPr>
        <w:fldChar w:fldCharType="end"/>
      </w:r>
      <w:r>
        <w:rPr>
          <w:rFonts w:ascii="Calibri" w:hAnsi="Calibri" w:cs="Calibri"/>
          <w:sz w:val="24"/>
          <w:szCs w:val="24"/>
        </w:rPr>
        <w:t xml:space="preserve">. The brand landscape of Hilton is shown as below. </w:t>
      </w:r>
    </w:p>
    <w:p>
      <w:pPr>
        <w:keepNext/>
        <w:spacing w:before="156" w:beforeLines="50" w:after="156" w:afterLines="50" w:line="360" w:lineRule="auto"/>
      </w:pPr>
      <w:r>
        <w:drawing>
          <wp:inline distT="0" distB="0" distL="0" distR="0">
            <wp:extent cx="5731510" cy="2865755"/>
            <wp:effectExtent l="19050" t="19050" r="21590" b="10795"/>
            <wp:docPr id="1" name="图片 1" descr="Hilton Brands — Officer Wayfi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Hilton Brands — Officer Wayfind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731510" cy="2865755"/>
                    </a:xfrm>
                    <a:prstGeom prst="rect">
                      <a:avLst/>
                    </a:prstGeom>
                    <a:noFill/>
                    <a:ln w="12700">
                      <a:solidFill>
                        <a:schemeClr val="tx1"/>
                      </a:solidFill>
                    </a:ln>
                  </pic:spPr>
                </pic:pic>
              </a:graphicData>
            </a:graphic>
          </wp:inline>
        </w:drawing>
      </w:r>
    </w:p>
    <w:p>
      <w:pPr>
        <w:pStyle w:val="5"/>
        <w:rPr>
          <w:rFonts w:ascii="Calibri" w:hAnsi="Calibri" w:cs="Calibri"/>
          <w:b/>
          <w:bCs/>
          <w:i/>
          <w:iCs/>
          <w:sz w:val="24"/>
          <w:szCs w:val="24"/>
        </w:rPr>
      </w:pPr>
      <w:r>
        <w:rPr>
          <w:rFonts w:ascii="Calibri" w:hAnsi="Calibri" w:cs="Calibri"/>
          <w:b/>
          <w:bCs/>
          <w:i/>
          <w:iCs/>
        </w:rPr>
        <w:t xml:space="preserve">Figure </w:t>
      </w:r>
      <w:r>
        <w:rPr>
          <w:rFonts w:ascii="Calibri" w:hAnsi="Calibri" w:cs="Calibri"/>
          <w:b/>
          <w:bCs/>
          <w:i/>
          <w:iCs/>
        </w:rPr>
        <w:fldChar w:fldCharType="begin"/>
      </w:r>
      <w:r>
        <w:rPr>
          <w:rFonts w:ascii="Calibri" w:hAnsi="Calibri" w:cs="Calibri"/>
          <w:b/>
          <w:bCs/>
          <w:i/>
          <w:iCs/>
        </w:rPr>
        <w:instrText xml:space="preserve"> SEQ Figure \* ARABIC </w:instrText>
      </w:r>
      <w:r>
        <w:rPr>
          <w:rFonts w:ascii="Calibri" w:hAnsi="Calibri" w:cs="Calibri"/>
          <w:b/>
          <w:bCs/>
          <w:i/>
          <w:iCs/>
        </w:rPr>
        <w:fldChar w:fldCharType="separate"/>
      </w:r>
      <w:r>
        <w:rPr>
          <w:rFonts w:ascii="Calibri" w:hAnsi="Calibri" w:cs="Calibri"/>
          <w:b/>
          <w:bCs/>
          <w:i/>
          <w:iCs/>
        </w:rPr>
        <w:t>1</w:t>
      </w:r>
      <w:r>
        <w:rPr>
          <w:rFonts w:ascii="Calibri" w:hAnsi="Calibri" w:cs="Calibri"/>
          <w:b/>
          <w:bCs/>
          <w:i/>
          <w:iCs/>
        </w:rPr>
        <w:fldChar w:fldCharType="end"/>
      </w:r>
      <w:r>
        <w:rPr>
          <w:rFonts w:ascii="Calibri" w:hAnsi="Calibri" w:cs="Calibri"/>
          <w:b/>
          <w:bCs/>
          <w:i/>
          <w:iCs/>
        </w:rPr>
        <w:t xml:space="preserve">. Brands managed by Hilton. Source: </w:t>
      </w:r>
      <w:r>
        <w:rPr>
          <w:rFonts w:ascii="Calibri" w:hAnsi="Calibri" w:cs="Calibri"/>
          <w:b/>
          <w:bCs/>
          <w:i/>
          <w:iCs/>
        </w:rPr>
        <w:fldChar w:fldCharType="begin" w:fldLock="1"/>
      </w:r>
      <w:r>
        <w:rPr>
          <w:rFonts w:ascii="Calibri" w:hAnsi="Calibri" w:cs="Calibri"/>
          <w:b/>
          <w:bCs/>
          <w:i/>
          <w:iCs/>
        </w:rPr>
        <w:instrText xml:space="preserve">ADDIN CSL_CITATION {"citationItems":[{"id":"ITEM-1","itemData":{"URL":"https://www.hilton.com/en/?WT.srch=1&amp;WT.mc_id=zIMDPDA0EMEA1MB2PSH3PPC_Google_search4cid123373713_aid7683417273_me_kkwd-387505705Brand_TopLevel6MULTIBR7en&amp;utm_source=Google&amp;utm_medium=ppc&amp;utm_campaign=paidsearch&amp;campaignid=123373713&amp;adgroupid=7683417273&amp;targetid=kwd-38750570&amp;gclid=Cj0KCQiAqdP9BRDVARIsAGSZ8AlwQL1lgEEP0_X-PxcMsttlH6OXjJoX6c9fQRrqUxa0D5P4N2VRiboaAkEQEALw_wcB&amp;gclsrc=aw.ds","accessed":{"date-parts":[["2020","11","18"]]},"author":[{"dropping-particle":"","family":"Hilton","given":"","non-dropping-particle":"","parse-names":false,"suffix":""}],"id":"ITEM-1","issued":{"date-parts":[["2019"]]},"title":"Hotels by Hilton ","type":"webpage"},"uris":["http://www.mendeley.com/documents/?uuid=ff9ff754-03b8-35d0-897a-592f6391e9b4"]}],"mendeley":{"formattedCitation":"(Hilton, 2019)","plainTextFormattedCitation":"(Hilton, 2019)","previouslyFormattedCitation":"(Hilton, 2019)"},"properties":{"noteIndex":0},"schema":"https://github.com/citation-style-language/schema/raw/master/csl-citation.json"}</w:instrText>
      </w:r>
      <w:r>
        <w:rPr>
          <w:rFonts w:ascii="Calibri" w:hAnsi="Calibri" w:cs="Calibri"/>
          <w:b/>
          <w:bCs/>
          <w:i/>
          <w:iCs/>
        </w:rPr>
        <w:fldChar w:fldCharType="separate"/>
      </w:r>
      <w:r>
        <w:rPr>
          <w:rFonts w:ascii="Calibri" w:hAnsi="Calibri" w:cs="Calibri"/>
          <w:b/>
          <w:bCs/>
          <w:i/>
          <w:iCs/>
        </w:rPr>
        <w:t>(Hilton, 2019)</w:t>
      </w:r>
      <w:r>
        <w:rPr>
          <w:rFonts w:ascii="Calibri" w:hAnsi="Calibri" w:cs="Calibri"/>
          <w:b/>
          <w:bCs/>
          <w:i/>
          <w:iCs/>
        </w:rPr>
        <w:fldChar w:fldCharType="end"/>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company suffered significant loss during the pandemic. As shown in figure 2, the company’s revenue and net income have significantly reduced during the pandemic in the past two years. It is thus critical for the company to audit its current strategy for its further development in the post-pandemic era. The analysis of the company could also benefit other companies alike in the industry and the academia in the research fields including the impact from the Covid-19 pandemic on the hotel industry. </w:t>
      </w:r>
    </w:p>
    <w:p>
      <w:pPr>
        <w:keepNext/>
        <w:spacing w:before="156" w:beforeLines="50" w:after="156" w:afterLines="50" w:line="360" w:lineRule="auto"/>
      </w:pPr>
      <w:r>
        <w:rPr>
          <w:rFonts w:ascii="Calibri" w:hAnsi="Calibri" w:cs="Calibri"/>
          <w:sz w:val="24"/>
          <w:szCs w:val="24"/>
        </w:rPr>
        <w:drawing>
          <wp:inline distT="0" distB="0" distL="0" distR="0">
            <wp:extent cx="4070350" cy="2442210"/>
            <wp:effectExtent l="19050" t="19050" r="25400" b="152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090088" cy="2453711"/>
                    </a:xfrm>
                    <a:prstGeom prst="rect">
                      <a:avLst/>
                    </a:prstGeom>
                    <a:noFill/>
                    <a:ln w="12700">
                      <a:solidFill>
                        <a:schemeClr val="tx1"/>
                      </a:solidFill>
                    </a:ln>
                  </pic:spPr>
                </pic:pic>
              </a:graphicData>
            </a:graphic>
          </wp:inline>
        </w:drawing>
      </w:r>
    </w:p>
    <w:p>
      <w:pPr>
        <w:pStyle w:val="5"/>
        <w:rPr>
          <w:rFonts w:ascii="Calibri" w:hAnsi="Calibri" w:cs="Calibri"/>
          <w:b/>
          <w:bCs/>
          <w:i/>
          <w:iCs/>
        </w:rPr>
      </w:pPr>
      <w:r>
        <w:rPr>
          <w:rFonts w:ascii="Calibri" w:hAnsi="Calibri" w:cs="Calibri"/>
          <w:b/>
          <w:bCs/>
          <w:i/>
          <w:iCs/>
        </w:rPr>
        <w:t xml:space="preserve">Figure </w:t>
      </w:r>
      <w:r>
        <w:rPr>
          <w:rFonts w:ascii="Calibri" w:hAnsi="Calibri" w:cs="Calibri"/>
          <w:b/>
          <w:bCs/>
          <w:i/>
          <w:iCs/>
        </w:rPr>
        <w:fldChar w:fldCharType="begin"/>
      </w:r>
      <w:r>
        <w:rPr>
          <w:rFonts w:ascii="Calibri" w:hAnsi="Calibri" w:cs="Calibri"/>
          <w:b/>
          <w:bCs/>
          <w:i/>
          <w:iCs/>
        </w:rPr>
        <w:instrText xml:space="preserve"> SEQ Figure \* ARABIC </w:instrText>
      </w:r>
      <w:r>
        <w:rPr>
          <w:rFonts w:ascii="Calibri" w:hAnsi="Calibri" w:cs="Calibri"/>
          <w:b/>
          <w:bCs/>
          <w:i/>
          <w:iCs/>
        </w:rPr>
        <w:fldChar w:fldCharType="separate"/>
      </w:r>
      <w:r>
        <w:rPr>
          <w:rFonts w:ascii="Calibri" w:hAnsi="Calibri" w:cs="Calibri"/>
          <w:b/>
          <w:bCs/>
          <w:i/>
          <w:iCs/>
        </w:rPr>
        <w:t>2</w:t>
      </w:r>
      <w:r>
        <w:rPr>
          <w:rFonts w:ascii="Calibri" w:hAnsi="Calibri" w:cs="Calibri"/>
          <w:b/>
          <w:bCs/>
          <w:i/>
          <w:iCs/>
        </w:rPr>
        <w:fldChar w:fldCharType="end"/>
      </w:r>
      <w:r>
        <w:rPr>
          <w:rFonts w:ascii="Calibri" w:hAnsi="Calibri" w:cs="Calibri"/>
          <w:b/>
          <w:bCs/>
          <w:i/>
          <w:iCs/>
        </w:rPr>
        <w:t xml:space="preserve">. Revenue and net income of the Hilton group from 2014 to 2021. Source: Made by the author based on data from Hilton </w:t>
      </w:r>
      <w:r>
        <w:rPr>
          <w:rFonts w:ascii="Calibri" w:hAnsi="Calibri" w:cs="Calibri"/>
          <w:b/>
          <w:bCs/>
          <w:i/>
          <w:iCs/>
        </w:rPr>
        <w:fldChar w:fldCharType="begin" w:fldLock="1"/>
      </w:r>
      <w:r>
        <w:rPr>
          <w:rFonts w:ascii="Calibri" w:hAnsi="Calibri" w:cs="Calibri"/>
          <w:b/>
          <w:bCs/>
          <w:i/>
          <w:iCs/>
        </w:rPr>
        <w:instrText xml:space="preserve">ADDIN CSL_CITATION {"citationItems":[{"id":"ITEM-1","itemData":{"URL":"https://ir.hilton.com/financial-reporting/quarterly-results/2021","accessed":{"date-parts":[["2022","3","16"]]},"author":[{"dropping-particle":"","family":"Hilton","given":"","non-dropping-particle":"","parse-names":false,"suffix":""}],"id":"ITEM-1","issued":{"date-parts":[["2021"]]},"title":"Hilton – Quarterly Results 2021","type":"webpage"},"uris":["http://www.mendeley.com/documents/?uuid=d3363214-72c2-3fc9-95d9-0982f2793e1b"]}],"mendeley":{"formattedCitation":"(Hilton, 2021)","manualFormatting":"(2021)","plainTextFormattedCitation":"(Hilton, 2021)","previouslyFormattedCitation":"(Hilton, 2021)"},"properties":{"noteIndex":0},"schema":"https://github.com/citation-style-language/schema/raw/master/csl-citation.json"}</w:instrText>
      </w:r>
      <w:r>
        <w:rPr>
          <w:rFonts w:ascii="Calibri" w:hAnsi="Calibri" w:cs="Calibri"/>
          <w:b/>
          <w:bCs/>
          <w:i/>
          <w:iCs/>
        </w:rPr>
        <w:fldChar w:fldCharType="separate"/>
      </w:r>
      <w:r>
        <w:rPr>
          <w:rFonts w:ascii="Calibri" w:hAnsi="Calibri" w:cs="Calibri"/>
          <w:b/>
          <w:bCs/>
          <w:i/>
          <w:iCs/>
        </w:rPr>
        <w:t>(2021)</w:t>
      </w:r>
      <w:r>
        <w:rPr>
          <w:rFonts w:ascii="Calibri" w:hAnsi="Calibri" w:cs="Calibri"/>
          <w:b/>
          <w:bCs/>
          <w:i/>
          <w:iCs/>
        </w:rPr>
        <w:fldChar w:fldCharType="end"/>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This study aims to establish five solid findings regarding the strategic management of the Hilton company based on the adoption of four analytical frameworks including the PESTEL analysis, the SWOT analysis, the </w:t>
      </w:r>
      <w:r>
        <w:rPr>
          <w:rFonts w:hint="eastAsia" w:ascii="Calibri" w:hAnsi="Calibri" w:cs="Calibri"/>
          <w:sz w:val="24"/>
          <w:szCs w:val="24"/>
        </w:rPr>
        <w:t>P</w:t>
      </w:r>
      <w:r>
        <w:rPr>
          <w:rFonts w:ascii="Calibri" w:hAnsi="Calibri" w:cs="Calibri"/>
          <w:sz w:val="24"/>
          <w:szCs w:val="24"/>
        </w:rPr>
        <w:t xml:space="preserve">orter’s Five Forces analysis, and the McKinsey’s 7s framework. The analysis in this study will lead to the proposal of three solid recommendations for the Hilton company in the post-pandemic era. </w:t>
      </w:r>
    </w:p>
    <w:p>
      <w:pPr>
        <w:pStyle w:val="14"/>
        <w:numPr>
          <w:ilvl w:val="0"/>
          <w:numId w:val="1"/>
        </w:numPr>
        <w:pBdr>
          <w:bottom w:val="single" w:color="14415C" w:themeColor="accent3" w:themeShade="BF" w:sz="12" w:space="1"/>
        </w:pBdr>
        <w:spacing w:before="156" w:beforeLines="50" w:after="156" w:afterLines="50" w:line="360" w:lineRule="auto"/>
        <w:ind w:firstLineChars="0"/>
        <w:outlineLvl w:val="0"/>
        <w:rPr>
          <w:rFonts w:hint="eastAsia" w:ascii="Calibri" w:hAnsi="Calibri" w:cs="Calibri"/>
          <w:b/>
          <w:bCs/>
          <w:sz w:val="32"/>
          <w:szCs w:val="32"/>
        </w:rPr>
      </w:pPr>
      <w:bookmarkStart w:id="4" w:name="_Toc98380862"/>
      <w:r>
        <w:rPr>
          <w:rFonts w:ascii="Calibri" w:hAnsi="Calibri" w:cs="Calibri"/>
          <w:b/>
          <w:bCs/>
          <w:sz w:val="32"/>
          <w:szCs w:val="32"/>
        </w:rPr>
        <w:t>Main body</w:t>
      </w:r>
      <w:bookmarkEnd w:id="4"/>
      <w:r>
        <w:rPr>
          <w:rFonts w:ascii="Calibri" w:hAnsi="Calibri" w:cs="Calibri"/>
          <w:b/>
          <w:bCs/>
          <w:sz w:val="32"/>
          <w:szCs w:val="32"/>
        </w:rPr>
        <w:t xml:space="preserve"> </w:t>
      </w:r>
    </w:p>
    <w:p>
      <w:pPr>
        <w:pStyle w:val="14"/>
        <w:numPr>
          <w:ilvl w:val="1"/>
          <w:numId w:val="1"/>
        </w:numPr>
        <w:spacing w:before="156" w:beforeLines="50" w:after="156" w:afterLines="50" w:line="360" w:lineRule="auto"/>
        <w:ind w:firstLineChars="0"/>
        <w:outlineLvl w:val="1"/>
        <w:rPr>
          <w:rFonts w:ascii="Calibri" w:hAnsi="Calibri" w:cs="Calibri"/>
          <w:b/>
          <w:bCs/>
          <w:sz w:val="24"/>
          <w:szCs w:val="24"/>
        </w:rPr>
      </w:pPr>
      <w:bookmarkStart w:id="5" w:name="_Toc98380863"/>
      <w:r>
        <w:rPr>
          <w:rFonts w:ascii="Calibri" w:hAnsi="Calibri" w:cs="Calibri"/>
          <w:b/>
          <w:bCs/>
          <w:sz w:val="24"/>
          <w:szCs w:val="24"/>
        </w:rPr>
        <w:t>PESTEL analysis</w:t>
      </w:r>
      <w:bookmarkEnd w:id="5"/>
      <w:r>
        <w:rPr>
          <w:rFonts w:ascii="Calibri" w:hAnsi="Calibri" w:cs="Calibri"/>
          <w:b/>
          <w:bCs/>
          <w:sz w:val="24"/>
          <w:szCs w:val="24"/>
        </w:rPr>
        <w:t xml:space="preserve"> </w:t>
      </w:r>
    </w:p>
    <w:p>
      <w:pPr>
        <w:spacing w:before="156" w:beforeLines="50" w:after="156" w:afterLines="50" w:line="360" w:lineRule="auto"/>
        <w:rPr>
          <w:rFonts w:ascii="Calibri" w:hAnsi="Calibri" w:cs="Calibri"/>
          <w:sz w:val="24"/>
          <w:szCs w:val="24"/>
        </w:rPr>
      </w:pPr>
      <w:r>
        <w:rPr>
          <w:rFonts w:hint="eastAsia" w:ascii="Calibri" w:hAnsi="Calibri" w:cs="Calibri"/>
          <w:sz w:val="24"/>
          <w:szCs w:val="24"/>
        </w:rPr>
        <w:t>P</w:t>
      </w:r>
      <w:r>
        <w:rPr>
          <w:rFonts w:ascii="Calibri" w:hAnsi="Calibri" w:cs="Calibri"/>
          <w:sz w:val="24"/>
          <w:szCs w:val="24"/>
        </w:rPr>
        <w:t xml:space="preserve">ESTEL analysis was developed in the 1960s by Francis Aguilar as a tool to audit the external business environment for one company or for one industry in a given market. The PESTEL analysis focuses on the six key factors that constitute the external business environment of one company as the political factor, the economic factor, the social factor, the technological factor, the ecological factor and the legal factor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{"citationItems":[{"id":"ITEM-1","itemData":{"DOI":"10.4018/978-1-7998-2559-3.ch016","ISBN":"9781799825593","abstract":"Strategy and tactic are two inseparable dynamics for organization which can be the same as a chess game. Organizations' theoretical infinite life cycle needs well-established strategic management. To create competitive advantage among competitors, top management of organizations must scan environmental factors very carefully. Without environmental scanning process organization can be viewed as blind and deaf in an ecosystem which definitely ends with shutdown of activity. Environmental scanning has two parts; internal environmental analysis and external analysis which aim to create early signals for organization. Internal analysis deals with micro-based factors which can be controlled by organization whereas external analysis universe is larger and wider when compared to internal analysis. External analysis covers all the factors such as political, economic, social, technological, environmental, and legal, which an organization cannot control and cannot affect. This type of analysis can be named as top-down approach analysis aims to create competitive advantage. ","author":[{"dropping-particle":"","family":"Çitilci","given":"Tuğberk","non-dropping-particle":"","parse-names":false,"suffix":""},{"dropping-particle":"","family":"Akbalık","given":"Murat","non-dropping-particle":"","parse-names":false,"suffix":""}],"container-title":"Handbook of Research on Decision-Making Techniques in Financial Marketing","editor":[{"dropping-particle":"","family":"Dinçer","given":"Hasan","non-dropping-particle":"","parse-names":false,"suffix":""},{"dropping-particle":"","family":"Yüksel","given":"Serhat","non-dropping-particle":"","parse-names":false,"suffix":""}],"id":"ITEM-1","issued":{"date-parts":[["2020"]]},"page":"336-357","publisher":"IGI Global","publisher-place":"Hershey, PA, USA","title":"The Importance of PESTEL Analysis for Environmental Scanning Process","type":"chapter"},"uris":["http://www.mendeley.com/documents/?uuid=afb76781-25ee-44ab-9f7d-b3cf0dc39634"]}],"mendeley":{"formattedCitation":"(Çitilci and Akbalık, 2020)","plainTextFormattedCitation":"(Çitilci and Akbalık, 2020)","previouslyFormattedCitation":"(Çitilci and Akbalık, 2020)"},"properties":{"noteIndex":0},"schema":"https://github.com/citation-style-language/schema/raw/master/csl-citation.json"}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(Çitilci and Akbalık, 2020)</w:t>
      </w:r>
      <w:r>
        <w:rPr>
          <w:rFonts w:ascii="Calibri" w:hAnsi="Calibri" w:cs="Calibri"/>
          <w:sz w:val="24"/>
          <w:szCs w:val="24"/>
        </w:rPr>
        <w:fldChar w:fldCharType="end"/>
      </w:r>
      <w:r>
        <w:rPr>
          <w:rFonts w:ascii="Calibri" w:hAnsi="Calibri" w:cs="Calibri"/>
          <w:sz w:val="24"/>
          <w:szCs w:val="24"/>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What affects primarily the hotel industry in the pandemic includes two factors. The first factor is the policy on travels and business openings. The second is the change of consumer behaviour on special needs in the pandemic such as social distancing and sanitation methods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10.1080/09669582.2020.1758708","ISSN":"0966-9582","author":[{"dropping-particle":"","family":"Gössling","given":"Stefan","non-dropping-particle":"","parse-names":false,"suffix":""},{"dropping-particle":"","family":"Scott","given":"Daniel","non-dropping-particle":"","parse-names":false,"suffix":""},{"dropping-particle":"","family":"Hall","given":"C Michael","non-dropping-particle":"","parse-names":false,"suffix":""}],"container-title":"Journal of Sustainable Tourism","id":"ITEM-1","issue":"1","issued":{"date-parts":[["2021","1","2"]]},"note":"doi: 10.1080/09669582.2020.1758708","page":"1-20","publisher":"Routledge","title":"Pandemics, tourism and global change: a rapid assessment of COVID-19","type":"article-journal","volume":"29"},"uris":["http://www.mendeley.com/documents/?uuid=992dda9d-9b7f-4b24-aa61-3b8749650d91"]}],"mendeley":{"formattedCitation":"(Gössling, Scott and Hall, 2021)","plainTextFormattedCitation":"(Gössling, Scott and Hall, 2021)","previouslyFormattedCitation":"(Gössling, Scott and Hall,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(Gössling, Scott and Hall, 2021)</w:t>
      </w:r>
      <w:r>
        <w:rPr>
          <w:rFonts w:ascii="Calibri" w:hAnsi="Calibri" w:cs="Calibri"/>
          <w:sz w:val="24"/>
          <w:szCs w:val="24"/>
        </w:rPr>
        <w:fldChar w:fldCharType="end"/>
      </w:r>
      <w:r>
        <w:rPr>
          <w:rFonts w:ascii="Calibri" w:hAnsi="Calibri" w:cs="Calibri"/>
          <w:sz w:val="24"/>
          <w:szCs w:val="24"/>
        </w:rPr>
        <w:t xml:space="preserve">. The above two factors relate to the political and social factors in the PESTEL analysis, this report thus focuses on the political and social factors of the externa environment of Hilton. </w:t>
      </w:r>
    </w:p>
    <w:p>
      <w:pPr>
        <w:pStyle w:val="14"/>
        <w:numPr>
          <w:ilvl w:val="0"/>
          <w:numId w:val="2"/>
        </w:numPr>
        <w:spacing w:before="156" w:beforeLines="50" w:after="156" w:afterLines="50" w:line="360" w:lineRule="auto"/>
        <w:ind w:firstLineChars="0"/>
        <w:outlineLvl w:val="2"/>
        <w:rPr>
          <w:rFonts w:ascii="Calibri" w:hAnsi="Calibri" w:cs="Calibri"/>
          <w:b/>
          <w:bCs/>
          <w:sz w:val="24"/>
          <w:szCs w:val="24"/>
        </w:rPr>
      </w:pPr>
      <w:bookmarkStart w:id="6" w:name="_Toc98380864"/>
      <w:r>
        <w:rPr>
          <w:rFonts w:ascii="Calibri" w:hAnsi="Calibri" w:cs="Calibri"/>
          <w:b/>
          <w:bCs/>
          <w:sz w:val="24"/>
          <w:szCs w:val="24"/>
        </w:rPr>
        <w:t>Political aspect</w:t>
      </w:r>
      <w:bookmarkEnd w:id="6"/>
      <w:r>
        <w:rPr>
          <w:rFonts w:ascii="Calibri" w:hAnsi="Calibri" w:cs="Calibri"/>
          <w:b/>
          <w:bCs/>
          <w:sz w:val="24"/>
          <w:szCs w:val="24"/>
        </w:rPr>
        <w:t xml:space="preserve"> </w:t>
      </w:r>
    </w:p>
    <w:p>
      <w:pPr>
        <w:spacing w:before="156" w:beforeLines="50" w:after="156" w:afterLines="50" w:line="360" w:lineRule="auto"/>
        <w:rPr>
          <w:rFonts w:ascii="Calibri" w:hAnsi="Calibri" w:cs="Calibri"/>
          <w:sz w:val="24"/>
          <w:szCs w:val="24"/>
        </w:rPr>
      </w:pPr>
      <w:r>
        <w:rPr>
          <w:rFonts w:hint="eastAsia" w:ascii="Calibri" w:hAnsi="Calibri" w:cs="Calibri"/>
          <w:sz w:val="24"/>
          <w:szCs w:val="24"/>
        </w:rPr>
        <w:t>T</w:t>
      </w:r>
      <w:r>
        <w:rPr>
          <w:rFonts w:ascii="Calibri" w:hAnsi="Calibri" w:cs="Calibri"/>
          <w:sz w:val="24"/>
          <w:szCs w:val="24"/>
        </w:rPr>
        <w:t xml:space="preserve">he political factor under focus is the pandemic policies issues by authorities worldwide including the World Health Organisation and governments worldwide. Current travel restriction policy in the world is shown in figure 3 as below. It is clear that the primary travel restriction policies in the world are largely welcoming vaccinated travellers while restricting those who are not by establishing barriers such as on-arrival Covid PCR testing or quarantine periods varying in the length of quarantine time. </w:t>
      </w:r>
    </w:p>
    <w:p>
      <w:pPr>
        <w:keepNext/>
        <w:spacing w:before="156" w:beforeLines="50" w:after="156" w:afterLines="50" w:line="360" w:lineRule="auto"/>
      </w:pPr>
      <w:r>
        <w:rPr>
          <w:rFonts w:ascii="Calibri" w:hAnsi="Calibri" w:cs="Calibri"/>
          <w:sz w:val="24"/>
          <w:szCs w:val="24"/>
        </w:rPr>
        <w:drawing>
          <wp:inline distT="0" distB="0" distL="0" distR="0">
            <wp:extent cx="3828415" cy="3486150"/>
            <wp:effectExtent l="19050" t="19050" r="19685" b="1905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2773" cy="3489591"/>
                    </a:xfrm>
                    <a:prstGeom prst="rect">
                      <a:avLst/>
                    </a:prstGeom>
                    <a:noFill/>
                    <a:ln w="12700">
                      <a:solidFill>
                        <a:schemeClr val="tx1"/>
                      </a:solidFill>
                    </a:ln>
                  </pic:spPr>
                </pic:pic>
              </a:graphicData>
            </a:graphic>
          </wp:inline>
        </w:drawing>
      </w:r>
    </w:p>
    <w:p>
      <w:pPr>
        <w:pStyle w:val="5"/>
        <w:rPr>
          <w:rFonts w:ascii="Calibri" w:hAnsi="Calibri" w:cs="Calibri"/>
          <w:b/>
          <w:bCs/>
          <w:i/>
          <w:iCs/>
        </w:rPr>
      </w:pPr>
      <w:r>
        <w:rPr>
          <w:rFonts w:ascii="Calibri" w:hAnsi="Calibri" w:cs="Calibri"/>
          <w:b/>
          <w:bCs/>
          <w:i/>
          <w:iCs/>
        </w:rPr>
        <w:t xml:space="preserve">Figure </w:t>
      </w:r>
      <w:r>
        <w:rPr>
          <w:rFonts w:ascii="Calibri" w:hAnsi="Calibri" w:cs="Calibri"/>
          <w:b/>
          <w:bCs/>
          <w:i/>
          <w:iCs/>
        </w:rPr>
        <w:fldChar w:fldCharType="begin"/>
      </w:r>
      <w:r>
        <w:rPr>
          <w:rFonts w:ascii="Calibri" w:hAnsi="Calibri" w:cs="Calibri"/>
          <w:b/>
          <w:bCs/>
          <w:i/>
          <w:iCs/>
        </w:rPr>
        <w:instrText xml:space="preserve"> SEQ Figure \* ARABIC </w:instrText>
      </w:r>
      <w:r>
        <w:rPr>
          <w:rFonts w:ascii="Calibri" w:hAnsi="Calibri" w:cs="Calibri"/>
          <w:b/>
          <w:bCs/>
          <w:i/>
          <w:iCs/>
        </w:rPr>
        <w:fldChar w:fldCharType="separate"/>
      </w:r>
      <w:r>
        <w:rPr>
          <w:rFonts w:ascii="Calibri" w:hAnsi="Calibri" w:cs="Calibri"/>
          <w:b/>
          <w:bCs/>
          <w:i/>
          <w:iCs/>
        </w:rPr>
        <w:t>3</w:t>
      </w:r>
      <w:r>
        <w:rPr>
          <w:rFonts w:ascii="Calibri" w:hAnsi="Calibri" w:cs="Calibri"/>
          <w:b/>
          <w:bCs/>
          <w:i/>
          <w:iCs/>
        </w:rPr>
        <w:fldChar w:fldCharType="end"/>
      </w:r>
      <w:r>
        <w:rPr>
          <w:rFonts w:ascii="Calibri" w:hAnsi="Calibri" w:cs="Calibri"/>
          <w:b/>
          <w:bCs/>
          <w:i/>
          <w:iCs/>
        </w:rPr>
        <w:t xml:space="preserve">. Travel restriction policy map. Source: Adapted by the author from Sherpa Network </w:t>
      </w:r>
      <w:r>
        <w:rPr>
          <w:rFonts w:ascii="Calibri" w:hAnsi="Calibri" w:cs="Calibri"/>
          <w:b/>
          <w:bCs/>
          <w:i/>
          <w:iCs/>
        </w:rPr>
        <w:fldChar w:fldCharType="begin" w:fldLock="1"/>
      </w:r>
      <w:r>
        <w:rPr>
          <w:rFonts w:ascii="Calibri" w:hAnsi="Calibri" w:cs="Calibri"/>
          <w:b/>
          <w:bCs/>
          <w:i/>
          <w:iCs/>
        </w:rPr>
        <w:instrText xml:space="preserve">ADDIN CSL_CITATION {"citationItems":[{"id":"ITEM-1","itemData":{"URL":"https://apply.joinsherpa.com/map","accessed":{"date-parts":[["2022","3","16"]]},"author":[{"dropping-particle":"","family":"Sherpa Network","given":"","non-dropping-particle":"","parse-names":false,"suffix":""}],"id":"ITEM-1","issued":{"date-parts":[["2022"]]},"title":"Travel Restrictions Map","type":"webpage"},"uris":["http://www.mendeley.com/documents/?uuid=9a38ebcd-dd89-3cf3-839c-a558c7e89efe"]}],"mendeley":{"formattedCitation":"(Sherpa Network, 2022)","manualFormatting":"(2022)","plainTextFormattedCitation":"(Sherpa Network, 2022)","previouslyFormattedCitation":"(Sherpa Network, 2022)"},"properties":{"noteIndex":0},"schema":"https://github.com/citation-style-language/schema/raw/master/csl-citation.json"}</w:instrText>
      </w:r>
      <w:r>
        <w:rPr>
          <w:rFonts w:ascii="Calibri" w:hAnsi="Calibri" w:cs="Calibri"/>
          <w:b/>
          <w:bCs/>
          <w:i/>
          <w:iCs/>
        </w:rPr>
        <w:fldChar w:fldCharType="separate"/>
      </w:r>
      <w:r>
        <w:rPr>
          <w:rFonts w:ascii="Calibri" w:hAnsi="Calibri" w:cs="Calibri"/>
          <w:b/>
          <w:bCs/>
          <w:i/>
          <w:iCs/>
        </w:rPr>
        <w:t>(2022)</w:t>
      </w:r>
      <w:r>
        <w:rPr>
          <w:rFonts w:ascii="Calibri" w:hAnsi="Calibri" w:cs="Calibri"/>
          <w:b/>
          <w:bCs/>
          <w:i/>
          <w:iCs/>
        </w:rPr>
        <w:fldChar w:fldCharType="end"/>
      </w:r>
      <w:r>
        <w:rPr>
          <w:rFonts w:ascii="Calibri" w:hAnsi="Calibri" w:cs="Calibri"/>
          <w:b/>
          <w:bCs/>
          <w:i/>
          <w:iCs/>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F</w:t>
      </w:r>
      <w:r>
        <w:rPr>
          <w:rFonts w:hint="eastAsia" w:ascii="Calibri" w:hAnsi="Calibri" w:cs="Calibri"/>
          <w:sz w:val="24"/>
          <w:szCs w:val="24"/>
        </w:rPr>
        <w:t>igure</w:t>
      </w:r>
      <w:r>
        <w:rPr>
          <w:rFonts w:ascii="Calibri" w:hAnsi="Calibri" w:cs="Calibri"/>
          <w:sz w:val="24"/>
          <w:szCs w:val="24"/>
        </w:rPr>
        <w:t xml:space="preserve"> 3 clearly shows that the global community is now turning to the reopening of boarders for travellers with the requirement for vaccination. Apart from limited markets such as China who treated all foreign travellers equally, the map clearly shows that primary markets are now open for those vaccinated with limited restrictions such as pre-obtained Covid-19 negative test results.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What should be pointed out is that by far China has maintained a strict restricted travel policy in both domestic and overseas markets. As one of the largest accommodation markets in the world, China’s policy developments in the future could critically determine how business operating in the region should respond to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10.1080/13876988.2021.1873703","ISSN":"1387-6988","author":[{"dropping-particle":"","family":"Liu","given":"Zhilin","non-dropping-particle":"","parse-names":false,"suffix":""},{"dropping-particle":"","family":"Guo","given":"Jing","non-dropping-particle":"","parse-names":false,"suffix":""},{"dropping-particle":"","family":"Zhong","given":"Wei","non-dropping-particle":"","parse-names":false,"suffix":""},{"dropping-particle":"","family":"Gui","given":"Tianhan","non-dropping-particle":"","parse-names":false,"suffix":""}],"container-title":"Journal of Comparative Policy Analysis: Research and Practice","id":"ITEM-1","issue":"2","issued":{"date-parts":[["2021","3","4"]]},"note":"doi: 10.1080/13876988.2021.1873703","page":"204-218","publisher":"Routledge","title":"Multi-Level Governance, Policy Coordination and Subnational Responses to COVID-19: Comparing China and the US","type":"article-journal","volume":"23"},"uris":["http://www.mendeley.com/documents/?uuid=8dc49725-2cf1-44cd-85e5-3d6c047e0cba"]}],"mendeley":{"formattedCitation":"(Liu &lt;i&gt;et al.&lt;/i&gt;, 2021)","plainTextFormattedCitation":"(Liu et al., 2021)","previouslyFormattedCitation":"(Liu &lt;i&gt;et al.&lt;/i&gt;,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 xml:space="preserve">(Liu </w:t>
      </w:r>
      <w:r>
        <w:rPr>
          <w:rFonts w:ascii="Calibri" w:hAnsi="Calibri" w:cs="Calibri"/>
          <w:i/>
          <w:sz w:val="24"/>
          <w:szCs w:val="24"/>
        </w:rPr>
        <w:t>et al.</w:t>
      </w:r>
      <w:r>
        <w:rPr>
          <w:rFonts w:ascii="Calibri" w:hAnsi="Calibri" w:cs="Calibri"/>
          <w:sz w:val="24"/>
          <w:szCs w:val="24"/>
        </w:rPr>
        <w:t>, 2021)</w:t>
      </w:r>
      <w:r>
        <w:rPr>
          <w:rFonts w:ascii="Calibri" w:hAnsi="Calibri" w:cs="Calibri"/>
          <w:sz w:val="24"/>
          <w:szCs w:val="24"/>
        </w:rPr>
        <w:fldChar w:fldCharType="end"/>
      </w:r>
      <w:r>
        <w:rPr>
          <w:rFonts w:ascii="Calibri" w:hAnsi="Calibri" w:cs="Calibri"/>
          <w:sz w:val="24"/>
          <w:szCs w:val="24"/>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This is in accordance with the projection made by the World Health Organisation, which speculated that the global opening of boarders and businesses would accelerate with the increase in vaccination rate in countries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{"citationItems":[{"id":"ITEM-1","itemData":{"author":[{"dropping-particle":"","family":"Reuters","given":"","non-dropping-particle":"","parse-names":false,"suffix":""}],"container-title":"Reuterns","id":"ITEM-1","issued":{"date-parts":[["2021"]]},"title":"WHO advises against travel bans","type":"article-newspaper"},"uris":["http://www.mendeley.com/documents/?uuid=93732dd0-0e0f-36cc-8f12-cc2068ef2315"]}],"mendeley":{"formattedCitation":"(Reuters, 2021)","plainTextFormattedCitation":"(Reuters, 2021)","previouslyFormattedCitation":"(Reuters,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(Reuters, 2021)</w:t>
      </w:r>
      <w:r>
        <w:rPr>
          <w:rFonts w:ascii="Calibri" w:hAnsi="Calibri" w:cs="Calibri"/>
          <w:sz w:val="24"/>
          <w:szCs w:val="24"/>
        </w:rPr>
        <w:fldChar w:fldCharType="end"/>
      </w:r>
      <w:r>
        <w:rPr>
          <w:rFonts w:ascii="Calibri" w:hAnsi="Calibri" w:cs="Calibri"/>
          <w:sz w:val="24"/>
          <w:szCs w:val="24"/>
        </w:rPr>
        <w:t xml:space="preserve">. With the global vaccination rate increasing as shown in figure 4, it is projectable that countries would open their boarders entirely in the near future. </w:t>
      </w:r>
    </w:p>
    <w:p>
      <w:pPr>
        <w:keepNext/>
        <w:spacing w:before="156" w:beforeLines="50" w:after="156" w:afterLines="50" w:line="360" w:lineRule="auto"/>
      </w:pPr>
      <w:r>
        <w:rPr>
          <w:rFonts w:ascii="Calibri" w:hAnsi="Calibri" w:cs="Calibri"/>
          <w:sz w:val="24"/>
          <w:szCs w:val="24"/>
        </w:rPr>
        <w:drawing>
          <wp:inline distT="0" distB="0" distL="0" distR="0">
            <wp:extent cx="5574030" cy="2790190"/>
            <wp:effectExtent l="19050" t="19050" r="26670" b="1016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605300" cy="2806447"/>
                    </a:xfrm>
                    <a:prstGeom prst="rect">
                      <a:avLst/>
                    </a:prstGeom>
                    <a:noFill/>
                    <a:ln w="12700">
                      <a:solidFill>
                        <a:schemeClr val="tx1"/>
                      </a:solidFill>
                    </a:ln>
                  </pic:spPr>
                </pic:pic>
              </a:graphicData>
            </a:graphic>
          </wp:inline>
        </w:drawing>
      </w:r>
    </w:p>
    <w:p>
      <w:pPr>
        <w:pStyle w:val="5"/>
        <w:rPr>
          <w:rFonts w:hint="eastAsia" w:ascii="Calibri" w:hAnsi="Calibri" w:cs="Calibri"/>
          <w:b/>
          <w:bCs/>
          <w:i/>
          <w:iCs/>
        </w:rPr>
      </w:pPr>
      <w:r>
        <w:rPr>
          <w:rFonts w:ascii="Calibri" w:hAnsi="Calibri" w:cs="Calibri"/>
          <w:b/>
          <w:bCs/>
          <w:i/>
          <w:iCs/>
        </w:rPr>
        <w:t xml:space="preserve">Figure </w:t>
      </w:r>
      <w:r>
        <w:rPr>
          <w:rFonts w:ascii="Calibri" w:hAnsi="Calibri" w:cs="Calibri"/>
          <w:b/>
          <w:bCs/>
          <w:i/>
          <w:iCs/>
        </w:rPr>
        <w:fldChar w:fldCharType="begin"/>
      </w:r>
      <w:r>
        <w:rPr>
          <w:rFonts w:ascii="Calibri" w:hAnsi="Calibri" w:cs="Calibri"/>
          <w:b/>
          <w:bCs/>
          <w:i/>
          <w:iCs/>
        </w:rPr>
        <w:instrText xml:space="preserve"> SEQ Figure \* ARABIC </w:instrText>
      </w:r>
      <w:r>
        <w:rPr>
          <w:rFonts w:ascii="Calibri" w:hAnsi="Calibri" w:cs="Calibri"/>
          <w:b/>
          <w:bCs/>
          <w:i/>
          <w:iCs/>
        </w:rPr>
        <w:fldChar w:fldCharType="separate"/>
      </w:r>
      <w:r>
        <w:rPr>
          <w:rFonts w:ascii="Calibri" w:hAnsi="Calibri" w:cs="Calibri"/>
          <w:b/>
          <w:bCs/>
          <w:i/>
          <w:iCs/>
        </w:rPr>
        <w:t>4</w:t>
      </w:r>
      <w:r>
        <w:rPr>
          <w:rFonts w:ascii="Calibri" w:hAnsi="Calibri" w:cs="Calibri"/>
          <w:b/>
          <w:bCs/>
          <w:i/>
          <w:iCs/>
        </w:rPr>
        <w:fldChar w:fldCharType="end"/>
      </w:r>
      <w:r>
        <w:rPr>
          <w:rFonts w:ascii="Calibri" w:hAnsi="Calibri" w:cs="Calibri"/>
          <w:b/>
          <w:bCs/>
          <w:i/>
          <w:iCs/>
        </w:rPr>
        <w:t xml:space="preserve">. Vaccination rate worldwide. Source: Made by the author based on data from Bloomberg </w:t>
      </w:r>
      <w:r>
        <w:rPr>
          <w:rFonts w:ascii="Calibri" w:hAnsi="Calibri" w:cs="Calibri"/>
          <w:b/>
          <w:bCs/>
          <w:i/>
          <w:iCs/>
        </w:rPr>
        <w:fldChar w:fldCharType="begin" w:fldLock="1"/>
      </w:r>
      <w:r>
        <w:rPr>
          <w:rFonts w:ascii="Calibri" w:hAnsi="Calibri" w:cs="Calibri"/>
          <w:b/>
          <w:bCs/>
          <w:i/>
          <w:iCs/>
        </w:rPr>
        <w:instrText xml:space="preserve">ADDIN CSL_CITATION {"citationItems":[{"id":"ITEM-1","itemData":{"URL":"https://www.bloomberg.com/graphics/covid-vaccine-tracker-global-distribution/","accessed":{"date-parts":[["2022","3","16"]]},"author":[{"dropping-particle":"","family":"Bloomberg","given":"","non-dropping-particle":"","parse-names":false,"suffix":""}],"id":"ITEM-1","issued":{"date-parts":[["2022"]]},"title":"More Than 11 Billion Shots Given: Covid-19 Vaccine Tracker","type":"webpage"},"uris":["http://www.mendeley.com/documents/?uuid=3e814d1c-2f62-3b67-820c-43faa3b51752"]}],"mendeley":{"formattedCitation":"(Bloomberg, 2022)","manualFormatting":"(2022)","plainTextFormattedCitation":"(Bloomberg, 2022)","previouslyFormattedCitation":"(Bloomberg, 2022)"},"properties":{"noteIndex":0},"schema":"https://github.com/citation-style-language/schema/raw/master/csl-citation.json"}</w:instrText>
      </w:r>
      <w:r>
        <w:rPr>
          <w:rFonts w:ascii="Calibri" w:hAnsi="Calibri" w:cs="Calibri"/>
          <w:b/>
          <w:bCs/>
          <w:i/>
          <w:iCs/>
        </w:rPr>
        <w:fldChar w:fldCharType="separate"/>
      </w:r>
      <w:r>
        <w:rPr>
          <w:rFonts w:ascii="Calibri" w:hAnsi="Calibri" w:cs="Calibri"/>
          <w:b/>
          <w:bCs/>
          <w:i/>
          <w:iCs/>
        </w:rPr>
        <w:t>(2022)</w:t>
      </w:r>
      <w:r>
        <w:rPr>
          <w:rFonts w:ascii="Calibri" w:hAnsi="Calibri" w:cs="Calibri"/>
          <w:b/>
          <w:bCs/>
          <w:i/>
          <w:iCs/>
        </w:rPr>
        <w:fldChar w:fldCharType="end"/>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One issue potentially hampering the reopening of countries is the new variants of the virus such as the Omicron, which is highly contagious. This, however, poses limited impact on the general public healthcare policy as the general evolution direction of the virus is to be more contagious while less harmful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{"citationItems":[{"id":"ITEM-1","itemData":{"DOI":"10.1016/S2213-2600(21)00559-2","ISSN":"2213-2600","author":[{"dropping-particle":"","family":"Burki","given":"Talha Khan","non-dropping-particle":"","parse-names":false,"suffix":""}],"container-title":"The Lancet Respiratory Medicine","id":"ITEM-1","issue":"2","issued":{"date-parts":[["2022","2","1"]]},"note":"doi: 10.1016/S2213-2600(21)00559-2","page":"e17","publisher":"Elsevier","title":"Omicron variant and booster COVID-19 vaccines","type":"article-journal","volume":"10"},"uris":["http://www.mendeley.com/documents/?uuid=bbaa829f-5d10-4508-b3eb-4c3ddd362135"]}],"mendeley":{"formattedCitation":"(Burki, 2022)","plainTextFormattedCitation":"(Burki, 2022)","previouslyFormattedCitation":"(Burki, 2022)"},"properties":{"noteIndex":0},"schema":"https://github.com/citation-style-language/schema/raw/master/csl-citation.json"}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(Burki, 2022)</w:t>
      </w:r>
      <w:r>
        <w:rPr>
          <w:rFonts w:ascii="Calibri" w:hAnsi="Calibri" w:cs="Calibri"/>
          <w:sz w:val="24"/>
          <w:szCs w:val="24"/>
        </w:rPr>
        <w:fldChar w:fldCharType="end"/>
      </w:r>
      <w:r>
        <w:rPr>
          <w:rFonts w:ascii="Calibri" w:hAnsi="Calibri" w:cs="Calibri"/>
          <w:sz w:val="24"/>
          <w:szCs w:val="24"/>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It is thus safe to summarise that the political pressure from the pandemic as travel restriction policies could be eased gradually in the recent future with increased vaccination rate and the emergence of less harmful virus variants. Hotel businesses such as the Hilton group is expected to see the business to recover to the pre-pandemic time in the near future. </w:t>
      </w:r>
    </w:p>
    <w:p>
      <w:pPr>
        <w:pStyle w:val="14"/>
        <w:numPr>
          <w:ilvl w:val="0"/>
          <w:numId w:val="2"/>
        </w:numPr>
        <w:spacing w:before="156" w:beforeLines="50" w:after="156" w:afterLines="50" w:line="360" w:lineRule="auto"/>
        <w:ind w:firstLineChars="0"/>
        <w:outlineLvl w:val="2"/>
        <w:rPr>
          <w:rFonts w:hint="eastAsia" w:ascii="Calibri" w:hAnsi="Calibri" w:cs="Calibri"/>
          <w:b/>
          <w:bCs/>
          <w:sz w:val="24"/>
          <w:szCs w:val="24"/>
        </w:rPr>
      </w:pPr>
      <w:bookmarkStart w:id="7" w:name="_Toc98380865"/>
      <w:r>
        <w:rPr>
          <w:rFonts w:ascii="Calibri" w:hAnsi="Calibri" w:cs="Calibri"/>
          <w:b/>
          <w:bCs/>
          <w:sz w:val="24"/>
          <w:szCs w:val="24"/>
        </w:rPr>
        <w:t>Social aspect</w:t>
      </w:r>
      <w:bookmarkEnd w:id="7"/>
      <w:r>
        <w:rPr>
          <w:rFonts w:ascii="Calibri" w:hAnsi="Calibri" w:cs="Calibri"/>
          <w:b/>
          <w:bCs/>
          <w:sz w:val="24"/>
          <w:szCs w:val="24"/>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pandemic has greatly affected the consumer behaviour during the pandemic. Being a highly contagious virus, the Sars-Cov-2 has been creating fear among the public when planning for stays in hotels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{"citationItems":[{"id":"ITEM-1","itemData":{"DOI":"10.1108/IJCHM-07-2021-0919","ISSN":"0959-6119","abstract":"Purpose This study aims to gain an understanding of hotel experiences during the pandemic by examining sentiments of guests posted online. Design/methodology/approach This paper incorporates the balance theory, in a dyadic system to analyze the ways in which guests were motivated to restore a position of balance during the unprecedented COVID-19 crisis. Qualitative content analysis was used to detect thematic patterns of hotel experiences based on examining online reviews shared by actual guests of two major hotel brands – one more closely associated with convenience-driven automation (high-tech) and the other known for providing more guest–employee interaction (high-touch). Findings The analysis of the reviews yielded six main themes: “purpose of visit,” “COVID safety concerns,” “technology adoption,” “COVID limitations,” “exceeded expectation” and “hospitality of staff.” Staff displaying a welcoming attitude was the main factor in creating a convivial experience for guests at both hotel brands, but the technology was not highlighted as much in guests’ reviews. Despite the pandemic, guests of both hotel brands had similar levels of enjoyment regarding their hotel experiences regardless of the high-touch or high-tech nature of the operations. Research limitations/implications User-generated content often reflects the opinions of those who are very satisfied or not satisfied at all. Different data collection techniques could be used to get a “big picture” view of the balance between high-touch and high-tech experiences. Practical implications The findings offer support to researchers and practitioners who advocate that high-touch and high-tech can indeed co-exist, and that these distinct service delivery modes do not have to be mutually exclusive. Originality/value This paper provides new trajectories that can broaden the approaches undertaken by hospitality/tourism scholars and practitioners based on user-generated content. This study is one of the first to adopt the lens of the balance theory, in a dyadic system, to investigate how guests may be psychologically motivated to balance their perceptions and expectations during a time of crisis.","author":[{"dropping-particle":"","family":"Davari","given":"Dori","non-dropping-particle":"","parse-names":false,"suffix":""},{"dropping-particle":"","family":"Vayghan","given":"Saeed","non-dropping-particle":"","parse-names":false,"suffix":""},{"dropping-particle":"","family":"Jang","given":"SooCheong (Shawn)","non-dropping-particle":"","parse-names":false,"suffix":""},{"dropping-particle":"","family":"Erdem","given":"Mehmet","non-dropping-particle":"","parse-names":false,"suffix":""}],"container-title":"International Journal of Contemporary Hospitality Management","id":"ITEM-1","issue":"ahead-of-print","issued":{"date-parts":[["2022","1","1"]]},"publisher":"Emerald Publishing Limited","title":"Hotel experiences during the COVID-19 pandemic: high-touch versus high-tech","type":"article-journal","volume":"ahead-of-p"},"uris":["http://www.mendeley.com/documents/?uuid=1eb7076d-6f7e-407d-b7c3-749bb2eb3188"]}],"mendeley":{"formattedCitation":"(Davari &lt;i&gt;et al.&lt;/i&gt;, 2022)","plainTextFormattedCitation":"(Davari et al., 2022)","previouslyFormattedCitation":"(Davari &lt;i&gt;et al.&lt;/i&gt;, 2022)"},"properties":{"noteIndex":0},"schema":"https://github.com/citation-style-language/schema/raw/master/csl-citation.json"}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 xml:space="preserve">(Davari </w:t>
      </w:r>
      <w:r>
        <w:rPr>
          <w:rFonts w:ascii="Calibri" w:hAnsi="Calibri" w:cs="Calibri"/>
          <w:i/>
          <w:sz w:val="24"/>
          <w:szCs w:val="24"/>
        </w:rPr>
        <w:t>et al.</w:t>
      </w:r>
      <w:r>
        <w:rPr>
          <w:rFonts w:ascii="Calibri" w:hAnsi="Calibri" w:cs="Calibri"/>
          <w:sz w:val="24"/>
          <w:szCs w:val="24"/>
        </w:rPr>
        <w:t>, 2022)</w:t>
      </w:r>
      <w:r>
        <w:rPr>
          <w:rFonts w:ascii="Calibri" w:hAnsi="Calibri" w:cs="Calibri"/>
          <w:sz w:val="24"/>
          <w:szCs w:val="24"/>
        </w:rPr>
        <w:fldChar w:fldCharType="end"/>
      </w:r>
      <w:r>
        <w:rPr>
          <w:rFonts w:ascii="Calibri" w:hAnsi="Calibri" w:cs="Calibri"/>
          <w:sz w:val="24"/>
          <w:szCs w:val="24"/>
        </w:rPr>
        <w:t xml:space="preserve">. Though the hotel business in general has been affected, it should be noted that the small businesses and services such as the Airbnb are more affected. As found by Gyódi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{"citationItems":[{"id":"ITEM-1","itemData":{"DOI":"10.1108/IJCTHR-09-2020-0221","ISSN":"1750-6182","abstract":"Purpose The purpose of this paper is to examine the impact of the COVID-19 pandemic on the traditional hotel industry and Airbnb in nine major European cities. The author examines differences between the two business models and analyses various strategies of Airbnb hosts to cope with the crisis. Design/methodology/approach A detailed empirical analysis is presented based on data from STR and Inside Airbnb for the period January 2018–September 2020. To assess the impact of the pandemic on the hotel industry, year-to-year changes in various performance metrics are presented. The author also investigates the impact of the pandemic on Airbnb prices with panel data regression analysis. Using text-mining methods, signs for new use-cases are explored, including renting flats for home-office or quarantine. Findings The results support that Airbnb supply is more flexible. While hotel supply quickly returned to a level close to 2019, the average number of Airbnb listings was lower by more than 15%. Furthermore, the price analysis showed that Airbnb rates decreased more moderately than hotel prices. These findings suggest that a significant share of hosts pivoted from short-term accommodation provision and used their property differently, e.g. rented on a long-term basis. The analysis of listing characteristics revealed that the role of longer stays increased; however, the results do not support a shift towards advertising listings for home-office or quarantine purposes. Originality/value This paper presents the impact of the pandemic on the hospitality sector in a wide sample of European cities, explores the adjustment of hotels and Airbnb and provides new evidence on the differences between the business models.","author":[{"dropping-particle":"","family":"Gyódi","given":"Kristóf","non-dropping-particle":"","parse-names":false,"suffix":""}],"container-title":"International Journal of Culture, Tourism and Hospitality Research","id":"ITEM-1","issue":"ahead-of-print","issued":{"date-parts":[["2021","1","1"]]},"publisher":"Emerald Publishing Limited","title":"Airbnb and hotels during COVID-19: different strategies to survive","type":"article-journal","volume":"ahead-of-p"},"uris":["http://www.mendeley.com/documents/?uuid=810ddfdc-a7d4-4c89-86ff-1e88bb441768"]}],"mendeley":{"formattedCitation":"(Gyódi, 2021)","manualFormatting":"(2021)","plainTextFormattedCitation":"(Gyódi, 2021)","previouslyFormattedCitation":"(Gyódi,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(2021)</w:t>
      </w:r>
      <w:r>
        <w:rPr>
          <w:rFonts w:ascii="Calibri" w:hAnsi="Calibri" w:cs="Calibri"/>
          <w:sz w:val="24"/>
          <w:szCs w:val="24"/>
        </w:rPr>
        <w:fldChar w:fldCharType="end"/>
      </w:r>
      <w:r>
        <w:rPr>
          <w:rFonts w:ascii="Calibri" w:hAnsi="Calibri" w:cs="Calibri"/>
          <w:sz w:val="24"/>
          <w:szCs w:val="24"/>
        </w:rPr>
        <w:t xml:space="preserve">, established chain hotels such as Hilton are more welcomed by customers during the pandemic compared to BnB stays or other independent hotels due to the fear of the lack in sanitation capabilities. This is beneficial for the Hilton group as it has established a comprehensive system preventing the in-facility contamination such as to constantly sanitise rooms used by customers and deploy air-conditioning filtration systems for preventing the transmission of the Sars-Cov-2 virus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URL":"https://ir.hilton.com/financial-reporting/quarterly-results/2021","accessed":{"date-parts":[["2022","3","16"]]},"author":[{"dropping-particle":"","family":"Hilton","given":"","non-dropping-particle":"","parse-names":false,"suffix":""}],"id":"ITEM-1","issued":{"date-parts":[["2021"]]},"title":"Hilton – Quarterly Results 2021","type":"webpage"},"uris":["http://www.mendeley.com/documents/?uuid=d3363214-72c2-3fc9-95d9-0982f2793e1b"]}],"mendeley":{"formattedCitation":"(Hilton, 2021)","plainTextFormattedCitation":"(Hilton, 2021)","previouslyFormattedCitation":"(Hilton,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(Hilton, 2021)</w:t>
      </w:r>
      <w:r>
        <w:rPr>
          <w:rFonts w:ascii="Calibri" w:hAnsi="Calibri" w:cs="Calibri"/>
          <w:sz w:val="24"/>
          <w:szCs w:val="24"/>
        </w:rPr>
        <w:fldChar w:fldCharType="end"/>
      </w:r>
      <w:r>
        <w:rPr>
          <w:rFonts w:ascii="Calibri" w:hAnsi="Calibri" w:cs="Calibri"/>
          <w:sz w:val="24"/>
          <w:szCs w:val="24"/>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social aspect does not only cover the customers but also employees of the hotels as they are also part of the society. According to Zhang </w:t>
      </w:r>
      <w:r>
        <w:rPr>
          <w:rFonts w:ascii="Calibri" w:hAnsi="Calibri" w:cs="Calibri"/>
          <w:i/>
          <w:sz w:val="24"/>
          <w:szCs w:val="24"/>
        </w:rPr>
        <w:t xml:space="preserve">et al.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{"citationItems":[{"id":"ITEM-1","itemData":{"DOI":"10.1108/IJCHM-04-2020-0335","ISSN":"0959-6119","abstract":"Purpose The purpose of this paper is to examine the effect of hotel safety leadership on employee safety behavior during the COVID-19 pandemic, and the mediation role of belief restoration and the moderation role of perceived risk between safety leadership and behavior were also investigated. Design/methodology/approach The COVID-19 outbreak served as the background for a questionnaire survey of 23 hotels in China with 1,594 valid responses being received. The statistical analysis techniques used were exploratory and confirmatory factor analysis, correlation analysis, structural equation modeling and hierarchical regression. Findings The results showed that: hotel safety leadership positively affected employee safety behavior (compliance, participation and adaptation); belief restoration partially mediated the influence of safety leadership on safety behavior; and perceived risk negatively moderated the direct effect and the mediation effect of “safety leadership – belief restoration – safety behavior.” Research limitations/implications The main limitation was that the questionnaires were collected with the same measurement system within a certain period of time (cross-sectional design). Then, future research should test and expand this conceptual model in different crises, business fields, theoretical orientation and cultural backgrounds. Practical implications Hotels should develop management strategies based on safety leadership and motivate and promote employee safety behavior from the four aspects of safety coaching, care, motivation and control. Originality/value This investigation expanded the research on the effectiveness of safety leadership and especially with respect to safety in the hospitality industry during a major global crisis. Also, the research conceptual model and variables contained therein are original contributions to the hospitality research literature.","author":[{"dropping-particle":"","family":"Zhang","given":"Jiangchi","non-dropping-particle":"","parse-names":false,"suffix":""},{"dropping-particle":"","family":"Xie","given":"Chaowu","non-dropping-particle":"","parse-names":false,"suffix":""},{"dropping-particle":"","family":"Wang","given":"Jianying","non-dropping-particle":"","parse-names":false,"suffix":""},{"dropping-particle":"","family":"Morrison","given":"Alastair M","non-dropping-particle":"","parse-names":false,"suffix":""},{"dropping-particle":"","family":"Coca-Stefaniak","given":"J Andres","non-dropping-particle":"","parse-names":false,"suffix":""}],"container-title":"International Journal of Contemporary Hospitality Management","id":"ITEM-1","issue":"11","issued":{"date-parts":[["2020","1","1"]]},"page":"3365-3389","publisher":"Emerald Publishing Limited","title":"Responding to a major global crisis: the effects of hotel safety leadership on employee safety behavior during COVID-19","type":"article-journal","volume":"32"},"uris":["http://www.mendeley.com/documents/?uuid=3fb516ec-566b-495d-b9d1-e43dec015ef5"]}],"mendeley":{"formattedCitation":"(Zhang &lt;i&gt;et al.&lt;/i&gt;, 2020)","manualFormatting":"(2020)","plainTextFormattedCitation":"(Zhang et al., 2020)","previouslyFormattedCitation":"(Zhang &lt;i&gt;et al.&lt;/i&gt;, 2020)"},"properties":{"noteIndex":0},"schema":"https://github.com/citation-style-language/schema/raw/master/csl-citation.json"}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(2020)</w:t>
      </w:r>
      <w:r>
        <w:rPr>
          <w:rFonts w:ascii="Calibri" w:hAnsi="Calibri" w:cs="Calibri"/>
          <w:sz w:val="24"/>
          <w:szCs w:val="24"/>
        </w:rPr>
        <w:fldChar w:fldCharType="end"/>
      </w:r>
      <w:r>
        <w:rPr>
          <w:rFonts w:ascii="Calibri" w:hAnsi="Calibri" w:cs="Calibri"/>
          <w:sz w:val="24"/>
          <w:szCs w:val="24"/>
        </w:rPr>
        <w:t xml:space="preserve">, the beginning of the pandemic has put employees in the hotel industry in the direct combat against the pandemic. They found that employees in the hotel industry are under constant high pressure due to, firstly the business requirements as to maintain the service standard during the pandemic, and secondly the healthcare requirements as they are constantly facing directly customers. </w:t>
      </w:r>
    </w:p>
    <w:p>
      <w:pPr>
        <w:pStyle w:val="14"/>
        <w:numPr>
          <w:ilvl w:val="0"/>
          <w:numId w:val="2"/>
        </w:numPr>
        <w:spacing w:before="156" w:beforeLines="50" w:after="156" w:afterLines="50" w:line="360" w:lineRule="auto"/>
        <w:ind w:firstLineChars="0"/>
        <w:rPr>
          <w:rFonts w:ascii="Calibri" w:hAnsi="Calibri" w:cs="Calibri"/>
          <w:b/>
          <w:bCs/>
          <w:sz w:val="24"/>
          <w:szCs w:val="24"/>
        </w:rPr>
      </w:pPr>
      <w:r>
        <w:rPr>
          <w:rFonts w:ascii="Calibri" w:hAnsi="Calibri" w:cs="Calibri"/>
          <w:b/>
          <w:bCs/>
          <w:sz w:val="24"/>
          <w:szCs w:val="24"/>
        </w:rPr>
        <w:t>Summary</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above analysis suggests that the political factors are, in general, favouring the development of the Hilton group as the world is restoring to a normal state while the social factors are complex. The company could be facing a downturn of the employee performance during and after the pandemic due to the constant pressure on employees, which has been found in other businesses in the global hotel industry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{"citationItems":[{"id":"ITEM-1","itemData":{"DOI":"https://doi.org/10.1016/j.ijhm.2021.102868","ISSN":"0278-4319","abstract":"The COVID-19 health disaster has had a dramatic impact on the global hospitality industry, affecting millions of people. The aim of this study is to examine the impact of job insecurity on hotel employees’ anxiety and depression, and whether these psychological strains could influence employees’ self-rated task performance during the COVID-19 pandemic. We also examine the moderating role of hotel employees’ resilience in this context. The hypotheses were examined by collecting data from 353 hotel employees currently working in the Canary Islands (Spain). The results highlight the significant effects of job insecurity on employees’ anxiety and depression levels. However, hotel employees’ task performance was not affected by their job insecurity or by their anxiety and depression. In addition, employees’ resilience has a moderating effect as it reduces the negative influence of job insecurity on depression. Finally, the discussion section sets out various theoretical and practical implications of the findings.","author":[{"dropping-particle":"","family":"Aguiar-Quintana","given":"Teresa","non-dropping-particle":"","parse-names":false,"suffix":""},{"dropping-particle":"","family":"Nguyen","given":"Thi Hong Hai","non-dropping-particle":"","parse-names":false,"suffix":""},{"dropping-particle":"","family":"Araujo-Cabrera","given":"Yasmina","non-dropping-particle":"","parse-names":false,"suffix":""},{"dropping-particle":"","family":"Sanabria-Díaz","given":"José M","non-dropping-particle":"","parse-names":false,"suffix":""}],"container-title":"International Journal of Hospitality Management","id":"ITEM-1","issued":{"date-parts":[["2021"]]},"page":"102868","title":"Do job insecurity, anxiety and depression caused by the COVID-19 pandemic influence hotel employees’ self-rated task performance? The moderating role of employee resilience","type":"article-journal","volume":"94"},"uris":["http://www.mendeley.com/documents/?uuid=980a9336-67b7-4ada-bc06-b75ebf0eb56c"]}],"mendeley":{"formattedCitation":"(Aguiar-Quintana &lt;i&gt;et al.&lt;/i&gt;, 2021)","plainTextFormattedCitation":"(Aguiar-Quintana et al., 2021)","previouslyFormattedCitation":"(Aguiar-Quintana &lt;i&gt;et al.&lt;/i&gt;,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 xml:space="preserve">(Aguiar-Quintana </w:t>
      </w:r>
      <w:r>
        <w:rPr>
          <w:rFonts w:ascii="Calibri" w:hAnsi="Calibri" w:cs="Calibri"/>
          <w:i/>
          <w:sz w:val="24"/>
          <w:szCs w:val="24"/>
        </w:rPr>
        <w:t>et al.</w:t>
      </w:r>
      <w:r>
        <w:rPr>
          <w:rFonts w:ascii="Calibri" w:hAnsi="Calibri" w:cs="Calibri"/>
          <w:sz w:val="24"/>
          <w:szCs w:val="24"/>
        </w:rPr>
        <w:t>, 2021)</w:t>
      </w:r>
      <w:r>
        <w:rPr>
          <w:rFonts w:ascii="Calibri" w:hAnsi="Calibri" w:cs="Calibri"/>
          <w:sz w:val="24"/>
          <w:szCs w:val="24"/>
        </w:rPr>
        <w:fldChar w:fldCharType="end"/>
      </w:r>
      <w:r>
        <w:rPr>
          <w:rFonts w:ascii="Calibri" w:hAnsi="Calibri" w:cs="Calibri"/>
          <w:sz w:val="24"/>
          <w:szCs w:val="24"/>
        </w:rPr>
        <w:t xml:space="preserve">. </w:t>
      </w:r>
    </w:p>
    <w:p>
      <w:pPr>
        <w:pStyle w:val="14"/>
        <w:numPr>
          <w:ilvl w:val="1"/>
          <w:numId w:val="1"/>
        </w:numPr>
        <w:spacing w:before="156" w:beforeLines="50" w:after="156" w:afterLines="50" w:line="360" w:lineRule="auto"/>
        <w:ind w:firstLineChars="0"/>
        <w:outlineLvl w:val="1"/>
        <w:rPr>
          <w:rFonts w:ascii="Calibri" w:hAnsi="Calibri" w:cs="Calibri"/>
          <w:b/>
          <w:bCs/>
          <w:sz w:val="24"/>
          <w:szCs w:val="24"/>
        </w:rPr>
      </w:pPr>
      <w:bookmarkStart w:id="8" w:name="_Toc98380866"/>
      <w:r>
        <w:rPr>
          <w:rFonts w:ascii="Calibri" w:hAnsi="Calibri" w:cs="Calibri"/>
          <w:b/>
          <w:bCs/>
          <w:sz w:val="24"/>
          <w:szCs w:val="24"/>
        </w:rPr>
        <w:t>Porter’s Five Forces analysis</w:t>
      </w:r>
      <w:bookmarkEnd w:id="8"/>
      <w:r>
        <w:rPr>
          <w:rFonts w:ascii="Calibri" w:hAnsi="Calibri" w:cs="Calibri"/>
          <w:b/>
          <w:bCs/>
          <w:sz w:val="24"/>
          <w:szCs w:val="24"/>
        </w:rPr>
        <w:t xml:space="preserve"> </w:t>
      </w:r>
    </w:p>
    <w:p>
      <w:pPr>
        <w:spacing w:before="156" w:beforeLines="50" w:after="156" w:afterLines="50" w:line="360" w:lineRule="auto"/>
        <w:rPr>
          <w:rFonts w:ascii="Calibri" w:hAnsi="Calibri" w:cs="Calibri"/>
          <w:sz w:val="24"/>
          <w:szCs w:val="24"/>
        </w:rPr>
      </w:pPr>
      <w:r>
        <w:rPr>
          <w:rFonts w:hint="eastAsia" w:ascii="Calibri" w:hAnsi="Calibri" w:cs="Calibri"/>
          <w:sz w:val="24"/>
          <w:szCs w:val="24"/>
        </w:rPr>
        <w:t>P</w:t>
      </w:r>
      <w:r>
        <w:rPr>
          <w:rFonts w:ascii="Calibri" w:hAnsi="Calibri" w:cs="Calibri"/>
          <w:sz w:val="24"/>
          <w:szCs w:val="24"/>
        </w:rPr>
        <w:t xml:space="preserve">orter’s Five Forces framework was developed by Michael Porter from the Harvard Business School to determine which factors critically define the competition environment of one company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{"citationItems":[{"id":"ITEM-1","itemData":{"DOI":"10.1108/CR-06-2013-0059","ISSN":"1059-5422","abstract":"Purpose  – The purpose of this paper is to provide practitioners and students a practical yet comprehensive set of templates for applying Michael Porter's five forces framework for industry analysis.  Design/methodology/approach  – Based on experiences with practicing managers, small business owners, industry analysts, academics, and students, a set of industry analysis templates that systematically guides an analyst through a comprehensive assessment of the five forces is presented with the following: copies of the templates themselves, descriptions of their structure and use, an example of a completed template (spectator sports industry), and a discussion of possible modifications and extensions.  Findings  – The industry analysis templates described in this paper retain the comprehensiveness of Porter's framework but in a format much more student/manager-oriented using graphics, visual cues, a uniform structure, and straightforward descriptions of concepts. Template users show evidence of deeper strategic insights and have a sophisticated tool for future analysis.  Practical implications  – Managers, analysts, students, and others wanting robust industry analysis are provided with a comprehensive, structured, and practical set of templates to use in assessing an industry using the five forces framework.  Originality/value  – Leading strategic management texts and other sources provide no comprehensive, systematic, and robust format for conducting a five forces analysis of an industry. The set of industry analysis templates described in this paper provides a visually compelling, user-friendly format that can assist those analyzing industries gain important strategic insights not only into industry drivers, but also important competitive advantages for individual firms.","author":[{"dropping-particle":"","family":"E. Dobbs","given":"Michael","non-dropping-particle":"","parse-names":false,"suffix":""}],"container-title":"Competitiveness Review","id":"ITEM-1","issue":"1","issued":{"date-parts":[["2014","1","1"]]},"page":"32-45","publisher":"Emerald Group Publishing Limited","title":"Guidelines for applying Porter's five forces framework: a set of industry analysis templates","type":"article-journal","volume":"24"},"uris":["http://www.mendeley.com/documents/?uuid=24e4c196-00a0-41a4-8d34-7f071257b468"]}],"mendeley":{"formattedCitation":"(E. Dobbs, 2014)","plainTextFormattedCitation":"(E. Dobbs, 2014)","previouslyFormattedCitation":"(E. Dobbs, 2014)"},"properties":{"noteIndex":0},"schema":"https://github.com/citation-style-language/schema/raw/master/csl-citation.json"}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(E. Dobbs, 2014)</w:t>
      </w:r>
      <w:r>
        <w:rPr>
          <w:rFonts w:ascii="Calibri" w:hAnsi="Calibri" w:cs="Calibri"/>
          <w:sz w:val="24"/>
          <w:szCs w:val="24"/>
        </w:rPr>
        <w:fldChar w:fldCharType="end"/>
      </w:r>
      <w:r>
        <w:rPr>
          <w:rFonts w:ascii="Calibri" w:hAnsi="Calibri" w:cs="Calibri"/>
          <w:sz w:val="24"/>
          <w:szCs w:val="24"/>
        </w:rPr>
        <w:t xml:space="preserve">. The framework suggests that five forces determine the competition environment of one company as the bargaining power of buyers and suppliers, threats from market entrants and market incumbents, and the rivalry level of the market. This report focuses on the two critical factors that affect the Hilton group during the pandemic as the market structure as suppliers in the hotel industry are typically less powerful especially for large chain hotels such as the Hilton group, and the demand side from customers have been discussed in the previous part of this report in the PESTEL analysis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{"citationItems":[{"id":"ITEM-1","itemData":{"ISSN":"1817-3179","author":[{"dropping-particle":"","family":"Cheng","given":"David S Y","non-dropping-particle":"","parse-names":false,"suffix":""}],"container-title":"Journal of Global Business Management","id":"ITEM-1","issue":"3","issued":{"date-parts":[["2013"]]},"page":"52","publisher":"Journal of International Management Studies","title":"Analyze the hotel industry in porter five competitive forces","type":"article-journal","volume":"9"},"uris":["http://www.mendeley.com/documents/?uuid=e5a575ca-cf62-4cd3-9c1f-7b965f643f91"]}],"mendeley":{"formattedCitation":"(Cheng, 2013)","plainTextFormattedCitation":"(Cheng, 2013)","previouslyFormattedCitation":"(Cheng, 2013)"},"properties":{"noteIndex":0},"schema":"https://github.com/citation-style-language/schema/raw/master/csl-citation.json"}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(Cheng, 2013)</w:t>
      </w:r>
      <w:r>
        <w:rPr>
          <w:rFonts w:ascii="Calibri" w:hAnsi="Calibri" w:cs="Calibri"/>
          <w:sz w:val="24"/>
          <w:szCs w:val="24"/>
        </w:rPr>
        <w:fldChar w:fldCharType="end"/>
      </w:r>
      <w:r>
        <w:rPr>
          <w:rFonts w:ascii="Calibri" w:hAnsi="Calibri" w:cs="Calibri"/>
          <w:sz w:val="24"/>
          <w:szCs w:val="24"/>
        </w:rPr>
        <w:t>.</w:t>
      </w:r>
      <w:r>
        <w:rPr>
          <w:rFonts w:hint="eastAsia" w:ascii="Calibri" w:hAnsi="Calibri" w:cs="Calibri"/>
          <w:sz w:val="24"/>
          <w:szCs w:val="24"/>
        </w:rPr>
        <w:t xml:space="preserve"> </w:t>
      </w:r>
    </w:p>
    <w:p>
      <w:pPr>
        <w:pStyle w:val="14"/>
        <w:numPr>
          <w:ilvl w:val="0"/>
          <w:numId w:val="2"/>
        </w:numPr>
        <w:spacing w:before="156" w:beforeLines="50" w:after="156" w:afterLines="50" w:line="360" w:lineRule="auto"/>
        <w:ind w:firstLineChars="0"/>
        <w:rPr>
          <w:rFonts w:ascii="Calibri" w:hAnsi="Calibri" w:cs="Calibri"/>
          <w:b/>
          <w:bCs/>
          <w:sz w:val="24"/>
          <w:szCs w:val="24"/>
        </w:rPr>
      </w:pPr>
      <w:r>
        <w:rPr>
          <w:rFonts w:ascii="Calibri" w:hAnsi="Calibri" w:cs="Calibri"/>
          <w:b/>
          <w:bCs/>
          <w:sz w:val="24"/>
          <w:szCs w:val="24"/>
        </w:rPr>
        <w:t xml:space="preserve">Threats from market incumbents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Market incumbents are primary threats to the company during the pandemic. Though the entire industry is under impact in the pandemic, the differences in aid-packages from the government and the restriction policies in different markets affect the profitability of the hotel companies, thus affecting whether the business could sustain its operation during and after the pandemic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10.1080/02508281.2020.1826225","ISSN":"0250-8281","author":[{"dropping-particle":"","family":"Anguera-Torrell","given":"Oriol","non-dropping-particle":"","parse-names":false,"suffix":""},{"dropping-particle":"","family":"Aznar-Alarcón","given":"Juan Pedro","non-dropping-particle":"","parse-names":false,"suffix":""},{"dropping-particle":"","family":"Vives-Perez","given":"Jordi","non-dropping-particle":"","parse-names":false,"suffix":""}],"container-title":"Tourism Recreation Research","id":"ITEM-1","issue":"2","issued":{"date-parts":[["2021","4","3"]]},"note":"doi: 10.1080/02508281.2020.1826225","page":"148-157","publisher":"Routledge","title":"COVID-19: hotel industry response to the pandemic evolution and to the public sector economic measures","type":"article-journal","volume":"46"},"uris":["http://www.mendeley.com/documents/?uuid=12312874-98b3-4bdb-b528-2b652a4b1620"]}],"mendeley":{"formattedCitation":"(Anguera-Torrell, Aznar-Alarcón and Vives-Perez, 2021)","plainTextFormattedCitation":"(Anguera-Torrell, Aznar-Alarcón and Vives-Perez, 2021)","previouslyFormattedCitation":"(Anguera-Torrell, Aznar-Alarcón and Vives-Perez,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(Anguera-Torrell, Aznar-Alarcón and Vives-Perez, 2021)</w:t>
      </w:r>
      <w:r>
        <w:rPr>
          <w:rFonts w:ascii="Calibri" w:hAnsi="Calibri" w:cs="Calibri"/>
          <w:sz w:val="24"/>
          <w:szCs w:val="24"/>
        </w:rPr>
        <w:fldChar w:fldCharType="end"/>
      </w:r>
      <w:r>
        <w:rPr>
          <w:rFonts w:ascii="Calibri" w:hAnsi="Calibri" w:cs="Calibri"/>
          <w:sz w:val="24"/>
          <w:szCs w:val="24"/>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During the onset year of the pandemic 2020, Hilton has not performed well in the industry. According to the report by Aharon </w:t>
      </w:r>
      <w:r>
        <w:rPr>
          <w:rFonts w:ascii="Calibri" w:hAnsi="Calibri" w:cs="Calibri"/>
          <w:i/>
          <w:sz w:val="24"/>
          <w:szCs w:val="24"/>
        </w:rPr>
        <w:t xml:space="preserve">et al.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{"citationItems":[{"id":"ITEM-1","itemData":{"abstract":"This study explores the interplay between public measures adopted by the U.S. government to combat COVID-19 and the performance of the American hospitality industry. The recent global pandemic is a natural experiment for exploring the role of government interventions and their direct impact on hospitality stock returns in the U.S. financial market. Overall, our findings show that most of the government interventions were associated with a negative response in the returns of the hospitality industry, a response that became more negative as the COVID-19 pandemic evolved. Similar patterns were also detected for other industries such as entertainment and transportation that are closely related to hospitality. The findings we document are fundamental to understanding the trends and fluctuations in hospitality stocks in the current crisis and any similar crisis in the future.","author":[{"dropping-particle":"","family":"Aharon","given":"David Yechiam","non-dropping-particle":"","parse-names":false,"suffix":""},{"dropping-particle":"","family":"Jacobi","given":"Arie","non-dropping-particle":"","parse-names":false,"suffix":""},{"dropping-particle":"","family":"Cohen","given":"Eli","non-dropping-particle":"","parse-names":false,"suffix":""},{"dropping-particle":"","family":"Tzur","given":"Joseph","non-dropping-particle":"","parse-names":false,"suffix":""},{"dropping-particle":"","family":"Qadan","given":"Mahmoud","non-dropping-particle":"","parse-names":false,"suffix":""}],"container-title":"PLOS ONE","id":"ITEM-1","issue":"8","issued":{"date-parts":[["2021","8","6"]]},"page":"e0255819","publisher":"Public Library of Science","title":"COVID-19, government measures and hospitality industry performance","type":"article-journal","volume":"16"},"uris":["http://www.mendeley.com/documents/?uuid=80862d60-a135-4600-a982-7c02ec92594e"]}],"mendeley":{"formattedCitation":"(Aharon &lt;i&gt;et al.&lt;/i&gt;, 2021)","manualFormatting":"(2021)","plainTextFormattedCitation":"(Aharon et al., 2021)","previouslyFormattedCitation":"(Aharon &lt;i&gt;et al.&lt;/i&gt;,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(2021)</w:t>
      </w:r>
      <w:r>
        <w:rPr>
          <w:rFonts w:ascii="Calibri" w:hAnsi="Calibri" w:cs="Calibri"/>
          <w:sz w:val="24"/>
          <w:szCs w:val="24"/>
        </w:rPr>
        <w:fldChar w:fldCharType="end"/>
      </w:r>
      <w:r>
        <w:rPr>
          <w:rFonts w:ascii="Calibri" w:hAnsi="Calibri" w:cs="Calibri"/>
          <w:sz w:val="24"/>
          <w:szCs w:val="24"/>
        </w:rPr>
        <w:t xml:space="preserve">, global hotel businesses such as the Marriot and the Oriental Land have been leveraging advantages of the easing of pandemic policies in the world to serve business customers who are the primary customer group during the pandemic. Hotels such as the Radissons have been leveraging the opportunity in lowered asset prices, such as land prices and labour prices to expand in emerging markets to prepare for the post-pandemic era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URL":"https://www.mckinsey.com/industries/travel-logistics-and-infrastructure/our-insights/hospitality-and-covid-19-how-long-until-no-vacancy-for-us-hotels","accessed":{"date-parts":[["2022","3","17"]]},"author":[{"dropping-particle":"","family":"McKinsey","given":"","non-dropping-particle":"","parse-names":false,"suffix":""}],"id":"ITEM-1","issued":{"date-parts":[["2021"]]},"title":"COVID-19's effect on the hotel industry ","type":"webpage"},"uris":["http://www.mendeley.com/documents/?uuid=28de2f22-be35-36ea-abf2-db8fb5fc9225"]}],"mendeley":{"formattedCitation":"(McKinsey, 2021)","plainTextFormattedCitation":"(McKinsey, 2021)","previouslyFormattedCitation":"(McKinsey,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(McKinsey, 2021)</w:t>
      </w:r>
      <w:r>
        <w:rPr>
          <w:rFonts w:ascii="Calibri" w:hAnsi="Calibri" w:cs="Calibri"/>
          <w:sz w:val="24"/>
          <w:szCs w:val="24"/>
        </w:rPr>
        <w:fldChar w:fldCharType="end"/>
      </w:r>
      <w:r>
        <w:rPr>
          <w:rFonts w:ascii="Calibri" w:hAnsi="Calibri" w:cs="Calibri"/>
          <w:sz w:val="24"/>
          <w:szCs w:val="24"/>
        </w:rPr>
        <w:t xml:space="preserve">. While the Hilton company has suffered from a direct hit from the pandemic as its primary customer group remain to be individual and leisure trip customers and high-end luxury hotel customers, both of which have reduced significantly during the pandemic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URL":"https://ir.hilton.com/financial-reporting/quarterly-results/2021","accessed":{"date-parts":[["2022","3","16"]]},"author":[{"dropping-particle":"","family":"Hilton","given":"","non-dropping-particle":"","parse-names":false,"suffix":""}],"id":"ITEM-1","issued":{"date-parts":[["2021"]]},"title":"Hilton – Quarterly Results 2021","type":"webpage"},"uris":["http://www.mendeley.com/documents/?uuid=d3363214-72c2-3fc9-95d9-0982f2793e1b"]}],"mendeley":{"formattedCitation":"(Hilton, 2021)","plainTextFormattedCitation":"(Hilton, 2021)","previouslyFormattedCitation":"(Hilton,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(Hilton, 2021)</w:t>
      </w:r>
      <w:r>
        <w:rPr>
          <w:rFonts w:ascii="Calibri" w:hAnsi="Calibri" w:cs="Calibri"/>
          <w:sz w:val="24"/>
          <w:szCs w:val="24"/>
        </w:rPr>
        <w:fldChar w:fldCharType="end"/>
      </w:r>
      <w:r>
        <w:rPr>
          <w:rFonts w:ascii="Calibri" w:hAnsi="Calibri" w:cs="Calibri"/>
          <w:sz w:val="24"/>
          <w:szCs w:val="24"/>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Though the company has announced its digital transformation plan in the pandemic. The implementation of the transformation could be hampered by the lack of profitability and the decrease of the revenue of the company as shown in figure 2. In the post-pandemic era, the Hilton group is thus likely to face a strong competition from market incumbents who have maintained or upgraded their operation capability by expanding in either market segments of business sizes. </w:t>
      </w:r>
    </w:p>
    <w:p>
      <w:pPr>
        <w:pStyle w:val="14"/>
        <w:numPr>
          <w:ilvl w:val="1"/>
          <w:numId w:val="1"/>
        </w:numPr>
        <w:spacing w:before="156" w:beforeLines="50" w:after="156" w:afterLines="50" w:line="360" w:lineRule="auto"/>
        <w:ind w:firstLineChars="0"/>
        <w:outlineLvl w:val="1"/>
        <w:rPr>
          <w:rFonts w:ascii="Calibri" w:hAnsi="Calibri" w:cs="Calibri"/>
          <w:b/>
          <w:bCs/>
          <w:sz w:val="24"/>
          <w:szCs w:val="24"/>
        </w:rPr>
      </w:pPr>
      <w:bookmarkStart w:id="9" w:name="_Toc98380867"/>
      <w:r>
        <w:rPr>
          <w:rFonts w:hint="eastAsia" w:ascii="Calibri" w:hAnsi="Calibri" w:cs="Calibri"/>
          <w:b/>
          <w:bCs/>
          <w:sz w:val="24"/>
          <w:szCs w:val="24"/>
        </w:rPr>
        <w:t>M</w:t>
      </w:r>
      <w:r>
        <w:rPr>
          <w:rFonts w:ascii="Calibri" w:hAnsi="Calibri" w:cs="Calibri"/>
          <w:b/>
          <w:bCs/>
          <w:sz w:val="24"/>
          <w:szCs w:val="24"/>
        </w:rPr>
        <w:t>cKinsey’s 7s framework</w:t>
      </w:r>
      <w:bookmarkEnd w:id="9"/>
      <w:r>
        <w:rPr>
          <w:rFonts w:ascii="Calibri" w:hAnsi="Calibri" w:cs="Calibri"/>
          <w:b/>
          <w:bCs/>
          <w:sz w:val="24"/>
          <w:szCs w:val="24"/>
        </w:rPr>
        <w:t xml:space="preserve"> </w:t>
      </w:r>
    </w:p>
    <w:p>
      <w:pPr>
        <w:spacing w:before="156" w:beforeLines="50" w:after="156" w:afterLines="50" w:line="360" w:lineRule="auto"/>
        <w:rPr>
          <w:rFonts w:ascii="Calibri" w:hAnsi="Calibri" w:cs="Calibri"/>
          <w:sz w:val="24"/>
          <w:szCs w:val="24"/>
        </w:rPr>
      </w:pPr>
      <w:r>
        <w:rPr>
          <w:rFonts w:hint="eastAsia" w:ascii="Calibri" w:hAnsi="Calibri" w:cs="Calibri"/>
          <w:sz w:val="24"/>
          <w:szCs w:val="24"/>
        </w:rPr>
        <w:t>M</w:t>
      </w:r>
      <w:r>
        <w:rPr>
          <w:rFonts w:ascii="Calibri" w:hAnsi="Calibri" w:cs="Calibri"/>
          <w:sz w:val="24"/>
          <w:szCs w:val="24"/>
        </w:rPr>
        <w:t xml:space="preserve">cKinsey’s 7s framework was developed in the McKinsey company in the 1970s as step-wise audit of one company on how it should carry out its strategic plans. The seven steps include the strategy, structure, systems, staff, style, skills and superordinate goals as shared values </w:t>
      </w:r>
      <w:r>
        <w:rPr>
          <w:rFonts w:ascii="Calibri" w:hAnsi="Calibri" w:cs="Calibri"/>
          <w:sz w:val="24"/>
          <w:szCs w:val="24"/>
        </w:rPr>
        <w:fldChar w:fldCharType="begin" w:fldLock="1"/>
      </w:r>
      <w:r>
        <w:rPr>
          <w:rFonts w:hint="eastAsia" w:ascii="Calibri" w:hAnsi="Calibri" w:cs="Calibri"/>
          <w:sz w:val="24"/>
          <w:szCs w:val="24"/>
        </w:rPr>
        <w:instrText xml:space="preserve">ADDIN CSL_CITATION {"citationItems":[{"id":"ITEM-1","itemData":{"DOI":"10.1108/10878570510594442","ISSN":"1087-8572","abstract":"Purpose This article shows how the McKinsey 7‐S model and the balanced scorecard (BSC) model complement each other. Design/methodology/approach The developer of the widely used BSC model analyzes and compares the features and functions of the two models. Findings One can view the BSC as the contemporary manifestation of the 7‐S model, helping to explain its popularity as a pract</w:instrText>
      </w:r>
      <w:r>
        <w:rPr>
          <w:rFonts w:ascii="Calibri" w:hAnsi="Calibri" w:cs="Calibri"/>
          <w:sz w:val="24"/>
          <w:szCs w:val="24"/>
        </w:rPr>
        <w:instrText xml:space="preserve">ical and effective tool for aligning all the organizational variables and processes that lead to successful strategy execution. Research limitations/implications There is no data on the financial impact of the BSC mdel on the companies that have adopted i</w:instrText>
      </w:r>
      <w:r>
        <w:rPr>
          <w:rFonts w:hint="eastAsia" w:ascii="Calibri" w:hAnsi="Calibri" w:cs="Calibri"/>
          <w:sz w:val="24"/>
          <w:szCs w:val="24"/>
        </w:rPr>
        <w:instrText xml:space="preserve">t. Practical implications The author suggests that the BSC is not only fully consistent with the 7‐S framework, but can also enhance it in use. Originality/value This the first article to compare the characteristics and functionality of the McKinsey 7‐S m</w:instrText>
      </w:r>
      <w:r>
        <w:rPr>
          <w:rFonts w:ascii="Calibri" w:hAnsi="Calibri" w:cs="Calibri"/>
          <w:sz w:val="24"/>
          <w:szCs w:val="24"/>
        </w:rPr>
        <w:instrText xml:space="preserve">odel and the BSC model.","author":[{"dropping-particle":"","family":"Kaplan","given":"Robert S","non-dropping-particle":"","parse-names":false,"suffix":""}],"container-title":"Strategy &amp; Leadership","id":"ITEM-1","issue":"3","issued":{"date-parts":[["2005</w:instrText>
      </w:r>
      <w:r>
        <w:rPr>
          <w:rFonts w:hint="eastAsia" w:ascii="Calibri" w:hAnsi="Calibri" w:cs="Calibri"/>
          <w:sz w:val="24"/>
          <w:szCs w:val="24"/>
        </w:rPr>
        <w:instrText xml:space="preserve">","1","1"]]},"page":"41-46","publisher":"Emerald Group Publishing Limited","title":"How the balanced scorecard complements the McKinsey 7‐S model","type":"article-journal","volume":"33"},"uris":["http://www.mendeley.com/documents/?uuid=fe4e676f-2fd4-4bf9-</w:instrText>
      </w:r>
      <w:r>
        <w:rPr>
          <w:rFonts w:ascii="Calibri" w:hAnsi="Calibri" w:cs="Calibri"/>
          <w:sz w:val="24"/>
          <w:szCs w:val="24"/>
        </w:rPr>
        <w:instrText xml:space="preserve">abd1-ca161d177989"]}],"mendeley":{"formattedCitation":"(Kaplan, 2005)","plainTextFormattedCitation":"(Kaplan, 2005)","previouslyFormattedCitation":"(Kaplan, 2005)"},"properties":{"noteIndex":0},"schema":"https://github.com/citation-style-language/schema/raw/master/csl-citation.json"}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(Kaplan, 2005)</w:t>
      </w:r>
      <w:r>
        <w:rPr>
          <w:rFonts w:ascii="Calibri" w:hAnsi="Calibri" w:cs="Calibri"/>
          <w:sz w:val="24"/>
          <w:szCs w:val="24"/>
        </w:rPr>
        <w:fldChar w:fldCharType="end"/>
      </w:r>
      <w:r>
        <w:rPr>
          <w:rFonts w:ascii="Calibri" w:hAnsi="Calibri" w:cs="Calibri"/>
          <w:sz w:val="24"/>
          <w:szCs w:val="24"/>
        </w:rPr>
        <w:t xml:space="preserve">. This report focuses on the strategy as the key factor that affects the future development of the Hilton company in the post-pandemic era. The strategy is the first and foremost step in the framework. Based on the discussions in previous parts of the report, it is evident that the company needs to review its current strategic planning to prepare for the post-pandemic hotel industry. </w:t>
      </w:r>
    </w:p>
    <w:p>
      <w:pPr>
        <w:pStyle w:val="14"/>
        <w:numPr>
          <w:ilvl w:val="0"/>
          <w:numId w:val="2"/>
        </w:numPr>
        <w:spacing w:before="156" w:beforeLines="50" w:after="156" w:afterLines="50" w:line="360" w:lineRule="auto"/>
        <w:ind w:firstLineChars="0"/>
        <w:rPr>
          <w:rFonts w:ascii="Calibri" w:hAnsi="Calibri" w:cs="Calibri"/>
          <w:b/>
          <w:bCs/>
          <w:sz w:val="24"/>
          <w:szCs w:val="24"/>
        </w:rPr>
      </w:pPr>
      <w:r>
        <w:rPr>
          <w:rFonts w:ascii="Calibri" w:hAnsi="Calibri" w:cs="Calibri"/>
          <w:b/>
          <w:bCs/>
          <w:sz w:val="24"/>
          <w:szCs w:val="24"/>
        </w:rPr>
        <w:t xml:space="preserve">Strategy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current strategy of the Hilton group, as specified in its financial report, is to establish a robust economic to middle-scale hotel brands in emerging markets to ensure its growth in the future. The company also aims to establish aggressive digital and green transformation in the next decade to further enhance its competence in the market and to uplift its profitability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URL":"https://ir.hilton.com/financial-reporting/quarterly-results/2021","accessed":{"date-parts":[["2022","3","16"]]},"author":[{"dropping-particle":"","family":"Hilton","given":"","non-dropping-particle":"","parse-names":false,"suffix":""}],"id":"ITEM-1","issued":{"date-parts":[["2021"]]},"title":"Hilton – Quarterly Results 2021","type":"webpage"},"uris":["http://www.mendeley.com/documents/?uuid=d3363214-72c2-3fc9-95d9-0982f2793e1b"]}],"mendeley":{"formattedCitation":"(Hilton, 2021)","plainTextFormattedCitation":"(Hilton, 2021)","previouslyFormattedCitation":"(Hilton, 2021)"},"properties":{"noteIndex":0},"schema":"https://github.com/citation-style-language/schema/raw/master/csl-citation.json"}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(Hilton, 2021)</w:t>
      </w:r>
      <w:r>
        <w:rPr>
          <w:rFonts w:ascii="Calibri" w:hAnsi="Calibri" w:cs="Calibri"/>
          <w:sz w:val="24"/>
          <w:szCs w:val="24"/>
        </w:rPr>
        <w:fldChar w:fldCharType="end"/>
      </w:r>
      <w:r>
        <w:rPr>
          <w:rFonts w:ascii="Calibri" w:hAnsi="Calibri" w:cs="Calibri"/>
          <w:sz w:val="24"/>
          <w:szCs w:val="24"/>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company’s strategy could fit into the normal market situation where the pandemic is absent. While during and after the pandemic, the changes in consumer preferences and the changes in the market competition suggests that the current strategy of Hilton could hardly sustain its development in the next decade. More importantly, based on the analyses in previous sections, it is evident that the company faces challenges as well as opportunities. The key point is that the loss in the pandemic and the increasing capability of its competitors in the market could hamper its current strategic implementation. It is thus evident that the company’s current strategy is insufficient for the post-pandemic hotel industry. As for what strategy is needed for the Hilton group, a SWOT analysis is conducted in the next part and solid recommendations are proposed. </w:t>
      </w:r>
    </w:p>
    <w:p>
      <w:pPr>
        <w:pStyle w:val="14"/>
        <w:numPr>
          <w:ilvl w:val="1"/>
          <w:numId w:val="1"/>
        </w:numPr>
        <w:spacing w:before="156" w:beforeLines="50" w:after="156" w:afterLines="50" w:line="360" w:lineRule="auto"/>
        <w:ind w:firstLineChars="0"/>
        <w:outlineLvl w:val="1"/>
        <w:rPr>
          <w:rFonts w:ascii="Calibri" w:hAnsi="Calibri" w:cs="Calibri"/>
          <w:b/>
          <w:bCs/>
          <w:sz w:val="24"/>
          <w:szCs w:val="24"/>
        </w:rPr>
      </w:pPr>
      <w:bookmarkStart w:id="10" w:name="_Toc98380868"/>
      <w:r>
        <w:rPr>
          <w:rFonts w:hint="eastAsia" w:ascii="Calibri" w:hAnsi="Calibri" w:cs="Calibri"/>
          <w:b/>
          <w:bCs/>
          <w:sz w:val="24"/>
          <w:szCs w:val="24"/>
        </w:rPr>
        <w:t>S</w:t>
      </w:r>
      <w:r>
        <w:rPr>
          <w:rFonts w:ascii="Calibri" w:hAnsi="Calibri" w:cs="Calibri"/>
          <w:b/>
          <w:bCs/>
          <w:sz w:val="24"/>
          <w:szCs w:val="24"/>
        </w:rPr>
        <w:t>WOT analysis</w:t>
      </w:r>
      <w:bookmarkEnd w:id="10"/>
      <w:r>
        <w:rPr>
          <w:rFonts w:ascii="Calibri" w:hAnsi="Calibri" w:cs="Calibri"/>
          <w:b/>
          <w:bCs/>
          <w:sz w:val="24"/>
          <w:szCs w:val="24"/>
        </w:rPr>
        <w:t xml:space="preserve"> </w:t>
      </w:r>
    </w:p>
    <w:p>
      <w:pPr>
        <w:spacing w:before="156" w:beforeLines="50" w:after="156" w:afterLines="50" w:line="360" w:lineRule="auto"/>
        <w:rPr>
          <w:rFonts w:ascii="Calibri" w:hAnsi="Calibri" w:cs="Calibri"/>
          <w:sz w:val="24"/>
          <w:szCs w:val="24"/>
        </w:rPr>
      </w:pPr>
      <w:r>
        <w:rPr>
          <w:rFonts w:hint="eastAsia" w:ascii="Calibri" w:hAnsi="Calibri" w:cs="Calibri"/>
          <w:sz w:val="24"/>
          <w:szCs w:val="24"/>
        </w:rPr>
        <w:t>T</w:t>
      </w:r>
      <w:r>
        <w:rPr>
          <w:rFonts w:ascii="Calibri" w:hAnsi="Calibri" w:cs="Calibri"/>
          <w:sz w:val="24"/>
          <w:szCs w:val="24"/>
        </w:rPr>
        <w:t xml:space="preserve">he SWOT analysis refers to the analysis of the company regarding its external opportunities, threats, and internal strengths and weaknesses. Based on the combination of the four factors, the company could establish a viable strategic development direction </w:t>
      </w:r>
      <w:r>
        <w:rPr>
          <w:rFonts w:ascii="Calibri" w:hAnsi="Calibri" w:cs="Calibri"/>
          <w:sz w:val="24"/>
          <w:szCs w:val="24"/>
        </w:rPr>
        <w:fldChar w:fldCharType="begin" w:fldLock="1"/>
      </w:r>
      <w:r>
        <w:rPr>
          <w:rFonts w:ascii="Calibri" w:hAnsi="Calibri" w:cs="Calibri"/>
          <w:sz w:val="24"/>
          <w:szCs w:val="24"/>
        </w:rPr>
        <w:instrText xml:space="preserve">ADDIN CSL_CITATION {"citationItems":[{"id":"ITEM-1","itemData":{"DOI":"10.1080/10696679.2001.11501891","ISSN":"1069-6679","author":[{"dropping-particle":"","family":"Valentin","given":"E K","non-dropping-particle":"","parse-names":false,"suffix":""}],"container-title":"Journal of Marketing Theory and Practice","id":"ITEM-1","issue":"2","issued":{"date-parts":[["2001","4","1"]]},"note":"doi: 10.1080/10696679.2001.11501891","page":"54-69","publisher":"Routledge","title":"Swot Analysis from a Resource-Based View","type":"article-journal","volume":"9"},"uris":["http://www.mendeley.com/documents/?uuid=e6792b57-6145-48d9-95d0-ddeca9faa0c7"]}],"mendeley":{"formattedCitation":"(Valentin, 2001)","plainTextFormattedCitation":"(Valentin, 2001)","previouslyFormattedCitation":"(Valentin, 2001)"},"properties":{"noteIndex":0},"schema":"https://github.com/citation-style-language/schema/raw/master/csl-citation.json"}</w:instrText>
      </w:r>
      <w:r>
        <w:rPr>
          <w:rFonts w:ascii="Calibri" w:hAnsi="Calibri" w:cs="Calibri"/>
          <w:sz w:val="24"/>
          <w:szCs w:val="24"/>
        </w:rPr>
        <w:fldChar w:fldCharType="separate"/>
      </w:r>
      <w:r>
        <w:rPr>
          <w:rFonts w:ascii="Calibri" w:hAnsi="Calibri" w:cs="Calibri"/>
          <w:sz w:val="24"/>
          <w:szCs w:val="24"/>
        </w:rPr>
        <w:t>(Valentin, 2001)</w:t>
      </w:r>
      <w:r>
        <w:rPr>
          <w:rFonts w:ascii="Calibri" w:hAnsi="Calibri" w:cs="Calibri"/>
          <w:sz w:val="24"/>
          <w:szCs w:val="24"/>
        </w:rPr>
        <w:fldChar w:fldCharType="end"/>
      </w:r>
      <w:r>
        <w:rPr>
          <w:rFonts w:ascii="Calibri" w:hAnsi="Calibri" w:cs="Calibri"/>
          <w:sz w:val="24"/>
          <w:szCs w:val="24"/>
        </w:rPr>
        <w:t xml:space="preserve">. This report focuses on the weaknesses of the company during the pandemic for the proposal of the final strategic recommendations. </w:t>
      </w:r>
    </w:p>
    <w:p>
      <w:pPr>
        <w:pStyle w:val="14"/>
        <w:numPr>
          <w:ilvl w:val="0"/>
          <w:numId w:val="2"/>
        </w:numPr>
        <w:spacing w:before="156" w:beforeLines="50" w:after="156" w:afterLines="50" w:line="360" w:lineRule="auto"/>
        <w:ind w:firstLineChars="0"/>
        <w:rPr>
          <w:rFonts w:ascii="Calibri" w:hAnsi="Calibri" w:cs="Calibri"/>
          <w:b/>
          <w:bCs/>
          <w:sz w:val="24"/>
          <w:szCs w:val="24"/>
        </w:rPr>
      </w:pPr>
      <w:r>
        <w:rPr>
          <w:rFonts w:ascii="Calibri" w:hAnsi="Calibri" w:cs="Calibri"/>
          <w:b/>
          <w:bCs/>
          <w:sz w:val="24"/>
          <w:szCs w:val="24"/>
        </w:rPr>
        <w:t xml:space="preserve">Weaknesses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The primary weakness of the company, based on the above analysis and its financial report, lies in the lack of financial capability in the coming years to implement the transformations it planned. More importantly, the staffs under pressure during the pandemic could further undermine its capability in implementing the strategy. The weaknesses of the company could not only hamper its strategic implementation but also its strategic shift as its resources, as human resources and financial resources, could potentially be depleted after the pandemic. It is thus important that the priority of the company in the post-pandemic era to focus on strengthening its weaknesses to seize the opportunities put forward by the pandemic and to overcome the challenges from the customers and market incumbents. </w:t>
      </w:r>
    </w:p>
    <w:p>
      <w:pPr>
        <w:pStyle w:val="14"/>
        <w:numPr>
          <w:ilvl w:val="0"/>
          <w:numId w:val="1"/>
        </w:numPr>
        <w:pBdr>
          <w:bottom w:val="single" w:color="14415C" w:themeColor="accent3" w:themeShade="BF" w:sz="12" w:space="1"/>
        </w:pBdr>
        <w:spacing w:before="156" w:beforeLines="50" w:after="156" w:afterLines="50" w:line="360" w:lineRule="auto"/>
        <w:ind w:firstLineChars="0"/>
        <w:outlineLvl w:val="0"/>
        <w:rPr>
          <w:rFonts w:ascii="Calibri" w:hAnsi="Calibri" w:cs="Calibri"/>
          <w:b/>
          <w:bCs/>
          <w:sz w:val="32"/>
          <w:szCs w:val="32"/>
        </w:rPr>
      </w:pPr>
      <w:bookmarkStart w:id="11" w:name="_Toc98380869"/>
      <w:r>
        <w:rPr>
          <w:rFonts w:ascii="Calibri" w:hAnsi="Calibri" w:cs="Calibri"/>
          <w:b/>
          <w:bCs/>
          <w:sz w:val="32"/>
          <w:szCs w:val="32"/>
        </w:rPr>
        <w:t>Recommendations</w:t>
      </w:r>
      <w:bookmarkEnd w:id="11"/>
      <w:r>
        <w:rPr>
          <w:rFonts w:ascii="Calibri" w:hAnsi="Calibri" w:cs="Calibri"/>
          <w:b/>
          <w:bCs/>
          <w:sz w:val="32"/>
          <w:szCs w:val="32"/>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Based on the analysis in this report, three recommendations are proposed.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It is firstly recommended that the Hilton group to establish a strategic focus on market segments regarding the development of the pandemic. The company should revisit its strategy to focus in the emerging markets such as China, which is now the market with strictest travel restriction policies. The company should also revisit whether its transformation strategies in the digital and green fields are urgent as the company needs the resources in these transformation projects for maintaining the operation of the company.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It is secondly recommended that the company to re-establish its business line to enhance the profitability to patch its weaknesses so that the Hilton group could be prepared for the fierce competition in the post-pandemic hotel industry.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It is thirdly recommended that the Hilton group to establish a Covid task team to monitor the development of the pandemic to adjust its strategies in the future. This is necessary as the company needs to be highly alert during the time when the market changes rapidly. For example, if China chooses to reopen its boarders, the company’s original strategy could be maintained. </w:t>
      </w:r>
    </w:p>
    <w:p>
      <w:pPr>
        <w:pStyle w:val="14"/>
        <w:numPr>
          <w:ilvl w:val="0"/>
          <w:numId w:val="1"/>
        </w:numPr>
        <w:pBdr>
          <w:bottom w:val="single" w:color="14415C" w:themeColor="accent3" w:themeShade="BF" w:sz="12" w:space="1"/>
        </w:pBdr>
        <w:spacing w:before="156" w:beforeLines="50" w:after="156" w:afterLines="50" w:line="360" w:lineRule="auto"/>
        <w:ind w:firstLineChars="0"/>
        <w:outlineLvl w:val="0"/>
        <w:rPr>
          <w:rFonts w:ascii="Calibri" w:hAnsi="Calibri" w:cs="Calibri"/>
          <w:b/>
          <w:bCs/>
          <w:sz w:val="32"/>
          <w:szCs w:val="32"/>
        </w:rPr>
      </w:pPr>
      <w:bookmarkStart w:id="12" w:name="_Toc98380870"/>
      <w:r>
        <w:rPr>
          <w:rFonts w:ascii="Calibri" w:hAnsi="Calibri" w:cs="Calibri"/>
          <w:b/>
          <w:bCs/>
          <w:sz w:val="32"/>
          <w:szCs w:val="32"/>
        </w:rPr>
        <w:t>Conclusions</w:t>
      </w:r>
      <w:bookmarkEnd w:id="12"/>
      <w:r>
        <w:rPr>
          <w:rFonts w:ascii="Calibri" w:hAnsi="Calibri" w:cs="Calibri"/>
          <w:b/>
          <w:bCs/>
          <w:sz w:val="32"/>
          <w:szCs w:val="32"/>
        </w:rPr>
        <w:t xml:space="preserve"> </w:t>
      </w:r>
    </w:p>
    <w:p>
      <w:pPr>
        <w:spacing w:before="156" w:beforeLines="50" w:after="156" w:afterLines="50" w:line="360" w:lineRule="auto"/>
        <w:rPr>
          <w:rFonts w:ascii="Calibri" w:hAnsi="Calibri" w:cs="Calibri"/>
          <w:sz w:val="24"/>
          <w:szCs w:val="24"/>
        </w:rPr>
      </w:pPr>
      <w:r>
        <w:rPr>
          <w:rFonts w:ascii="Calibri" w:hAnsi="Calibri" w:cs="Calibri"/>
          <w:sz w:val="24"/>
          <w:szCs w:val="24"/>
        </w:rPr>
        <w:t xml:space="preserve">This report presents five key findings. Firstly, the political environment as the travel restriction policies is likely to ease apart in China for the company, which offers the company an opportunity. Secondly, the social environment as the consumer behaviour benefits the company potentially as it could serve business customer groups with established anti-Covid-19 measures. Thirdly, the market incumbents are challenging the company during and after the pandemic, which resulted in the loss in profitability and financial capability of the company. Fourthly, the company’s current strategy is insufficient for the pandemic and the post-pandemic market due to its lack of competent financial capability. Fifthly, the weakness of the company is the lack of resources to prepare for the post-pandemic market including human resources and financial resources. Based on the analysis in this study, three recommendations are proposed for the company to re-establish its strategy in the post-pandemic era. </w:t>
      </w:r>
    </w:p>
    <w:p>
      <w:pPr>
        <w:widowControl/>
        <w:jc w:val="left"/>
        <w:rPr>
          <w:rFonts w:ascii="Calibri" w:hAnsi="Calibri" w:cs="Calibri"/>
          <w:sz w:val="24"/>
          <w:szCs w:val="24"/>
        </w:rPr>
      </w:pPr>
      <w:r>
        <w:rPr>
          <w:rFonts w:ascii="Calibri" w:hAnsi="Calibri" w:cs="Calibri"/>
          <w:sz w:val="24"/>
          <w:szCs w:val="24"/>
        </w:rPr>
        <w:br w:type="page"/>
      </w:r>
    </w:p>
    <w:p>
      <w:pPr>
        <w:pBdr>
          <w:bottom w:val="single" w:color="14415C" w:themeColor="accent3" w:themeShade="BF" w:sz="12" w:space="1"/>
        </w:pBdr>
        <w:spacing w:before="156" w:beforeLines="50" w:after="156" w:afterLines="50" w:line="360" w:lineRule="auto"/>
        <w:outlineLvl w:val="0"/>
        <w:rPr>
          <w:rFonts w:ascii="Calibri" w:hAnsi="Calibri" w:cs="Calibri"/>
          <w:b/>
          <w:bCs/>
          <w:sz w:val="32"/>
          <w:szCs w:val="32"/>
        </w:rPr>
      </w:pPr>
      <w:bookmarkStart w:id="13" w:name="_Toc98380871"/>
      <w:r>
        <w:rPr>
          <w:rFonts w:ascii="Calibri" w:hAnsi="Calibri" w:cs="Calibri"/>
          <w:b/>
          <w:bCs/>
          <w:sz w:val="32"/>
          <w:szCs w:val="32"/>
        </w:rPr>
        <w:t>Reference list</w:t>
      </w:r>
      <w:bookmarkEnd w:id="13"/>
      <w:r>
        <w:rPr>
          <w:rFonts w:ascii="Calibri" w:hAnsi="Calibri" w:cs="Calibri"/>
          <w:b/>
          <w:bCs/>
          <w:sz w:val="32"/>
          <w:szCs w:val="32"/>
        </w:rPr>
        <w:t xml:space="preserve"> </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sz w:val="24"/>
          <w:szCs w:val="24"/>
        </w:rPr>
        <w:fldChar w:fldCharType="begin" w:fldLock="1"/>
      </w:r>
      <w:r>
        <w:rPr>
          <w:rFonts w:ascii="Calibri" w:hAnsi="Calibri" w:cs="Calibri"/>
          <w:sz w:val="24"/>
          <w:szCs w:val="24"/>
        </w:rPr>
        <w:instrText xml:space="preserve">ADDIN Mendeley Bibliography CSL_BIBLIOGRAPHY </w:instrText>
      </w:r>
      <w:r>
        <w:rPr>
          <w:rFonts w:ascii="Calibri" w:hAnsi="Calibri" w:cs="Calibri"/>
          <w:sz w:val="24"/>
          <w:szCs w:val="24"/>
        </w:rPr>
        <w:fldChar w:fldCharType="separate"/>
      </w:r>
      <w:r>
        <w:rPr>
          <w:rFonts w:ascii="Calibri" w:hAnsi="Calibri" w:cs="Calibri"/>
          <w:kern w:val="0"/>
          <w:sz w:val="24"/>
          <w:szCs w:val="24"/>
        </w:rPr>
        <w:t xml:space="preserve">Aguiar-Quintana, T. </w:t>
      </w:r>
      <w:r>
        <w:rPr>
          <w:rFonts w:ascii="Calibri" w:hAnsi="Calibri" w:cs="Calibri"/>
          <w:i/>
          <w:iCs/>
          <w:kern w:val="0"/>
          <w:sz w:val="24"/>
          <w:szCs w:val="24"/>
        </w:rPr>
        <w:t>et al.</w:t>
      </w:r>
      <w:r>
        <w:rPr>
          <w:rFonts w:ascii="Calibri" w:hAnsi="Calibri" w:cs="Calibri"/>
          <w:kern w:val="0"/>
          <w:sz w:val="24"/>
          <w:szCs w:val="24"/>
        </w:rPr>
        <w:t xml:space="preserve"> (2021) ‘Do job insecurity, anxiety and depression caused by the COVID-19 pandemic influence hotel employees’ self-rated task performance? The moderating role of employee resilience’, </w:t>
      </w:r>
      <w:r>
        <w:rPr>
          <w:rFonts w:ascii="Calibri" w:hAnsi="Calibri" w:cs="Calibri"/>
          <w:i/>
          <w:iCs/>
          <w:kern w:val="0"/>
          <w:sz w:val="24"/>
          <w:szCs w:val="24"/>
        </w:rPr>
        <w:t>International Journal of Hospitality Management</w:t>
      </w:r>
      <w:r>
        <w:rPr>
          <w:rFonts w:ascii="Calibri" w:hAnsi="Calibri" w:cs="Calibri"/>
          <w:kern w:val="0"/>
          <w:sz w:val="24"/>
          <w:szCs w:val="24"/>
        </w:rPr>
        <w:t>, 94, p. 102868. doi: https://doi.org/10.1016/j.ijhm.2021.102868.</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Aharon, D. Y. </w:t>
      </w:r>
      <w:r>
        <w:rPr>
          <w:rFonts w:ascii="Calibri" w:hAnsi="Calibri" w:cs="Calibri"/>
          <w:i/>
          <w:iCs/>
          <w:kern w:val="0"/>
          <w:sz w:val="24"/>
          <w:szCs w:val="24"/>
        </w:rPr>
        <w:t>et al.</w:t>
      </w:r>
      <w:r>
        <w:rPr>
          <w:rFonts w:ascii="Calibri" w:hAnsi="Calibri" w:cs="Calibri"/>
          <w:kern w:val="0"/>
          <w:sz w:val="24"/>
          <w:szCs w:val="24"/>
        </w:rPr>
        <w:t xml:space="preserve"> (2021) ‘COVID-19, government measures and hospitality industry performance’, </w:t>
      </w:r>
      <w:r>
        <w:rPr>
          <w:rFonts w:ascii="Calibri" w:hAnsi="Calibri" w:cs="Calibri"/>
          <w:i/>
          <w:iCs/>
          <w:kern w:val="0"/>
          <w:sz w:val="24"/>
          <w:szCs w:val="24"/>
        </w:rPr>
        <w:t>PLOS ONE</w:t>
      </w:r>
      <w:r>
        <w:rPr>
          <w:rFonts w:ascii="Calibri" w:hAnsi="Calibri" w:cs="Calibri"/>
          <w:kern w:val="0"/>
          <w:sz w:val="24"/>
          <w:szCs w:val="24"/>
        </w:rPr>
        <w:t>, 16(8), p. e0255819.</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Anguera-Torrell, O., Aznar-Alarcón, J. P. and Vives-Perez, J. (2021) ‘COVID-19: hotel industry response to the pandemic evolution and to the public sector economic measures’, </w:t>
      </w:r>
      <w:r>
        <w:rPr>
          <w:rFonts w:ascii="Calibri" w:hAnsi="Calibri" w:cs="Calibri"/>
          <w:i/>
          <w:iCs/>
          <w:kern w:val="0"/>
          <w:sz w:val="24"/>
          <w:szCs w:val="24"/>
        </w:rPr>
        <w:t>Tourism Recreation Research</w:t>
      </w:r>
      <w:r>
        <w:rPr>
          <w:rFonts w:ascii="Calibri" w:hAnsi="Calibri" w:cs="Calibri"/>
          <w:kern w:val="0"/>
          <w:sz w:val="24"/>
          <w:szCs w:val="24"/>
        </w:rPr>
        <w:t>, 46(2), pp. 148–157. doi: 10.1080/02508281.2020.1826225.</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Bloomberg (2022) </w:t>
      </w:r>
      <w:r>
        <w:rPr>
          <w:rFonts w:ascii="Calibri" w:hAnsi="Calibri" w:cs="Calibri"/>
          <w:i/>
          <w:iCs/>
          <w:kern w:val="0"/>
          <w:sz w:val="24"/>
          <w:szCs w:val="24"/>
        </w:rPr>
        <w:t>More Than 11 Billion Shots Given: Covid-19 Vaccine Tracker</w:t>
      </w:r>
      <w:r>
        <w:rPr>
          <w:rFonts w:ascii="Calibri" w:hAnsi="Calibri" w:cs="Calibri"/>
          <w:kern w:val="0"/>
          <w:sz w:val="24"/>
          <w:szCs w:val="24"/>
        </w:rPr>
        <w:t>. Available at: https://www.bloomberg.com/graphics/covid-vaccine-tracker-global-distribution/ (Accessed: 16 March 2022).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Burki, T. K. (2022) ‘Omicron variant and booster COVID-19 vaccines’, </w:t>
      </w:r>
      <w:r>
        <w:rPr>
          <w:rFonts w:ascii="Calibri" w:hAnsi="Calibri" w:cs="Calibri"/>
          <w:i/>
          <w:iCs/>
          <w:kern w:val="0"/>
          <w:sz w:val="24"/>
          <w:szCs w:val="24"/>
        </w:rPr>
        <w:t>The Lancet Respiratory Medicine</w:t>
      </w:r>
      <w:r>
        <w:rPr>
          <w:rFonts w:ascii="Calibri" w:hAnsi="Calibri" w:cs="Calibri"/>
          <w:kern w:val="0"/>
          <w:sz w:val="24"/>
          <w:szCs w:val="24"/>
        </w:rPr>
        <w:t>, 10(2), p. e17. doi: 10.1016/S2213-2600(21)00559-2.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Carracedo, P., Puertas, R. and Marti, L. (2021) ‘Research lines on the impact of the COVID-19 pandemic on business. A text mining analysis’, </w:t>
      </w:r>
      <w:r>
        <w:rPr>
          <w:rFonts w:ascii="Calibri" w:hAnsi="Calibri" w:cs="Calibri"/>
          <w:i/>
          <w:iCs/>
          <w:kern w:val="0"/>
          <w:sz w:val="24"/>
          <w:szCs w:val="24"/>
        </w:rPr>
        <w:t>Journal of Business Research</w:t>
      </w:r>
      <w:r>
        <w:rPr>
          <w:rFonts w:ascii="Calibri" w:hAnsi="Calibri" w:cs="Calibri"/>
          <w:kern w:val="0"/>
          <w:sz w:val="24"/>
          <w:szCs w:val="24"/>
        </w:rPr>
        <w:t>, 132, pp. 586–593. doi: https://doi.org/10.1016/j.jbusres.2020.11.043.</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Cheng, D. S. Y. (2013) ‘Analyze the hotel industry in porter five competitive forces’, </w:t>
      </w:r>
      <w:r>
        <w:rPr>
          <w:rFonts w:ascii="Calibri" w:hAnsi="Calibri" w:cs="Calibri"/>
          <w:i/>
          <w:iCs/>
          <w:kern w:val="0"/>
          <w:sz w:val="24"/>
          <w:szCs w:val="24"/>
        </w:rPr>
        <w:t>Journal of Global Business Management</w:t>
      </w:r>
      <w:r>
        <w:rPr>
          <w:rFonts w:ascii="Calibri" w:hAnsi="Calibri" w:cs="Calibri"/>
          <w:kern w:val="0"/>
          <w:sz w:val="24"/>
          <w:szCs w:val="24"/>
        </w:rPr>
        <w:t>, 9(3), p. 52.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Çitilci, T. and Akbalık, M. (2020) ‘The Importance of PESTEL Analysis for Environmental Scanning Process’, in Dinçer, H. and Yüksel, S. (eds) </w:t>
      </w:r>
      <w:r>
        <w:rPr>
          <w:rFonts w:ascii="Calibri" w:hAnsi="Calibri" w:cs="Calibri"/>
          <w:i/>
          <w:iCs/>
          <w:kern w:val="0"/>
          <w:sz w:val="24"/>
          <w:szCs w:val="24"/>
        </w:rPr>
        <w:t>Handbook of Research on Decision-Making Techniques in Financial Marketing</w:t>
      </w:r>
      <w:r>
        <w:rPr>
          <w:rFonts w:ascii="Calibri" w:hAnsi="Calibri" w:cs="Calibri"/>
          <w:kern w:val="0"/>
          <w:sz w:val="24"/>
          <w:szCs w:val="24"/>
        </w:rPr>
        <w:t>. Hershey, PA, USA: IGI Global, pp. 336–357. doi: 10.4018/978-1-7998-2559-3.ch016.</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Davari, D. </w:t>
      </w:r>
      <w:r>
        <w:rPr>
          <w:rFonts w:ascii="Calibri" w:hAnsi="Calibri" w:cs="Calibri"/>
          <w:i/>
          <w:iCs/>
          <w:kern w:val="0"/>
          <w:sz w:val="24"/>
          <w:szCs w:val="24"/>
        </w:rPr>
        <w:t>et al.</w:t>
      </w:r>
      <w:r>
        <w:rPr>
          <w:rFonts w:ascii="Calibri" w:hAnsi="Calibri" w:cs="Calibri"/>
          <w:kern w:val="0"/>
          <w:sz w:val="24"/>
          <w:szCs w:val="24"/>
        </w:rPr>
        <w:t xml:space="preserve"> (2022) ‘Hotel experiences during the COVID-19 pandemic: high-touch versus high-tech’, </w:t>
      </w:r>
      <w:r>
        <w:rPr>
          <w:rFonts w:ascii="Calibri" w:hAnsi="Calibri" w:cs="Calibri"/>
          <w:i/>
          <w:iCs/>
          <w:kern w:val="0"/>
          <w:sz w:val="24"/>
          <w:szCs w:val="24"/>
        </w:rPr>
        <w:t>International Journal of Contemporary Hospitality Management</w:t>
      </w:r>
      <w:r>
        <w:rPr>
          <w:rFonts w:ascii="Calibri" w:hAnsi="Calibri" w:cs="Calibri"/>
          <w:kern w:val="0"/>
          <w:sz w:val="24"/>
          <w:szCs w:val="24"/>
        </w:rPr>
        <w:t>, ahead-of-p(ahead-of-print). doi: 10.1108/IJCHM-07-2021-0919.</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E. Dobbs, M. (2014) ‘Guidelines for applying Porter’s five forces framework: a set of industry analysis templates’, </w:t>
      </w:r>
      <w:r>
        <w:rPr>
          <w:rFonts w:ascii="Calibri" w:hAnsi="Calibri" w:cs="Calibri"/>
          <w:i/>
          <w:iCs/>
          <w:kern w:val="0"/>
          <w:sz w:val="24"/>
          <w:szCs w:val="24"/>
        </w:rPr>
        <w:t>Competitiveness Review</w:t>
      </w:r>
      <w:r>
        <w:rPr>
          <w:rFonts w:ascii="Calibri" w:hAnsi="Calibri" w:cs="Calibri"/>
          <w:kern w:val="0"/>
          <w:sz w:val="24"/>
          <w:szCs w:val="24"/>
        </w:rPr>
        <w:t>, 24(1), pp. 32–45. doi: 10.1108/CR-06-2013-0059.</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Gössling, S., Scott, D. and Hall, C. M. (2021) ‘Pandemics, tourism and global change: a rapid assessment of COVID-19’, </w:t>
      </w:r>
      <w:r>
        <w:rPr>
          <w:rFonts w:ascii="Calibri" w:hAnsi="Calibri" w:cs="Calibri"/>
          <w:i/>
          <w:iCs/>
          <w:kern w:val="0"/>
          <w:sz w:val="24"/>
          <w:szCs w:val="24"/>
        </w:rPr>
        <w:t>Journal of Sustainable Tourism</w:t>
      </w:r>
      <w:r>
        <w:rPr>
          <w:rFonts w:ascii="Calibri" w:hAnsi="Calibri" w:cs="Calibri"/>
          <w:kern w:val="0"/>
          <w:sz w:val="24"/>
          <w:szCs w:val="24"/>
        </w:rPr>
        <w:t>, 29(1), pp. 1–20. doi: 10.1080/09669582.2020.1758708.</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Gyódi, K. (2021) ‘Airbnb and hotels during COVID-19: different strategies to survive’, </w:t>
      </w:r>
      <w:r>
        <w:rPr>
          <w:rFonts w:ascii="Calibri" w:hAnsi="Calibri" w:cs="Calibri"/>
          <w:i/>
          <w:iCs/>
          <w:kern w:val="0"/>
          <w:sz w:val="24"/>
          <w:szCs w:val="24"/>
        </w:rPr>
        <w:t>International Journal of Culture, Tourism and Hospitality Research</w:t>
      </w:r>
      <w:r>
        <w:rPr>
          <w:rFonts w:ascii="Calibri" w:hAnsi="Calibri" w:cs="Calibri"/>
          <w:kern w:val="0"/>
          <w:sz w:val="24"/>
          <w:szCs w:val="24"/>
        </w:rPr>
        <w:t>, ahead-of-p(ahead-of-print). doi: 10.1108/IJCTHR-09-2020-0221.</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Hilton (2019) </w:t>
      </w:r>
      <w:r>
        <w:rPr>
          <w:rFonts w:ascii="Calibri" w:hAnsi="Calibri" w:cs="Calibri"/>
          <w:i/>
          <w:iCs/>
          <w:kern w:val="0"/>
          <w:sz w:val="24"/>
          <w:szCs w:val="24"/>
        </w:rPr>
        <w:t xml:space="preserve">Hotels by Hilton </w:t>
      </w:r>
      <w:r>
        <w:rPr>
          <w:rFonts w:ascii="Calibri" w:hAnsi="Calibri" w:cs="Calibri"/>
          <w:kern w:val="0"/>
          <w:sz w:val="24"/>
          <w:szCs w:val="24"/>
        </w:rPr>
        <w:t>. Available at: https://www.hilton.com/en/?WT.srch=1&amp;WT.mc_id=zIMDPDA0EMEA1MB2PSH3PPC_Google_search4cid123373713_aid7683417273_me_kkwd-387505705Brand_TopLevel6MULTIBR7en&amp;utm_source=Google&amp;utm_medium=ppc&amp;utm_campaign=paidsearch&amp;campaignid=123373713&amp;adgroupid=7683417273&amp;targetid=kwd-38750570&amp;gclid=Cj0KCQiAqdP9BRDVARIsAGSZ8AlwQL1lgEEP0_X-PxcMsttlH6OXjJoX6c9fQRrqUxa0D5P4N2VRiboaAkEQEALw_wcB&amp;gclsrc=aw.ds (Accessed: 18 November 2020).</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Hilton (2021) </w:t>
      </w:r>
      <w:r>
        <w:rPr>
          <w:rFonts w:ascii="Calibri" w:hAnsi="Calibri" w:cs="Calibri"/>
          <w:i/>
          <w:iCs/>
          <w:kern w:val="0"/>
          <w:sz w:val="24"/>
          <w:szCs w:val="24"/>
        </w:rPr>
        <w:t>Hilton – Quarterly Results 2021</w:t>
      </w:r>
      <w:r>
        <w:rPr>
          <w:rFonts w:ascii="Calibri" w:hAnsi="Calibri" w:cs="Calibri"/>
          <w:kern w:val="0"/>
          <w:sz w:val="24"/>
          <w:szCs w:val="24"/>
        </w:rPr>
        <w:t>. Available at: https://ir.hilton.com/financial-reporting/quarterly-results/2021 (Accessed: 16 March 2022).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Hossain, M. K. </w:t>
      </w:r>
      <w:r>
        <w:rPr>
          <w:rFonts w:ascii="Calibri" w:hAnsi="Calibri" w:cs="Calibri"/>
          <w:i/>
          <w:iCs/>
          <w:kern w:val="0"/>
          <w:sz w:val="24"/>
          <w:szCs w:val="24"/>
        </w:rPr>
        <w:t>et al.</w:t>
      </w:r>
      <w:r>
        <w:rPr>
          <w:rFonts w:ascii="Calibri" w:hAnsi="Calibri" w:cs="Calibri"/>
          <w:kern w:val="0"/>
          <w:sz w:val="24"/>
          <w:szCs w:val="24"/>
        </w:rPr>
        <w:t xml:space="preserve"> (2022) ‘The race for a COVID-19 vaccine: where are we up to?’, </w:t>
      </w:r>
      <w:r>
        <w:rPr>
          <w:rFonts w:ascii="Calibri" w:hAnsi="Calibri" w:cs="Calibri"/>
          <w:i/>
          <w:iCs/>
          <w:kern w:val="0"/>
          <w:sz w:val="24"/>
          <w:szCs w:val="24"/>
        </w:rPr>
        <w:t>Expert Review of Vaccines</w:t>
      </w:r>
      <w:r>
        <w:rPr>
          <w:rFonts w:ascii="Calibri" w:hAnsi="Calibri" w:cs="Calibri"/>
          <w:kern w:val="0"/>
          <w:sz w:val="24"/>
          <w:szCs w:val="24"/>
        </w:rPr>
        <w:t>, 21(3), pp. 355–376. doi: 10.1080/14760584.2022.2021074.</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Kaplan, R. S. (2005) ‘How the balanced scorecard complements the McKinsey 7‐S model’, </w:t>
      </w:r>
      <w:r>
        <w:rPr>
          <w:rFonts w:ascii="Calibri" w:hAnsi="Calibri" w:cs="Calibri"/>
          <w:i/>
          <w:iCs/>
          <w:kern w:val="0"/>
          <w:sz w:val="24"/>
          <w:szCs w:val="24"/>
        </w:rPr>
        <w:t>Strategy &amp; Leadership</w:t>
      </w:r>
      <w:r>
        <w:rPr>
          <w:rFonts w:ascii="Calibri" w:hAnsi="Calibri" w:cs="Calibri"/>
          <w:kern w:val="0"/>
          <w:sz w:val="24"/>
          <w:szCs w:val="24"/>
        </w:rPr>
        <w:t>, 33(3), pp. 41–46. doi: 10.1108/10878570510594442.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Liu, Z. </w:t>
      </w:r>
      <w:r>
        <w:rPr>
          <w:rFonts w:ascii="Calibri" w:hAnsi="Calibri" w:cs="Calibri"/>
          <w:i/>
          <w:iCs/>
          <w:kern w:val="0"/>
          <w:sz w:val="24"/>
          <w:szCs w:val="24"/>
        </w:rPr>
        <w:t>et al.</w:t>
      </w:r>
      <w:r>
        <w:rPr>
          <w:rFonts w:ascii="Calibri" w:hAnsi="Calibri" w:cs="Calibri"/>
          <w:kern w:val="0"/>
          <w:sz w:val="24"/>
          <w:szCs w:val="24"/>
        </w:rPr>
        <w:t xml:space="preserve"> (2021) ‘Multi-Level Governance, Policy Coordination and Subnational Responses to COVID-19: Comparing China and the US’, </w:t>
      </w:r>
      <w:r>
        <w:rPr>
          <w:rFonts w:ascii="Calibri" w:hAnsi="Calibri" w:cs="Calibri"/>
          <w:i/>
          <w:iCs/>
          <w:kern w:val="0"/>
          <w:sz w:val="24"/>
          <w:szCs w:val="24"/>
        </w:rPr>
        <w:t>Journal of Comparative Policy Analysis: Research and Practice</w:t>
      </w:r>
      <w:r>
        <w:rPr>
          <w:rFonts w:ascii="Calibri" w:hAnsi="Calibri" w:cs="Calibri"/>
          <w:kern w:val="0"/>
          <w:sz w:val="24"/>
          <w:szCs w:val="24"/>
        </w:rPr>
        <w:t>, 23(2), pp. 204–218. doi: 10.1080/13876988.2021.1873703.</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McKinsey (2021) </w:t>
      </w:r>
      <w:r>
        <w:rPr>
          <w:rFonts w:ascii="Calibri" w:hAnsi="Calibri" w:cs="Calibri"/>
          <w:i/>
          <w:iCs/>
          <w:kern w:val="0"/>
          <w:sz w:val="24"/>
          <w:szCs w:val="24"/>
        </w:rPr>
        <w:t xml:space="preserve">COVID-19’s effect on the hotel industry </w:t>
      </w:r>
      <w:r>
        <w:rPr>
          <w:rFonts w:ascii="Calibri" w:hAnsi="Calibri" w:cs="Calibri"/>
          <w:kern w:val="0"/>
          <w:sz w:val="24"/>
          <w:szCs w:val="24"/>
        </w:rPr>
        <w:t>. Available at: https://www.mckinsey.com/industries/travel-logistics-and-infrastructure/our-insights/hospitality-and-covid-19-how-long-until-no-vacancy-for-us-hotels (Accessed: 17 March 2022).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Nhamo, G., Dube, K. and Chikodzi, D. (2020) ‘Impacts and Implications of COVID-19 on the Global Hotel Industry and Airbnb BT  - Counting the Cost of COVID-19 on the Global Tourism Industry’, in Nhamo, G., Dube, K., and Chikodzi, D. (eds). Cham: Springer International Publishing, pp. 183–204. doi: 10.1007/978-3-030-56231-1_8.</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Reuters (2021) ‘WHO advises against travel bans’, </w:t>
      </w:r>
      <w:r>
        <w:rPr>
          <w:rFonts w:ascii="Calibri" w:hAnsi="Calibri" w:cs="Calibri"/>
          <w:i/>
          <w:iCs/>
          <w:kern w:val="0"/>
          <w:sz w:val="24"/>
          <w:szCs w:val="24"/>
        </w:rPr>
        <w:t>Reuterns</w:t>
      </w:r>
      <w:r>
        <w:rPr>
          <w:rFonts w:ascii="Calibri" w:hAnsi="Calibri" w:cs="Calibri"/>
          <w:kern w:val="0"/>
          <w:sz w:val="24"/>
          <w:szCs w:val="24"/>
        </w:rPr>
        <w:t>.</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Sherpa Network (2022) </w:t>
      </w:r>
      <w:r>
        <w:rPr>
          <w:rFonts w:ascii="Calibri" w:hAnsi="Calibri" w:cs="Calibri"/>
          <w:i/>
          <w:iCs/>
          <w:kern w:val="0"/>
          <w:sz w:val="24"/>
          <w:szCs w:val="24"/>
        </w:rPr>
        <w:t>Travel Restrictions Map</w:t>
      </w:r>
      <w:r>
        <w:rPr>
          <w:rFonts w:ascii="Calibri" w:hAnsi="Calibri" w:cs="Calibri"/>
          <w:kern w:val="0"/>
          <w:sz w:val="24"/>
          <w:szCs w:val="24"/>
        </w:rPr>
        <w:t>. Available at: https://apply.joinsherpa.com/map (Accessed: 16 March 2022).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Statista (2022) </w:t>
      </w:r>
      <w:r>
        <w:rPr>
          <w:rFonts w:ascii="Calibri" w:hAnsi="Calibri" w:cs="Calibri"/>
          <w:i/>
          <w:iCs/>
          <w:kern w:val="0"/>
          <w:sz w:val="24"/>
          <w:szCs w:val="24"/>
        </w:rPr>
        <w:t>Statista Mobility Market Outlook</w:t>
      </w:r>
      <w:r>
        <w:rPr>
          <w:rFonts w:ascii="Calibri" w:hAnsi="Calibri" w:cs="Calibri"/>
          <w:kern w:val="0"/>
          <w:sz w:val="24"/>
          <w:szCs w:val="24"/>
        </w:rPr>
        <w:t>. Available at: https://www-statista-com/study/71360/covid-19/ (Accessed: 16 March 2022).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Valentin, E. K. (2001) ‘Swot Analysis from a Resource-Based View’, </w:t>
      </w:r>
      <w:r>
        <w:rPr>
          <w:rFonts w:ascii="Calibri" w:hAnsi="Calibri" w:cs="Calibri"/>
          <w:i/>
          <w:iCs/>
          <w:kern w:val="0"/>
          <w:sz w:val="24"/>
          <w:szCs w:val="24"/>
        </w:rPr>
        <w:t>Journal of Marketing Theory and Practice</w:t>
      </w:r>
      <w:r>
        <w:rPr>
          <w:rFonts w:ascii="Calibri" w:hAnsi="Calibri" w:cs="Calibri"/>
          <w:kern w:val="0"/>
          <w:sz w:val="24"/>
          <w:szCs w:val="24"/>
        </w:rPr>
        <w:t>, 9(2), pp. 54–69. doi: 10.1080/10696679.2001.11501891.</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World Health Organisation (2021) </w:t>
      </w:r>
      <w:r>
        <w:rPr>
          <w:rFonts w:ascii="Calibri" w:hAnsi="Calibri" w:cs="Calibri"/>
          <w:i/>
          <w:iCs/>
          <w:kern w:val="0"/>
          <w:sz w:val="24"/>
          <w:szCs w:val="24"/>
        </w:rPr>
        <w:t>Coronavirus</w:t>
      </w:r>
      <w:r>
        <w:rPr>
          <w:rFonts w:ascii="Calibri" w:hAnsi="Calibri" w:cs="Calibri"/>
          <w:kern w:val="0"/>
          <w:sz w:val="24"/>
          <w:szCs w:val="24"/>
        </w:rPr>
        <w:t>. Available at: https://www.who.int/health-topics/coronavirus#tab=tab_1 (Accessed: 16 March 2022).</w:t>
      </w:r>
    </w:p>
    <w:p>
      <w:pPr>
        <w:autoSpaceDE w:val="0"/>
        <w:autoSpaceDN w:val="0"/>
        <w:adjustRightInd w:val="0"/>
        <w:spacing w:before="160" w:after="160" w:line="360" w:lineRule="auto"/>
        <w:jc w:val="left"/>
        <w:rPr>
          <w:rFonts w:ascii="Calibri" w:hAnsi="Calibri" w:cs="Calibri"/>
          <w:kern w:val="0"/>
          <w:sz w:val="24"/>
          <w:szCs w:val="24"/>
        </w:rPr>
      </w:pPr>
      <w:r>
        <w:rPr>
          <w:rFonts w:ascii="Calibri" w:hAnsi="Calibri" w:cs="Calibri"/>
          <w:kern w:val="0"/>
          <w:sz w:val="24"/>
          <w:szCs w:val="24"/>
        </w:rPr>
        <w:t xml:space="preserve">World Health Organisation (2022) </w:t>
      </w:r>
      <w:r>
        <w:rPr>
          <w:rFonts w:ascii="Calibri" w:hAnsi="Calibri" w:cs="Calibri"/>
          <w:i/>
          <w:iCs/>
          <w:kern w:val="0"/>
          <w:sz w:val="24"/>
          <w:szCs w:val="24"/>
        </w:rPr>
        <w:t>Coronavirus Disease (COVID-19) Situation Reports</w:t>
      </w:r>
      <w:r>
        <w:rPr>
          <w:rFonts w:ascii="Calibri" w:hAnsi="Calibri" w:cs="Calibri"/>
          <w:kern w:val="0"/>
          <w:sz w:val="24"/>
          <w:szCs w:val="24"/>
        </w:rPr>
        <w:t>. Available at: https://www.who.int/emergencies/diseases/novel-coronavirus-2019/situation-reports (Accessed: 16 March 2022).</w:t>
      </w:r>
    </w:p>
    <w:p>
      <w:pPr>
        <w:autoSpaceDE w:val="0"/>
        <w:autoSpaceDN w:val="0"/>
        <w:adjustRightInd w:val="0"/>
        <w:spacing w:before="160" w:after="160" w:line="360" w:lineRule="auto"/>
        <w:jc w:val="left"/>
        <w:rPr>
          <w:rFonts w:ascii="Calibri" w:hAnsi="Calibri" w:cs="Calibri"/>
          <w:sz w:val="24"/>
        </w:rPr>
      </w:pPr>
      <w:r>
        <w:rPr>
          <w:rFonts w:ascii="Calibri" w:hAnsi="Calibri" w:cs="Calibri"/>
          <w:kern w:val="0"/>
          <w:sz w:val="24"/>
          <w:szCs w:val="24"/>
        </w:rPr>
        <w:t xml:space="preserve">Zhang, J. </w:t>
      </w:r>
      <w:r>
        <w:rPr>
          <w:rFonts w:ascii="Calibri" w:hAnsi="Calibri" w:cs="Calibri"/>
          <w:i/>
          <w:iCs/>
          <w:kern w:val="0"/>
          <w:sz w:val="24"/>
          <w:szCs w:val="24"/>
        </w:rPr>
        <w:t>et al.</w:t>
      </w:r>
      <w:r>
        <w:rPr>
          <w:rFonts w:ascii="Calibri" w:hAnsi="Calibri" w:cs="Calibri"/>
          <w:kern w:val="0"/>
          <w:sz w:val="24"/>
          <w:szCs w:val="24"/>
        </w:rPr>
        <w:t xml:space="preserve"> (2020) ‘Responding to a major global crisis: the effects of hotel safety leadership on employee safety behavior during COVID-19’, </w:t>
      </w:r>
      <w:r>
        <w:rPr>
          <w:rFonts w:ascii="Calibri" w:hAnsi="Calibri" w:cs="Calibri"/>
          <w:i/>
          <w:iCs/>
          <w:kern w:val="0"/>
          <w:sz w:val="24"/>
          <w:szCs w:val="24"/>
        </w:rPr>
        <w:t>International Journal of Contemporary Hospitality Management</w:t>
      </w:r>
      <w:r>
        <w:rPr>
          <w:rFonts w:ascii="Calibri" w:hAnsi="Calibri" w:cs="Calibri"/>
          <w:kern w:val="0"/>
          <w:sz w:val="24"/>
          <w:szCs w:val="24"/>
        </w:rPr>
        <w:t>, 32(11), pp. 3365–3389. doi: 10.1108/IJCHM-04-2020-0335.</w:t>
      </w:r>
    </w:p>
    <w:p>
      <w:pPr>
        <w:spacing w:before="156" w:beforeLines="50" w:after="156" w:afterLines="50" w:line="360" w:lineRule="auto"/>
        <w:rPr>
          <w:rFonts w:hint="eastAsia" w:ascii="Calibri" w:hAnsi="Calibri" w:cs="Calibri"/>
          <w:sz w:val="24"/>
          <w:szCs w:val="24"/>
        </w:rPr>
      </w:pPr>
      <w:r>
        <w:rPr>
          <w:rFonts w:ascii="Calibri" w:hAnsi="Calibri" w:cs="Calibri"/>
          <w:sz w:val="24"/>
          <w:szCs w:val="24"/>
        </w:rPr>
        <w:fldChar w:fldCharType="end"/>
      </w:r>
    </w:p>
    <w:sectPr>
      <w:footerReference r:id="rId4" w:type="default"/>
      <w:pgSz w:w="11906" w:h="16838"/>
      <w:pgMar w:top="1440" w:right="1440" w:bottom="1440" w:left="144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rPr>
        <w:rFonts w:ascii="Calibri" w:hAnsi="Calibri" w:cs="Calibri"/>
      </w:rPr>
    </w:pPr>
  </w:p>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031255475"/>
      <w:docPartObj>
        <w:docPartGallery w:val="AutoText"/>
      </w:docPartObj>
    </w:sdtPr>
    <w:sdtEndPr>
      <w:rPr>
        <w:rFonts w:ascii="Calibri" w:hAnsi="Calibri" w:cs="Calibri"/>
      </w:rPr>
    </w:sdtEndPr>
    <w:sdtContent>
      <w:p>
        <w:pPr>
          <w:pStyle w:val="6"/>
          <w:pBdr>
            <w:top w:val="single" w:color="14415C" w:themeColor="accent3" w:themeShade="BF" w:sz="12" w:space="1"/>
          </w:pBdr>
          <w:jc w:val="center"/>
          <w:rPr>
            <w:rFonts w:ascii="Calibri" w:hAnsi="Calibri" w:cs="Calibri"/>
          </w:rPr>
        </w:pPr>
        <w:r>
          <w:rPr>
            <w:rFonts w:ascii="Calibri" w:hAnsi="Calibri" w:cs="Calibri"/>
          </w:rPr>
          <w:fldChar w:fldCharType="begin"/>
        </w:r>
        <w:r>
          <w:rPr>
            <w:rFonts w:ascii="Calibri" w:hAnsi="Calibri" w:cs="Calibri"/>
          </w:rPr>
          <w:instrText xml:space="preserve">PAGE   \* MERGEFORMAT</w:instrText>
        </w:r>
        <w:r>
          <w:rPr>
            <w:rFonts w:ascii="Calibri" w:hAnsi="Calibri" w:cs="Calibri"/>
          </w:rPr>
          <w:fldChar w:fldCharType="separate"/>
        </w:r>
        <w:r>
          <w:rPr>
            <w:rFonts w:ascii="Calibri" w:hAnsi="Calibri" w:cs="Calibri"/>
            <w:lang w:val="zh-CN"/>
          </w:rPr>
          <w:t>2</w:t>
        </w:r>
        <w:r>
          <w:rPr>
            <w:rFonts w:ascii="Calibri" w:hAnsi="Calibri" w:cs="Calibri"/>
          </w:rP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39B1AE3"/>
    <w:multiLevelType w:val="multilevel"/>
    <w:tmpl w:val="539B1AE3"/>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77792A6B"/>
    <w:multiLevelType w:val="multilevel"/>
    <w:tmpl w:val="77792A6B"/>
    <w:lvl w:ilvl="0" w:tentative="0">
      <w:start w:val="1"/>
      <w:numFmt w:val="decimal"/>
      <w:lvlText w:val="%1."/>
      <w:lvlJc w:val="left"/>
      <w:pPr>
        <w:ind w:left="425" w:hanging="425"/>
      </w:pPr>
    </w:lvl>
    <w:lvl w:ilvl="1" w:tentative="0">
      <w:start w:val="1"/>
      <w:numFmt w:val="decimal"/>
      <w:lvlText w:val="%1.%2."/>
      <w:lvlJc w:val="left"/>
      <w:pPr>
        <w:ind w:left="567" w:hanging="567"/>
      </w:pPr>
    </w:lvl>
    <w:lvl w:ilvl="2" w:tentative="0">
      <w:start w:val="1"/>
      <w:numFmt w:val="decimal"/>
      <w:lvlText w:val="%1.%2.%3."/>
      <w:lvlJc w:val="left"/>
      <w:pPr>
        <w:ind w:left="709" w:hanging="709"/>
      </w:p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LQwtzS3MLWwMLYwMTBQ0lEKTi0uzszPAykwrgUA68KqECwAAAA="/>
  </w:docVars>
  <w:rsids>
    <w:rsidRoot w:val="002D0804"/>
    <w:rsid w:val="00041EE2"/>
    <w:rsid w:val="001009A5"/>
    <w:rsid w:val="001979B0"/>
    <w:rsid w:val="001A2C67"/>
    <w:rsid w:val="00252B1E"/>
    <w:rsid w:val="002C6B12"/>
    <w:rsid w:val="002D0804"/>
    <w:rsid w:val="002E47AA"/>
    <w:rsid w:val="00361BFB"/>
    <w:rsid w:val="003704A5"/>
    <w:rsid w:val="003D79B3"/>
    <w:rsid w:val="00400744"/>
    <w:rsid w:val="00424C46"/>
    <w:rsid w:val="004E314C"/>
    <w:rsid w:val="005046AE"/>
    <w:rsid w:val="00556DF7"/>
    <w:rsid w:val="005F11F3"/>
    <w:rsid w:val="00637FF4"/>
    <w:rsid w:val="006B679C"/>
    <w:rsid w:val="006C001F"/>
    <w:rsid w:val="00707B15"/>
    <w:rsid w:val="007A3BC7"/>
    <w:rsid w:val="007C30F8"/>
    <w:rsid w:val="007C3113"/>
    <w:rsid w:val="007F5322"/>
    <w:rsid w:val="00825FA2"/>
    <w:rsid w:val="00837072"/>
    <w:rsid w:val="00841B7B"/>
    <w:rsid w:val="00842775"/>
    <w:rsid w:val="008452C1"/>
    <w:rsid w:val="0091275F"/>
    <w:rsid w:val="009737A9"/>
    <w:rsid w:val="00A737CF"/>
    <w:rsid w:val="00AA59A6"/>
    <w:rsid w:val="00B36436"/>
    <w:rsid w:val="00B6129D"/>
    <w:rsid w:val="00B640B1"/>
    <w:rsid w:val="00C1631E"/>
    <w:rsid w:val="00D74622"/>
    <w:rsid w:val="00D85C60"/>
    <w:rsid w:val="00DE1EFC"/>
    <w:rsid w:val="00E35B5F"/>
    <w:rsid w:val="00E61725"/>
    <w:rsid w:val="00E77701"/>
    <w:rsid w:val="00F44424"/>
    <w:rsid w:val="00F66AB0"/>
    <w:rsid w:val="00F950B2"/>
    <w:rsid w:val="00FB202C"/>
    <w:rsid w:val="00FF663F"/>
    <w:rsid w:val="084B2E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5"/>
    <w:qFormat/>
    <w:uiPriority w:val="9"/>
    <w:pPr>
      <w:keepNext/>
      <w:keepLines/>
      <w:spacing w:before="340" w:after="330" w:line="578" w:lineRule="auto"/>
      <w:outlineLvl w:val="0"/>
    </w:pPr>
    <w:rPr>
      <w:b/>
      <w:bCs/>
      <w:kern w:val="44"/>
      <w:sz w:val="44"/>
      <w:szCs w:val="44"/>
    </w:rPr>
  </w:style>
  <w:style w:type="character" w:default="1" w:styleId="3">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caption"/>
    <w:basedOn w:val="1"/>
    <w:next w:val="1"/>
    <w:unhideWhenUsed/>
    <w:qFormat/>
    <w:uiPriority w:val="35"/>
    <w:rPr>
      <w:rFonts w:eastAsia="黑体" w:asciiTheme="majorHAnsi" w:hAnsiTheme="majorHAnsi" w:cstheme="majorBidi"/>
      <w:sz w:val="20"/>
      <w:szCs w:val="20"/>
    </w:rPr>
  </w:style>
  <w:style w:type="paragraph" w:styleId="6">
    <w:name w:val="footer"/>
    <w:basedOn w:val="1"/>
    <w:link w:val="13"/>
    <w:unhideWhenUsed/>
    <w:uiPriority w:val="99"/>
    <w:pPr>
      <w:tabs>
        <w:tab w:val="center" w:pos="4513"/>
        <w:tab w:val="right" w:pos="9026"/>
      </w:tabs>
      <w:snapToGrid w:val="0"/>
      <w:jc w:val="left"/>
    </w:pPr>
    <w:rPr>
      <w:sz w:val="18"/>
      <w:szCs w:val="18"/>
    </w:rPr>
  </w:style>
  <w:style w:type="paragraph" w:styleId="7">
    <w:name w:val="header"/>
    <w:basedOn w:val="1"/>
    <w:link w:val="12"/>
    <w:unhideWhenUsed/>
    <w:uiPriority w:val="99"/>
    <w:pPr>
      <w:pBdr>
        <w:bottom w:val="single" w:color="auto" w:sz="6" w:space="1"/>
      </w:pBdr>
      <w:tabs>
        <w:tab w:val="center" w:pos="4513"/>
        <w:tab w:val="right" w:pos="9026"/>
      </w:tabs>
      <w:snapToGrid w:val="0"/>
      <w:jc w:val="center"/>
    </w:pPr>
    <w:rPr>
      <w:sz w:val="18"/>
      <w:szCs w:val="18"/>
    </w:rPr>
  </w:style>
  <w:style w:type="character" w:styleId="8">
    <w:name w:val="Hyperlink"/>
    <w:basedOn w:val="3"/>
    <w:unhideWhenUsed/>
    <w:uiPriority w:val="99"/>
    <w:rPr>
      <w:color w:val="6B9F25" w:themeColor="hyperlink"/>
      <w:u w:val="single"/>
      <w14:textFill>
        <w14:solidFill>
          <w14:schemeClr w14:val="hlink"/>
        </w14:solidFill>
      </w14:textFill>
    </w:rPr>
  </w:style>
  <w:style w:type="paragraph" w:styleId="9">
    <w:name w:val="toc 1"/>
    <w:basedOn w:val="1"/>
    <w:next w:val="1"/>
    <w:unhideWhenUsed/>
    <w:uiPriority w:val="39"/>
  </w:style>
  <w:style w:type="paragraph" w:styleId="10">
    <w:name w:val="toc 2"/>
    <w:basedOn w:val="1"/>
    <w:next w:val="1"/>
    <w:unhideWhenUsed/>
    <w:uiPriority w:val="39"/>
    <w:pPr>
      <w:ind w:left="420" w:leftChars="200"/>
    </w:pPr>
  </w:style>
  <w:style w:type="paragraph" w:styleId="11">
    <w:name w:val="toc 3"/>
    <w:basedOn w:val="1"/>
    <w:next w:val="1"/>
    <w:unhideWhenUsed/>
    <w:qFormat/>
    <w:uiPriority w:val="39"/>
    <w:pPr>
      <w:ind w:left="840" w:leftChars="400"/>
    </w:pPr>
  </w:style>
  <w:style w:type="character" w:customStyle="1" w:styleId="12">
    <w:name w:val="页眉 字符"/>
    <w:basedOn w:val="3"/>
    <w:link w:val="7"/>
    <w:uiPriority w:val="99"/>
    <w:rPr>
      <w:sz w:val="18"/>
      <w:szCs w:val="18"/>
      <w:lang w:val="en-GB"/>
    </w:rPr>
  </w:style>
  <w:style w:type="character" w:customStyle="1" w:styleId="13">
    <w:name w:val="页脚 字符"/>
    <w:basedOn w:val="3"/>
    <w:link w:val="6"/>
    <w:uiPriority w:val="99"/>
    <w:rPr>
      <w:sz w:val="18"/>
      <w:szCs w:val="18"/>
      <w:lang w:val="en-GB"/>
    </w:rPr>
  </w:style>
  <w:style w:type="paragraph" w:styleId="14">
    <w:name w:val="List Paragraph"/>
    <w:basedOn w:val="1"/>
    <w:qFormat/>
    <w:uiPriority w:val="34"/>
    <w:pPr>
      <w:ind w:firstLine="420" w:firstLineChars="200"/>
    </w:pPr>
  </w:style>
  <w:style w:type="character" w:customStyle="1" w:styleId="15">
    <w:name w:val="标题 1 字符"/>
    <w:basedOn w:val="3"/>
    <w:link w:val="2"/>
    <w:qFormat/>
    <w:uiPriority w:val="9"/>
    <w:rPr>
      <w:b/>
      <w:bCs/>
      <w:kern w:val="44"/>
      <w:sz w:val="44"/>
      <w:szCs w:val="44"/>
      <w:lang w:val="en-GB"/>
    </w:rPr>
  </w:style>
  <w:style w:type="paragraph" w:customStyle="1" w:styleId="16">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B45F07" w:themeColor="accent1" w:themeShade="BF"/>
      <w:kern w:val="0"/>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1.tiff"/><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视点">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7B235-DE78-46FF-ACD5-42D94061C661}">
  <ds:schemaRefs/>
</ds:datastoreItem>
</file>

<file path=docProps/app.xml><?xml version="1.0" encoding="utf-8"?>
<Properties xmlns="http://schemas.openxmlformats.org/officeDocument/2006/extended-properties" xmlns:vt="http://schemas.openxmlformats.org/officeDocument/2006/docPropsVTypes">
  <Template>Normal.dotm</Template>
  <Pages>16</Pages>
  <Words>11297</Words>
  <Characters>59314</Characters>
  <Lines>1022</Lines>
  <Paragraphs>284</Paragraphs>
  <TotalTime>841</TotalTime>
  <ScaleCrop>false</ScaleCrop>
  <LinksUpToDate>false</LinksUpToDate>
  <CharactersWithSpaces>70327</CharactersWithSpaces>
  <Application>WPS Office_11.2.0.11029_F1E327BC-269C-435d-A152-05C5408002CA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2022-03-16T04:49:00Z</dcterms:created>
  <dc:creator>JPY JPY</dc:creator>
  <cp:lastModifiedBy>刘大豪</cp:lastModifiedBy>
  <dcterms:modified xsi:type="dcterms:W3CDTF">2022-03-18T19:37:01Z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http://www.zotero.org/styles/apa-6th-edition</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http://www.zotero.org/styles/apa</vt:lpwstr>
  </property>
  <property fmtid="{D5CDD505-2E9C-101B-9397-08002B2CF9AE}" pid="9" name="Mendeley Recent Style Name 3_1">
    <vt:lpwstr>American Psychological Association 7th edition</vt:lpwstr>
  </property>
  <property fmtid="{D5CDD505-2E9C-101B-9397-08002B2CF9AE}" pid="10" name="Mendeley Recent Style Id 4_1">
    <vt:lpwstr>http://www.zotero.org/styles/american-sociological-association</vt:lpwstr>
  </property>
  <property fmtid="{D5CDD505-2E9C-101B-9397-08002B2CF9AE}" pid="11" name="Mendeley Recent Style Name 4_1">
    <vt:lpwstr>American Sociological Association 6th edition</vt:lpwstr>
  </property>
  <property fmtid="{D5CDD505-2E9C-101B-9397-08002B2CF9AE}" pid="12" name="Mendeley Recent Style Id 5_1">
    <vt:lpwstr>http://www.zotero.org/styles/chicago-author-date</vt:lpwstr>
  </property>
  <property fmtid="{D5CDD505-2E9C-101B-9397-08002B2CF9AE}" pid="13" name="Mendeley Recent Style Name 5_1">
    <vt:lpwstr>Chicago Manual of Style 17th edition (author-date)</vt:lpwstr>
  </property>
  <property fmtid="{D5CDD505-2E9C-101B-9397-08002B2CF9AE}" pid="14" name="Mendeley Recent Style Id 6_1">
    <vt:lpwstr>http://www.zotero.org/styles/harvard-cite-them-right</vt:lpwstr>
  </property>
  <property fmtid="{D5CDD505-2E9C-101B-9397-08002B2CF9AE}" pid="15" name="Mendeley Recent Style Name 6_1">
    <vt:lpwstr>Cite Them Right 10th edition - Harvard</vt:lpwstr>
  </property>
  <property fmtid="{D5CDD505-2E9C-101B-9397-08002B2CF9AE}" pid="16" name="Mendeley Recent Style Id 7_1">
    <vt:lpwstr>http://www.zotero.org/styles/harvard-coventry-university</vt:lpwstr>
  </property>
  <property fmtid="{D5CDD505-2E9C-101B-9397-08002B2CF9AE}" pid="17" name="Mendeley Recent Style Name 7_1">
    <vt:lpwstr>Coventry University - Harvard</vt:lpwstr>
  </property>
  <property fmtid="{D5CDD505-2E9C-101B-9397-08002B2CF9AE}" pid="18" name="Mendeley Recent Style Id 8_1">
    <vt:lpwstr>http://www.zotero.org/styles/ieee</vt:lpwstr>
  </property>
  <property fmtid="{D5CDD505-2E9C-101B-9397-08002B2CF9AE}" pid="19" name="Mendeley Recent Style Name 8_1">
    <vt:lpwstr>IEEE</vt:lpwstr>
  </property>
  <property fmtid="{D5CDD505-2E9C-101B-9397-08002B2CF9AE}" pid="20" name="Mendeley Recent Style Id 9_1">
    <vt:lpwstr>http://www.zotero.org/styles/modern-humanities-research-association</vt:lpwstr>
  </property>
  <property fmtid="{D5CDD505-2E9C-101B-9397-08002B2CF9AE}" pid="21" name="Mendeley Recent Style Name 9_1">
    <vt:lpwstr>Modern Humanities Research Association 3rd edition (note with bibliography)</vt:lpwstr>
  </property>
  <property fmtid="{D5CDD505-2E9C-101B-9397-08002B2CF9AE}" pid="22" name="Mendeley Citation Style_1">
    <vt:lpwstr>http://www.zotero.org/styles/harvard-cite-them-right</vt:lpwstr>
  </property>
  <property fmtid="{D5CDD505-2E9C-101B-9397-08002B2CF9AE}" pid="23" name="Mendeley Document_1">
    <vt:lpwstr>True</vt:lpwstr>
  </property>
  <property fmtid="{D5CDD505-2E9C-101B-9397-08002B2CF9AE}" pid="24" name="Mendeley Unique User Id_1">
    <vt:lpwstr>072aee80-d7c5-3866-b96b-d829895a52cf</vt:lpwstr>
  </property>
  <property fmtid="{D5CDD505-2E9C-101B-9397-08002B2CF9AE}" pid="25" name="KSOProductBuildVer">
    <vt:lpwstr>1033-11.2.0.11029</vt:lpwstr>
  </property>
  <property fmtid="{D5CDD505-2E9C-101B-9397-08002B2CF9AE}" pid="26" name="ICV">
    <vt:lpwstr>338AF767FE0448F0A37E57F6285A9EDC</vt:lpwstr>
  </property>
</Properties>
</file>