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994B0" w14:textId="4ECFB68F" w:rsidR="002A0270" w:rsidRPr="002A0270" w:rsidRDefault="002A0270" w:rsidP="002A0270">
      <w:pPr>
        <w:jc w:val="center"/>
        <w:rPr>
          <w:rFonts w:ascii="Arial" w:hAnsi="Arial" w:cs="Arial"/>
          <w:b/>
          <w:bCs/>
          <w:noProof/>
          <w:sz w:val="48"/>
          <w:szCs w:val="48"/>
        </w:rPr>
      </w:pPr>
      <w:r w:rsidRPr="002A0270">
        <w:rPr>
          <w:rFonts w:ascii="Arial" w:hAnsi="Arial" w:cs="Arial"/>
          <w:b/>
          <w:bCs/>
          <w:noProof/>
          <w:sz w:val="48"/>
          <w:szCs w:val="48"/>
        </w:rPr>
        <w:t>University of Wales Trinity Saint David</w:t>
      </w:r>
    </w:p>
    <w:p w14:paraId="2F352D8E" w14:textId="77777777" w:rsidR="002A0270" w:rsidRDefault="002A0270">
      <w:pPr>
        <w:rPr>
          <w:noProof/>
        </w:rPr>
      </w:pPr>
    </w:p>
    <w:p w14:paraId="461A13B6" w14:textId="395E150E" w:rsidR="00684B80" w:rsidRDefault="002A0270">
      <w:r>
        <w:rPr>
          <w:noProof/>
        </w:rPr>
        <w:drawing>
          <wp:inline distT="0" distB="0" distL="0" distR="0" wp14:anchorId="59FBF80C" wp14:editId="04EA0578">
            <wp:extent cx="6600825" cy="2332355"/>
            <wp:effectExtent l="0" t="0" r="0" b="0"/>
            <wp:docPr id="1" name="Picture 1" descr="A large building with a fountain in front of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arge building with a fountain in front of i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6600825" cy="2332355"/>
                    </a:xfrm>
                    <a:prstGeom prst="rect">
                      <a:avLst/>
                    </a:prstGeom>
                  </pic:spPr>
                </pic:pic>
              </a:graphicData>
            </a:graphic>
          </wp:inline>
        </w:drawing>
      </w:r>
    </w:p>
    <w:p w14:paraId="695A829D" w14:textId="5051BAA5" w:rsidR="002A0270" w:rsidRDefault="002A0270"/>
    <w:p w14:paraId="7E3E59BB" w14:textId="77777777" w:rsidR="002A0270" w:rsidRDefault="002A0270"/>
    <w:p w14:paraId="45DEF0D8" w14:textId="77777777" w:rsidR="002A0270" w:rsidRDefault="002A0270" w:rsidP="002A0270">
      <w:pPr>
        <w:rPr>
          <w:rFonts w:ascii="Arial" w:hAnsi="Arial" w:cs="Arial"/>
          <w:b/>
          <w:bCs/>
          <w:sz w:val="36"/>
          <w:szCs w:val="36"/>
        </w:rPr>
      </w:pPr>
    </w:p>
    <w:p w14:paraId="4F547538" w14:textId="23BEAF3D" w:rsidR="002A0270" w:rsidRPr="002A0270" w:rsidRDefault="002A0270" w:rsidP="002A0270">
      <w:pPr>
        <w:rPr>
          <w:rFonts w:ascii="Arial" w:hAnsi="Arial" w:cs="Arial"/>
          <w:b/>
          <w:bCs/>
          <w:sz w:val="36"/>
          <w:szCs w:val="36"/>
        </w:rPr>
      </w:pPr>
      <w:r w:rsidRPr="002A0270">
        <w:rPr>
          <w:rFonts w:ascii="Arial" w:hAnsi="Arial" w:cs="Arial"/>
          <w:b/>
          <w:bCs/>
          <w:sz w:val="36"/>
          <w:szCs w:val="36"/>
        </w:rPr>
        <w:t xml:space="preserve">Module Name: Introduction to </w:t>
      </w:r>
      <w:r w:rsidR="00B64894">
        <w:rPr>
          <w:rFonts w:ascii="Arial" w:hAnsi="Arial" w:cs="Arial"/>
          <w:b/>
          <w:bCs/>
          <w:sz w:val="36"/>
          <w:szCs w:val="36"/>
        </w:rPr>
        <w:t>Public Health</w:t>
      </w:r>
      <w:r>
        <w:rPr>
          <w:rFonts w:ascii="Arial" w:hAnsi="Arial" w:cs="Arial"/>
          <w:b/>
          <w:bCs/>
          <w:sz w:val="36"/>
          <w:szCs w:val="36"/>
        </w:rPr>
        <w:t xml:space="preserve">                        </w:t>
      </w:r>
    </w:p>
    <w:p w14:paraId="078B0116" w14:textId="1A2212CB" w:rsidR="002A0270" w:rsidRPr="002A0270" w:rsidRDefault="002A0270">
      <w:pPr>
        <w:rPr>
          <w:rFonts w:ascii="Arial" w:hAnsi="Arial" w:cs="Arial"/>
          <w:b/>
          <w:bCs/>
          <w:sz w:val="36"/>
          <w:szCs w:val="36"/>
        </w:rPr>
      </w:pPr>
      <w:r w:rsidRPr="002A0270">
        <w:rPr>
          <w:rFonts w:ascii="Arial" w:hAnsi="Arial" w:cs="Arial"/>
          <w:b/>
          <w:bCs/>
          <w:sz w:val="36"/>
          <w:szCs w:val="36"/>
        </w:rPr>
        <w:t>Module Code:</w:t>
      </w:r>
      <w:r>
        <w:rPr>
          <w:rFonts w:ascii="Arial" w:hAnsi="Arial" w:cs="Arial"/>
          <w:b/>
          <w:bCs/>
          <w:sz w:val="36"/>
          <w:szCs w:val="36"/>
        </w:rPr>
        <w:t xml:space="preserve"> LCHS400</w:t>
      </w:r>
      <w:r w:rsidR="00B64894">
        <w:rPr>
          <w:rFonts w:ascii="Arial" w:hAnsi="Arial" w:cs="Arial"/>
          <w:b/>
          <w:bCs/>
          <w:sz w:val="36"/>
          <w:szCs w:val="36"/>
        </w:rPr>
        <w:t>4</w:t>
      </w:r>
    </w:p>
    <w:p w14:paraId="6A721E36" w14:textId="1AEA9AFF" w:rsidR="002A0270" w:rsidRPr="002A0270" w:rsidRDefault="002A0270">
      <w:pPr>
        <w:rPr>
          <w:rFonts w:ascii="Arial" w:hAnsi="Arial" w:cs="Arial"/>
          <w:b/>
          <w:bCs/>
          <w:sz w:val="36"/>
          <w:szCs w:val="36"/>
        </w:rPr>
      </w:pPr>
      <w:r w:rsidRPr="002A0270">
        <w:rPr>
          <w:rFonts w:ascii="Arial" w:hAnsi="Arial" w:cs="Arial"/>
          <w:b/>
          <w:bCs/>
          <w:sz w:val="36"/>
          <w:szCs w:val="36"/>
        </w:rPr>
        <w:t>Student Name: Sylwia Jarocka</w:t>
      </w:r>
    </w:p>
    <w:p w14:paraId="17F2C529" w14:textId="4CA090A2" w:rsidR="002A0270" w:rsidRPr="002A0270" w:rsidRDefault="002A0270">
      <w:pPr>
        <w:rPr>
          <w:rFonts w:ascii="Arial" w:hAnsi="Arial" w:cs="Arial"/>
          <w:b/>
          <w:bCs/>
          <w:sz w:val="36"/>
          <w:szCs w:val="36"/>
        </w:rPr>
      </w:pPr>
      <w:r w:rsidRPr="002A0270">
        <w:rPr>
          <w:rFonts w:ascii="Arial" w:hAnsi="Arial" w:cs="Arial"/>
          <w:b/>
          <w:bCs/>
          <w:sz w:val="36"/>
          <w:szCs w:val="36"/>
        </w:rPr>
        <w:t>Student ID: 2130204</w:t>
      </w:r>
    </w:p>
    <w:p w14:paraId="55F2C30B" w14:textId="433D6D5B" w:rsidR="002A0270" w:rsidRDefault="002A0270">
      <w:pPr>
        <w:rPr>
          <w:rFonts w:ascii="Arial" w:hAnsi="Arial" w:cs="Arial"/>
          <w:b/>
          <w:bCs/>
          <w:sz w:val="36"/>
          <w:szCs w:val="36"/>
        </w:rPr>
      </w:pPr>
      <w:r w:rsidRPr="002A0270">
        <w:rPr>
          <w:rFonts w:ascii="Arial" w:hAnsi="Arial" w:cs="Arial"/>
          <w:b/>
          <w:bCs/>
          <w:sz w:val="36"/>
          <w:szCs w:val="36"/>
        </w:rPr>
        <w:t xml:space="preserve">Lecturer: </w:t>
      </w:r>
      <w:r w:rsidR="00B64894">
        <w:rPr>
          <w:rFonts w:ascii="Arial" w:hAnsi="Arial" w:cs="Arial"/>
          <w:b/>
          <w:bCs/>
          <w:sz w:val="36"/>
          <w:szCs w:val="36"/>
        </w:rPr>
        <w:t>Laila Surani</w:t>
      </w:r>
    </w:p>
    <w:p w14:paraId="26991992" w14:textId="2673B308" w:rsidR="000F4E4E" w:rsidRDefault="000F4E4E">
      <w:pPr>
        <w:rPr>
          <w:rFonts w:ascii="Arial" w:hAnsi="Arial" w:cs="Arial"/>
          <w:b/>
          <w:bCs/>
          <w:sz w:val="36"/>
          <w:szCs w:val="36"/>
        </w:rPr>
      </w:pPr>
    </w:p>
    <w:p w14:paraId="3FA7F28D" w14:textId="2910F15A" w:rsidR="000F4E4E" w:rsidRDefault="000F4E4E">
      <w:pPr>
        <w:rPr>
          <w:rFonts w:ascii="Arial" w:hAnsi="Arial" w:cs="Arial"/>
          <w:b/>
          <w:bCs/>
          <w:sz w:val="36"/>
          <w:szCs w:val="36"/>
        </w:rPr>
      </w:pPr>
    </w:p>
    <w:p w14:paraId="0A07D347" w14:textId="69410C81" w:rsidR="000F4E4E" w:rsidRDefault="000F4E4E">
      <w:pPr>
        <w:rPr>
          <w:rFonts w:ascii="Arial" w:hAnsi="Arial" w:cs="Arial"/>
          <w:b/>
          <w:bCs/>
          <w:sz w:val="36"/>
          <w:szCs w:val="36"/>
        </w:rPr>
      </w:pPr>
    </w:p>
    <w:p w14:paraId="7F89962A" w14:textId="5C52B946" w:rsidR="000F4E4E" w:rsidRDefault="000F4E4E">
      <w:pPr>
        <w:rPr>
          <w:rFonts w:ascii="Arial" w:hAnsi="Arial" w:cs="Arial"/>
          <w:b/>
          <w:bCs/>
          <w:sz w:val="36"/>
          <w:szCs w:val="36"/>
        </w:rPr>
      </w:pPr>
    </w:p>
    <w:p w14:paraId="6C9AA18C" w14:textId="03346004" w:rsidR="000F4E4E" w:rsidRDefault="000F4E4E">
      <w:pPr>
        <w:rPr>
          <w:rFonts w:ascii="Arial" w:hAnsi="Arial" w:cs="Arial"/>
          <w:b/>
          <w:bCs/>
          <w:sz w:val="36"/>
          <w:szCs w:val="36"/>
        </w:rPr>
      </w:pPr>
    </w:p>
    <w:p w14:paraId="0B541927" w14:textId="10FB1195" w:rsidR="000F4E4E" w:rsidRDefault="000F4E4E">
      <w:pPr>
        <w:rPr>
          <w:rFonts w:ascii="Arial" w:hAnsi="Arial" w:cs="Arial"/>
          <w:b/>
          <w:bCs/>
          <w:sz w:val="36"/>
          <w:szCs w:val="36"/>
        </w:rPr>
      </w:pPr>
    </w:p>
    <w:p w14:paraId="0ADE4C83" w14:textId="77777777" w:rsidR="000F4E4E" w:rsidRDefault="000F4E4E">
      <w:pPr>
        <w:rPr>
          <w:rFonts w:ascii="Arial" w:hAnsi="Arial" w:cs="Arial"/>
          <w:b/>
          <w:bCs/>
          <w:sz w:val="36"/>
          <w:szCs w:val="36"/>
        </w:rPr>
      </w:pPr>
    </w:p>
    <w:p w14:paraId="530C6D99" w14:textId="1323FDC5" w:rsidR="000F4E4E" w:rsidRDefault="000F4E4E">
      <w:pPr>
        <w:rPr>
          <w:rFonts w:ascii="Arial" w:hAnsi="Arial" w:cs="Arial"/>
          <w:b/>
          <w:bCs/>
          <w:sz w:val="36"/>
          <w:szCs w:val="36"/>
        </w:rPr>
      </w:pPr>
    </w:p>
    <w:p w14:paraId="66CB3380" w14:textId="1C83938A" w:rsidR="000F4E4E" w:rsidRDefault="000F4E4E">
      <w:pPr>
        <w:rPr>
          <w:rFonts w:ascii="Arial" w:hAnsi="Arial" w:cs="Arial"/>
          <w:b/>
          <w:bCs/>
          <w:sz w:val="36"/>
          <w:szCs w:val="36"/>
        </w:rPr>
      </w:pPr>
    </w:p>
    <w:p w14:paraId="69212339" w14:textId="173BF2A9" w:rsidR="000F4E4E" w:rsidRDefault="000F4E4E" w:rsidP="000F4E4E">
      <w:pPr>
        <w:pStyle w:val="NoSpacing"/>
      </w:pPr>
    </w:p>
    <w:sdt>
      <w:sdtPr>
        <w:rPr>
          <w:rFonts w:ascii="Arial" w:eastAsiaTheme="minorHAnsi" w:hAnsi="Arial" w:cs="Arial"/>
          <w:color w:val="auto"/>
          <w:sz w:val="22"/>
          <w:szCs w:val="22"/>
          <w:lang w:eastAsia="en-US"/>
        </w:rPr>
        <w:id w:val="1887823356"/>
        <w:docPartObj>
          <w:docPartGallery w:val="Table of Contents"/>
          <w:docPartUnique/>
        </w:docPartObj>
      </w:sdtPr>
      <w:sdtEndPr>
        <w:rPr>
          <w:rFonts w:asciiTheme="minorHAnsi" w:hAnsiTheme="minorHAnsi" w:cstheme="minorBidi"/>
          <w:b/>
          <w:bCs/>
        </w:rPr>
      </w:sdtEndPr>
      <w:sdtContent>
        <w:p w14:paraId="79E7FB16" w14:textId="6BF1D9F0" w:rsidR="00C6305E" w:rsidRPr="00C6305E" w:rsidRDefault="00C6305E">
          <w:pPr>
            <w:pStyle w:val="TOCHeading"/>
            <w:rPr>
              <w:rFonts w:ascii="Arial" w:hAnsi="Arial" w:cs="Arial"/>
            </w:rPr>
          </w:pPr>
          <w:r w:rsidRPr="00C6305E">
            <w:rPr>
              <w:rFonts w:ascii="Arial" w:hAnsi="Arial" w:cs="Arial"/>
            </w:rPr>
            <w:t>Contents</w:t>
          </w:r>
        </w:p>
        <w:p w14:paraId="2211953E" w14:textId="38FEA4F3" w:rsidR="00C6305E" w:rsidRDefault="00C6305E" w:rsidP="00B17407">
          <w:pPr>
            <w:pStyle w:val="TOC1"/>
          </w:pPr>
          <w:r>
            <w:fldChar w:fldCharType="begin"/>
          </w:r>
          <w:r>
            <w:instrText xml:space="preserve"> TOC \o "1-3" \h \z \u </w:instrText>
          </w:r>
          <w:r>
            <w:fldChar w:fldCharType="separate"/>
          </w:r>
          <w:hyperlink w:anchor="_Toc123741300" w:history="1">
            <w:r w:rsidRPr="00EC05B4">
              <w:rPr>
                <w:rStyle w:val="Hyperlink"/>
              </w:rPr>
              <w:t>Introduction</w:t>
            </w:r>
            <w:r>
              <w:rPr>
                <w:webHidden/>
              </w:rPr>
              <w:tab/>
            </w:r>
            <w:r>
              <w:rPr>
                <w:webHidden/>
              </w:rPr>
              <w:fldChar w:fldCharType="begin"/>
            </w:r>
            <w:r>
              <w:rPr>
                <w:webHidden/>
              </w:rPr>
              <w:instrText xml:space="preserve"> PAGEREF _Toc123741300 \h </w:instrText>
            </w:r>
            <w:r>
              <w:rPr>
                <w:webHidden/>
              </w:rPr>
            </w:r>
            <w:r>
              <w:rPr>
                <w:webHidden/>
              </w:rPr>
              <w:fldChar w:fldCharType="separate"/>
            </w:r>
            <w:r>
              <w:rPr>
                <w:webHidden/>
              </w:rPr>
              <w:t>3</w:t>
            </w:r>
            <w:r>
              <w:rPr>
                <w:webHidden/>
              </w:rPr>
              <w:fldChar w:fldCharType="end"/>
            </w:r>
          </w:hyperlink>
        </w:p>
        <w:p w14:paraId="179720BA" w14:textId="2CD7F19F" w:rsidR="00C6305E" w:rsidRPr="00B17407" w:rsidRDefault="00000000" w:rsidP="00B17407">
          <w:pPr>
            <w:pStyle w:val="TOC1"/>
          </w:pPr>
          <w:hyperlink w:anchor="_Toc123741301" w:history="1">
            <w:r w:rsidR="00C6305E" w:rsidRPr="00B17407">
              <w:rPr>
                <w:rStyle w:val="Hyperlink"/>
              </w:rPr>
              <w:t>Public health measures</w:t>
            </w:r>
            <w:r w:rsidR="00C6305E" w:rsidRPr="00B17407">
              <w:rPr>
                <w:webHidden/>
              </w:rPr>
              <w:tab/>
            </w:r>
            <w:r w:rsidR="00C6305E" w:rsidRPr="00B17407">
              <w:rPr>
                <w:webHidden/>
              </w:rPr>
              <w:fldChar w:fldCharType="begin"/>
            </w:r>
            <w:r w:rsidR="00C6305E" w:rsidRPr="00B17407">
              <w:rPr>
                <w:webHidden/>
              </w:rPr>
              <w:instrText xml:space="preserve"> PAGEREF _Toc123741301 \h </w:instrText>
            </w:r>
            <w:r w:rsidR="00C6305E" w:rsidRPr="00B17407">
              <w:rPr>
                <w:webHidden/>
              </w:rPr>
            </w:r>
            <w:r w:rsidR="00C6305E" w:rsidRPr="00B17407">
              <w:rPr>
                <w:webHidden/>
              </w:rPr>
              <w:fldChar w:fldCharType="separate"/>
            </w:r>
            <w:r w:rsidR="00C6305E" w:rsidRPr="00B17407">
              <w:rPr>
                <w:webHidden/>
              </w:rPr>
              <w:t>3</w:t>
            </w:r>
            <w:r w:rsidR="00C6305E" w:rsidRPr="00B17407">
              <w:rPr>
                <w:webHidden/>
              </w:rPr>
              <w:fldChar w:fldCharType="end"/>
            </w:r>
          </w:hyperlink>
        </w:p>
        <w:p w14:paraId="1BCF31B3" w14:textId="49D848C2" w:rsidR="00C6305E" w:rsidRDefault="00000000" w:rsidP="00B17407">
          <w:pPr>
            <w:pStyle w:val="TOC1"/>
          </w:pPr>
          <w:hyperlink w:anchor="_Toc123741302" w:history="1">
            <w:r w:rsidR="00C6305E" w:rsidRPr="00EC05B4">
              <w:rPr>
                <w:rStyle w:val="Hyperlink"/>
              </w:rPr>
              <w:t>Key determinants of Osteoporosis</w:t>
            </w:r>
            <w:r w:rsidR="00C6305E">
              <w:rPr>
                <w:webHidden/>
              </w:rPr>
              <w:tab/>
            </w:r>
            <w:r w:rsidR="00C6305E">
              <w:rPr>
                <w:webHidden/>
              </w:rPr>
              <w:fldChar w:fldCharType="begin"/>
            </w:r>
            <w:r w:rsidR="00C6305E">
              <w:rPr>
                <w:webHidden/>
              </w:rPr>
              <w:instrText xml:space="preserve"> PAGEREF _Toc123741302 \h </w:instrText>
            </w:r>
            <w:r w:rsidR="00C6305E">
              <w:rPr>
                <w:webHidden/>
              </w:rPr>
            </w:r>
            <w:r w:rsidR="00C6305E">
              <w:rPr>
                <w:webHidden/>
              </w:rPr>
              <w:fldChar w:fldCharType="separate"/>
            </w:r>
            <w:r w:rsidR="00C6305E">
              <w:rPr>
                <w:webHidden/>
              </w:rPr>
              <w:t>4</w:t>
            </w:r>
            <w:r w:rsidR="00C6305E">
              <w:rPr>
                <w:webHidden/>
              </w:rPr>
              <w:fldChar w:fldCharType="end"/>
            </w:r>
          </w:hyperlink>
        </w:p>
        <w:p w14:paraId="76B2675B" w14:textId="12C05346" w:rsidR="00C6305E" w:rsidRDefault="00000000" w:rsidP="00B17407">
          <w:pPr>
            <w:pStyle w:val="TOC1"/>
          </w:pPr>
          <w:hyperlink w:anchor="_Toc123741303" w:history="1">
            <w:r w:rsidR="00C6305E" w:rsidRPr="00EC05B4">
              <w:rPr>
                <w:rStyle w:val="Hyperlink"/>
              </w:rPr>
              <w:t>Short-term public health consequences</w:t>
            </w:r>
            <w:r w:rsidR="00C6305E">
              <w:rPr>
                <w:webHidden/>
              </w:rPr>
              <w:tab/>
            </w:r>
            <w:r w:rsidR="00C6305E">
              <w:rPr>
                <w:webHidden/>
              </w:rPr>
              <w:fldChar w:fldCharType="begin"/>
            </w:r>
            <w:r w:rsidR="00C6305E">
              <w:rPr>
                <w:webHidden/>
              </w:rPr>
              <w:instrText xml:space="preserve"> PAGEREF _Toc123741303 \h </w:instrText>
            </w:r>
            <w:r w:rsidR="00C6305E">
              <w:rPr>
                <w:webHidden/>
              </w:rPr>
            </w:r>
            <w:r w:rsidR="00C6305E">
              <w:rPr>
                <w:webHidden/>
              </w:rPr>
              <w:fldChar w:fldCharType="separate"/>
            </w:r>
            <w:r w:rsidR="00C6305E">
              <w:rPr>
                <w:webHidden/>
              </w:rPr>
              <w:t>4</w:t>
            </w:r>
            <w:r w:rsidR="00C6305E">
              <w:rPr>
                <w:webHidden/>
              </w:rPr>
              <w:fldChar w:fldCharType="end"/>
            </w:r>
          </w:hyperlink>
        </w:p>
        <w:p w14:paraId="35340B44" w14:textId="0B59DA21" w:rsidR="00C6305E" w:rsidRDefault="00000000" w:rsidP="00B17407">
          <w:pPr>
            <w:pStyle w:val="TOC1"/>
          </w:pPr>
          <w:hyperlink w:anchor="_Toc123741304" w:history="1">
            <w:r w:rsidR="00C6305E" w:rsidRPr="00EC05B4">
              <w:rPr>
                <w:rStyle w:val="Hyperlink"/>
              </w:rPr>
              <w:t>Long-term public health consequences</w:t>
            </w:r>
            <w:r w:rsidR="00C6305E">
              <w:rPr>
                <w:webHidden/>
              </w:rPr>
              <w:tab/>
            </w:r>
            <w:r w:rsidR="00C6305E">
              <w:rPr>
                <w:webHidden/>
              </w:rPr>
              <w:fldChar w:fldCharType="begin"/>
            </w:r>
            <w:r w:rsidR="00C6305E">
              <w:rPr>
                <w:webHidden/>
              </w:rPr>
              <w:instrText xml:space="preserve"> PAGEREF _Toc123741304 \h </w:instrText>
            </w:r>
            <w:r w:rsidR="00C6305E">
              <w:rPr>
                <w:webHidden/>
              </w:rPr>
            </w:r>
            <w:r w:rsidR="00C6305E">
              <w:rPr>
                <w:webHidden/>
              </w:rPr>
              <w:fldChar w:fldCharType="separate"/>
            </w:r>
            <w:r w:rsidR="00C6305E">
              <w:rPr>
                <w:webHidden/>
              </w:rPr>
              <w:t>5</w:t>
            </w:r>
            <w:r w:rsidR="00C6305E">
              <w:rPr>
                <w:webHidden/>
              </w:rPr>
              <w:fldChar w:fldCharType="end"/>
            </w:r>
          </w:hyperlink>
        </w:p>
        <w:p w14:paraId="28A0F743" w14:textId="1520D69C" w:rsidR="00C6305E" w:rsidRDefault="00000000" w:rsidP="00B17407">
          <w:pPr>
            <w:pStyle w:val="TOC1"/>
          </w:pPr>
          <w:hyperlink w:anchor="_Toc123741305" w:history="1">
            <w:r w:rsidR="00C6305E" w:rsidRPr="00EC05B4">
              <w:rPr>
                <w:rStyle w:val="Hyperlink"/>
              </w:rPr>
              <w:t>Conclusion</w:t>
            </w:r>
            <w:r w:rsidR="00C6305E">
              <w:rPr>
                <w:webHidden/>
              </w:rPr>
              <w:tab/>
            </w:r>
            <w:r w:rsidR="00C6305E">
              <w:rPr>
                <w:webHidden/>
              </w:rPr>
              <w:fldChar w:fldCharType="begin"/>
            </w:r>
            <w:r w:rsidR="00C6305E">
              <w:rPr>
                <w:webHidden/>
              </w:rPr>
              <w:instrText xml:space="preserve"> PAGEREF _Toc123741305 \h </w:instrText>
            </w:r>
            <w:r w:rsidR="00C6305E">
              <w:rPr>
                <w:webHidden/>
              </w:rPr>
            </w:r>
            <w:r w:rsidR="00C6305E">
              <w:rPr>
                <w:webHidden/>
              </w:rPr>
              <w:fldChar w:fldCharType="separate"/>
            </w:r>
            <w:r w:rsidR="00C6305E">
              <w:rPr>
                <w:webHidden/>
              </w:rPr>
              <w:t>6</w:t>
            </w:r>
            <w:r w:rsidR="00C6305E">
              <w:rPr>
                <w:webHidden/>
              </w:rPr>
              <w:fldChar w:fldCharType="end"/>
            </w:r>
          </w:hyperlink>
        </w:p>
        <w:p w14:paraId="423A8AB9" w14:textId="31BBC92A" w:rsidR="00C6305E" w:rsidRDefault="00000000" w:rsidP="00B17407">
          <w:pPr>
            <w:pStyle w:val="TOC1"/>
          </w:pPr>
          <w:hyperlink w:anchor="_Toc123741306" w:history="1">
            <w:r w:rsidR="00C6305E" w:rsidRPr="00EC05B4">
              <w:rPr>
                <w:rStyle w:val="Hyperlink"/>
              </w:rPr>
              <w:t>References</w:t>
            </w:r>
            <w:r w:rsidR="00C6305E">
              <w:rPr>
                <w:webHidden/>
              </w:rPr>
              <w:tab/>
            </w:r>
            <w:r w:rsidR="00C6305E">
              <w:rPr>
                <w:webHidden/>
              </w:rPr>
              <w:fldChar w:fldCharType="begin"/>
            </w:r>
            <w:r w:rsidR="00C6305E">
              <w:rPr>
                <w:webHidden/>
              </w:rPr>
              <w:instrText xml:space="preserve"> PAGEREF _Toc123741306 \h </w:instrText>
            </w:r>
            <w:r w:rsidR="00C6305E">
              <w:rPr>
                <w:webHidden/>
              </w:rPr>
            </w:r>
            <w:r w:rsidR="00C6305E">
              <w:rPr>
                <w:webHidden/>
              </w:rPr>
              <w:fldChar w:fldCharType="separate"/>
            </w:r>
            <w:r w:rsidR="00C6305E">
              <w:rPr>
                <w:webHidden/>
              </w:rPr>
              <w:t>7</w:t>
            </w:r>
            <w:r w:rsidR="00C6305E">
              <w:rPr>
                <w:webHidden/>
              </w:rPr>
              <w:fldChar w:fldCharType="end"/>
            </w:r>
          </w:hyperlink>
        </w:p>
        <w:p w14:paraId="53988349" w14:textId="0C211366" w:rsidR="00C6305E" w:rsidRDefault="00C6305E">
          <w:r>
            <w:rPr>
              <w:b/>
              <w:bCs/>
            </w:rPr>
            <w:fldChar w:fldCharType="end"/>
          </w:r>
        </w:p>
      </w:sdtContent>
    </w:sdt>
    <w:p w14:paraId="71D90938" w14:textId="77777777" w:rsidR="000F4E4E" w:rsidRDefault="000F4E4E" w:rsidP="000F4E4E">
      <w:r>
        <w:br w:type="page"/>
      </w:r>
    </w:p>
    <w:p w14:paraId="314AA22A" w14:textId="77777777" w:rsidR="000F4E4E" w:rsidRDefault="000F4E4E" w:rsidP="000F4E4E">
      <w:pPr>
        <w:pStyle w:val="NoSpacing"/>
      </w:pPr>
    </w:p>
    <w:p w14:paraId="0DDAE7EE" w14:textId="31AA60CC" w:rsidR="000F4E4E" w:rsidRPr="00C6305E" w:rsidRDefault="000F4E4E" w:rsidP="00C6305E">
      <w:pPr>
        <w:pStyle w:val="Heading1"/>
        <w:rPr>
          <w:rStyle w:val="Strong"/>
          <w:rFonts w:ascii="Arial" w:hAnsi="Arial" w:cs="Arial"/>
          <w:b w:val="0"/>
          <w:bCs w:val="0"/>
        </w:rPr>
      </w:pPr>
      <w:bookmarkStart w:id="0" w:name="_Toc123741300"/>
      <w:r w:rsidRPr="00C6305E">
        <w:rPr>
          <w:rStyle w:val="Strong"/>
          <w:rFonts w:ascii="Arial" w:hAnsi="Arial" w:cs="Arial"/>
          <w:b w:val="0"/>
          <w:bCs w:val="0"/>
        </w:rPr>
        <w:t>Introduction</w:t>
      </w:r>
      <w:bookmarkEnd w:id="0"/>
    </w:p>
    <w:p w14:paraId="22003CF3" w14:textId="77777777" w:rsidR="000F4E4E" w:rsidRPr="000F4E4E" w:rsidRDefault="000F4E4E" w:rsidP="000F4E4E">
      <w:pPr>
        <w:spacing w:line="360" w:lineRule="auto"/>
        <w:jc w:val="both"/>
        <w:rPr>
          <w:rFonts w:ascii="Arial" w:hAnsi="Arial" w:cs="Arial"/>
        </w:rPr>
      </w:pPr>
      <w:r w:rsidRPr="000F4E4E">
        <w:rPr>
          <w:rFonts w:ascii="Arial" w:hAnsi="Arial" w:cs="Arial"/>
        </w:rPr>
        <w:t>The assignment is aimed at understanding the approaches that are helpful in developing measuring, monitoring, and controlling the incidence of disease in a specific community. The implication of the chosen illness in the community is also indicated in the assignment and the factors influencing the health and well-being of the individual are determined. The assignment will focus on the incidence of osteoporosis in the UK population and the public health measures present for the same. The key determinants of health regarding osteoporosis that influences its prevalence will be described. Also, the short- and long-term consequences of the disease in public health and social care settings will be defined (Chen, 2019). Osteoporosis is the condition when the strength of the bones weakens, and bones become susceptible to fracture. According to the National Institute of clinical excellence, the prevalence of osteoporosis is increasingly marked with a two percent increase the people agent 50 years to almost 50% for people aged 80 years (Holroyd, 2008). The statistics in England in Wales indicated that around 2 million women in this region have osteoporosis and around 180 000 fractures but presented in the year due to the result of osteoporosis (</w:t>
      </w:r>
      <w:proofErr w:type="spellStart"/>
      <w:r w:rsidRPr="000F4E4E">
        <w:rPr>
          <w:rFonts w:ascii="Arial" w:hAnsi="Arial" w:cs="Arial"/>
        </w:rPr>
        <w:t>Salari</w:t>
      </w:r>
      <w:proofErr w:type="spellEnd"/>
      <w:r w:rsidRPr="000F4E4E">
        <w:rPr>
          <w:rFonts w:ascii="Arial" w:hAnsi="Arial" w:cs="Arial"/>
        </w:rPr>
        <w:t xml:space="preserve"> et al, 2021).</w:t>
      </w:r>
    </w:p>
    <w:p w14:paraId="7E2F058C" w14:textId="77777777" w:rsidR="000F4E4E" w:rsidRPr="000F4E4E" w:rsidRDefault="000F4E4E" w:rsidP="000F4E4E">
      <w:pPr>
        <w:spacing w:line="360" w:lineRule="auto"/>
        <w:jc w:val="both"/>
        <w:rPr>
          <w:rFonts w:ascii="Arial" w:hAnsi="Arial" w:cs="Arial"/>
        </w:rPr>
      </w:pPr>
      <w:r w:rsidRPr="000F4E4E">
        <w:rPr>
          <w:rFonts w:ascii="Arial" w:hAnsi="Arial" w:cs="Arial"/>
        </w:rPr>
        <w:t>The brittleness of the bones is identified as osteoporosis and it causes an increased risk of falling and fracture of bones due to mild stress such as burning over and coughing. The osteoporosis-related factors are quite common in the areas of the hip, spine, and wrist (</w:t>
      </w:r>
      <w:proofErr w:type="spellStart"/>
      <w:r w:rsidRPr="000F4E4E">
        <w:rPr>
          <w:rFonts w:ascii="Arial" w:hAnsi="Arial" w:cs="Arial"/>
        </w:rPr>
        <w:t>Compston</w:t>
      </w:r>
      <w:proofErr w:type="spellEnd"/>
      <w:r w:rsidRPr="000F4E4E">
        <w:rPr>
          <w:rFonts w:ascii="Arial" w:hAnsi="Arial" w:cs="Arial"/>
        </w:rPr>
        <w:t>, 2013).</w:t>
      </w:r>
    </w:p>
    <w:p w14:paraId="6CF4D2CE" w14:textId="77777777" w:rsidR="000F4E4E" w:rsidRPr="00C6305E" w:rsidRDefault="000F4E4E" w:rsidP="00C6305E">
      <w:pPr>
        <w:pStyle w:val="Heading1"/>
        <w:rPr>
          <w:rFonts w:ascii="Arial" w:hAnsi="Arial" w:cs="Arial"/>
        </w:rPr>
      </w:pPr>
      <w:bookmarkStart w:id="1" w:name="_Toc123741301"/>
      <w:r w:rsidRPr="00C6305E">
        <w:rPr>
          <w:rFonts w:ascii="Arial" w:hAnsi="Arial" w:cs="Arial"/>
        </w:rPr>
        <w:t>Public health measures</w:t>
      </w:r>
      <w:bookmarkEnd w:id="1"/>
    </w:p>
    <w:p w14:paraId="074807EC" w14:textId="78AAED5A" w:rsidR="000F4E4E" w:rsidRPr="000F4E4E" w:rsidRDefault="000F4E4E" w:rsidP="000F4E4E">
      <w:pPr>
        <w:spacing w:line="360" w:lineRule="auto"/>
        <w:jc w:val="both"/>
        <w:rPr>
          <w:rFonts w:ascii="Arial" w:hAnsi="Arial" w:cs="Arial"/>
        </w:rPr>
      </w:pPr>
      <w:r w:rsidRPr="000F4E4E">
        <w:rPr>
          <w:rFonts w:ascii="Arial" w:hAnsi="Arial" w:cs="Arial"/>
        </w:rPr>
        <w:t>Bone is a living tissue that is constantly broken down as well as replaced for its cells throughout life osteoporosis is the condition that occurs when the creation of a new bone does not take place with the constant loss of bone (</w:t>
      </w:r>
      <w:proofErr w:type="spellStart"/>
      <w:r w:rsidRPr="000F4E4E">
        <w:rPr>
          <w:rFonts w:ascii="Arial" w:hAnsi="Arial" w:cs="Arial"/>
        </w:rPr>
        <w:t>Lorentzon</w:t>
      </w:r>
      <w:proofErr w:type="spellEnd"/>
      <w:r w:rsidRPr="000F4E4E">
        <w:rPr>
          <w:rFonts w:ascii="Arial" w:hAnsi="Arial" w:cs="Arial"/>
        </w:rPr>
        <w:t xml:space="preserve">, 2022). This makes the bones less dense and more brittle and causes them to be porous inside and an increased risk of getting fractured and broken with mild stress. </w:t>
      </w:r>
      <w:bookmarkStart w:id="2" w:name="_Hlk122278914"/>
      <w:r w:rsidRPr="000F4E4E">
        <w:rPr>
          <w:rFonts w:ascii="Arial" w:hAnsi="Arial" w:cs="Arial"/>
        </w:rPr>
        <w:t xml:space="preserve">Osteoporosis affects both men in women, but Asian women are most affected by the condition mainly because they are older and at their post-menopausal stage. </w:t>
      </w:r>
      <w:bookmarkEnd w:id="2"/>
      <w:r w:rsidRPr="000F4E4E">
        <w:rPr>
          <w:rFonts w:ascii="Arial" w:hAnsi="Arial" w:cs="Arial"/>
        </w:rPr>
        <w:t xml:space="preserve">Also, many diet weights bearing exercises and medication are helpful in preventing the loss of bone and strengthening weak bones but this condition is prevalent among women of a specific </w:t>
      </w:r>
      <w:r w:rsidR="00847208" w:rsidRPr="000F4E4E">
        <w:rPr>
          <w:rFonts w:ascii="Arial" w:hAnsi="Arial" w:cs="Arial"/>
        </w:rPr>
        <w:t>colour</w:t>
      </w:r>
      <w:r w:rsidRPr="000F4E4E">
        <w:rPr>
          <w:rFonts w:ascii="Arial" w:hAnsi="Arial" w:cs="Arial"/>
        </w:rPr>
        <w:t xml:space="preserve"> (Holroyd, 2008). Presently the government of the United Kingdom has not introduced any national screening programs for osteoporosis but there have been risk factor identification programs running across the health clinics and general practitioners that introduce easy diagnosis of osteoporosis for the target population (</w:t>
      </w:r>
      <w:proofErr w:type="spellStart"/>
      <w:r w:rsidRPr="000F4E4E">
        <w:rPr>
          <w:rFonts w:ascii="Arial" w:hAnsi="Arial" w:cs="Arial"/>
        </w:rPr>
        <w:t>Compston</w:t>
      </w:r>
      <w:proofErr w:type="spellEnd"/>
      <w:r w:rsidRPr="000F4E4E">
        <w:rPr>
          <w:rFonts w:ascii="Arial" w:hAnsi="Arial" w:cs="Arial"/>
        </w:rPr>
        <w:t>, 2013). The United Kingdom National screening committee has a promoted recommendation of order developing osteoporosis screening programs in 2019 that are not currently present (</w:t>
      </w:r>
      <w:proofErr w:type="spellStart"/>
      <w:r w:rsidRPr="000F4E4E">
        <w:rPr>
          <w:rFonts w:ascii="Arial" w:hAnsi="Arial" w:cs="Arial"/>
        </w:rPr>
        <w:t>Salari</w:t>
      </w:r>
      <w:proofErr w:type="spellEnd"/>
      <w:r w:rsidRPr="000F4E4E">
        <w:rPr>
          <w:rFonts w:ascii="Arial" w:hAnsi="Arial" w:cs="Arial"/>
        </w:rPr>
        <w:t>, 2021). The major ratio in not introducing the screening program for osteoporosis is that it is not properly known how accurate screening tests can be for women with osteoporosis, nor it is known that any effect of treatment towards the changes in the lifestyle would be possible. The consultation response report is introduced by the United Kingdom National screening committee to summarise and review the guidelines for the treatment of osteoporosis. Other than that, some of the major elements of diagnosis and screening for osteoporosis that are introduced by different organisations in the United Kingdom include the factsheet and booklets for information sharing provided by the Royal Osteoporosis Society (</w:t>
      </w:r>
      <w:proofErr w:type="spellStart"/>
      <w:r w:rsidRPr="000F4E4E">
        <w:rPr>
          <w:rFonts w:ascii="Arial" w:hAnsi="Arial" w:cs="Arial"/>
        </w:rPr>
        <w:t>Lorentzon</w:t>
      </w:r>
      <w:proofErr w:type="spellEnd"/>
      <w:r w:rsidRPr="000F4E4E">
        <w:rPr>
          <w:rFonts w:ascii="Arial" w:hAnsi="Arial" w:cs="Arial"/>
        </w:rPr>
        <w:t xml:space="preserve">, 2022). The bone density scan is introduced by </w:t>
      </w:r>
      <w:r w:rsidRPr="000F4E4E">
        <w:rPr>
          <w:rFonts w:ascii="Arial" w:hAnsi="Arial" w:cs="Arial"/>
        </w:rPr>
        <w:lastRenderedPageBreak/>
        <w:t>National Health a service that is used to identify the low dose of X-Ray to see how the density of the bones is and diagnose any prevalence of osteoporosis. The National Institute of Health and Care Excellence has also provided guidelines in accordance with the osteoporosis guidelines introduced by the Royal Hospital (</w:t>
      </w:r>
      <w:proofErr w:type="spellStart"/>
      <w:r w:rsidRPr="000F4E4E">
        <w:rPr>
          <w:rFonts w:ascii="Arial" w:hAnsi="Arial" w:cs="Arial"/>
        </w:rPr>
        <w:t>Salari</w:t>
      </w:r>
      <w:proofErr w:type="spellEnd"/>
      <w:r w:rsidRPr="000F4E4E">
        <w:rPr>
          <w:rFonts w:ascii="Arial" w:hAnsi="Arial" w:cs="Arial"/>
        </w:rPr>
        <w:t>, 2021). Moreover, the primary and secondary prevention guidelines are provided by different hospitals and the screening and prevention of osteoporosis is introduced by websites through information and awareness development.</w:t>
      </w:r>
    </w:p>
    <w:p w14:paraId="7164AF8A" w14:textId="77777777" w:rsidR="000F4E4E" w:rsidRPr="00C6305E" w:rsidRDefault="000F4E4E" w:rsidP="00C6305E">
      <w:pPr>
        <w:pStyle w:val="Heading1"/>
        <w:rPr>
          <w:rFonts w:ascii="Arial" w:hAnsi="Arial" w:cs="Arial"/>
        </w:rPr>
      </w:pPr>
      <w:bookmarkStart w:id="3" w:name="_Toc123741302"/>
      <w:r w:rsidRPr="00C6305E">
        <w:rPr>
          <w:rFonts w:ascii="Arial" w:hAnsi="Arial" w:cs="Arial"/>
        </w:rPr>
        <w:t>Key determinants of Osteoporosis</w:t>
      </w:r>
      <w:bookmarkEnd w:id="3"/>
    </w:p>
    <w:p w14:paraId="3EAF33EC" w14:textId="6AB8E140" w:rsidR="000F4E4E" w:rsidRPr="000F4E4E" w:rsidRDefault="000F4E4E" w:rsidP="000F4E4E">
      <w:pPr>
        <w:spacing w:line="360" w:lineRule="auto"/>
        <w:jc w:val="both"/>
        <w:rPr>
          <w:rFonts w:ascii="Arial" w:hAnsi="Arial" w:cs="Arial"/>
        </w:rPr>
      </w:pPr>
      <w:r w:rsidRPr="000F4E4E">
        <w:rPr>
          <w:rFonts w:ascii="Arial" w:hAnsi="Arial" w:cs="Arial"/>
        </w:rPr>
        <w:t xml:space="preserve">Osteoporosis is a condition that is mainly characterized by reducing bone mass and increasing the fragility of the bone. </w:t>
      </w:r>
      <w:bookmarkStart w:id="4" w:name="_Hlk122278979"/>
      <w:r w:rsidRPr="000F4E4E">
        <w:rPr>
          <w:rFonts w:ascii="Arial" w:hAnsi="Arial" w:cs="Arial"/>
        </w:rPr>
        <w:t>The major key determinants of osteoporosis include the risk of a fracture that also is the cause of morbidity substantially in older individuals mainly women. The condition is attributed to various disorders of the endocrine system, as well as mechanical and metabolic disorders</w:t>
      </w:r>
      <w:bookmarkEnd w:id="4"/>
      <w:r w:rsidRPr="000F4E4E">
        <w:rPr>
          <w:rFonts w:ascii="Arial" w:hAnsi="Arial" w:cs="Arial"/>
        </w:rPr>
        <w:t xml:space="preserve"> (Chen, 2019). Major risk factors that affect bone mineral density are also the factors that determine the prevalence of osteoporosis in many females and other individuals. Increasing age mainly Perimenopause and menopause, are major determinants of osteoporosis as an </w:t>
      </w:r>
      <w:r w:rsidR="00847208" w:rsidRPr="000F4E4E">
        <w:rPr>
          <w:rFonts w:ascii="Arial" w:hAnsi="Arial" w:cs="Arial"/>
        </w:rPr>
        <w:t>oestrogen</w:t>
      </w:r>
      <w:r w:rsidRPr="000F4E4E">
        <w:rPr>
          <w:rFonts w:ascii="Arial" w:hAnsi="Arial" w:cs="Arial"/>
        </w:rPr>
        <w:t xml:space="preserve"> deficiency is an important factor in the path of physiology of bone fragility and is majorly related to osteoporosis (Yu, 2020). </w:t>
      </w:r>
      <w:bookmarkStart w:id="5" w:name="_Hlk122279013"/>
      <w:r w:rsidRPr="000F4E4E">
        <w:rPr>
          <w:rFonts w:ascii="Arial" w:hAnsi="Arial" w:cs="Arial"/>
        </w:rPr>
        <w:t xml:space="preserve">Another determinant is the low body weight which is associated with low bone mineral density </w:t>
      </w:r>
      <w:bookmarkEnd w:id="5"/>
      <w:r w:rsidRPr="000F4E4E">
        <w:rPr>
          <w:rFonts w:ascii="Arial" w:hAnsi="Arial" w:cs="Arial"/>
        </w:rPr>
        <w:t xml:space="preserve">and is associated with osteoporosis similarly obesity is identified to be associated with the mechanism of producing higher body mass including bearing effects. Pregnancy and lactation also are predisposing factors for osteoporosis. Menstrual function as well as minor could during old age are determined by the endogenous </w:t>
      </w:r>
      <w:r w:rsidR="00847208" w:rsidRPr="000F4E4E">
        <w:rPr>
          <w:rFonts w:ascii="Arial" w:hAnsi="Arial" w:cs="Arial"/>
        </w:rPr>
        <w:t>oestrogen</w:t>
      </w:r>
      <w:r w:rsidRPr="000F4E4E">
        <w:rPr>
          <w:rFonts w:ascii="Arial" w:hAnsi="Arial" w:cs="Arial"/>
        </w:rPr>
        <w:t xml:space="preserve"> levels that increase the risk of osteoporosis. Also, delayed menarche and amenorrhea are associated with decreased bone mass and increased rascal osteoporosis. Nutrition is a particularly important factor in the development of bone mineral density and is approximately an important determinant of the risk of osteoporosis. Moreover, genetic factors from familial inheritance and predisposition are some of the non-modifiable rest factors for osteoporosis. Lifestyle factor such as reduced physical activity, unhealthy diet, and increased use of alcohol and smoking are some of the factors that increase the risk of osteoporosis in women (Yu, 2020).</w:t>
      </w:r>
    </w:p>
    <w:p w14:paraId="6267C910" w14:textId="77777777" w:rsidR="000F4E4E" w:rsidRPr="00C6305E" w:rsidRDefault="000F4E4E" w:rsidP="00C6305E">
      <w:pPr>
        <w:pStyle w:val="Heading1"/>
        <w:rPr>
          <w:rFonts w:ascii="Arial" w:hAnsi="Arial" w:cs="Arial"/>
        </w:rPr>
      </w:pPr>
      <w:bookmarkStart w:id="6" w:name="_Toc123741303"/>
      <w:r w:rsidRPr="00C6305E">
        <w:rPr>
          <w:rFonts w:ascii="Arial" w:hAnsi="Arial" w:cs="Arial"/>
        </w:rPr>
        <w:t>Short-term public health consequences</w:t>
      </w:r>
      <w:bookmarkEnd w:id="6"/>
    </w:p>
    <w:p w14:paraId="42994CF8" w14:textId="77777777" w:rsidR="000F4E4E" w:rsidRPr="000F4E4E" w:rsidRDefault="000F4E4E" w:rsidP="000F4E4E">
      <w:pPr>
        <w:spacing w:line="360" w:lineRule="auto"/>
        <w:jc w:val="both"/>
        <w:rPr>
          <w:rFonts w:ascii="Arial" w:hAnsi="Arial" w:cs="Arial"/>
        </w:rPr>
      </w:pPr>
      <w:r w:rsidRPr="000F4E4E">
        <w:rPr>
          <w:rFonts w:ascii="Arial" w:hAnsi="Arial" w:cs="Arial"/>
        </w:rPr>
        <w:t>Along with mortality and morbidity, the economic burden of osteoporosis in the UK and the world is rapidly increasing. Direct and indirect costs of osteoporosis and osteoporosis-related fractures are extremely high because such patients exceed the number of hospitalization days (</w:t>
      </w:r>
      <w:proofErr w:type="spellStart"/>
      <w:r w:rsidRPr="000F4E4E">
        <w:rPr>
          <w:rFonts w:ascii="Arial" w:hAnsi="Arial" w:cs="Arial"/>
        </w:rPr>
        <w:t>Cauley</w:t>
      </w:r>
      <w:proofErr w:type="spellEnd"/>
      <w:r w:rsidRPr="000F4E4E">
        <w:rPr>
          <w:rFonts w:ascii="Arial" w:hAnsi="Arial" w:cs="Arial"/>
        </w:rPr>
        <w:t>, 2014). These days are much more than the days of patients with strokes, accidents, trauma cases, acute myocardial infarctions, and even heart failures. Health-related quality of life is also a short-term public health consequence as according to a study on women by the society of osteoporosis, reductions in the quality of life were seen after a leg, spine, and hip fracture (Keen, 2003). Certain disabilities after hip fractures are also relevant as 30% of patients with well-established age and gender controls had difficulty in walking, with 15% of patients with transferring issues and disabilities and 5% of patients with disability related to grooming (Burge, 2020). Now the statistics are clear in deciphering that with every 100 new cases, 25 cases of people with a walking disability would be present. Elderly women who are more prone to falling due to such disabilities showed less social interaction and participation (</w:t>
      </w:r>
      <w:proofErr w:type="spellStart"/>
      <w:r w:rsidRPr="000F4E4E">
        <w:rPr>
          <w:rFonts w:ascii="Arial" w:hAnsi="Arial" w:cs="Arial"/>
        </w:rPr>
        <w:t>Cauley</w:t>
      </w:r>
      <w:proofErr w:type="spellEnd"/>
      <w:r w:rsidRPr="000F4E4E">
        <w:rPr>
          <w:rFonts w:ascii="Arial" w:hAnsi="Arial" w:cs="Arial"/>
        </w:rPr>
        <w:t xml:space="preserve">, 2013). This would lead to the most crucial short-term health consequence of depression, anxiety, and other mental health issues. A recent study showed </w:t>
      </w:r>
      <w:r w:rsidRPr="000F4E4E">
        <w:rPr>
          <w:rFonts w:ascii="Arial" w:hAnsi="Arial" w:cs="Arial"/>
        </w:rPr>
        <w:lastRenderedPageBreak/>
        <w:t xml:space="preserve">that 65,000 people were identified with increased risk after hip and vertebrae fractures that include increased old age hospitalizations in care homes, nursing homes, or adult care facilities. Poor mental scores, cancer, dementia, diabetes, and social score were reported likely to be associated with an osteoporosis-related health issue (Keen, 2003). The universal cost of hip fracture alone was expected to be more than 50 billion dollars and if </w:t>
      </w:r>
      <w:proofErr w:type="gramStart"/>
      <w:r w:rsidRPr="000F4E4E">
        <w:rPr>
          <w:rFonts w:ascii="Arial" w:hAnsi="Arial" w:cs="Arial"/>
        </w:rPr>
        <w:t>necessary</w:t>
      </w:r>
      <w:proofErr w:type="gramEnd"/>
      <w:r w:rsidRPr="000F4E4E">
        <w:rPr>
          <w:rFonts w:ascii="Arial" w:hAnsi="Arial" w:cs="Arial"/>
        </w:rPr>
        <w:t xml:space="preserve"> steps are not taken, it would double by 2040. The treatment cost accredited to low trauma fractures was estimated to be more than 20 billion dollars and for Europe it is 40 billion pounds (</w:t>
      </w:r>
      <w:proofErr w:type="spellStart"/>
      <w:r w:rsidRPr="000F4E4E">
        <w:rPr>
          <w:rFonts w:ascii="Arial" w:hAnsi="Arial" w:cs="Arial"/>
        </w:rPr>
        <w:t>Cauley</w:t>
      </w:r>
      <w:proofErr w:type="spellEnd"/>
      <w:r w:rsidRPr="000F4E4E">
        <w:rPr>
          <w:rFonts w:ascii="Arial" w:hAnsi="Arial" w:cs="Arial"/>
        </w:rPr>
        <w:t xml:space="preserve">, 2014).  The study shown by The Global Longitudinal Study revealed that fractures other than hip and vertebrae would require more health-related resources and any vertebral and hip fracture patient would require more than 600 days of hospitalization and 500 days of rehabilitation. Patients with insurance also required more than 20000 dollars annually (Burge, 2020). In accumulation, the extra costs of osteoporosis-associated fractures are more in the first year of occurrence of fracture than the rest, causing huge and weighty healthcare consumption of the capital broadening the public health consequence of the disease (Boonen and Singer, 2008). </w:t>
      </w:r>
    </w:p>
    <w:p w14:paraId="0E2A9DFD" w14:textId="77777777" w:rsidR="000F4E4E" w:rsidRPr="00C6305E" w:rsidRDefault="000F4E4E" w:rsidP="00C6305E">
      <w:pPr>
        <w:pStyle w:val="Heading1"/>
        <w:rPr>
          <w:rFonts w:ascii="Arial" w:hAnsi="Arial" w:cs="Arial"/>
        </w:rPr>
      </w:pPr>
      <w:bookmarkStart w:id="7" w:name="_Toc123741304"/>
      <w:r w:rsidRPr="00C6305E">
        <w:rPr>
          <w:rFonts w:ascii="Arial" w:hAnsi="Arial" w:cs="Arial"/>
        </w:rPr>
        <w:t>Long-term public health consequences</w:t>
      </w:r>
      <w:bookmarkEnd w:id="7"/>
    </w:p>
    <w:p w14:paraId="13FBA8DD" w14:textId="77777777" w:rsidR="000F4E4E" w:rsidRPr="000F4E4E" w:rsidRDefault="000F4E4E" w:rsidP="000F4E4E">
      <w:pPr>
        <w:spacing w:line="360" w:lineRule="auto"/>
        <w:jc w:val="both"/>
        <w:rPr>
          <w:rFonts w:ascii="Arial" w:hAnsi="Arial" w:cs="Arial"/>
        </w:rPr>
      </w:pPr>
      <w:r w:rsidRPr="000F4E4E">
        <w:rPr>
          <w:rFonts w:ascii="Arial" w:hAnsi="Arial" w:cs="Arial"/>
        </w:rPr>
        <w:t>Recent tendencies lead to an amplified number of individuals with osteoporosis-associated health issues that enforce a considerable burden of cost, impermanence, and debility on older men and women after hitting menopause (Reid et al, 2015). Vertebral and hip fractures leave negative functional consequences and decrease the quality of life which alleviate the burden on health and social care settings. Once the quality of bone has been weakened, the symptoms and signs of having constant sharp back pain would occur resulting in collapsed vertebrae or fractured bone (Boonen and Singer, 2008). As per reports, the population of people with age more than 65 years will be doubled in the next 20 years, and therefore, more cases of osteoporosis (</w:t>
      </w:r>
      <w:proofErr w:type="spellStart"/>
      <w:r w:rsidRPr="000F4E4E">
        <w:rPr>
          <w:rFonts w:ascii="Arial" w:hAnsi="Arial" w:cs="Arial"/>
        </w:rPr>
        <w:t>Stanghelle</w:t>
      </w:r>
      <w:proofErr w:type="spellEnd"/>
      <w:r w:rsidRPr="000F4E4E">
        <w:rPr>
          <w:rFonts w:ascii="Arial" w:hAnsi="Arial" w:cs="Arial"/>
        </w:rPr>
        <w:t>, 2019). Mortality and morbidity rates are associated with poor bone density and quality as high fractures and collapsed vertebrae are not the direct cause of death, but comorbidities from such fractures play a role in the development of complications such as cancer, stroke, thrombosis-related diseases, coronary artery diseases (</w:t>
      </w:r>
      <w:proofErr w:type="spellStart"/>
      <w:r w:rsidRPr="000F4E4E">
        <w:rPr>
          <w:rFonts w:ascii="Arial" w:hAnsi="Arial" w:cs="Arial"/>
        </w:rPr>
        <w:t>Cauley</w:t>
      </w:r>
      <w:proofErr w:type="spellEnd"/>
      <w:r w:rsidRPr="000F4E4E">
        <w:rPr>
          <w:rFonts w:ascii="Arial" w:hAnsi="Arial" w:cs="Arial"/>
        </w:rPr>
        <w:t>, 2013). Vertebral fractures are linked with an increased mortality rate. It is a major worldwide public health issue because of its high prevalence and adverse consequences that lead to improved fragility fracture management. In the United Kingdom, the yearly survival rate post hip fracture for elderly women is 75%, when the expected rate is 90%. Similarly in older men, it is 64% versus the expected rate 0f 90%. Rest who survived such fractures would remain equally impaired with a disability that would require long-term health and social care services. In the United States, most of the formerly persons who were independent, later become dependent post surviving a hip fracture (</w:t>
      </w:r>
      <w:proofErr w:type="spellStart"/>
      <w:r w:rsidRPr="000F4E4E">
        <w:rPr>
          <w:rFonts w:ascii="Arial" w:hAnsi="Arial" w:cs="Arial"/>
        </w:rPr>
        <w:t>Stanghelle</w:t>
      </w:r>
      <w:proofErr w:type="spellEnd"/>
      <w:r w:rsidRPr="000F4E4E">
        <w:rPr>
          <w:rFonts w:ascii="Arial" w:hAnsi="Arial" w:cs="Arial"/>
        </w:rPr>
        <w:t xml:space="preserve">, 2019). Symptomatic vertebral and hip fractures account for more than 2000 hospital admission in the UK and Wales, with patients of ages 45 and more. Such patients face issues such as extreme back pain and height loss that would impact their psychological well-being as well. All of these would to social isolation and loss of self-worth and confidence (Reid et al, 2015). The 2 recent studies on mortality after hip fractures showed that the risk was highest in the first 3 months after hip fracture. The mortality risk was found more in men than women and it was more in the first 12 months. Men are more exposed to postoperative complications and comorbidities. Studies suggest that deaths are also related to postoperative infections such as sepsis, pneumonia, and influenza (Boonen and Singer, 2008). After hip fracture, vertebrae fracture is also dangerous with considerate public health consequences as lifetime </w:t>
      </w:r>
      <w:r w:rsidRPr="000F4E4E">
        <w:rPr>
          <w:rFonts w:ascii="Arial" w:hAnsi="Arial" w:cs="Arial"/>
        </w:rPr>
        <w:lastRenderedPageBreak/>
        <w:t>complications are more in later. Women with such fractures are reported to have an increased rate of hospitalization not only because of the issue but also because of their mental health issues, different comorbidities, bone density reductions, decreased quality of life, etc (Yang, 2020). Kyphosis is another issue linked with vertebrae problems as it could cause degenerative issues, posture changes, muscle fatigue and weakness. With Kyphosis comes different pulmonary-linked mortalities that would impact the quality of life with increased hospitalization and health care services (Boonen and Singer, 2008).</w:t>
      </w:r>
    </w:p>
    <w:p w14:paraId="3889D15F" w14:textId="77777777" w:rsidR="000F4E4E" w:rsidRPr="00C6305E" w:rsidRDefault="000F4E4E" w:rsidP="00C6305E">
      <w:pPr>
        <w:pStyle w:val="Heading1"/>
        <w:rPr>
          <w:rFonts w:ascii="Arial" w:hAnsi="Arial" w:cs="Arial"/>
        </w:rPr>
      </w:pPr>
      <w:bookmarkStart w:id="8" w:name="_Toc123741305"/>
      <w:r w:rsidRPr="00C6305E">
        <w:rPr>
          <w:rFonts w:ascii="Arial" w:hAnsi="Arial" w:cs="Arial"/>
        </w:rPr>
        <w:t>Conclusion</w:t>
      </w:r>
      <w:bookmarkEnd w:id="8"/>
    </w:p>
    <w:p w14:paraId="1A31EE00" w14:textId="2394739D" w:rsidR="000F4E4E" w:rsidRPr="000F4E4E" w:rsidRDefault="000F4E4E" w:rsidP="000F4E4E">
      <w:pPr>
        <w:spacing w:line="360" w:lineRule="auto"/>
        <w:jc w:val="both"/>
        <w:rPr>
          <w:rFonts w:ascii="Arial" w:hAnsi="Arial" w:cs="Arial"/>
        </w:rPr>
      </w:pPr>
      <w:r w:rsidRPr="000F4E4E">
        <w:rPr>
          <w:rFonts w:ascii="Arial" w:hAnsi="Arial" w:cs="Arial"/>
        </w:rPr>
        <w:t>To conclude, the brittleness of the bones is identified as osteoporosis and it causes an increased risk of falling and fracture of bones due to mild stress such as burning over and coughing. The osteoporosis-related factors are quite common in the areas of the hip, spine, and wrist. Osteoporosis affects both men in women, but Asian women are most affected by the condition mainly they are older and at their past menopausal stage (Yang, 2020). The major key determinants of osteoporosis include the risk of a fracture that also is the cause of morbidity substantially in older individuals mainly women. The condition is attributed to various disorders of the endocrine system, as well as mechanical and metabolic disorders. Another determinant is the low body weight which is associated with low bone mineral density. The short-term and long-term consequences of osteoporosis-associated fractures include serious and sustained effects on decrease in quality of life, comorbidities, mortality, increase in different impairments and disabilities, leading to a global economical burden on the healthcare systems and organizations (</w:t>
      </w:r>
      <w:proofErr w:type="spellStart"/>
      <w:r w:rsidRPr="000F4E4E">
        <w:rPr>
          <w:rFonts w:ascii="Arial" w:hAnsi="Arial" w:cs="Arial"/>
        </w:rPr>
        <w:t>Stanghelle</w:t>
      </w:r>
      <w:proofErr w:type="spellEnd"/>
      <w:r w:rsidRPr="000F4E4E">
        <w:rPr>
          <w:rFonts w:ascii="Arial" w:hAnsi="Arial" w:cs="Arial"/>
        </w:rPr>
        <w:t xml:space="preserve">, 2019). Of all the fractures, vertebrae fractures are the most common with substantial impact on morbidity and mortality. Hip fractures attribute the most serious life-threatening consequences and to remove both personal and public burden of osteoporosis and the linked fractures, it is important to assess the risk factors </w:t>
      </w:r>
      <w:r w:rsidR="00847208" w:rsidRPr="000F4E4E">
        <w:rPr>
          <w:rFonts w:ascii="Arial" w:hAnsi="Arial" w:cs="Arial"/>
        </w:rPr>
        <w:t>and</w:t>
      </w:r>
      <w:r w:rsidRPr="000F4E4E">
        <w:rPr>
          <w:rFonts w:ascii="Arial" w:hAnsi="Arial" w:cs="Arial"/>
        </w:rPr>
        <w:t xml:space="preserve"> strict screening measures for identification of people with low bone densities and elderly people (Cauley,2013). </w:t>
      </w:r>
    </w:p>
    <w:p w14:paraId="08842A3B" w14:textId="77777777" w:rsidR="000F4E4E" w:rsidRPr="000F4E4E" w:rsidRDefault="000F4E4E" w:rsidP="000F4E4E">
      <w:pPr>
        <w:spacing w:line="360" w:lineRule="auto"/>
        <w:jc w:val="both"/>
        <w:rPr>
          <w:rFonts w:ascii="Arial" w:hAnsi="Arial" w:cs="Arial"/>
        </w:rPr>
      </w:pPr>
    </w:p>
    <w:p w14:paraId="5154BDB3" w14:textId="77777777" w:rsidR="000F4E4E" w:rsidRPr="000F4E4E" w:rsidRDefault="000F4E4E" w:rsidP="000F4E4E">
      <w:pPr>
        <w:spacing w:line="360" w:lineRule="auto"/>
        <w:jc w:val="both"/>
        <w:rPr>
          <w:rFonts w:ascii="Arial" w:hAnsi="Arial" w:cs="Arial"/>
        </w:rPr>
      </w:pPr>
    </w:p>
    <w:p w14:paraId="3AFE5292" w14:textId="77777777" w:rsidR="000F4E4E" w:rsidRPr="000F4E4E" w:rsidRDefault="000F4E4E" w:rsidP="000F4E4E">
      <w:pPr>
        <w:spacing w:line="360" w:lineRule="auto"/>
        <w:jc w:val="both"/>
        <w:rPr>
          <w:rFonts w:ascii="Arial" w:hAnsi="Arial" w:cs="Arial"/>
        </w:rPr>
      </w:pPr>
    </w:p>
    <w:p w14:paraId="49B27D03" w14:textId="77777777" w:rsidR="000F4E4E" w:rsidRPr="000F4E4E" w:rsidRDefault="000F4E4E" w:rsidP="000F4E4E">
      <w:pPr>
        <w:spacing w:line="360" w:lineRule="auto"/>
        <w:jc w:val="both"/>
        <w:rPr>
          <w:rFonts w:ascii="Arial" w:hAnsi="Arial" w:cs="Arial"/>
        </w:rPr>
      </w:pPr>
    </w:p>
    <w:p w14:paraId="5F72AAFD" w14:textId="3113C03F" w:rsidR="000F4E4E" w:rsidRPr="000F4E4E" w:rsidRDefault="000F4E4E" w:rsidP="000F4E4E">
      <w:pPr>
        <w:spacing w:line="360" w:lineRule="auto"/>
        <w:jc w:val="both"/>
        <w:rPr>
          <w:rFonts w:ascii="Arial" w:hAnsi="Arial" w:cs="Arial"/>
        </w:rPr>
      </w:pPr>
    </w:p>
    <w:p w14:paraId="5DC2F944" w14:textId="1BE19161" w:rsidR="000F4E4E" w:rsidRPr="000F4E4E" w:rsidRDefault="000F4E4E" w:rsidP="000F4E4E">
      <w:pPr>
        <w:spacing w:line="360" w:lineRule="auto"/>
        <w:jc w:val="both"/>
        <w:rPr>
          <w:rFonts w:ascii="Arial" w:hAnsi="Arial" w:cs="Arial"/>
        </w:rPr>
      </w:pPr>
    </w:p>
    <w:p w14:paraId="3792EA64" w14:textId="1A36C1FE" w:rsidR="000F4E4E" w:rsidRPr="000F4E4E" w:rsidRDefault="000F4E4E" w:rsidP="000F4E4E">
      <w:pPr>
        <w:spacing w:line="360" w:lineRule="auto"/>
        <w:jc w:val="both"/>
        <w:rPr>
          <w:rFonts w:ascii="Arial" w:hAnsi="Arial" w:cs="Arial"/>
        </w:rPr>
      </w:pPr>
    </w:p>
    <w:p w14:paraId="41BCE193" w14:textId="06269601" w:rsidR="000F4E4E" w:rsidRPr="000F4E4E" w:rsidRDefault="000F4E4E" w:rsidP="000F4E4E">
      <w:pPr>
        <w:spacing w:line="360" w:lineRule="auto"/>
        <w:jc w:val="both"/>
        <w:rPr>
          <w:rFonts w:ascii="Arial" w:hAnsi="Arial" w:cs="Arial"/>
        </w:rPr>
      </w:pPr>
    </w:p>
    <w:p w14:paraId="1155506D" w14:textId="77777777" w:rsidR="000F4E4E" w:rsidRPr="000F4E4E" w:rsidRDefault="000F4E4E" w:rsidP="000F4E4E">
      <w:pPr>
        <w:spacing w:line="360" w:lineRule="auto"/>
        <w:jc w:val="both"/>
        <w:rPr>
          <w:rFonts w:ascii="Arial" w:hAnsi="Arial" w:cs="Arial"/>
        </w:rPr>
      </w:pPr>
    </w:p>
    <w:p w14:paraId="4D169004" w14:textId="77777777" w:rsidR="000F4E4E" w:rsidRPr="000F4E4E" w:rsidRDefault="000F4E4E" w:rsidP="000F4E4E">
      <w:pPr>
        <w:spacing w:line="360" w:lineRule="auto"/>
        <w:jc w:val="both"/>
        <w:rPr>
          <w:rFonts w:ascii="Arial" w:hAnsi="Arial" w:cs="Arial"/>
        </w:rPr>
      </w:pPr>
    </w:p>
    <w:p w14:paraId="759FB6B4" w14:textId="77777777" w:rsidR="000F4E4E" w:rsidRPr="000F4E4E" w:rsidRDefault="000F4E4E" w:rsidP="000F4E4E">
      <w:pPr>
        <w:spacing w:line="360" w:lineRule="auto"/>
        <w:jc w:val="both"/>
        <w:rPr>
          <w:rFonts w:ascii="Arial" w:hAnsi="Arial" w:cs="Arial"/>
        </w:rPr>
      </w:pPr>
    </w:p>
    <w:p w14:paraId="0B30FBA6" w14:textId="77777777" w:rsidR="000F4E4E" w:rsidRPr="000F4E4E" w:rsidRDefault="000F4E4E" w:rsidP="000F4E4E">
      <w:pPr>
        <w:spacing w:line="360" w:lineRule="auto"/>
        <w:jc w:val="both"/>
        <w:rPr>
          <w:rFonts w:ascii="Arial" w:hAnsi="Arial" w:cs="Arial"/>
        </w:rPr>
      </w:pPr>
    </w:p>
    <w:p w14:paraId="7132C447" w14:textId="77777777" w:rsidR="000F4E4E" w:rsidRPr="000F4E4E" w:rsidRDefault="000F4E4E" w:rsidP="000F4E4E">
      <w:pPr>
        <w:spacing w:line="360" w:lineRule="auto"/>
        <w:jc w:val="both"/>
        <w:rPr>
          <w:rFonts w:ascii="Arial" w:hAnsi="Arial" w:cs="Arial"/>
        </w:rPr>
      </w:pPr>
    </w:p>
    <w:p w14:paraId="43A0C1BE" w14:textId="77777777" w:rsidR="000F4E4E" w:rsidRPr="00C6305E" w:rsidRDefault="000F4E4E" w:rsidP="00C6305E">
      <w:pPr>
        <w:pStyle w:val="Heading1"/>
        <w:rPr>
          <w:rFonts w:ascii="Arial" w:hAnsi="Arial" w:cs="Arial"/>
        </w:rPr>
      </w:pPr>
      <w:bookmarkStart w:id="9" w:name="_Toc123741306"/>
      <w:r w:rsidRPr="00C6305E">
        <w:rPr>
          <w:rFonts w:ascii="Arial" w:hAnsi="Arial" w:cs="Arial"/>
        </w:rPr>
        <w:t>References</w:t>
      </w:r>
      <w:bookmarkEnd w:id="9"/>
    </w:p>
    <w:p w14:paraId="093569DF" w14:textId="77777777" w:rsidR="000F4E4E" w:rsidRPr="000F4E4E" w:rsidRDefault="000F4E4E" w:rsidP="000F4E4E">
      <w:pPr>
        <w:spacing w:line="360" w:lineRule="auto"/>
        <w:jc w:val="both"/>
        <w:rPr>
          <w:rFonts w:ascii="Arial" w:eastAsia="Times New Roman" w:hAnsi="Arial" w:cs="Arial"/>
          <w:color w:val="222222"/>
          <w:shd w:val="clear" w:color="auto" w:fill="FFFFFF"/>
        </w:rPr>
      </w:pPr>
      <w:proofErr w:type="spellStart"/>
      <w:r w:rsidRPr="000F4E4E">
        <w:rPr>
          <w:rFonts w:ascii="Arial" w:eastAsia="Times New Roman" w:hAnsi="Arial" w:cs="Arial"/>
          <w:color w:val="222222"/>
          <w:shd w:val="clear" w:color="auto" w:fill="FFFFFF"/>
        </w:rPr>
        <w:t>Cauley</w:t>
      </w:r>
      <w:proofErr w:type="spellEnd"/>
      <w:r w:rsidRPr="000F4E4E">
        <w:rPr>
          <w:rFonts w:ascii="Arial" w:eastAsia="Times New Roman" w:hAnsi="Arial" w:cs="Arial"/>
          <w:color w:val="222222"/>
          <w:shd w:val="clear" w:color="auto" w:fill="FFFFFF"/>
        </w:rPr>
        <w:t>, J.A., 2013. Public health impact of osteoporosis. </w:t>
      </w:r>
      <w:r w:rsidRPr="000F4E4E">
        <w:rPr>
          <w:rFonts w:ascii="Arial" w:eastAsia="Times New Roman" w:hAnsi="Arial" w:cs="Arial"/>
          <w:i/>
          <w:iCs/>
          <w:color w:val="222222"/>
          <w:shd w:val="clear" w:color="auto" w:fill="FFFFFF"/>
        </w:rPr>
        <w:t>Journals of Gerontology Series A: Biomedical Sciences and Medical Sciences</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68</w:t>
      </w:r>
      <w:r w:rsidRPr="000F4E4E">
        <w:rPr>
          <w:rFonts w:ascii="Arial" w:eastAsia="Times New Roman" w:hAnsi="Arial" w:cs="Arial"/>
          <w:color w:val="222222"/>
          <w:shd w:val="clear" w:color="auto" w:fill="FFFFFF"/>
        </w:rPr>
        <w:t>(10), pp.1243-1251.</w:t>
      </w:r>
    </w:p>
    <w:p w14:paraId="612B4D4D" w14:textId="77777777" w:rsidR="000F4E4E" w:rsidRPr="000F4E4E" w:rsidRDefault="000F4E4E" w:rsidP="000F4E4E">
      <w:pPr>
        <w:spacing w:line="360" w:lineRule="auto"/>
        <w:jc w:val="both"/>
        <w:rPr>
          <w:rFonts w:ascii="Arial" w:eastAsia="Times New Roman" w:hAnsi="Arial" w:cs="Arial"/>
          <w:color w:val="222222"/>
          <w:shd w:val="clear" w:color="auto" w:fill="FFFFFF"/>
        </w:rPr>
      </w:pPr>
      <w:r w:rsidRPr="000F4E4E">
        <w:rPr>
          <w:rFonts w:ascii="Arial" w:eastAsia="Times New Roman" w:hAnsi="Arial" w:cs="Arial"/>
          <w:color w:val="222222"/>
          <w:shd w:val="clear" w:color="auto" w:fill="FFFFFF"/>
        </w:rPr>
        <w:t>Burge, R.T., Worley, D., Johansen, A., Bhattacharyya, S. and Bose, U., 2001. The cost of osteoporotic fractures in the UK: projections for 2000–2020. </w:t>
      </w:r>
      <w:r w:rsidRPr="000F4E4E">
        <w:rPr>
          <w:rFonts w:ascii="Arial" w:eastAsia="Times New Roman" w:hAnsi="Arial" w:cs="Arial"/>
          <w:i/>
          <w:iCs/>
          <w:color w:val="222222"/>
          <w:shd w:val="clear" w:color="auto" w:fill="FFFFFF"/>
        </w:rPr>
        <w:t>Journal of Medical Economics</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4</w:t>
      </w:r>
      <w:r w:rsidRPr="000F4E4E">
        <w:rPr>
          <w:rFonts w:ascii="Arial" w:eastAsia="Times New Roman" w:hAnsi="Arial" w:cs="Arial"/>
          <w:color w:val="222222"/>
          <w:shd w:val="clear" w:color="auto" w:fill="FFFFFF"/>
        </w:rPr>
        <w:t>(1-4), pp.51-62.</w:t>
      </w:r>
    </w:p>
    <w:p w14:paraId="55417324" w14:textId="77777777" w:rsidR="000F4E4E" w:rsidRPr="000F4E4E" w:rsidRDefault="000F4E4E" w:rsidP="000F4E4E">
      <w:pPr>
        <w:spacing w:line="360" w:lineRule="auto"/>
        <w:jc w:val="both"/>
        <w:rPr>
          <w:rFonts w:ascii="Arial" w:eastAsia="Times New Roman" w:hAnsi="Arial" w:cs="Arial"/>
          <w:color w:val="222222"/>
          <w:shd w:val="clear" w:color="auto" w:fill="FFFFFF"/>
        </w:rPr>
      </w:pPr>
      <w:proofErr w:type="spellStart"/>
      <w:r w:rsidRPr="000F4E4E">
        <w:rPr>
          <w:rFonts w:ascii="Arial" w:eastAsia="Times New Roman" w:hAnsi="Arial" w:cs="Arial"/>
          <w:color w:val="222222"/>
          <w:shd w:val="clear" w:color="auto" w:fill="FFFFFF"/>
        </w:rPr>
        <w:t>Compston</w:t>
      </w:r>
      <w:proofErr w:type="spellEnd"/>
      <w:r w:rsidRPr="000F4E4E">
        <w:rPr>
          <w:rFonts w:ascii="Arial" w:eastAsia="Times New Roman" w:hAnsi="Arial" w:cs="Arial"/>
          <w:color w:val="222222"/>
          <w:shd w:val="clear" w:color="auto" w:fill="FFFFFF"/>
        </w:rPr>
        <w:t xml:space="preserve">, J., Bowring, C., Cooper, A., Cooper, C., Davies, C., Francis, R., </w:t>
      </w:r>
      <w:proofErr w:type="spellStart"/>
      <w:r w:rsidRPr="000F4E4E">
        <w:rPr>
          <w:rFonts w:ascii="Arial" w:eastAsia="Times New Roman" w:hAnsi="Arial" w:cs="Arial"/>
          <w:color w:val="222222"/>
          <w:shd w:val="clear" w:color="auto" w:fill="FFFFFF"/>
        </w:rPr>
        <w:t>Kanis</w:t>
      </w:r>
      <w:proofErr w:type="spellEnd"/>
      <w:r w:rsidRPr="000F4E4E">
        <w:rPr>
          <w:rFonts w:ascii="Arial" w:eastAsia="Times New Roman" w:hAnsi="Arial" w:cs="Arial"/>
          <w:color w:val="222222"/>
          <w:shd w:val="clear" w:color="auto" w:fill="FFFFFF"/>
        </w:rPr>
        <w:t>, J.A., Marsh, D., McCloskey, E.V., Reid, D.M. and Selby, P., 2013. Diagnosis and management of osteoporosis in postmenopausal women and older men in the UK: National Osteoporosis Guideline Group (NOGG) update 2013. </w:t>
      </w:r>
      <w:proofErr w:type="spellStart"/>
      <w:r w:rsidRPr="000F4E4E">
        <w:rPr>
          <w:rFonts w:ascii="Arial" w:eastAsia="Times New Roman" w:hAnsi="Arial" w:cs="Arial"/>
          <w:i/>
          <w:iCs/>
          <w:color w:val="222222"/>
          <w:shd w:val="clear" w:color="auto" w:fill="FFFFFF"/>
        </w:rPr>
        <w:t>Maturitas</w:t>
      </w:r>
      <w:proofErr w:type="spellEnd"/>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75</w:t>
      </w:r>
      <w:r w:rsidRPr="000F4E4E">
        <w:rPr>
          <w:rFonts w:ascii="Arial" w:eastAsia="Times New Roman" w:hAnsi="Arial" w:cs="Arial"/>
          <w:color w:val="222222"/>
          <w:shd w:val="clear" w:color="auto" w:fill="FFFFFF"/>
        </w:rPr>
        <w:t>(4), pp.392-396.</w:t>
      </w:r>
    </w:p>
    <w:p w14:paraId="4AEB02B2" w14:textId="77777777" w:rsidR="000F4E4E" w:rsidRPr="000F4E4E" w:rsidRDefault="000F4E4E" w:rsidP="000F4E4E">
      <w:pPr>
        <w:spacing w:line="360" w:lineRule="auto"/>
        <w:jc w:val="both"/>
        <w:rPr>
          <w:rFonts w:ascii="Arial" w:eastAsia="Times New Roman" w:hAnsi="Arial" w:cs="Arial"/>
          <w:color w:val="222222"/>
          <w:shd w:val="clear" w:color="auto" w:fill="FFFFFF"/>
        </w:rPr>
      </w:pPr>
      <w:r w:rsidRPr="000F4E4E">
        <w:rPr>
          <w:rFonts w:ascii="Arial" w:eastAsia="Times New Roman" w:hAnsi="Arial" w:cs="Arial"/>
          <w:color w:val="222222"/>
          <w:shd w:val="clear" w:color="auto" w:fill="FFFFFF"/>
        </w:rPr>
        <w:t>Reid, I.R., 2015. Short-term and long-term effects of osteoporosis therapies. </w:t>
      </w:r>
      <w:r w:rsidRPr="000F4E4E">
        <w:rPr>
          <w:rFonts w:ascii="Arial" w:eastAsia="Times New Roman" w:hAnsi="Arial" w:cs="Arial"/>
          <w:i/>
          <w:iCs/>
          <w:color w:val="222222"/>
          <w:shd w:val="clear" w:color="auto" w:fill="FFFFFF"/>
        </w:rPr>
        <w:t>Nature Reviews Endocrinology</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11</w:t>
      </w:r>
      <w:r w:rsidRPr="000F4E4E">
        <w:rPr>
          <w:rFonts w:ascii="Arial" w:eastAsia="Times New Roman" w:hAnsi="Arial" w:cs="Arial"/>
          <w:color w:val="222222"/>
          <w:shd w:val="clear" w:color="auto" w:fill="FFFFFF"/>
        </w:rPr>
        <w:t>(7), pp.418-428.</w:t>
      </w:r>
    </w:p>
    <w:p w14:paraId="34D33F9B" w14:textId="77777777" w:rsidR="000F4E4E" w:rsidRPr="000F4E4E" w:rsidRDefault="000F4E4E" w:rsidP="000F4E4E">
      <w:pPr>
        <w:spacing w:line="360" w:lineRule="auto"/>
        <w:jc w:val="both"/>
        <w:rPr>
          <w:rFonts w:ascii="Arial" w:eastAsia="Times New Roman" w:hAnsi="Arial" w:cs="Arial"/>
          <w:color w:val="222222"/>
          <w:shd w:val="clear" w:color="auto" w:fill="FFFFFF"/>
        </w:rPr>
      </w:pPr>
      <w:r w:rsidRPr="000F4E4E">
        <w:rPr>
          <w:rFonts w:ascii="Arial" w:eastAsia="Times New Roman" w:hAnsi="Arial" w:cs="Arial"/>
          <w:color w:val="222222"/>
          <w:shd w:val="clear" w:color="auto" w:fill="FFFFFF"/>
        </w:rPr>
        <w:t xml:space="preserve">Chen, Y.W., </w:t>
      </w:r>
      <w:proofErr w:type="spellStart"/>
      <w:r w:rsidRPr="000F4E4E">
        <w:rPr>
          <w:rFonts w:ascii="Arial" w:eastAsia="Times New Roman" w:hAnsi="Arial" w:cs="Arial"/>
          <w:color w:val="222222"/>
          <w:shd w:val="clear" w:color="auto" w:fill="FFFFFF"/>
        </w:rPr>
        <w:t>Ramsook</w:t>
      </w:r>
      <w:proofErr w:type="spellEnd"/>
      <w:r w:rsidRPr="000F4E4E">
        <w:rPr>
          <w:rFonts w:ascii="Arial" w:eastAsia="Times New Roman" w:hAnsi="Arial" w:cs="Arial"/>
          <w:color w:val="222222"/>
          <w:shd w:val="clear" w:color="auto" w:fill="FFFFFF"/>
        </w:rPr>
        <w:t xml:space="preserve">, A.H., </w:t>
      </w:r>
      <w:proofErr w:type="spellStart"/>
      <w:r w:rsidRPr="000F4E4E">
        <w:rPr>
          <w:rFonts w:ascii="Arial" w:eastAsia="Times New Roman" w:hAnsi="Arial" w:cs="Arial"/>
          <w:color w:val="222222"/>
          <w:shd w:val="clear" w:color="auto" w:fill="FFFFFF"/>
        </w:rPr>
        <w:t>Coxson</w:t>
      </w:r>
      <w:proofErr w:type="spellEnd"/>
      <w:r w:rsidRPr="000F4E4E">
        <w:rPr>
          <w:rFonts w:ascii="Arial" w:eastAsia="Times New Roman" w:hAnsi="Arial" w:cs="Arial"/>
          <w:color w:val="222222"/>
          <w:shd w:val="clear" w:color="auto" w:fill="FFFFFF"/>
        </w:rPr>
        <w:t>, H.O., Bon, J. and Reid, W.D., 2019. Prevalence and risk factors for osteoporosis in individuals with COPD: a systematic review and meta-analysis. </w:t>
      </w:r>
      <w:r w:rsidRPr="000F4E4E">
        <w:rPr>
          <w:rFonts w:ascii="Arial" w:eastAsia="Times New Roman" w:hAnsi="Arial" w:cs="Arial"/>
          <w:i/>
          <w:iCs/>
          <w:color w:val="222222"/>
          <w:shd w:val="clear" w:color="auto" w:fill="FFFFFF"/>
        </w:rPr>
        <w:t>Chest</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156</w:t>
      </w:r>
      <w:r w:rsidRPr="000F4E4E">
        <w:rPr>
          <w:rFonts w:ascii="Arial" w:eastAsia="Times New Roman" w:hAnsi="Arial" w:cs="Arial"/>
          <w:color w:val="222222"/>
          <w:shd w:val="clear" w:color="auto" w:fill="FFFFFF"/>
        </w:rPr>
        <w:t>(6), pp.1092-1110.</w:t>
      </w:r>
    </w:p>
    <w:p w14:paraId="273BE817" w14:textId="77777777" w:rsidR="000F4E4E" w:rsidRPr="000F4E4E" w:rsidRDefault="000F4E4E" w:rsidP="000F4E4E">
      <w:pPr>
        <w:spacing w:line="360" w:lineRule="auto"/>
        <w:jc w:val="both"/>
        <w:rPr>
          <w:rFonts w:ascii="Arial" w:eastAsia="Times New Roman" w:hAnsi="Arial" w:cs="Arial"/>
          <w:color w:val="222222"/>
          <w:shd w:val="clear" w:color="auto" w:fill="FFFFFF"/>
        </w:rPr>
      </w:pPr>
      <w:r w:rsidRPr="000F4E4E">
        <w:rPr>
          <w:rFonts w:ascii="Arial" w:eastAsia="Times New Roman" w:hAnsi="Arial" w:cs="Arial"/>
          <w:color w:val="222222"/>
          <w:shd w:val="clear" w:color="auto" w:fill="FFFFFF"/>
        </w:rPr>
        <w:t>Yang, T.L., Shen, H., Liu, A., Dong, S.S., Zhang, L., Deng, F.Y., Zhao, Q. and Deng, H.W., 2020. A road map for understanding molecular and genetic determinants of osteoporosis. </w:t>
      </w:r>
      <w:r w:rsidRPr="000F4E4E">
        <w:rPr>
          <w:rFonts w:ascii="Arial" w:eastAsia="Times New Roman" w:hAnsi="Arial" w:cs="Arial"/>
          <w:i/>
          <w:iCs/>
          <w:color w:val="222222"/>
          <w:shd w:val="clear" w:color="auto" w:fill="FFFFFF"/>
        </w:rPr>
        <w:t>Nature Reviews Endocrinology</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16</w:t>
      </w:r>
      <w:r w:rsidRPr="000F4E4E">
        <w:rPr>
          <w:rFonts w:ascii="Arial" w:eastAsia="Times New Roman" w:hAnsi="Arial" w:cs="Arial"/>
          <w:color w:val="222222"/>
          <w:shd w:val="clear" w:color="auto" w:fill="FFFFFF"/>
        </w:rPr>
        <w:t>(2), pp.91-103.</w:t>
      </w:r>
    </w:p>
    <w:p w14:paraId="40437879" w14:textId="77777777" w:rsidR="000F4E4E" w:rsidRPr="000F4E4E" w:rsidRDefault="000F4E4E" w:rsidP="000F4E4E">
      <w:pPr>
        <w:spacing w:line="360" w:lineRule="auto"/>
        <w:jc w:val="both"/>
        <w:rPr>
          <w:rFonts w:ascii="Arial" w:eastAsia="Times New Roman" w:hAnsi="Arial" w:cs="Arial"/>
          <w:color w:val="222222"/>
          <w:shd w:val="clear" w:color="auto" w:fill="FFFFFF"/>
        </w:rPr>
      </w:pPr>
      <w:proofErr w:type="spellStart"/>
      <w:r w:rsidRPr="000F4E4E">
        <w:rPr>
          <w:rFonts w:ascii="Arial" w:eastAsia="Times New Roman" w:hAnsi="Arial" w:cs="Arial"/>
          <w:color w:val="222222"/>
          <w:shd w:val="clear" w:color="auto" w:fill="FFFFFF"/>
        </w:rPr>
        <w:t>Lorentzon</w:t>
      </w:r>
      <w:proofErr w:type="spellEnd"/>
      <w:r w:rsidRPr="000F4E4E">
        <w:rPr>
          <w:rFonts w:ascii="Arial" w:eastAsia="Times New Roman" w:hAnsi="Arial" w:cs="Arial"/>
          <w:color w:val="222222"/>
          <w:shd w:val="clear" w:color="auto" w:fill="FFFFFF"/>
        </w:rPr>
        <w:t xml:space="preserve">, M., Johansson, H., Harvey, N.C., Liu, E., </w:t>
      </w:r>
      <w:proofErr w:type="spellStart"/>
      <w:r w:rsidRPr="000F4E4E">
        <w:rPr>
          <w:rFonts w:ascii="Arial" w:eastAsia="Times New Roman" w:hAnsi="Arial" w:cs="Arial"/>
          <w:color w:val="222222"/>
          <w:shd w:val="clear" w:color="auto" w:fill="FFFFFF"/>
        </w:rPr>
        <w:t>Vandenput</w:t>
      </w:r>
      <w:proofErr w:type="spellEnd"/>
      <w:r w:rsidRPr="000F4E4E">
        <w:rPr>
          <w:rFonts w:ascii="Arial" w:eastAsia="Times New Roman" w:hAnsi="Arial" w:cs="Arial"/>
          <w:color w:val="222222"/>
          <w:shd w:val="clear" w:color="auto" w:fill="FFFFFF"/>
        </w:rPr>
        <w:t xml:space="preserve">, L., McCloskey, E.V. and </w:t>
      </w:r>
      <w:proofErr w:type="spellStart"/>
      <w:r w:rsidRPr="000F4E4E">
        <w:rPr>
          <w:rFonts w:ascii="Arial" w:eastAsia="Times New Roman" w:hAnsi="Arial" w:cs="Arial"/>
          <w:color w:val="222222"/>
          <w:shd w:val="clear" w:color="auto" w:fill="FFFFFF"/>
        </w:rPr>
        <w:t>Kanis</w:t>
      </w:r>
      <w:proofErr w:type="spellEnd"/>
      <w:r w:rsidRPr="000F4E4E">
        <w:rPr>
          <w:rFonts w:ascii="Arial" w:eastAsia="Times New Roman" w:hAnsi="Arial" w:cs="Arial"/>
          <w:color w:val="222222"/>
          <w:shd w:val="clear" w:color="auto" w:fill="FFFFFF"/>
        </w:rPr>
        <w:t>, J.A., 2022. Osteoporosis and fractures in women: the burden of disease. </w:t>
      </w:r>
      <w:r w:rsidRPr="000F4E4E">
        <w:rPr>
          <w:rFonts w:ascii="Arial" w:eastAsia="Times New Roman" w:hAnsi="Arial" w:cs="Arial"/>
          <w:i/>
          <w:iCs/>
          <w:color w:val="222222"/>
          <w:shd w:val="clear" w:color="auto" w:fill="FFFFFF"/>
        </w:rPr>
        <w:t>Climacteric</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25</w:t>
      </w:r>
      <w:r w:rsidRPr="000F4E4E">
        <w:rPr>
          <w:rFonts w:ascii="Arial" w:eastAsia="Times New Roman" w:hAnsi="Arial" w:cs="Arial"/>
          <w:color w:val="222222"/>
          <w:shd w:val="clear" w:color="auto" w:fill="FFFFFF"/>
        </w:rPr>
        <w:t>(1), pp.4-10.</w:t>
      </w:r>
    </w:p>
    <w:p w14:paraId="777183AF" w14:textId="77777777" w:rsidR="000F4E4E" w:rsidRPr="000F4E4E" w:rsidRDefault="000F4E4E" w:rsidP="000F4E4E">
      <w:pPr>
        <w:spacing w:line="360" w:lineRule="auto"/>
        <w:jc w:val="both"/>
        <w:rPr>
          <w:rFonts w:ascii="Arial" w:eastAsia="Times New Roman" w:hAnsi="Arial" w:cs="Arial"/>
          <w:color w:val="222222"/>
          <w:shd w:val="clear" w:color="auto" w:fill="FFFFFF"/>
        </w:rPr>
      </w:pPr>
      <w:r w:rsidRPr="000F4E4E">
        <w:rPr>
          <w:rFonts w:ascii="Arial" w:eastAsia="Times New Roman" w:hAnsi="Arial" w:cs="Arial"/>
          <w:color w:val="222222"/>
          <w:shd w:val="clear" w:color="auto" w:fill="FFFFFF"/>
        </w:rPr>
        <w:t xml:space="preserve">Yu, E.W., </w:t>
      </w:r>
      <w:proofErr w:type="spellStart"/>
      <w:r w:rsidRPr="000F4E4E">
        <w:rPr>
          <w:rFonts w:ascii="Arial" w:eastAsia="Times New Roman" w:hAnsi="Arial" w:cs="Arial"/>
          <w:color w:val="222222"/>
          <w:shd w:val="clear" w:color="auto" w:fill="FFFFFF"/>
        </w:rPr>
        <w:t>Tsourdi</w:t>
      </w:r>
      <w:proofErr w:type="spellEnd"/>
      <w:r w:rsidRPr="000F4E4E">
        <w:rPr>
          <w:rFonts w:ascii="Arial" w:eastAsia="Times New Roman" w:hAnsi="Arial" w:cs="Arial"/>
          <w:color w:val="222222"/>
          <w:shd w:val="clear" w:color="auto" w:fill="FFFFFF"/>
        </w:rPr>
        <w:t>, E., Clarke, B.L., Bauer, D.C. and Drake, M.T., 2020. Osteoporosis management in the era of COVID</w:t>
      </w:r>
      <w:r w:rsidRPr="000F4E4E">
        <w:rPr>
          <w:rFonts w:ascii="Cambria Math" w:eastAsia="Times New Roman" w:hAnsi="Cambria Math" w:cs="Cambria Math"/>
          <w:color w:val="222222"/>
          <w:shd w:val="clear" w:color="auto" w:fill="FFFFFF"/>
        </w:rPr>
        <w:t>‐</w:t>
      </w:r>
      <w:r w:rsidRPr="000F4E4E">
        <w:rPr>
          <w:rFonts w:ascii="Arial" w:eastAsia="Times New Roman" w:hAnsi="Arial" w:cs="Arial"/>
          <w:color w:val="222222"/>
          <w:shd w:val="clear" w:color="auto" w:fill="FFFFFF"/>
        </w:rPr>
        <w:t>19. </w:t>
      </w:r>
      <w:r w:rsidRPr="000F4E4E">
        <w:rPr>
          <w:rFonts w:ascii="Arial" w:eastAsia="Times New Roman" w:hAnsi="Arial" w:cs="Arial"/>
          <w:i/>
          <w:iCs/>
          <w:color w:val="222222"/>
          <w:shd w:val="clear" w:color="auto" w:fill="FFFFFF"/>
        </w:rPr>
        <w:t>Journal of Bone and Mineral Research</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35</w:t>
      </w:r>
      <w:r w:rsidRPr="000F4E4E">
        <w:rPr>
          <w:rFonts w:ascii="Arial" w:eastAsia="Times New Roman" w:hAnsi="Arial" w:cs="Arial"/>
          <w:color w:val="222222"/>
          <w:shd w:val="clear" w:color="auto" w:fill="FFFFFF"/>
        </w:rPr>
        <w:t>(6), pp.1009-1013.</w:t>
      </w:r>
    </w:p>
    <w:p w14:paraId="58D5C696" w14:textId="77777777" w:rsidR="000F4E4E" w:rsidRPr="000F4E4E" w:rsidRDefault="000F4E4E" w:rsidP="000F4E4E">
      <w:pPr>
        <w:spacing w:line="360" w:lineRule="auto"/>
        <w:jc w:val="both"/>
        <w:rPr>
          <w:rFonts w:ascii="Arial" w:eastAsia="Times New Roman" w:hAnsi="Arial" w:cs="Arial"/>
          <w:color w:val="222222"/>
          <w:shd w:val="clear" w:color="auto" w:fill="FFFFFF"/>
        </w:rPr>
      </w:pPr>
      <w:r w:rsidRPr="000F4E4E">
        <w:rPr>
          <w:rFonts w:ascii="Arial" w:eastAsia="Times New Roman" w:hAnsi="Arial" w:cs="Arial"/>
          <w:color w:val="222222"/>
          <w:shd w:val="clear" w:color="auto" w:fill="FFFFFF"/>
        </w:rPr>
        <w:t>Boonen, S. and Singer, A.J., 2008. Osteoporosis management: impact of fracture type on cost and quality of life in patients at risk for fracture I. </w:t>
      </w:r>
      <w:r w:rsidRPr="000F4E4E">
        <w:rPr>
          <w:rFonts w:ascii="Arial" w:eastAsia="Times New Roman" w:hAnsi="Arial" w:cs="Arial"/>
          <w:i/>
          <w:iCs/>
          <w:color w:val="222222"/>
          <w:shd w:val="clear" w:color="auto" w:fill="FFFFFF"/>
        </w:rPr>
        <w:t>Current medical research and opinion</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24</w:t>
      </w:r>
      <w:r w:rsidRPr="000F4E4E">
        <w:rPr>
          <w:rFonts w:ascii="Arial" w:eastAsia="Times New Roman" w:hAnsi="Arial" w:cs="Arial"/>
          <w:color w:val="222222"/>
          <w:shd w:val="clear" w:color="auto" w:fill="FFFFFF"/>
        </w:rPr>
        <w:t>(6), pp.1781-1788.</w:t>
      </w:r>
    </w:p>
    <w:p w14:paraId="1C3045A1" w14:textId="77777777" w:rsidR="000F4E4E" w:rsidRPr="000F4E4E" w:rsidRDefault="000F4E4E" w:rsidP="000F4E4E">
      <w:pPr>
        <w:spacing w:line="360" w:lineRule="auto"/>
        <w:jc w:val="both"/>
        <w:rPr>
          <w:rFonts w:ascii="Arial" w:eastAsia="Times New Roman" w:hAnsi="Arial" w:cs="Arial"/>
          <w:color w:val="222222"/>
          <w:shd w:val="clear" w:color="auto" w:fill="FFFFFF"/>
        </w:rPr>
      </w:pPr>
      <w:r w:rsidRPr="000F4E4E">
        <w:rPr>
          <w:rFonts w:ascii="Arial" w:eastAsia="Times New Roman" w:hAnsi="Arial" w:cs="Arial"/>
          <w:color w:val="222222"/>
          <w:shd w:val="clear" w:color="auto" w:fill="FFFFFF"/>
        </w:rPr>
        <w:t>Keen, R.W., 2003. Burden of osteoporosis and fractures. </w:t>
      </w:r>
      <w:r w:rsidRPr="000F4E4E">
        <w:rPr>
          <w:rFonts w:ascii="Arial" w:eastAsia="Times New Roman" w:hAnsi="Arial" w:cs="Arial"/>
          <w:i/>
          <w:iCs/>
          <w:color w:val="222222"/>
          <w:shd w:val="clear" w:color="auto" w:fill="FFFFFF"/>
        </w:rPr>
        <w:t>Current osteoporosis reports</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1</w:t>
      </w:r>
      <w:r w:rsidRPr="000F4E4E">
        <w:rPr>
          <w:rFonts w:ascii="Arial" w:eastAsia="Times New Roman" w:hAnsi="Arial" w:cs="Arial"/>
          <w:color w:val="222222"/>
          <w:shd w:val="clear" w:color="auto" w:fill="FFFFFF"/>
        </w:rPr>
        <w:t>(2), pp.66-70.</w:t>
      </w:r>
    </w:p>
    <w:p w14:paraId="02EC02DD" w14:textId="77777777" w:rsidR="000F4E4E" w:rsidRPr="000F4E4E" w:rsidRDefault="000F4E4E" w:rsidP="000F4E4E">
      <w:pPr>
        <w:spacing w:line="360" w:lineRule="auto"/>
        <w:jc w:val="both"/>
        <w:rPr>
          <w:rFonts w:ascii="Arial" w:eastAsia="Times New Roman" w:hAnsi="Arial" w:cs="Arial"/>
          <w:color w:val="222222"/>
          <w:shd w:val="clear" w:color="auto" w:fill="FFFFFF"/>
        </w:rPr>
      </w:pPr>
      <w:r w:rsidRPr="000F4E4E">
        <w:rPr>
          <w:rFonts w:ascii="Arial" w:eastAsia="Times New Roman" w:hAnsi="Arial" w:cs="Arial"/>
          <w:color w:val="222222"/>
          <w:shd w:val="clear" w:color="auto" w:fill="FFFFFF"/>
        </w:rPr>
        <w:t>Holroyd, C., Cooper, C. and Dennison, E., 2008. Epidemiology of osteoporosis. </w:t>
      </w:r>
      <w:r w:rsidRPr="000F4E4E">
        <w:rPr>
          <w:rFonts w:ascii="Arial" w:eastAsia="Times New Roman" w:hAnsi="Arial" w:cs="Arial"/>
          <w:i/>
          <w:iCs/>
          <w:color w:val="222222"/>
          <w:shd w:val="clear" w:color="auto" w:fill="FFFFFF"/>
        </w:rPr>
        <w:t>Best practice &amp; research Clinical endocrinology &amp; metabolism</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22</w:t>
      </w:r>
      <w:r w:rsidRPr="000F4E4E">
        <w:rPr>
          <w:rFonts w:ascii="Arial" w:eastAsia="Times New Roman" w:hAnsi="Arial" w:cs="Arial"/>
          <w:color w:val="222222"/>
          <w:shd w:val="clear" w:color="auto" w:fill="FFFFFF"/>
        </w:rPr>
        <w:t>(5), pp.671-685.</w:t>
      </w:r>
    </w:p>
    <w:p w14:paraId="333695CD" w14:textId="77777777" w:rsidR="000F4E4E" w:rsidRPr="000F4E4E" w:rsidRDefault="000F4E4E" w:rsidP="000F4E4E">
      <w:pPr>
        <w:spacing w:line="360" w:lineRule="auto"/>
        <w:jc w:val="both"/>
        <w:rPr>
          <w:rFonts w:ascii="Arial" w:eastAsia="Times New Roman" w:hAnsi="Arial" w:cs="Arial"/>
          <w:color w:val="222222"/>
          <w:shd w:val="clear" w:color="auto" w:fill="FFFFFF"/>
        </w:rPr>
      </w:pPr>
      <w:proofErr w:type="spellStart"/>
      <w:r w:rsidRPr="000F4E4E">
        <w:rPr>
          <w:rFonts w:ascii="Arial" w:eastAsia="Times New Roman" w:hAnsi="Arial" w:cs="Arial"/>
          <w:color w:val="222222"/>
          <w:shd w:val="clear" w:color="auto" w:fill="FFFFFF"/>
        </w:rPr>
        <w:t>Salari</w:t>
      </w:r>
      <w:proofErr w:type="spellEnd"/>
      <w:r w:rsidRPr="000F4E4E">
        <w:rPr>
          <w:rFonts w:ascii="Arial" w:eastAsia="Times New Roman" w:hAnsi="Arial" w:cs="Arial"/>
          <w:color w:val="222222"/>
          <w:shd w:val="clear" w:color="auto" w:fill="FFFFFF"/>
        </w:rPr>
        <w:t xml:space="preserve">, N., </w:t>
      </w:r>
      <w:proofErr w:type="spellStart"/>
      <w:r w:rsidRPr="000F4E4E">
        <w:rPr>
          <w:rFonts w:ascii="Arial" w:eastAsia="Times New Roman" w:hAnsi="Arial" w:cs="Arial"/>
          <w:color w:val="222222"/>
          <w:shd w:val="clear" w:color="auto" w:fill="FFFFFF"/>
        </w:rPr>
        <w:t>Ghasemi</w:t>
      </w:r>
      <w:proofErr w:type="spellEnd"/>
      <w:r w:rsidRPr="000F4E4E">
        <w:rPr>
          <w:rFonts w:ascii="Arial" w:eastAsia="Times New Roman" w:hAnsi="Arial" w:cs="Arial"/>
          <w:color w:val="222222"/>
          <w:shd w:val="clear" w:color="auto" w:fill="FFFFFF"/>
        </w:rPr>
        <w:t xml:space="preserve">, H., Mohammadi, L., </w:t>
      </w:r>
      <w:proofErr w:type="spellStart"/>
      <w:r w:rsidRPr="000F4E4E">
        <w:rPr>
          <w:rFonts w:ascii="Arial" w:eastAsia="Times New Roman" w:hAnsi="Arial" w:cs="Arial"/>
          <w:color w:val="222222"/>
          <w:shd w:val="clear" w:color="auto" w:fill="FFFFFF"/>
        </w:rPr>
        <w:t>Rabieenia</w:t>
      </w:r>
      <w:proofErr w:type="spellEnd"/>
      <w:r w:rsidRPr="000F4E4E">
        <w:rPr>
          <w:rFonts w:ascii="Arial" w:eastAsia="Times New Roman" w:hAnsi="Arial" w:cs="Arial"/>
          <w:color w:val="222222"/>
          <w:shd w:val="clear" w:color="auto" w:fill="FFFFFF"/>
        </w:rPr>
        <w:t xml:space="preserve">, E., </w:t>
      </w:r>
      <w:proofErr w:type="spellStart"/>
      <w:r w:rsidRPr="000F4E4E">
        <w:rPr>
          <w:rFonts w:ascii="Arial" w:eastAsia="Times New Roman" w:hAnsi="Arial" w:cs="Arial"/>
          <w:color w:val="222222"/>
          <w:shd w:val="clear" w:color="auto" w:fill="FFFFFF"/>
        </w:rPr>
        <w:t>Shohaimi</w:t>
      </w:r>
      <w:proofErr w:type="spellEnd"/>
      <w:r w:rsidRPr="000F4E4E">
        <w:rPr>
          <w:rFonts w:ascii="Arial" w:eastAsia="Times New Roman" w:hAnsi="Arial" w:cs="Arial"/>
          <w:color w:val="222222"/>
          <w:shd w:val="clear" w:color="auto" w:fill="FFFFFF"/>
        </w:rPr>
        <w:t>, S. and Mohammadi, M., 2021. The global prevalence of osteoporosis in the world: a comprehensive systematic review and meta-analysis. </w:t>
      </w:r>
      <w:r w:rsidRPr="000F4E4E">
        <w:rPr>
          <w:rFonts w:ascii="Arial" w:eastAsia="Times New Roman" w:hAnsi="Arial" w:cs="Arial"/>
          <w:i/>
          <w:iCs/>
          <w:color w:val="222222"/>
          <w:shd w:val="clear" w:color="auto" w:fill="FFFFFF"/>
        </w:rPr>
        <w:t>Journal of orthopaedic surgery and research</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16</w:t>
      </w:r>
      <w:r w:rsidRPr="000F4E4E">
        <w:rPr>
          <w:rFonts w:ascii="Arial" w:eastAsia="Times New Roman" w:hAnsi="Arial" w:cs="Arial"/>
          <w:color w:val="222222"/>
          <w:shd w:val="clear" w:color="auto" w:fill="FFFFFF"/>
        </w:rPr>
        <w:t>(1), pp.1-20.</w:t>
      </w:r>
    </w:p>
    <w:p w14:paraId="501DB82F" w14:textId="77777777" w:rsidR="000F4E4E" w:rsidRPr="000F4E4E" w:rsidRDefault="000F4E4E" w:rsidP="000F4E4E">
      <w:pPr>
        <w:spacing w:line="360" w:lineRule="auto"/>
        <w:jc w:val="both"/>
        <w:rPr>
          <w:rFonts w:ascii="Arial" w:eastAsia="Times New Roman" w:hAnsi="Arial" w:cs="Arial"/>
          <w:color w:val="222222"/>
          <w:shd w:val="clear" w:color="auto" w:fill="FFFFFF"/>
        </w:rPr>
      </w:pPr>
      <w:proofErr w:type="spellStart"/>
      <w:r w:rsidRPr="000F4E4E">
        <w:rPr>
          <w:rFonts w:ascii="Arial" w:eastAsia="Times New Roman" w:hAnsi="Arial" w:cs="Arial"/>
          <w:color w:val="222222"/>
          <w:shd w:val="clear" w:color="auto" w:fill="FFFFFF"/>
        </w:rPr>
        <w:t>Stanghelle</w:t>
      </w:r>
      <w:proofErr w:type="spellEnd"/>
      <w:r w:rsidRPr="000F4E4E">
        <w:rPr>
          <w:rFonts w:ascii="Arial" w:eastAsia="Times New Roman" w:hAnsi="Arial" w:cs="Arial"/>
          <w:color w:val="222222"/>
          <w:shd w:val="clear" w:color="auto" w:fill="FFFFFF"/>
        </w:rPr>
        <w:t xml:space="preserve">, B., </w:t>
      </w:r>
      <w:proofErr w:type="spellStart"/>
      <w:r w:rsidRPr="000F4E4E">
        <w:rPr>
          <w:rFonts w:ascii="Arial" w:eastAsia="Times New Roman" w:hAnsi="Arial" w:cs="Arial"/>
          <w:color w:val="222222"/>
          <w:shd w:val="clear" w:color="auto" w:fill="FFFFFF"/>
        </w:rPr>
        <w:t>Bentzen</w:t>
      </w:r>
      <w:proofErr w:type="spellEnd"/>
      <w:r w:rsidRPr="000F4E4E">
        <w:rPr>
          <w:rFonts w:ascii="Arial" w:eastAsia="Times New Roman" w:hAnsi="Arial" w:cs="Arial"/>
          <w:color w:val="222222"/>
          <w:shd w:val="clear" w:color="auto" w:fill="FFFFFF"/>
        </w:rPr>
        <w:t xml:space="preserve">, H., </w:t>
      </w:r>
      <w:proofErr w:type="spellStart"/>
      <w:r w:rsidRPr="000F4E4E">
        <w:rPr>
          <w:rFonts w:ascii="Arial" w:eastAsia="Times New Roman" w:hAnsi="Arial" w:cs="Arial"/>
          <w:color w:val="222222"/>
          <w:shd w:val="clear" w:color="auto" w:fill="FFFFFF"/>
        </w:rPr>
        <w:t>Giangregorio</w:t>
      </w:r>
      <w:proofErr w:type="spellEnd"/>
      <w:r w:rsidRPr="000F4E4E">
        <w:rPr>
          <w:rFonts w:ascii="Arial" w:eastAsia="Times New Roman" w:hAnsi="Arial" w:cs="Arial"/>
          <w:color w:val="222222"/>
          <w:shd w:val="clear" w:color="auto" w:fill="FFFFFF"/>
        </w:rPr>
        <w:t xml:space="preserve">, L., </w:t>
      </w:r>
      <w:proofErr w:type="spellStart"/>
      <w:r w:rsidRPr="000F4E4E">
        <w:rPr>
          <w:rFonts w:ascii="Arial" w:eastAsia="Times New Roman" w:hAnsi="Arial" w:cs="Arial"/>
          <w:color w:val="222222"/>
          <w:shd w:val="clear" w:color="auto" w:fill="FFFFFF"/>
        </w:rPr>
        <w:t>Pripp</w:t>
      </w:r>
      <w:proofErr w:type="spellEnd"/>
      <w:r w:rsidRPr="000F4E4E">
        <w:rPr>
          <w:rFonts w:ascii="Arial" w:eastAsia="Times New Roman" w:hAnsi="Arial" w:cs="Arial"/>
          <w:color w:val="222222"/>
          <w:shd w:val="clear" w:color="auto" w:fill="FFFFFF"/>
        </w:rPr>
        <w:t xml:space="preserve">, A.H. and </w:t>
      </w:r>
      <w:proofErr w:type="spellStart"/>
      <w:r w:rsidRPr="000F4E4E">
        <w:rPr>
          <w:rFonts w:ascii="Arial" w:eastAsia="Times New Roman" w:hAnsi="Arial" w:cs="Arial"/>
          <w:color w:val="222222"/>
          <w:shd w:val="clear" w:color="auto" w:fill="FFFFFF"/>
        </w:rPr>
        <w:t>Bergland</w:t>
      </w:r>
      <w:proofErr w:type="spellEnd"/>
      <w:r w:rsidRPr="000F4E4E">
        <w:rPr>
          <w:rFonts w:ascii="Arial" w:eastAsia="Times New Roman" w:hAnsi="Arial" w:cs="Arial"/>
          <w:color w:val="222222"/>
          <w:shd w:val="clear" w:color="auto" w:fill="FFFFFF"/>
        </w:rPr>
        <w:t>, A., 2019. Associations between health-related quality of life, physical function and pain in older women with osteoporosis and vertebral fracture. </w:t>
      </w:r>
      <w:r w:rsidRPr="000F4E4E">
        <w:rPr>
          <w:rFonts w:ascii="Arial" w:eastAsia="Times New Roman" w:hAnsi="Arial" w:cs="Arial"/>
          <w:i/>
          <w:iCs/>
          <w:color w:val="222222"/>
          <w:shd w:val="clear" w:color="auto" w:fill="FFFFFF"/>
        </w:rPr>
        <w:t>BMC geriatrics</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19</w:t>
      </w:r>
      <w:r w:rsidRPr="000F4E4E">
        <w:rPr>
          <w:rFonts w:ascii="Arial" w:eastAsia="Times New Roman" w:hAnsi="Arial" w:cs="Arial"/>
          <w:color w:val="222222"/>
          <w:shd w:val="clear" w:color="auto" w:fill="FFFFFF"/>
        </w:rPr>
        <w:t>(1), pp.1-10.</w:t>
      </w:r>
    </w:p>
    <w:p w14:paraId="1F2FC455" w14:textId="77777777" w:rsidR="000F4E4E" w:rsidRPr="000F4E4E" w:rsidRDefault="000F4E4E" w:rsidP="000F4E4E">
      <w:pPr>
        <w:spacing w:line="360" w:lineRule="auto"/>
        <w:jc w:val="both"/>
        <w:rPr>
          <w:rFonts w:ascii="Arial" w:eastAsia="Times New Roman" w:hAnsi="Arial" w:cs="Arial"/>
          <w:color w:val="222222"/>
          <w:shd w:val="clear" w:color="auto" w:fill="FFFFFF"/>
        </w:rPr>
      </w:pPr>
      <w:proofErr w:type="spellStart"/>
      <w:r w:rsidRPr="000F4E4E">
        <w:rPr>
          <w:rFonts w:ascii="Arial" w:eastAsia="Times New Roman" w:hAnsi="Arial" w:cs="Arial"/>
          <w:color w:val="222222"/>
          <w:shd w:val="clear" w:color="auto" w:fill="FFFFFF"/>
        </w:rPr>
        <w:lastRenderedPageBreak/>
        <w:t>Cauley</w:t>
      </w:r>
      <w:proofErr w:type="spellEnd"/>
      <w:r w:rsidRPr="000F4E4E">
        <w:rPr>
          <w:rFonts w:ascii="Arial" w:eastAsia="Times New Roman" w:hAnsi="Arial" w:cs="Arial"/>
          <w:color w:val="222222"/>
          <w:shd w:val="clear" w:color="auto" w:fill="FFFFFF"/>
        </w:rPr>
        <w:t xml:space="preserve">, J.A., </w:t>
      </w:r>
      <w:proofErr w:type="spellStart"/>
      <w:r w:rsidRPr="000F4E4E">
        <w:rPr>
          <w:rFonts w:ascii="Arial" w:eastAsia="Times New Roman" w:hAnsi="Arial" w:cs="Arial"/>
          <w:color w:val="222222"/>
          <w:shd w:val="clear" w:color="auto" w:fill="FFFFFF"/>
        </w:rPr>
        <w:t>Chalhoub</w:t>
      </w:r>
      <w:proofErr w:type="spellEnd"/>
      <w:r w:rsidRPr="000F4E4E">
        <w:rPr>
          <w:rFonts w:ascii="Arial" w:eastAsia="Times New Roman" w:hAnsi="Arial" w:cs="Arial"/>
          <w:color w:val="222222"/>
          <w:shd w:val="clear" w:color="auto" w:fill="FFFFFF"/>
        </w:rPr>
        <w:t xml:space="preserve">, D., Kassem, A.M. and </w:t>
      </w:r>
      <w:proofErr w:type="spellStart"/>
      <w:r w:rsidRPr="000F4E4E">
        <w:rPr>
          <w:rFonts w:ascii="Arial" w:eastAsia="Times New Roman" w:hAnsi="Arial" w:cs="Arial"/>
          <w:color w:val="222222"/>
          <w:shd w:val="clear" w:color="auto" w:fill="FFFFFF"/>
        </w:rPr>
        <w:t>Fuleihan</w:t>
      </w:r>
      <w:proofErr w:type="spellEnd"/>
      <w:r w:rsidRPr="000F4E4E">
        <w:rPr>
          <w:rFonts w:ascii="Arial" w:eastAsia="Times New Roman" w:hAnsi="Arial" w:cs="Arial"/>
          <w:color w:val="222222"/>
          <w:shd w:val="clear" w:color="auto" w:fill="FFFFFF"/>
        </w:rPr>
        <w:t>, G.E.H., 2014. Geographic and ethnic disparities in osteoporotic fractures. </w:t>
      </w:r>
      <w:r w:rsidRPr="000F4E4E">
        <w:rPr>
          <w:rFonts w:ascii="Arial" w:eastAsia="Times New Roman" w:hAnsi="Arial" w:cs="Arial"/>
          <w:i/>
          <w:iCs/>
          <w:color w:val="222222"/>
          <w:shd w:val="clear" w:color="auto" w:fill="FFFFFF"/>
        </w:rPr>
        <w:t>Nature Reviews Endocrinology</w:t>
      </w:r>
      <w:r w:rsidRPr="000F4E4E">
        <w:rPr>
          <w:rFonts w:ascii="Arial" w:eastAsia="Times New Roman" w:hAnsi="Arial" w:cs="Arial"/>
          <w:color w:val="222222"/>
          <w:shd w:val="clear" w:color="auto" w:fill="FFFFFF"/>
        </w:rPr>
        <w:t>, </w:t>
      </w:r>
      <w:r w:rsidRPr="000F4E4E">
        <w:rPr>
          <w:rFonts w:ascii="Arial" w:eastAsia="Times New Roman" w:hAnsi="Arial" w:cs="Arial"/>
          <w:i/>
          <w:iCs/>
          <w:color w:val="222222"/>
          <w:shd w:val="clear" w:color="auto" w:fill="FFFFFF"/>
        </w:rPr>
        <w:t>10</w:t>
      </w:r>
      <w:r w:rsidRPr="000F4E4E">
        <w:rPr>
          <w:rFonts w:ascii="Arial" w:eastAsia="Times New Roman" w:hAnsi="Arial" w:cs="Arial"/>
          <w:color w:val="222222"/>
          <w:shd w:val="clear" w:color="auto" w:fill="FFFFFF"/>
        </w:rPr>
        <w:t>(6), pp.338-351.</w:t>
      </w:r>
    </w:p>
    <w:p w14:paraId="068BC1E1" w14:textId="77777777" w:rsidR="000F4E4E" w:rsidRPr="00BC6365" w:rsidRDefault="000F4E4E" w:rsidP="000F4E4E">
      <w:pPr>
        <w:spacing w:line="360" w:lineRule="auto"/>
        <w:jc w:val="both"/>
        <w:rPr>
          <w:rFonts w:ascii="Arial" w:eastAsia="Times New Roman" w:hAnsi="Arial" w:cs="Arial"/>
          <w:color w:val="222222"/>
          <w:shd w:val="clear" w:color="auto" w:fill="FFFFFF"/>
        </w:rPr>
      </w:pPr>
    </w:p>
    <w:p w14:paraId="3A9995C7" w14:textId="77777777" w:rsidR="000F4E4E" w:rsidRPr="00BC6365" w:rsidRDefault="000F4E4E" w:rsidP="000F4E4E">
      <w:pPr>
        <w:spacing w:line="360" w:lineRule="auto"/>
        <w:jc w:val="both"/>
        <w:rPr>
          <w:rFonts w:ascii="Arial" w:hAnsi="Arial" w:cs="Arial"/>
        </w:rPr>
      </w:pPr>
    </w:p>
    <w:p w14:paraId="43577972" w14:textId="77777777" w:rsidR="000F4E4E" w:rsidRPr="002A0270" w:rsidRDefault="000F4E4E">
      <w:pPr>
        <w:rPr>
          <w:rFonts w:ascii="Arial" w:hAnsi="Arial" w:cs="Arial"/>
          <w:b/>
          <w:bCs/>
          <w:sz w:val="36"/>
          <w:szCs w:val="36"/>
        </w:rPr>
      </w:pPr>
    </w:p>
    <w:sectPr w:rsidR="000F4E4E" w:rsidRPr="002A0270" w:rsidSect="002A02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DB082D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DAEC93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7674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FF0A01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9385B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E506A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43EE4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D0AF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AE821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1805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04F52A0"/>
    <w:multiLevelType w:val="hybridMultilevel"/>
    <w:tmpl w:val="F800E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5740332">
    <w:abstractNumId w:val="10"/>
  </w:num>
  <w:num w:numId="2" w16cid:durableId="1050690617">
    <w:abstractNumId w:val="9"/>
  </w:num>
  <w:num w:numId="3" w16cid:durableId="229463429">
    <w:abstractNumId w:val="7"/>
  </w:num>
  <w:num w:numId="4" w16cid:durableId="1330256022">
    <w:abstractNumId w:val="6"/>
  </w:num>
  <w:num w:numId="5" w16cid:durableId="1404183850">
    <w:abstractNumId w:val="5"/>
  </w:num>
  <w:num w:numId="6" w16cid:durableId="297757984">
    <w:abstractNumId w:val="4"/>
  </w:num>
  <w:num w:numId="7" w16cid:durableId="1638872305">
    <w:abstractNumId w:val="8"/>
  </w:num>
  <w:num w:numId="8" w16cid:durableId="117844566">
    <w:abstractNumId w:val="3"/>
  </w:num>
  <w:num w:numId="9" w16cid:durableId="815144425">
    <w:abstractNumId w:val="2"/>
  </w:num>
  <w:num w:numId="10" w16cid:durableId="753091698">
    <w:abstractNumId w:val="1"/>
  </w:num>
  <w:num w:numId="11" w16cid:durableId="1557425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A0270"/>
    <w:rsid w:val="000F4E4E"/>
    <w:rsid w:val="002A0270"/>
    <w:rsid w:val="00684B80"/>
    <w:rsid w:val="0080308A"/>
    <w:rsid w:val="00847208"/>
    <w:rsid w:val="008960BC"/>
    <w:rsid w:val="00B17407"/>
    <w:rsid w:val="00B64894"/>
    <w:rsid w:val="00C6305E"/>
    <w:rsid w:val="00D85B7C"/>
    <w:rsid w:val="00E1447E"/>
    <w:rsid w:val="00E16D26"/>
    <w:rsid w:val="00F45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9FA18"/>
  <w15:chartTrackingRefBased/>
  <w15:docId w15:val="{C38C7B51-00FE-41F1-9C7C-BB8FD681F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05E"/>
  </w:style>
  <w:style w:type="paragraph" w:styleId="Heading1">
    <w:name w:val="heading 1"/>
    <w:basedOn w:val="Normal"/>
    <w:next w:val="Normal"/>
    <w:link w:val="Heading1Char"/>
    <w:uiPriority w:val="9"/>
    <w:qFormat/>
    <w:rsid w:val="000F4E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E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4E4E"/>
    <w:pPr>
      <w:outlineLvl w:val="9"/>
    </w:pPr>
    <w:rPr>
      <w:lang w:eastAsia="en-GB"/>
    </w:rPr>
  </w:style>
  <w:style w:type="paragraph" w:styleId="NoSpacing">
    <w:name w:val="No Spacing"/>
    <w:uiPriority w:val="1"/>
    <w:qFormat/>
    <w:rsid w:val="000F4E4E"/>
    <w:pPr>
      <w:spacing w:after="0" w:line="240" w:lineRule="auto"/>
    </w:pPr>
  </w:style>
  <w:style w:type="paragraph" w:styleId="ListParagraph">
    <w:name w:val="List Paragraph"/>
    <w:basedOn w:val="Normal"/>
    <w:uiPriority w:val="34"/>
    <w:qFormat/>
    <w:rsid w:val="00D85B7C"/>
    <w:pPr>
      <w:ind w:left="720"/>
      <w:contextualSpacing/>
    </w:pPr>
  </w:style>
  <w:style w:type="character" w:styleId="Strong">
    <w:name w:val="Strong"/>
    <w:basedOn w:val="DefaultParagraphFont"/>
    <w:uiPriority w:val="22"/>
    <w:qFormat/>
    <w:rsid w:val="00D85B7C"/>
    <w:rPr>
      <w:b/>
      <w:bCs/>
    </w:rPr>
  </w:style>
  <w:style w:type="paragraph" w:styleId="TOC1">
    <w:name w:val="toc 1"/>
    <w:basedOn w:val="Normal"/>
    <w:next w:val="Normal"/>
    <w:autoRedefine/>
    <w:uiPriority w:val="39"/>
    <w:unhideWhenUsed/>
    <w:rsid w:val="00B17407"/>
    <w:pPr>
      <w:tabs>
        <w:tab w:val="right" w:leader="dot" w:pos="10456"/>
      </w:tabs>
      <w:spacing w:after="100"/>
    </w:pPr>
    <w:rPr>
      <w:rFonts w:ascii="Arial" w:hAnsi="Arial" w:cs="Arial"/>
      <w:noProof/>
    </w:rPr>
  </w:style>
  <w:style w:type="character" w:styleId="Hyperlink">
    <w:name w:val="Hyperlink"/>
    <w:basedOn w:val="DefaultParagraphFont"/>
    <w:uiPriority w:val="99"/>
    <w:unhideWhenUsed/>
    <w:rsid w:val="00C630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9A2FE-7620-4650-9FBE-D170FB212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2606</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Sylwia Jarocka (2130204)</cp:lastModifiedBy>
  <cp:revision>3</cp:revision>
  <dcterms:created xsi:type="dcterms:W3CDTF">2023-01-04T20:30:00Z</dcterms:created>
  <dcterms:modified xsi:type="dcterms:W3CDTF">2023-01-04T20:32:00Z</dcterms:modified>
</cp:coreProperties>
</file>