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C87B9F" w14:textId="77777777" w:rsidR="005477F4" w:rsidRDefault="00AF2B17">
      <w:pPr>
        <w:spacing w:after="125" w:line="259" w:lineRule="auto"/>
        <w:ind w:left="0" w:right="1836" w:firstLine="0"/>
        <w:jc w:val="right"/>
      </w:pPr>
      <w:r>
        <w:rPr>
          <w:noProof/>
        </w:rPr>
        <w:drawing>
          <wp:inline distT="0" distB="0" distL="0" distR="0" wp14:anchorId="6F5E64C7" wp14:editId="32E467E9">
            <wp:extent cx="3027120" cy="982980"/>
            <wp:effectExtent l="0" t="0" r="1905" b="7620"/>
            <wp:docPr id="36" name="Picture 36">
              <a:extLst xmlns:a="http://schemas.openxmlformats.org/drawingml/2006/main">
                <a:ext uri="{FF2B5EF4-FFF2-40B4-BE49-F238E27FC236}">
                  <a16:creationId xmlns:a16="http://schemas.microsoft.com/office/drawing/2014/main" id="{FD2B2E7D-6EB9-4BC4-8773-7AC80F277B79}"/>
                </a:ext>
              </a:extLst>
            </wp:docPr>
            <wp:cNvGraphicFramePr/>
            <a:graphic xmlns:a="http://schemas.openxmlformats.org/drawingml/2006/main">
              <a:graphicData uri="http://schemas.openxmlformats.org/drawingml/2006/picture">
                <pic:pic xmlns:pic="http://schemas.openxmlformats.org/drawingml/2006/picture">
                  <pic:nvPicPr>
                    <pic:cNvPr id="36" name="Picture 36"/>
                    <pic:cNvPicPr/>
                  </pic:nvPicPr>
                  <pic:blipFill>
                    <a:blip r:embed="rId9"/>
                    <a:stretch>
                      <a:fillRect/>
                    </a:stretch>
                  </pic:blipFill>
                  <pic:spPr>
                    <a:xfrm>
                      <a:off x="0" y="0"/>
                      <a:ext cx="3029985" cy="983910"/>
                    </a:xfrm>
                    <a:prstGeom prst="rect">
                      <a:avLst/>
                    </a:prstGeom>
                  </pic:spPr>
                </pic:pic>
              </a:graphicData>
            </a:graphic>
          </wp:inline>
        </w:drawing>
      </w:r>
      <w:r>
        <w:t xml:space="preserve"> </w:t>
      </w:r>
    </w:p>
    <w:p w14:paraId="2F3B57BB" w14:textId="77777777" w:rsidR="005477F4" w:rsidRDefault="00AF2B17">
      <w:pPr>
        <w:spacing w:after="176" w:line="259" w:lineRule="auto"/>
        <w:ind w:left="0" w:right="0" w:firstLine="0"/>
        <w:jc w:val="center"/>
      </w:pPr>
      <w:r>
        <w:t xml:space="preserve"> </w:t>
      </w:r>
    </w:p>
    <w:p w14:paraId="12A17A07" w14:textId="77777777" w:rsidR="005477F4" w:rsidRDefault="00AF2B17">
      <w:pPr>
        <w:spacing w:after="173" w:line="259" w:lineRule="auto"/>
        <w:ind w:left="0" w:right="0" w:firstLine="0"/>
        <w:jc w:val="center"/>
      </w:pPr>
      <w:r>
        <w:t xml:space="preserve"> </w:t>
      </w:r>
    </w:p>
    <w:p w14:paraId="57D310E5" w14:textId="77777777" w:rsidR="005477F4" w:rsidRDefault="00AF2B17">
      <w:pPr>
        <w:spacing w:after="176" w:line="259" w:lineRule="auto"/>
        <w:ind w:left="0" w:right="0" w:firstLine="0"/>
        <w:jc w:val="center"/>
      </w:pPr>
      <w:r>
        <w:t xml:space="preserve"> </w:t>
      </w:r>
    </w:p>
    <w:p w14:paraId="573BFD6D" w14:textId="77777777" w:rsidR="005477F4" w:rsidRPr="00400A50" w:rsidRDefault="00AF2B17">
      <w:pPr>
        <w:spacing w:after="176" w:line="259" w:lineRule="auto"/>
        <w:jc w:val="center"/>
        <w:rPr>
          <w:b/>
          <w:bCs/>
          <w:sz w:val="32"/>
          <w:szCs w:val="36"/>
        </w:rPr>
      </w:pPr>
      <w:r w:rsidRPr="00400A50">
        <w:rPr>
          <w:b/>
          <w:bCs/>
          <w:sz w:val="32"/>
          <w:szCs w:val="36"/>
        </w:rPr>
        <w:t xml:space="preserve">Name: Irene Baaba Quagraine </w:t>
      </w:r>
    </w:p>
    <w:p w14:paraId="33762F71" w14:textId="77777777" w:rsidR="005477F4" w:rsidRPr="00400A50" w:rsidRDefault="00AF2B17">
      <w:pPr>
        <w:spacing w:after="166" w:line="267" w:lineRule="auto"/>
        <w:ind w:right="65"/>
        <w:jc w:val="center"/>
        <w:rPr>
          <w:b/>
          <w:bCs/>
          <w:sz w:val="32"/>
          <w:szCs w:val="36"/>
        </w:rPr>
      </w:pPr>
      <w:r w:rsidRPr="00400A50">
        <w:rPr>
          <w:b/>
          <w:bCs/>
          <w:sz w:val="32"/>
          <w:szCs w:val="36"/>
        </w:rPr>
        <w:t xml:space="preserve">Students Number: 2424408 </w:t>
      </w:r>
    </w:p>
    <w:p w14:paraId="5806CAA8" w14:textId="77777777" w:rsidR="005477F4" w:rsidRPr="00400A50" w:rsidRDefault="00AF2B17">
      <w:pPr>
        <w:spacing w:after="176" w:line="259" w:lineRule="auto"/>
        <w:ind w:left="0" w:right="0" w:firstLine="0"/>
        <w:jc w:val="center"/>
        <w:rPr>
          <w:b/>
          <w:bCs/>
          <w:sz w:val="32"/>
          <w:szCs w:val="36"/>
        </w:rPr>
      </w:pPr>
      <w:r w:rsidRPr="00400A50">
        <w:rPr>
          <w:b/>
          <w:bCs/>
          <w:sz w:val="32"/>
          <w:szCs w:val="36"/>
        </w:rPr>
        <w:t xml:space="preserve"> </w:t>
      </w:r>
    </w:p>
    <w:p w14:paraId="1799693F" w14:textId="77777777" w:rsidR="005477F4" w:rsidRPr="00400A50" w:rsidRDefault="00AF2B17">
      <w:pPr>
        <w:spacing w:after="166" w:line="267" w:lineRule="auto"/>
        <w:ind w:right="0"/>
        <w:jc w:val="center"/>
        <w:rPr>
          <w:b/>
          <w:bCs/>
          <w:sz w:val="32"/>
          <w:szCs w:val="36"/>
        </w:rPr>
      </w:pPr>
      <w:r w:rsidRPr="00400A50">
        <w:rPr>
          <w:b/>
          <w:bCs/>
          <w:sz w:val="32"/>
          <w:szCs w:val="36"/>
        </w:rPr>
        <w:t xml:space="preserve">Assignment Title: CASE STUDY REPORT: TYPE 2 DIABETES MELLITUS MANAGEMENT IN PRIMARY CARE </w:t>
      </w:r>
    </w:p>
    <w:p w14:paraId="73676409" w14:textId="77777777" w:rsidR="005477F4" w:rsidRPr="00400A50" w:rsidRDefault="00AF2B17">
      <w:pPr>
        <w:spacing w:after="176" w:line="259" w:lineRule="auto"/>
        <w:ind w:left="0" w:right="0" w:firstLine="0"/>
        <w:jc w:val="center"/>
        <w:rPr>
          <w:b/>
          <w:bCs/>
          <w:sz w:val="32"/>
          <w:szCs w:val="36"/>
        </w:rPr>
      </w:pPr>
      <w:r w:rsidRPr="00400A50">
        <w:rPr>
          <w:b/>
          <w:bCs/>
          <w:sz w:val="32"/>
          <w:szCs w:val="36"/>
        </w:rPr>
        <w:t xml:space="preserve"> </w:t>
      </w:r>
    </w:p>
    <w:p w14:paraId="6075986A" w14:textId="77777777" w:rsidR="005477F4" w:rsidRPr="00400A50" w:rsidRDefault="00AF2B17">
      <w:pPr>
        <w:spacing w:after="10" w:line="267" w:lineRule="auto"/>
        <w:ind w:right="64"/>
        <w:jc w:val="center"/>
        <w:rPr>
          <w:b/>
          <w:bCs/>
          <w:sz w:val="32"/>
          <w:szCs w:val="36"/>
        </w:rPr>
      </w:pPr>
      <w:r w:rsidRPr="00400A50">
        <w:rPr>
          <w:b/>
          <w:bCs/>
          <w:sz w:val="32"/>
          <w:szCs w:val="36"/>
        </w:rPr>
        <w:t xml:space="preserve">Module Code: Bmhp5023 </w:t>
      </w:r>
    </w:p>
    <w:p w14:paraId="1A65111F" w14:textId="77777777" w:rsidR="005477F4" w:rsidRPr="00400A50" w:rsidRDefault="00AF2B17">
      <w:pPr>
        <w:spacing w:after="176" w:line="259" w:lineRule="auto"/>
        <w:ind w:left="0" w:right="0" w:firstLine="0"/>
        <w:jc w:val="center"/>
        <w:rPr>
          <w:b/>
          <w:bCs/>
          <w:sz w:val="32"/>
          <w:szCs w:val="36"/>
        </w:rPr>
      </w:pPr>
      <w:r w:rsidRPr="00400A50">
        <w:rPr>
          <w:b/>
          <w:bCs/>
          <w:sz w:val="32"/>
          <w:szCs w:val="36"/>
        </w:rPr>
        <w:t xml:space="preserve"> </w:t>
      </w:r>
    </w:p>
    <w:p w14:paraId="324E9A58" w14:textId="4B4842CD" w:rsidR="005477F4" w:rsidRPr="00400A50" w:rsidRDefault="00AF2B17">
      <w:pPr>
        <w:spacing w:after="17" w:line="259" w:lineRule="auto"/>
        <w:ind w:right="62"/>
        <w:jc w:val="center"/>
        <w:rPr>
          <w:b/>
          <w:bCs/>
          <w:sz w:val="32"/>
          <w:szCs w:val="36"/>
        </w:rPr>
      </w:pPr>
      <w:r w:rsidRPr="00400A50">
        <w:rPr>
          <w:b/>
          <w:bCs/>
          <w:sz w:val="32"/>
          <w:szCs w:val="36"/>
        </w:rPr>
        <w:t xml:space="preserve">Lecturer’s Name: </w:t>
      </w:r>
      <w:r w:rsidR="008D4395">
        <w:rPr>
          <w:b/>
          <w:bCs/>
          <w:sz w:val="32"/>
          <w:szCs w:val="36"/>
        </w:rPr>
        <w:t>R</w:t>
      </w:r>
      <w:r w:rsidR="00F31FCE">
        <w:rPr>
          <w:b/>
          <w:bCs/>
          <w:sz w:val="32"/>
          <w:szCs w:val="36"/>
        </w:rPr>
        <w:t>izwan Nadim</w:t>
      </w:r>
    </w:p>
    <w:p w14:paraId="0C83F1C5" w14:textId="77777777" w:rsidR="005477F4" w:rsidRPr="00400A50" w:rsidRDefault="00AF2B17">
      <w:pPr>
        <w:spacing w:after="20" w:line="259" w:lineRule="auto"/>
        <w:ind w:left="0" w:right="0" w:firstLine="0"/>
        <w:jc w:val="center"/>
        <w:rPr>
          <w:b/>
          <w:bCs/>
          <w:sz w:val="32"/>
          <w:szCs w:val="36"/>
        </w:rPr>
      </w:pPr>
      <w:r w:rsidRPr="00400A50">
        <w:rPr>
          <w:b/>
          <w:bCs/>
          <w:sz w:val="32"/>
          <w:szCs w:val="36"/>
        </w:rPr>
        <w:t xml:space="preserve"> </w:t>
      </w:r>
    </w:p>
    <w:p w14:paraId="3CDED734" w14:textId="77777777" w:rsidR="005477F4" w:rsidRDefault="00AF2B17">
      <w:pPr>
        <w:spacing w:after="173" w:line="259" w:lineRule="auto"/>
        <w:ind w:left="0" w:right="0" w:firstLine="0"/>
        <w:jc w:val="center"/>
      </w:pPr>
      <w:r>
        <w:t xml:space="preserve"> </w:t>
      </w:r>
    </w:p>
    <w:p w14:paraId="4BF2A80D" w14:textId="77777777" w:rsidR="005477F4" w:rsidRDefault="00AF2B17">
      <w:pPr>
        <w:spacing w:after="176" w:line="259" w:lineRule="auto"/>
        <w:ind w:left="0" w:right="0" w:firstLine="0"/>
        <w:jc w:val="center"/>
      </w:pPr>
      <w:r>
        <w:t xml:space="preserve"> </w:t>
      </w:r>
    </w:p>
    <w:p w14:paraId="3725E379" w14:textId="77777777" w:rsidR="005477F4" w:rsidRDefault="00AF2B17">
      <w:pPr>
        <w:spacing w:after="176" w:line="259" w:lineRule="auto"/>
        <w:ind w:left="0" w:right="0" w:firstLine="0"/>
      </w:pPr>
      <w:r>
        <w:t xml:space="preserve"> </w:t>
      </w:r>
    </w:p>
    <w:p w14:paraId="43947040" w14:textId="77777777" w:rsidR="005477F4" w:rsidRDefault="00AF2B17">
      <w:pPr>
        <w:spacing w:after="173" w:line="259" w:lineRule="auto"/>
        <w:ind w:left="0" w:right="0" w:firstLine="0"/>
      </w:pPr>
      <w:r>
        <w:t xml:space="preserve"> </w:t>
      </w:r>
    </w:p>
    <w:p w14:paraId="30A3122E" w14:textId="77777777" w:rsidR="005477F4" w:rsidRDefault="00AF2B17">
      <w:pPr>
        <w:spacing w:after="173" w:line="259" w:lineRule="auto"/>
        <w:ind w:left="0" w:right="0" w:firstLine="0"/>
      </w:pPr>
      <w:r>
        <w:t xml:space="preserve"> </w:t>
      </w:r>
    </w:p>
    <w:p w14:paraId="7AFD3AC3" w14:textId="77777777" w:rsidR="005477F4" w:rsidRDefault="00AF2B17">
      <w:pPr>
        <w:spacing w:after="176" w:line="259" w:lineRule="auto"/>
        <w:ind w:left="0" w:right="0" w:firstLine="0"/>
      </w:pPr>
      <w:r>
        <w:t xml:space="preserve"> </w:t>
      </w:r>
    </w:p>
    <w:p w14:paraId="5FC432B0" w14:textId="77777777" w:rsidR="005477F4" w:rsidRDefault="00AF2B17">
      <w:pPr>
        <w:spacing w:after="173" w:line="259" w:lineRule="auto"/>
        <w:ind w:left="0" w:right="0" w:firstLine="0"/>
      </w:pPr>
      <w:r>
        <w:t xml:space="preserve"> </w:t>
      </w:r>
    </w:p>
    <w:p w14:paraId="04D980DA" w14:textId="77777777" w:rsidR="005477F4" w:rsidRDefault="00AF2B17">
      <w:pPr>
        <w:spacing w:after="176" w:line="259" w:lineRule="auto"/>
        <w:ind w:left="0" w:right="0" w:firstLine="0"/>
      </w:pPr>
      <w:r>
        <w:t xml:space="preserve"> </w:t>
      </w:r>
    </w:p>
    <w:p w14:paraId="2730E8CA" w14:textId="77777777" w:rsidR="005477F4" w:rsidRDefault="00AF2B17">
      <w:pPr>
        <w:spacing w:after="176" w:line="259" w:lineRule="auto"/>
        <w:ind w:left="0" w:right="0" w:firstLine="0"/>
      </w:pPr>
      <w:r>
        <w:t xml:space="preserve"> </w:t>
      </w:r>
    </w:p>
    <w:p w14:paraId="1A5F4CB3" w14:textId="77777777" w:rsidR="005477F4" w:rsidRDefault="00AF2B17">
      <w:pPr>
        <w:spacing w:after="173" w:line="259" w:lineRule="auto"/>
        <w:ind w:left="0" w:right="0" w:firstLine="0"/>
      </w:pPr>
      <w:r>
        <w:lastRenderedPageBreak/>
        <w:t xml:space="preserve"> </w:t>
      </w:r>
    </w:p>
    <w:p w14:paraId="550E3529" w14:textId="6F042EEE" w:rsidR="005477F4" w:rsidRDefault="00AF2B17">
      <w:pPr>
        <w:spacing w:after="17" w:line="259" w:lineRule="auto"/>
        <w:ind w:right="61"/>
        <w:jc w:val="center"/>
      </w:pPr>
      <w:r>
        <w:t>Word Count: 2</w:t>
      </w:r>
      <w:r w:rsidR="00D81D41">
        <w:t>116</w:t>
      </w:r>
      <w:r>
        <w:t xml:space="preserve"> </w:t>
      </w:r>
    </w:p>
    <w:p w14:paraId="1D1A4056" w14:textId="77777777" w:rsidR="005477F4" w:rsidRDefault="00AF2B17">
      <w:pPr>
        <w:pStyle w:val="Heading1"/>
        <w:ind w:left="261" w:hanging="274"/>
      </w:pPr>
      <w:r>
        <w:t xml:space="preserve">INTRODUCTION </w:t>
      </w:r>
    </w:p>
    <w:p w14:paraId="1322DFF0" w14:textId="50F6DC1A" w:rsidR="005477F4" w:rsidRPr="008D28C8" w:rsidRDefault="00AF2B17" w:rsidP="008D28C8">
      <w:pPr>
        <w:spacing w:after="175" w:line="360" w:lineRule="auto"/>
        <w:ind w:left="-3" w:right="0"/>
        <w:rPr>
          <w:rFonts w:ascii="Arial" w:hAnsi="Arial" w:cs="Arial"/>
        </w:rPr>
      </w:pPr>
      <w:r w:rsidRPr="008D28C8">
        <w:rPr>
          <w:rFonts w:ascii="Arial" w:hAnsi="Arial" w:cs="Arial"/>
        </w:rPr>
        <w:t xml:space="preserve">1 Background </w:t>
      </w:r>
    </w:p>
    <w:p w14:paraId="3BF5B29C" w14:textId="24F321DB" w:rsidR="005477F4" w:rsidRPr="008D28C8" w:rsidRDefault="00AF2B17" w:rsidP="008D28C8">
      <w:pPr>
        <w:spacing w:after="115" w:line="360" w:lineRule="auto"/>
        <w:ind w:left="-3" w:right="55"/>
        <w:rPr>
          <w:rFonts w:ascii="Arial" w:hAnsi="Arial" w:cs="Arial"/>
        </w:rPr>
      </w:pPr>
      <w:r w:rsidRPr="008D28C8">
        <w:rPr>
          <w:rFonts w:ascii="Arial" w:hAnsi="Arial" w:cs="Arial"/>
        </w:rPr>
        <w:t xml:space="preserve">Diabetes mellitus is a progressive metabolic disease characterized by chronic </w:t>
      </w:r>
      <w:r w:rsidR="00B01BC5" w:rsidRPr="008D28C8">
        <w:rPr>
          <w:rFonts w:ascii="Arial" w:hAnsi="Arial" w:cs="Arial"/>
        </w:rPr>
        <w:t>hyperglycaemia</w:t>
      </w:r>
      <w:r w:rsidRPr="008D28C8">
        <w:rPr>
          <w:rFonts w:ascii="Arial" w:hAnsi="Arial" w:cs="Arial"/>
        </w:rPr>
        <w:t xml:space="preserve"> due to defects in insulin secretion, insulin action, or both. In primary care, Type 2 Diabetes Mellitus (T2DM) account for the vast cases. In contrast to Type 1 diabetes which is associated with autoimmune-mediated destruction of pancreatic </w:t>
      </w:r>
      <w:r w:rsidR="00B01BC5" w:rsidRPr="008D28C8">
        <w:rPr>
          <w:rFonts w:ascii="Arial" w:hAnsi="Arial" w:cs="Arial"/>
        </w:rPr>
        <w:t>beta cells</w:t>
      </w:r>
      <w:r w:rsidRPr="008D28C8">
        <w:rPr>
          <w:rFonts w:ascii="Arial" w:hAnsi="Arial" w:cs="Arial"/>
        </w:rPr>
        <w:t xml:space="preserve">, T2DM pathology is characterized by peripheral insulin resistance and a relative deficiency of insulin secretion. </w:t>
      </w:r>
    </w:p>
    <w:p w14:paraId="5BD1DBE5" w14:textId="77777777" w:rsidR="005477F4" w:rsidRPr="008D28C8" w:rsidRDefault="00AF2B17" w:rsidP="008D28C8">
      <w:pPr>
        <w:spacing w:after="0" w:line="360" w:lineRule="auto"/>
        <w:ind w:left="0" w:right="0" w:firstLine="0"/>
        <w:jc w:val="center"/>
        <w:rPr>
          <w:rFonts w:ascii="Arial" w:hAnsi="Arial" w:cs="Arial"/>
        </w:rPr>
      </w:pPr>
      <w:r w:rsidRPr="008D28C8">
        <w:rPr>
          <w:rFonts w:ascii="Arial" w:hAnsi="Arial" w:cs="Arial"/>
          <w:noProof/>
        </w:rPr>
        <w:drawing>
          <wp:inline distT="0" distB="0" distL="0" distR="0" wp14:anchorId="0F74C2C9" wp14:editId="0D616034">
            <wp:extent cx="2575560" cy="3087624"/>
            <wp:effectExtent l="0" t="0" r="0" b="0"/>
            <wp:docPr id="71" name="Picture 71">
              <a:extLst xmlns:a="http://schemas.openxmlformats.org/drawingml/2006/main">
                <a:ext uri="{FF2B5EF4-FFF2-40B4-BE49-F238E27FC236}">
                  <a16:creationId xmlns:a16="http://schemas.microsoft.com/office/drawing/2014/main" id="{352E6BF3-B7D6-4357-86A0-3CE706554B0D}"/>
                </a:ext>
              </a:extLst>
            </wp:docPr>
            <wp:cNvGraphicFramePr/>
            <a:graphic xmlns:a="http://schemas.openxmlformats.org/drawingml/2006/main">
              <a:graphicData uri="http://schemas.openxmlformats.org/drawingml/2006/picture">
                <pic:pic xmlns:pic="http://schemas.openxmlformats.org/drawingml/2006/picture">
                  <pic:nvPicPr>
                    <pic:cNvPr id="71" name="Picture 71"/>
                    <pic:cNvPicPr/>
                  </pic:nvPicPr>
                  <pic:blipFill>
                    <a:blip r:embed="rId10"/>
                    <a:stretch>
                      <a:fillRect/>
                    </a:stretch>
                  </pic:blipFill>
                  <pic:spPr>
                    <a:xfrm>
                      <a:off x="0" y="0"/>
                      <a:ext cx="2575560" cy="3087624"/>
                    </a:xfrm>
                    <a:prstGeom prst="rect">
                      <a:avLst/>
                    </a:prstGeom>
                  </pic:spPr>
                </pic:pic>
              </a:graphicData>
            </a:graphic>
          </wp:inline>
        </w:drawing>
      </w:r>
      <w:r w:rsidRPr="008D28C8">
        <w:rPr>
          <w:rFonts w:ascii="Arial" w:hAnsi="Arial" w:cs="Arial"/>
        </w:rPr>
        <w:t xml:space="preserve"> </w:t>
      </w:r>
    </w:p>
    <w:p w14:paraId="1CEDB623" w14:textId="77777777" w:rsidR="005477F4" w:rsidRPr="008D28C8" w:rsidRDefault="00AF2B17" w:rsidP="008D28C8">
      <w:pPr>
        <w:spacing w:after="160" w:line="360" w:lineRule="auto"/>
        <w:ind w:right="66"/>
        <w:jc w:val="center"/>
        <w:rPr>
          <w:rFonts w:ascii="Arial" w:hAnsi="Arial" w:cs="Arial"/>
        </w:rPr>
      </w:pPr>
      <w:r w:rsidRPr="008D28C8">
        <w:rPr>
          <w:rFonts w:ascii="Arial" w:hAnsi="Arial" w:cs="Arial"/>
          <w:sz w:val="19"/>
        </w:rPr>
        <w:t>Figure 1: Type 2 Diabetes (Harmony Endocrine, n.d.).</w:t>
      </w:r>
      <w:r w:rsidRPr="008D28C8">
        <w:rPr>
          <w:rFonts w:ascii="Arial" w:hAnsi="Arial" w:cs="Arial"/>
        </w:rPr>
        <w:t xml:space="preserve"> </w:t>
      </w:r>
    </w:p>
    <w:p w14:paraId="66711D4D" w14:textId="0E0D0E94" w:rsidR="005477F4" w:rsidRPr="008D28C8" w:rsidRDefault="00AF2B17" w:rsidP="008D28C8">
      <w:pPr>
        <w:spacing w:after="175" w:line="360" w:lineRule="auto"/>
        <w:ind w:left="-3" w:right="0"/>
        <w:rPr>
          <w:rFonts w:ascii="Arial" w:hAnsi="Arial" w:cs="Arial"/>
        </w:rPr>
      </w:pPr>
      <w:r w:rsidRPr="008D28C8">
        <w:rPr>
          <w:rFonts w:ascii="Arial" w:hAnsi="Arial" w:cs="Arial"/>
        </w:rPr>
        <w:t xml:space="preserve"> Non-Modifiable Risk Factors </w:t>
      </w:r>
    </w:p>
    <w:p w14:paraId="1C7E02D8" w14:textId="0187521A" w:rsidR="005477F4" w:rsidRPr="008D28C8" w:rsidRDefault="00AF2B17" w:rsidP="008D28C8">
      <w:pPr>
        <w:spacing w:line="360" w:lineRule="auto"/>
        <w:ind w:left="756" w:right="55" w:firstLine="0"/>
        <w:rPr>
          <w:rFonts w:ascii="Arial" w:hAnsi="Arial" w:cs="Arial"/>
        </w:rPr>
      </w:pPr>
      <w:r w:rsidRPr="008D28C8">
        <w:rPr>
          <w:rFonts w:ascii="Arial" w:hAnsi="Arial" w:cs="Arial"/>
        </w:rPr>
        <w:t xml:space="preserve">Genetics and Family History: People who have a first-degree relative with T2DM are at increased risk, which </w:t>
      </w:r>
      <w:r w:rsidR="005A458B" w:rsidRPr="008D28C8">
        <w:rPr>
          <w:rFonts w:ascii="Arial" w:hAnsi="Arial" w:cs="Arial"/>
        </w:rPr>
        <w:t>is</w:t>
      </w:r>
      <w:r w:rsidRPr="008D28C8">
        <w:rPr>
          <w:rFonts w:ascii="Arial" w:hAnsi="Arial" w:cs="Arial"/>
        </w:rPr>
        <w:t xml:space="preserve"> due to a strong polygenic effect that impacts beta-cell mass and intracellular insulin </w:t>
      </w:r>
      <w:r w:rsidR="00DC78A1" w:rsidRPr="008D28C8">
        <w:rPr>
          <w:rFonts w:ascii="Arial" w:hAnsi="Arial" w:cs="Arial"/>
        </w:rPr>
        <w:t>signalling</w:t>
      </w:r>
      <w:r w:rsidRPr="008D28C8">
        <w:rPr>
          <w:rFonts w:ascii="Arial" w:hAnsi="Arial" w:cs="Arial"/>
        </w:rPr>
        <w:t xml:space="preserve">. </w:t>
      </w:r>
    </w:p>
    <w:p w14:paraId="293FD337" w14:textId="77777777" w:rsidR="005477F4" w:rsidRPr="008D28C8" w:rsidRDefault="00AF2B17" w:rsidP="008D28C8">
      <w:pPr>
        <w:spacing w:line="360" w:lineRule="auto"/>
        <w:ind w:left="756" w:right="55" w:firstLine="0"/>
        <w:rPr>
          <w:rFonts w:ascii="Arial" w:hAnsi="Arial" w:cs="Arial"/>
        </w:rPr>
      </w:pPr>
      <w:r w:rsidRPr="008D28C8">
        <w:rPr>
          <w:rFonts w:ascii="Arial" w:hAnsi="Arial" w:cs="Arial"/>
        </w:rPr>
        <w:t xml:space="preserve">Age: Risk increases progressively from age 40 due to age-related declines in beta-cell function and shifts toward visceral adiposity. </w:t>
      </w:r>
    </w:p>
    <w:p w14:paraId="1096A80B" w14:textId="77777777" w:rsidR="005477F4" w:rsidRPr="008D28C8" w:rsidRDefault="00AF2B17" w:rsidP="008D28C8">
      <w:pPr>
        <w:spacing w:line="360" w:lineRule="auto"/>
        <w:ind w:left="756" w:right="55" w:firstLine="0"/>
        <w:rPr>
          <w:rFonts w:ascii="Arial" w:hAnsi="Arial" w:cs="Arial"/>
        </w:rPr>
      </w:pPr>
      <w:r w:rsidRPr="008D28C8">
        <w:rPr>
          <w:rFonts w:ascii="Arial" w:hAnsi="Arial" w:cs="Arial"/>
        </w:rPr>
        <w:lastRenderedPageBreak/>
        <w:t xml:space="preserve">Ethnicity: Genetic susceptibility varies significantly. Individuals of South Asian, African-Caribbean, Black African, and Middle Eastern descent face an elevated risk at a younger age and at lower Body Mass Index (BMI) thresholds than white European populations (NICE, 2022). </w:t>
      </w:r>
    </w:p>
    <w:p w14:paraId="7EB97746" w14:textId="77777777" w:rsidR="005477F4" w:rsidRPr="008D28C8" w:rsidRDefault="00AF2B17" w:rsidP="008D28C8">
      <w:pPr>
        <w:spacing w:after="0" w:line="360" w:lineRule="auto"/>
        <w:ind w:left="350" w:right="0" w:firstLine="0"/>
        <w:rPr>
          <w:rFonts w:ascii="Arial" w:hAnsi="Arial" w:cs="Arial"/>
        </w:rPr>
      </w:pPr>
      <w:r w:rsidRPr="008D28C8">
        <w:rPr>
          <w:rFonts w:ascii="Arial" w:hAnsi="Arial" w:cs="Arial"/>
        </w:rPr>
        <w:t xml:space="preserve"> </w:t>
      </w:r>
    </w:p>
    <w:p w14:paraId="2C21AAFF" w14:textId="6E6ADBE1" w:rsidR="005477F4" w:rsidRPr="008D28C8" w:rsidRDefault="00AF2B17" w:rsidP="008D28C8">
      <w:pPr>
        <w:spacing w:after="175" w:line="360" w:lineRule="auto"/>
        <w:ind w:left="-3" w:right="0"/>
        <w:rPr>
          <w:rFonts w:ascii="Arial" w:hAnsi="Arial" w:cs="Arial"/>
        </w:rPr>
      </w:pPr>
      <w:r w:rsidRPr="008D28C8">
        <w:rPr>
          <w:rFonts w:ascii="Arial" w:hAnsi="Arial" w:cs="Arial"/>
        </w:rPr>
        <w:t xml:space="preserve"> Modifiable Risk Factors </w:t>
      </w:r>
    </w:p>
    <w:p w14:paraId="22A9C823" w14:textId="2DE8723D" w:rsidR="005477F4" w:rsidRPr="008D28C8" w:rsidRDefault="00AF2B17" w:rsidP="008D28C8">
      <w:pPr>
        <w:spacing w:line="360" w:lineRule="auto"/>
        <w:ind w:left="751" w:right="55" w:firstLine="0"/>
        <w:rPr>
          <w:rFonts w:ascii="Arial" w:hAnsi="Arial" w:cs="Arial"/>
        </w:rPr>
      </w:pPr>
      <w:r w:rsidRPr="008D28C8">
        <w:rPr>
          <w:rFonts w:ascii="Arial" w:hAnsi="Arial" w:cs="Arial"/>
        </w:rPr>
        <w:t xml:space="preserve">Obesity and Overweight: Visceral adiposity </w:t>
      </w:r>
      <w:r w:rsidR="002F341D" w:rsidRPr="008D28C8">
        <w:rPr>
          <w:rFonts w:ascii="Arial" w:hAnsi="Arial" w:cs="Arial"/>
        </w:rPr>
        <w:t>Are</w:t>
      </w:r>
      <w:r w:rsidRPr="008D28C8">
        <w:rPr>
          <w:rFonts w:ascii="Arial" w:hAnsi="Arial" w:cs="Arial"/>
        </w:rPr>
        <w:t xml:space="preserve"> the largest modifiable determinant of T2</w:t>
      </w:r>
      <w:r w:rsidR="00F76A51" w:rsidRPr="008D28C8">
        <w:rPr>
          <w:rFonts w:ascii="Arial" w:hAnsi="Arial" w:cs="Arial"/>
        </w:rPr>
        <w:t xml:space="preserve">DM. </w:t>
      </w:r>
    </w:p>
    <w:p w14:paraId="666FB5D6" w14:textId="12EF5170" w:rsidR="005477F4" w:rsidRPr="008D28C8" w:rsidRDefault="00AF2B17" w:rsidP="008D28C8">
      <w:pPr>
        <w:spacing w:line="360" w:lineRule="auto"/>
        <w:ind w:left="751" w:right="55" w:firstLine="0"/>
        <w:rPr>
          <w:rFonts w:ascii="Arial" w:hAnsi="Arial" w:cs="Arial"/>
        </w:rPr>
      </w:pPr>
      <w:r w:rsidRPr="008D28C8">
        <w:rPr>
          <w:rFonts w:ascii="Arial" w:hAnsi="Arial" w:cs="Arial"/>
        </w:rPr>
        <w:t xml:space="preserve">Physical Inactivity: Sedentary </w:t>
      </w:r>
      <w:r w:rsidR="008225A4" w:rsidRPr="008D28C8">
        <w:rPr>
          <w:rFonts w:ascii="Arial" w:hAnsi="Arial" w:cs="Arial"/>
        </w:rPr>
        <w:t>behaviour</w:t>
      </w:r>
      <w:r w:rsidRPr="008D28C8">
        <w:rPr>
          <w:rFonts w:ascii="Arial" w:hAnsi="Arial" w:cs="Arial"/>
        </w:rPr>
        <w:t xml:space="preserve"> promotes weight gain and reduces insulin sensitivity within skeletal muscle tissue. </w:t>
      </w:r>
    </w:p>
    <w:p w14:paraId="669FCBC0" w14:textId="77777777" w:rsidR="005477F4" w:rsidRPr="008D28C8" w:rsidRDefault="00AF2B17" w:rsidP="008D28C8">
      <w:pPr>
        <w:spacing w:line="360" w:lineRule="auto"/>
        <w:ind w:left="751" w:right="55" w:firstLine="0"/>
        <w:rPr>
          <w:rFonts w:ascii="Arial" w:hAnsi="Arial" w:cs="Arial"/>
        </w:rPr>
      </w:pPr>
      <w:r w:rsidRPr="008D28C8">
        <w:rPr>
          <w:rFonts w:ascii="Arial" w:hAnsi="Arial" w:cs="Arial"/>
        </w:rPr>
        <w:t xml:space="preserve">Poor Nutritional Patterns: Diets high in ultra-processed foods, refined sugars, and saturated fats contribute heavily to chronic metabolic strain. </w:t>
      </w:r>
    </w:p>
    <w:p w14:paraId="1B586C01" w14:textId="77777777" w:rsidR="005477F4" w:rsidRPr="008D28C8" w:rsidRDefault="00AF2B17" w:rsidP="008D28C8">
      <w:pPr>
        <w:spacing w:after="394" w:line="360" w:lineRule="auto"/>
        <w:ind w:left="751" w:right="55" w:firstLine="0"/>
        <w:rPr>
          <w:rFonts w:ascii="Arial" w:hAnsi="Arial" w:cs="Arial"/>
        </w:rPr>
      </w:pPr>
      <w:r w:rsidRPr="008D28C8">
        <w:rPr>
          <w:rFonts w:ascii="Arial" w:hAnsi="Arial" w:cs="Arial"/>
        </w:rPr>
        <w:t xml:space="preserve">Cigarette Smoking: Smoking increases oxidative stress, systemic inflammation, and endothelial damage, directly impairing insulin sensitivity and accelerating macrovascular complications. </w:t>
      </w:r>
    </w:p>
    <w:p w14:paraId="2A342161" w14:textId="77777777" w:rsidR="005477F4" w:rsidRPr="008D28C8" w:rsidRDefault="00AF2B17" w:rsidP="008D28C8">
      <w:pPr>
        <w:pStyle w:val="Heading1"/>
        <w:spacing w:line="360" w:lineRule="auto"/>
        <w:ind w:left="260" w:hanging="273"/>
        <w:rPr>
          <w:rFonts w:ascii="Arial" w:hAnsi="Arial" w:cs="Arial"/>
        </w:rPr>
      </w:pPr>
      <w:r w:rsidRPr="008D28C8">
        <w:rPr>
          <w:rFonts w:ascii="Arial" w:hAnsi="Arial" w:cs="Arial"/>
        </w:rPr>
        <w:t xml:space="preserve">HOW BLOOD GLUCOSE IS REGULATED BY INSULIN AND GLUCAGON </w:t>
      </w:r>
    </w:p>
    <w:p w14:paraId="2CF156DD" w14:textId="2B4B945A" w:rsidR="005477F4" w:rsidRPr="008D28C8" w:rsidRDefault="00AF2B17" w:rsidP="008D28C8">
      <w:pPr>
        <w:spacing w:after="106" w:line="360" w:lineRule="auto"/>
        <w:ind w:left="-3" w:right="55"/>
        <w:rPr>
          <w:rFonts w:ascii="Arial" w:hAnsi="Arial" w:cs="Arial"/>
        </w:rPr>
      </w:pPr>
      <w:r w:rsidRPr="008D28C8">
        <w:rPr>
          <w:rFonts w:ascii="Arial" w:hAnsi="Arial" w:cs="Arial"/>
        </w:rPr>
        <w:t xml:space="preserve">Maintaining blood glucose levels within a safe physiological range typically between 4.0 and 5.9 mmol/L </w:t>
      </w:r>
      <w:r w:rsidR="007B2619" w:rsidRPr="008D28C8">
        <w:rPr>
          <w:rFonts w:ascii="Arial" w:hAnsi="Arial" w:cs="Arial"/>
        </w:rPr>
        <w:t>when fasting</w:t>
      </w:r>
      <w:r w:rsidRPr="008D28C8">
        <w:rPr>
          <w:rFonts w:ascii="Arial" w:hAnsi="Arial" w:cs="Arial"/>
        </w:rPr>
        <w:t xml:space="preserve"> </w:t>
      </w:r>
      <w:r w:rsidR="009C5896" w:rsidRPr="008D28C8">
        <w:rPr>
          <w:rFonts w:ascii="Arial" w:hAnsi="Arial" w:cs="Arial"/>
        </w:rPr>
        <w:t>is coordinated</w:t>
      </w:r>
      <w:r w:rsidRPr="008D28C8">
        <w:rPr>
          <w:rFonts w:ascii="Arial" w:hAnsi="Arial" w:cs="Arial"/>
        </w:rPr>
        <w:t xml:space="preserve"> by the endocrine pancreas via the Islets of Langerhans using two primary counter-regulatory hormones: insulin and glucagon (Röder et al., 2016). </w:t>
      </w:r>
    </w:p>
    <w:p w14:paraId="419E20D8" w14:textId="77777777" w:rsidR="005477F4" w:rsidRPr="008D28C8" w:rsidRDefault="00AF2B17" w:rsidP="008D28C8">
      <w:pPr>
        <w:spacing w:after="0" w:line="360" w:lineRule="auto"/>
        <w:ind w:left="0" w:right="5" w:firstLine="0"/>
        <w:jc w:val="center"/>
        <w:rPr>
          <w:rFonts w:ascii="Arial" w:hAnsi="Arial" w:cs="Arial"/>
        </w:rPr>
      </w:pPr>
      <w:r w:rsidRPr="008D28C8">
        <w:rPr>
          <w:rFonts w:ascii="Arial" w:hAnsi="Arial" w:cs="Arial"/>
          <w:noProof/>
        </w:rPr>
        <w:lastRenderedPageBreak/>
        <w:drawing>
          <wp:inline distT="0" distB="0" distL="0" distR="0" wp14:anchorId="6BB473CB" wp14:editId="04CB28D6">
            <wp:extent cx="2403348" cy="3052572"/>
            <wp:effectExtent l="0" t="0" r="0" b="0"/>
            <wp:docPr id="134" name="Picture 134">
              <a:extLst xmlns:a="http://schemas.openxmlformats.org/drawingml/2006/main">
                <a:ext uri="{FF2B5EF4-FFF2-40B4-BE49-F238E27FC236}">
                  <a16:creationId xmlns:a16="http://schemas.microsoft.com/office/drawing/2014/main" id="{B6A444E2-8070-4D10-99E5-76707229AA0A}"/>
                </a:ext>
              </a:extLst>
            </wp:docPr>
            <wp:cNvGraphicFramePr/>
            <a:graphic xmlns:a="http://schemas.openxmlformats.org/drawingml/2006/main">
              <a:graphicData uri="http://schemas.openxmlformats.org/drawingml/2006/picture">
                <pic:pic xmlns:pic="http://schemas.openxmlformats.org/drawingml/2006/picture">
                  <pic:nvPicPr>
                    <pic:cNvPr id="134" name="Picture 134"/>
                    <pic:cNvPicPr/>
                  </pic:nvPicPr>
                  <pic:blipFill>
                    <a:blip r:embed="rId11"/>
                    <a:stretch>
                      <a:fillRect/>
                    </a:stretch>
                  </pic:blipFill>
                  <pic:spPr>
                    <a:xfrm>
                      <a:off x="0" y="0"/>
                      <a:ext cx="2403348" cy="3052572"/>
                    </a:xfrm>
                    <a:prstGeom prst="rect">
                      <a:avLst/>
                    </a:prstGeom>
                  </pic:spPr>
                </pic:pic>
              </a:graphicData>
            </a:graphic>
          </wp:inline>
        </w:drawing>
      </w:r>
      <w:r w:rsidRPr="008D28C8">
        <w:rPr>
          <w:rFonts w:ascii="Arial" w:hAnsi="Arial" w:cs="Arial"/>
        </w:rPr>
        <w:t xml:space="preserve"> </w:t>
      </w:r>
    </w:p>
    <w:p w14:paraId="6A5EE006" w14:textId="77777777" w:rsidR="005477F4" w:rsidRPr="008D28C8" w:rsidRDefault="00AF2B17" w:rsidP="008D28C8">
      <w:pPr>
        <w:spacing w:after="160" w:line="360" w:lineRule="auto"/>
        <w:ind w:right="65"/>
        <w:jc w:val="center"/>
        <w:rPr>
          <w:rFonts w:ascii="Arial" w:hAnsi="Arial" w:cs="Arial"/>
        </w:rPr>
      </w:pPr>
      <w:r w:rsidRPr="008D28C8">
        <w:rPr>
          <w:rFonts w:ascii="Arial" w:hAnsi="Arial" w:cs="Arial"/>
          <w:sz w:val="19"/>
        </w:rPr>
        <w:t>Figure 2: How Blood Glucose Is Regulated by Insulin and Glucagon (Labster, n.d.).</w:t>
      </w:r>
      <w:r w:rsidRPr="008D28C8">
        <w:rPr>
          <w:rFonts w:ascii="Arial" w:hAnsi="Arial" w:cs="Arial"/>
        </w:rPr>
        <w:t xml:space="preserve"> </w:t>
      </w:r>
    </w:p>
    <w:p w14:paraId="54C5330D" w14:textId="04EFA21C" w:rsidR="005477F4" w:rsidRPr="008D28C8" w:rsidRDefault="00AF2B17" w:rsidP="008D28C8">
      <w:pPr>
        <w:spacing w:after="175" w:line="360" w:lineRule="auto"/>
        <w:ind w:left="-3" w:right="0"/>
        <w:rPr>
          <w:rFonts w:ascii="Arial" w:hAnsi="Arial" w:cs="Arial"/>
        </w:rPr>
      </w:pPr>
      <w:r w:rsidRPr="008D28C8">
        <w:rPr>
          <w:rFonts w:ascii="Arial" w:hAnsi="Arial" w:cs="Arial"/>
        </w:rPr>
        <w:t xml:space="preserve"> The Postprandial State: Role of Insulin </w:t>
      </w:r>
    </w:p>
    <w:p w14:paraId="2C4450A4" w14:textId="3A5225D3" w:rsidR="005477F4" w:rsidRPr="008D28C8" w:rsidRDefault="00AF2B17" w:rsidP="008D28C8">
      <w:pPr>
        <w:spacing w:line="360" w:lineRule="auto"/>
        <w:ind w:left="-3" w:right="55"/>
        <w:rPr>
          <w:rFonts w:ascii="Arial" w:hAnsi="Arial" w:cs="Arial"/>
        </w:rPr>
      </w:pPr>
      <w:r w:rsidRPr="008D28C8">
        <w:rPr>
          <w:rFonts w:ascii="Arial" w:hAnsi="Arial" w:cs="Arial"/>
        </w:rPr>
        <w:t xml:space="preserve">After consumption of carbohydrates, </w:t>
      </w:r>
      <w:r w:rsidR="007B2619" w:rsidRPr="008D28C8">
        <w:rPr>
          <w:rFonts w:ascii="Arial" w:hAnsi="Arial" w:cs="Arial"/>
        </w:rPr>
        <w:t>glucose is</w:t>
      </w:r>
      <w:r w:rsidRPr="008D28C8">
        <w:rPr>
          <w:rFonts w:ascii="Arial" w:hAnsi="Arial" w:cs="Arial"/>
        </w:rPr>
        <w:t xml:space="preserve"> </w:t>
      </w:r>
      <w:r w:rsidR="00921E25" w:rsidRPr="008D28C8">
        <w:rPr>
          <w:rFonts w:ascii="Arial" w:hAnsi="Arial" w:cs="Arial"/>
        </w:rPr>
        <w:t>released into</w:t>
      </w:r>
      <w:r w:rsidRPr="008D28C8">
        <w:rPr>
          <w:rFonts w:ascii="Arial" w:hAnsi="Arial" w:cs="Arial"/>
        </w:rPr>
        <w:t xml:space="preserve"> the bloodstream increasing blood glucose levels. Pancreatic beta-cells detect this increase and </w:t>
      </w:r>
      <w:r w:rsidR="00642D2C" w:rsidRPr="008D28C8">
        <w:rPr>
          <w:rFonts w:ascii="Arial" w:hAnsi="Arial" w:cs="Arial"/>
        </w:rPr>
        <w:t>release.</w:t>
      </w:r>
      <w:r w:rsidRPr="008D28C8">
        <w:rPr>
          <w:rFonts w:ascii="Arial" w:hAnsi="Arial" w:cs="Arial"/>
        </w:rPr>
        <w:t xml:space="preserve"> </w:t>
      </w:r>
    </w:p>
    <w:p w14:paraId="53D67207" w14:textId="71FDCAD1" w:rsidR="005477F4" w:rsidRPr="008D28C8" w:rsidRDefault="00AF2B17" w:rsidP="008D28C8">
      <w:pPr>
        <w:spacing w:line="360" w:lineRule="auto"/>
        <w:ind w:left="-3" w:right="55"/>
        <w:rPr>
          <w:rFonts w:ascii="Arial" w:hAnsi="Arial" w:cs="Arial"/>
        </w:rPr>
      </w:pPr>
      <w:r w:rsidRPr="008D28C8">
        <w:rPr>
          <w:rFonts w:ascii="Arial" w:hAnsi="Arial" w:cs="Arial"/>
        </w:rPr>
        <w:t xml:space="preserve">insulin (Röder et al., 2016). Insulin is an anabolic </w:t>
      </w:r>
      <w:r w:rsidR="0026508B" w:rsidRPr="008D28C8">
        <w:rPr>
          <w:rFonts w:ascii="Arial" w:hAnsi="Arial" w:cs="Arial"/>
        </w:rPr>
        <w:t>signalling</w:t>
      </w:r>
      <w:r w:rsidRPr="008D28C8">
        <w:rPr>
          <w:rFonts w:ascii="Arial" w:hAnsi="Arial" w:cs="Arial"/>
        </w:rPr>
        <w:t xml:space="preserve"> molecule that contributes to glucose clearance through </w:t>
      </w:r>
      <w:r w:rsidR="003477E3" w:rsidRPr="008D28C8">
        <w:rPr>
          <w:rFonts w:ascii="Arial" w:hAnsi="Arial" w:cs="Arial"/>
        </w:rPr>
        <w:t>two</w:t>
      </w:r>
      <w:r w:rsidRPr="008D28C8">
        <w:rPr>
          <w:rFonts w:ascii="Arial" w:hAnsi="Arial" w:cs="Arial"/>
        </w:rPr>
        <w:t xml:space="preserve"> main pathways: </w:t>
      </w:r>
    </w:p>
    <w:p w14:paraId="64E15733" w14:textId="6F38E124" w:rsidR="005477F4" w:rsidRPr="008D28C8" w:rsidRDefault="00AF2B17" w:rsidP="008D28C8">
      <w:pPr>
        <w:spacing w:line="360" w:lineRule="auto"/>
        <w:ind w:left="701" w:right="55" w:firstLine="0"/>
        <w:rPr>
          <w:rFonts w:ascii="Arial" w:hAnsi="Arial" w:cs="Arial"/>
        </w:rPr>
      </w:pPr>
      <w:r w:rsidRPr="008D28C8">
        <w:rPr>
          <w:rFonts w:ascii="Arial" w:hAnsi="Arial" w:cs="Arial"/>
        </w:rPr>
        <w:t xml:space="preserve">Peripheral Glucose Uptake: Insulin interacts with tyrosine kinase receptors on skeletal muscle and fat cells that then activate an intracellular </w:t>
      </w:r>
      <w:r w:rsidR="0026508B" w:rsidRPr="008D28C8">
        <w:rPr>
          <w:rFonts w:ascii="Arial" w:hAnsi="Arial" w:cs="Arial"/>
        </w:rPr>
        <w:t>signalling</w:t>
      </w:r>
      <w:r w:rsidRPr="008D28C8">
        <w:rPr>
          <w:rFonts w:ascii="Arial" w:hAnsi="Arial" w:cs="Arial"/>
        </w:rPr>
        <w:t xml:space="preserve"> cascade resulting in the translocation of glucose transporter proteins (GLUT4) to the plasma membrane. Glucose diffuses out of the blood and into cells. </w:t>
      </w:r>
    </w:p>
    <w:p w14:paraId="33DB2581" w14:textId="77777777" w:rsidR="005477F4" w:rsidRPr="008D28C8" w:rsidRDefault="00AF2B17" w:rsidP="008D28C8">
      <w:pPr>
        <w:spacing w:line="360" w:lineRule="auto"/>
        <w:ind w:left="701" w:right="55" w:firstLine="0"/>
        <w:rPr>
          <w:rFonts w:ascii="Arial" w:hAnsi="Arial" w:cs="Arial"/>
        </w:rPr>
      </w:pPr>
      <w:r w:rsidRPr="008D28C8">
        <w:rPr>
          <w:rFonts w:ascii="Arial" w:hAnsi="Arial" w:cs="Arial"/>
        </w:rPr>
        <w:t xml:space="preserve">Hepatic Regulation: In the liver, insulin suppresses gluconeogenesis (synthesis of new glucose) and glycogenolysis (breakdown of stored glycogen). Simultaneously, it activates glycogen synthase, promoting glycogenesis the storage of excess glucose as glycogen (Röder et al., 2016). </w:t>
      </w:r>
    </w:p>
    <w:p w14:paraId="793AA7DE" w14:textId="45878815" w:rsidR="005477F4" w:rsidRPr="008D28C8" w:rsidRDefault="00AF2B17" w:rsidP="008D28C8">
      <w:pPr>
        <w:spacing w:after="175" w:line="360" w:lineRule="auto"/>
        <w:ind w:left="-3" w:right="0"/>
        <w:rPr>
          <w:rFonts w:ascii="Arial" w:hAnsi="Arial" w:cs="Arial"/>
        </w:rPr>
      </w:pPr>
      <w:r w:rsidRPr="008D28C8">
        <w:rPr>
          <w:rFonts w:ascii="Arial" w:hAnsi="Arial" w:cs="Arial"/>
        </w:rPr>
        <w:t xml:space="preserve"> </w:t>
      </w:r>
      <w:r w:rsidRPr="008D28C8">
        <w:rPr>
          <w:rFonts w:ascii="Arial" w:hAnsi="Arial" w:cs="Arial"/>
          <w:b/>
          <w:bCs/>
          <w:sz w:val="24"/>
          <w:szCs w:val="28"/>
        </w:rPr>
        <w:t>The Fasting State: Role of Glucagon</w:t>
      </w:r>
      <w:r w:rsidRPr="008D28C8">
        <w:rPr>
          <w:rFonts w:ascii="Arial" w:hAnsi="Arial" w:cs="Arial"/>
          <w:sz w:val="24"/>
          <w:szCs w:val="28"/>
        </w:rPr>
        <w:t xml:space="preserve"> </w:t>
      </w:r>
    </w:p>
    <w:p w14:paraId="5A46DFF7" w14:textId="77777777" w:rsidR="005477F4" w:rsidRPr="008D28C8" w:rsidRDefault="00AF2B17" w:rsidP="008D28C8">
      <w:pPr>
        <w:spacing w:after="8" w:line="360" w:lineRule="auto"/>
        <w:ind w:left="-3" w:right="55"/>
        <w:rPr>
          <w:rFonts w:ascii="Arial" w:hAnsi="Arial" w:cs="Arial"/>
        </w:rPr>
      </w:pPr>
      <w:r w:rsidRPr="008D28C8">
        <w:rPr>
          <w:rFonts w:ascii="Arial" w:hAnsi="Arial" w:cs="Arial"/>
        </w:rPr>
        <w:lastRenderedPageBreak/>
        <w:t xml:space="preserve">Under conditions of fasting and strenuous exercise, blood glucose concentration decreases. Since the brain depends on a continuous supply of glucose, pancreatic alpha-cells respond to this decrease by secreting glucagon (Röder et al., 2016). </w:t>
      </w:r>
    </w:p>
    <w:p w14:paraId="6C0AEB5B" w14:textId="77777777" w:rsidR="005477F4" w:rsidRPr="008D28C8" w:rsidRDefault="00AF2B17" w:rsidP="008D28C8">
      <w:pPr>
        <w:spacing w:line="360" w:lineRule="auto"/>
        <w:ind w:left="-3" w:right="55"/>
        <w:rPr>
          <w:rFonts w:ascii="Arial" w:hAnsi="Arial" w:cs="Arial"/>
        </w:rPr>
      </w:pPr>
      <w:r w:rsidRPr="008D28C8">
        <w:rPr>
          <w:rFonts w:ascii="Arial" w:hAnsi="Arial" w:cs="Arial"/>
        </w:rPr>
        <w:t xml:space="preserve">Glucagon is a catabolic hormone that acts on the liver to increase blood sugar by: </w:t>
      </w:r>
    </w:p>
    <w:p w14:paraId="79F40016" w14:textId="77777777" w:rsidR="005477F4" w:rsidRPr="008D28C8" w:rsidRDefault="00AF2B17" w:rsidP="008D28C8">
      <w:pPr>
        <w:spacing w:line="360" w:lineRule="auto"/>
        <w:ind w:left="701" w:right="68" w:firstLine="0"/>
        <w:rPr>
          <w:rFonts w:ascii="Arial" w:hAnsi="Arial" w:cs="Arial"/>
        </w:rPr>
      </w:pPr>
      <w:r w:rsidRPr="008D28C8">
        <w:rPr>
          <w:rFonts w:ascii="Arial" w:hAnsi="Arial" w:cs="Arial"/>
        </w:rPr>
        <w:t xml:space="preserve">Glycogenolysis: Stimulating the breakdown of intrahepatic glycogen back into glucose for immediate release into the blood. </w:t>
      </w:r>
    </w:p>
    <w:p w14:paraId="20B439EA" w14:textId="77777777" w:rsidR="005477F4" w:rsidRPr="008D28C8" w:rsidRDefault="00AF2B17" w:rsidP="008D28C8">
      <w:pPr>
        <w:spacing w:after="151" w:line="360" w:lineRule="auto"/>
        <w:ind w:left="701" w:right="68" w:firstLine="0"/>
        <w:rPr>
          <w:rFonts w:ascii="Arial" w:hAnsi="Arial" w:cs="Arial"/>
        </w:rPr>
      </w:pPr>
      <w:r w:rsidRPr="008D28C8">
        <w:rPr>
          <w:rFonts w:ascii="Arial" w:hAnsi="Arial" w:cs="Arial"/>
        </w:rPr>
        <w:t xml:space="preserve">Gluconeogenesis: Stimulating the liver to synthesize fresh glucose from noncarbohydrate substrates, such as amino acids, glycerol, and lactate (Röder et al., 2016). </w:t>
      </w:r>
    </w:p>
    <w:p w14:paraId="3D1E8B78" w14:textId="4830EF3B" w:rsidR="005477F4" w:rsidRPr="008D28C8" w:rsidRDefault="00AF2B17" w:rsidP="008D28C8">
      <w:pPr>
        <w:spacing w:after="175" w:line="360" w:lineRule="auto"/>
        <w:ind w:left="-3" w:right="0"/>
        <w:rPr>
          <w:rFonts w:ascii="Arial" w:hAnsi="Arial" w:cs="Arial"/>
        </w:rPr>
      </w:pPr>
      <w:r w:rsidRPr="008D28C8">
        <w:rPr>
          <w:rFonts w:ascii="Arial" w:hAnsi="Arial" w:cs="Arial"/>
        </w:rPr>
        <w:t xml:space="preserve"> The Homeostatic Breakdown in Type 2 Diabetes </w:t>
      </w:r>
    </w:p>
    <w:p w14:paraId="57D93CAE" w14:textId="15A264E3" w:rsidR="005477F4" w:rsidRPr="008D28C8" w:rsidRDefault="00AF2B17" w:rsidP="008D28C8">
      <w:pPr>
        <w:spacing w:after="394" w:line="360" w:lineRule="auto"/>
        <w:ind w:left="-3" w:right="55"/>
        <w:rPr>
          <w:rFonts w:ascii="Arial" w:hAnsi="Arial" w:cs="Arial"/>
        </w:rPr>
      </w:pPr>
      <w:r w:rsidRPr="008D28C8">
        <w:rPr>
          <w:rFonts w:ascii="Arial" w:hAnsi="Arial" w:cs="Arial"/>
        </w:rPr>
        <w:t xml:space="preserve">In T2DM, this homeostatic mechanism fails. Peripheral tissues fail to respond to insulin due to post-receptor defects. Consequently, GLUT4 translocation is impaired, leaving glucose trapped in the extracellular space. Furthermore, the liver escapes </w:t>
      </w:r>
      <w:r w:rsidR="00794D49" w:rsidRPr="008D28C8">
        <w:rPr>
          <w:rFonts w:ascii="Arial" w:hAnsi="Arial" w:cs="Arial"/>
        </w:rPr>
        <w:t>insulin mediated</w:t>
      </w:r>
      <w:r w:rsidRPr="008D28C8">
        <w:rPr>
          <w:rFonts w:ascii="Arial" w:hAnsi="Arial" w:cs="Arial"/>
        </w:rPr>
        <w:t xml:space="preserve"> suppression, continuing inappropriate gluconeogenesis and worsening </w:t>
      </w:r>
      <w:r w:rsidR="00794D49" w:rsidRPr="008D28C8">
        <w:rPr>
          <w:rFonts w:ascii="Arial" w:hAnsi="Arial" w:cs="Arial"/>
        </w:rPr>
        <w:t>hyperglycaemia</w:t>
      </w:r>
      <w:r w:rsidRPr="008D28C8">
        <w:rPr>
          <w:rFonts w:ascii="Arial" w:hAnsi="Arial" w:cs="Arial"/>
        </w:rPr>
        <w:t xml:space="preserve">. </w:t>
      </w:r>
    </w:p>
    <w:p w14:paraId="43F9C0FE" w14:textId="77777777" w:rsidR="005477F4" w:rsidRPr="008D28C8" w:rsidRDefault="00AF2B17" w:rsidP="008D28C8">
      <w:pPr>
        <w:pStyle w:val="Heading1"/>
        <w:numPr>
          <w:ilvl w:val="0"/>
          <w:numId w:val="0"/>
        </w:numPr>
        <w:spacing w:line="360" w:lineRule="auto"/>
        <w:rPr>
          <w:rFonts w:ascii="Arial" w:hAnsi="Arial" w:cs="Arial"/>
        </w:rPr>
      </w:pPr>
      <w:r w:rsidRPr="008D28C8">
        <w:rPr>
          <w:rFonts w:ascii="Arial" w:hAnsi="Arial" w:cs="Arial"/>
        </w:rPr>
        <w:t xml:space="preserve">CELLULAR RESPIRATION: HOW OXYGEN AND GLUCOSE PRODUCE ENERGY </w:t>
      </w:r>
    </w:p>
    <w:p w14:paraId="5F6DABAF" w14:textId="65438D50" w:rsidR="005477F4" w:rsidRPr="008D28C8" w:rsidRDefault="00AF2B17" w:rsidP="008D28C8">
      <w:pPr>
        <w:spacing w:line="360" w:lineRule="auto"/>
        <w:ind w:left="-3" w:right="55"/>
        <w:rPr>
          <w:rFonts w:ascii="Arial" w:hAnsi="Arial" w:cs="Arial"/>
        </w:rPr>
      </w:pPr>
      <w:r w:rsidRPr="008D28C8">
        <w:rPr>
          <w:rFonts w:ascii="Arial" w:hAnsi="Arial" w:cs="Arial"/>
        </w:rPr>
        <w:t xml:space="preserve">Regulation of blood glucose and respiration is controlled at the level of the cell to </w:t>
      </w:r>
      <w:r w:rsidR="00794D49" w:rsidRPr="008D28C8">
        <w:rPr>
          <w:rFonts w:ascii="Arial" w:hAnsi="Arial" w:cs="Arial"/>
        </w:rPr>
        <w:t>power cellular</w:t>
      </w:r>
      <w:r w:rsidRPr="008D28C8">
        <w:rPr>
          <w:rFonts w:ascii="Arial" w:hAnsi="Arial" w:cs="Arial"/>
        </w:rPr>
        <w:t xml:space="preserve"> respiration, the universal biochemical pathway by which cells metabolize glucose in the presence of oxygen to produce adenosine triphosphate (ATP). ATP provides the energy necessary for muscle contraction, active transport, and cell repair. The overall chemical reaction for aerobic cellular respiration is: </w:t>
      </w:r>
    </w:p>
    <w:p w14:paraId="0D60497F" w14:textId="77777777" w:rsidR="005477F4" w:rsidRPr="008D28C8" w:rsidRDefault="00AF2B17" w:rsidP="008D28C8">
      <w:pPr>
        <w:spacing w:after="0" w:line="360" w:lineRule="auto"/>
        <w:ind w:left="0" w:right="0" w:firstLine="0"/>
        <w:jc w:val="right"/>
        <w:rPr>
          <w:rFonts w:ascii="Arial" w:hAnsi="Arial" w:cs="Arial"/>
        </w:rPr>
      </w:pPr>
      <w:r w:rsidRPr="008D28C8">
        <w:rPr>
          <w:rFonts w:ascii="Arial" w:hAnsi="Arial" w:cs="Arial"/>
          <w:noProof/>
        </w:rPr>
        <w:drawing>
          <wp:inline distT="0" distB="0" distL="0" distR="0" wp14:anchorId="00EA576A" wp14:editId="39281D6E">
            <wp:extent cx="5785104" cy="473964"/>
            <wp:effectExtent l="0" t="0" r="0" b="0"/>
            <wp:docPr id="262" name="Picture 262">
              <a:extLst xmlns:a="http://schemas.openxmlformats.org/drawingml/2006/main">
                <a:ext uri="{FF2B5EF4-FFF2-40B4-BE49-F238E27FC236}">
                  <a16:creationId xmlns:a16="http://schemas.microsoft.com/office/drawing/2014/main" id="{42B5C8A1-ACCE-4169-98DA-DDB1C89A9B2A}"/>
                </a:ext>
              </a:extLst>
            </wp:docPr>
            <wp:cNvGraphicFramePr/>
            <a:graphic xmlns:a="http://schemas.openxmlformats.org/drawingml/2006/main">
              <a:graphicData uri="http://schemas.openxmlformats.org/drawingml/2006/picture">
                <pic:pic xmlns:pic="http://schemas.openxmlformats.org/drawingml/2006/picture">
                  <pic:nvPicPr>
                    <pic:cNvPr id="262" name="Picture 262"/>
                    <pic:cNvPicPr/>
                  </pic:nvPicPr>
                  <pic:blipFill>
                    <a:blip r:embed="rId12"/>
                    <a:stretch>
                      <a:fillRect/>
                    </a:stretch>
                  </pic:blipFill>
                  <pic:spPr>
                    <a:xfrm>
                      <a:off x="0" y="0"/>
                      <a:ext cx="5785104" cy="473964"/>
                    </a:xfrm>
                    <a:prstGeom prst="rect">
                      <a:avLst/>
                    </a:prstGeom>
                  </pic:spPr>
                </pic:pic>
              </a:graphicData>
            </a:graphic>
          </wp:inline>
        </w:drawing>
      </w:r>
      <w:r w:rsidRPr="008D28C8">
        <w:rPr>
          <w:rFonts w:ascii="Arial" w:hAnsi="Arial" w:cs="Arial"/>
        </w:rPr>
        <w:t xml:space="preserve"> </w:t>
      </w:r>
    </w:p>
    <w:p w14:paraId="41F03659" w14:textId="77777777" w:rsidR="005477F4" w:rsidRPr="008D28C8" w:rsidRDefault="00AF2B17" w:rsidP="008D28C8">
      <w:pPr>
        <w:spacing w:line="360" w:lineRule="auto"/>
        <w:ind w:left="-3" w:right="55"/>
        <w:rPr>
          <w:rFonts w:ascii="Arial" w:hAnsi="Arial" w:cs="Arial"/>
        </w:rPr>
      </w:pPr>
      <w:r w:rsidRPr="008D28C8">
        <w:rPr>
          <w:rFonts w:ascii="Arial" w:hAnsi="Arial" w:cs="Arial"/>
        </w:rPr>
        <w:t xml:space="preserve">This metabolic process occurs across four sequential stages localized within the cytoplasm and mitochondria. </w:t>
      </w:r>
    </w:p>
    <w:p w14:paraId="3761CA6D" w14:textId="608170A1" w:rsidR="005477F4" w:rsidRPr="008D28C8" w:rsidRDefault="00AF2B17" w:rsidP="008D28C8">
      <w:pPr>
        <w:spacing w:after="175" w:line="360" w:lineRule="auto"/>
        <w:ind w:left="-3" w:right="0"/>
        <w:rPr>
          <w:rFonts w:ascii="Arial" w:hAnsi="Arial" w:cs="Arial"/>
        </w:rPr>
      </w:pPr>
      <w:r w:rsidRPr="008D28C8">
        <w:rPr>
          <w:rFonts w:ascii="Arial" w:hAnsi="Arial" w:cs="Arial"/>
          <w:b/>
          <w:bCs/>
        </w:rPr>
        <w:t xml:space="preserve"> Glycolysis</w:t>
      </w:r>
      <w:r w:rsidRPr="008D28C8">
        <w:rPr>
          <w:rFonts w:ascii="Arial" w:hAnsi="Arial" w:cs="Arial"/>
        </w:rPr>
        <w:t xml:space="preserve"> </w:t>
      </w:r>
    </w:p>
    <w:p w14:paraId="3D9F861F" w14:textId="4728E822" w:rsidR="005477F4" w:rsidRPr="008D28C8" w:rsidRDefault="00AF2B17" w:rsidP="008D28C8">
      <w:pPr>
        <w:spacing w:line="360" w:lineRule="auto"/>
        <w:ind w:left="-3" w:right="55"/>
        <w:rPr>
          <w:rFonts w:ascii="Arial" w:hAnsi="Arial" w:cs="Arial"/>
        </w:rPr>
      </w:pPr>
      <w:r w:rsidRPr="008D28C8">
        <w:rPr>
          <w:rFonts w:ascii="Arial" w:hAnsi="Arial" w:cs="Arial"/>
        </w:rPr>
        <w:lastRenderedPageBreak/>
        <w:t xml:space="preserve">Glycolysis occurs in the cytoplasm and is an anaerobic process. A single 6-carbon glucose molecule undergoes ten enzymatic steps, requiring an initial investment of 2 ATP to phosphorylate the molecule. It is subsequently cleaved into two 3-carbon molecules of pyruvate. This energy-harvesting phase yields a net gain of 2 ATP and reduces two </w:t>
      </w:r>
      <w:r w:rsidR="00EC0268" w:rsidRPr="008D28C8">
        <w:rPr>
          <w:rFonts w:ascii="Cambria Math" w:hAnsi="Cambria Math" w:cs="Cambria Math"/>
        </w:rPr>
        <w:t>𝑁𝐴𝐷</w:t>
      </w:r>
      <w:r w:rsidR="00EC0268" w:rsidRPr="008D28C8">
        <w:rPr>
          <w:rFonts w:ascii="Arial" w:hAnsi="Arial" w:cs="Arial"/>
        </w:rPr>
        <w:t xml:space="preserve"> molecules</w:t>
      </w:r>
      <w:r w:rsidRPr="008D28C8">
        <w:rPr>
          <w:rFonts w:ascii="Arial" w:hAnsi="Arial" w:cs="Arial"/>
        </w:rPr>
        <w:t xml:space="preserve"> to 2 NADH. </w:t>
      </w:r>
    </w:p>
    <w:p w14:paraId="2BE93AE4" w14:textId="663BBA2C" w:rsidR="005477F4" w:rsidRPr="008D28C8" w:rsidRDefault="00AF2B17" w:rsidP="008D28C8">
      <w:pPr>
        <w:spacing w:after="175" w:line="360" w:lineRule="auto"/>
        <w:ind w:left="-3" w:right="0"/>
        <w:rPr>
          <w:rFonts w:ascii="Arial" w:hAnsi="Arial" w:cs="Arial"/>
        </w:rPr>
      </w:pPr>
      <w:r w:rsidRPr="008D28C8">
        <w:rPr>
          <w:rFonts w:ascii="Arial" w:hAnsi="Arial" w:cs="Arial"/>
        </w:rPr>
        <w:t xml:space="preserve"> The Link Reaction </w:t>
      </w:r>
    </w:p>
    <w:p w14:paraId="2D84F853" w14:textId="19A046E9" w:rsidR="005477F4" w:rsidRPr="008D28C8" w:rsidRDefault="00AF2B17" w:rsidP="008D28C8">
      <w:pPr>
        <w:spacing w:after="151" w:line="360" w:lineRule="auto"/>
        <w:ind w:left="-5" w:right="82"/>
        <w:jc w:val="both"/>
        <w:rPr>
          <w:rFonts w:ascii="Arial" w:hAnsi="Arial" w:cs="Arial"/>
        </w:rPr>
      </w:pPr>
      <w:r w:rsidRPr="008D28C8">
        <w:rPr>
          <w:rFonts w:ascii="Arial" w:hAnsi="Arial" w:cs="Arial"/>
        </w:rPr>
        <w:t xml:space="preserve">In the presence of oxygen, both pyruvate molecules move across the double membrane of the mitochondria into the inner fluid matrix. Each pyruvate is subject to oxidative decarboxylation: a carbon atom </w:t>
      </w:r>
      <w:proofErr w:type="gramStart"/>
      <w:r w:rsidR="00C07ADF">
        <w:rPr>
          <w:rFonts w:ascii="Arial" w:hAnsi="Arial" w:cs="Arial"/>
        </w:rPr>
        <w:t>are</w:t>
      </w:r>
      <w:proofErr w:type="gramEnd"/>
      <w:r w:rsidRPr="008D28C8">
        <w:rPr>
          <w:rFonts w:ascii="Arial" w:hAnsi="Arial" w:cs="Arial"/>
        </w:rPr>
        <w:t xml:space="preserve"> released as carbon dioxide (</w:t>
      </w:r>
      <w:r w:rsidR="00223AE9" w:rsidRPr="008D28C8">
        <w:rPr>
          <w:rFonts w:ascii="Arial" w:hAnsi="Arial" w:cs="Arial"/>
        </w:rPr>
        <w:t>CO)</w:t>
      </w:r>
      <w:r w:rsidRPr="008D28C8">
        <w:rPr>
          <w:rFonts w:ascii="Arial" w:hAnsi="Arial" w:cs="Arial"/>
        </w:rPr>
        <w:t xml:space="preserve">, the remaining acetyl group transfers electrons to </w:t>
      </w:r>
      <w:r w:rsidRPr="008D28C8">
        <w:rPr>
          <w:rFonts w:ascii="Cambria Math" w:hAnsi="Cambria Math" w:cs="Cambria Math"/>
        </w:rPr>
        <w:t>𝑁𝐴𝐷</w:t>
      </w:r>
      <w:r w:rsidRPr="008D28C8">
        <w:rPr>
          <w:rFonts w:ascii="Arial" w:hAnsi="Arial" w:cs="Arial"/>
        </w:rPr>
        <w:t xml:space="preserve"> to form NADH, and the group binds to Coenzyme A to produce Acetyl Coenzyme A (Acetyl CoA). </w:t>
      </w:r>
    </w:p>
    <w:p w14:paraId="6137442B" w14:textId="4CB05A3C" w:rsidR="005477F4" w:rsidRPr="008D28C8" w:rsidRDefault="00AF2B17" w:rsidP="008D28C8">
      <w:pPr>
        <w:spacing w:after="175" w:line="360" w:lineRule="auto"/>
        <w:ind w:left="-3" w:right="0"/>
        <w:rPr>
          <w:rFonts w:ascii="Arial" w:hAnsi="Arial" w:cs="Arial"/>
        </w:rPr>
      </w:pPr>
      <w:r w:rsidRPr="008D28C8">
        <w:rPr>
          <w:rFonts w:ascii="Arial" w:hAnsi="Arial" w:cs="Arial"/>
        </w:rPr>
        <w:t xml:space="preserve"> The Krebs Cycle </w:t>
      </w:r>
    </w:p>
    <w:p w14:paraId="203F126B" w14:textId="5BBF36E7" w:rsidR="005477F4" w:rsidRPr="008D28C8" w:rsidRDefault="00AF2B17" w:rsidP="008D28C8">
      <w:pPr>
        <w:spacing w:line="360" w:lineRule="auto"/>
        <w:ind w:left="-3" w:right="55"/>
        <w:rPr>
          <w:rFonts w:ascii="Arial" w:hAnsi="Arial" w:cs="Arial"/>
        </w:rPr>
      </w:pPr>
      <w:r w:rsidRPr="008D28C8">
        <w:rPr>
          <w:rFonts w:ascii="Arial" w:hAnsi="Arial" w:cs="Arial"/>
        </w:rPr>
        <w:t xml:space="preserve">Taking place within the mitochondrial matrix, the Krebs cycle is a series of cyclic redox reactions. Each Acetyl CoA molecule combines with oxaloacetate to form citrate, which is systematically oxidized. For every molecule of glucose (two turns of the cycle), the process releases 4 molecules of </w:t>
      </w:r>
      <w:r w:rsidR="00223AE9" w:rsidRPr="008D28C8">
        <w:rPr>
          <w:rFonts w:ascii="Arial" w:hAnsi="Arial" w:cs="Arial"/>
        </w:rPr>
        <w:t>CO,</w:t>
      </w:r>
      <w:r w:rsidRPr="008D28C8">
        <w:rPr>
          <w:rFonts w:ascii="Arial" w:hAnsi="Arial" w:cs="Arial"/>
        </w:rPr>
        <w:t xml:space="preserve"> synthesizes 2 ATP through substrate-level phosphorylation, and yields 6 NADH and 2 </w:t>
      </w:r>
      <w:r w:rsidR="00223AE9" w:rsidRPr="008D28C8">
        <w:rPr>
          <w:rFonts w:ascii="Arial" w:hAnsi="Arial" w:cs="Arial"/>
        </w:rPr>
        <w:t>FADH,</w:t>
      </w:r>
      <w:r w:rsidRPr="008D28C8">
        <w:rPr>
          <w:rFonts w:ascii="Arial" w:hAnsi="Arial" w:cs="Arial"/>
        </w:rPr>
        <w:t xml:space="preserve"> carriers. </w:t>
      </w:r>
    </w:p>
    <w:p w14:paraId="2EB262D2" w14:textId="5417AAF0" w:rsidR="005477F4" w:rsidRPr="008D28C8" w:rsidRDefault="00AF2B17" w:rsidP="008D28C8">
      <w:pPr>
        <w:spacing w:after="175" w:line="360" w:lineRule="auto"/>
        <w:ind w:left="-3" w:right="0"/>
        <w:rPr>
          <w:rFonts w:ascii="Arial" w:hAnsi="Arial" w:cs="Arial"/>
        </w:rPr>
      </w:pPr>
      <w:r w:rsidRPr="008D28C8">
        <w:rPr>
          <w:rFonts w:ascii="Arial" w:hAnsi="Arial" w:cs="Arial"/>
        </w:rPr>
        <w:t>The Electron Transport Chain (</w:t>
      </w:r>
      <w:r w:rsidR="002D2042" w:rsidRPr="008D28C8">
        <w:rPr>
          <w:rFonts w:ascii="Arial" w:hAnsi="Arial" w:cs="Arial"/>
        </w:rPr>
        <w:t>ETC) and</w:t>
      </w:r>
      <w:r w:rsidRPr="008D28C8">
        <w:rPr>
          <w:rFonts w:ascii="Arial" w:hAnsi="Arial" w:cs="Arial"/>
        </w:rPr>
        <w:t xml:space="preserve"> Oxidative Phosphorylation </w:t>
      </w:r>
    </w:p>
    <w:p w14:paraId="0C85E4DD" w14:textId="0B409646" w:rsidR="005477F4" w:rsidRPr="008D28C8" w:rsidRDefault="00AF2B17" w:rsidP="008D28C8">
      <w:pPr>
        <w:spacing w:line="360" w:lineRule="auto"/>
        <w:ind w:left="-3" w:right="55"/>
        <w:rPr>
          <w:rFonts w:ascii="Arial" w:hAnsi="Arial" w:cs="Arial"/>
        </w:rPr>
      </w:pPr>
      <w:r w:rsidRPr="008D28C8">
        <w:rPr>
          <w:rFonts w:ascii="Arial" w:hAnsi="Arial" w:cs="Arial"/>
        </w:rPr>
        <w:t xml:space="preserve">The final </w:t>
      </w:r>
      <w:r w:rsidR="00954BE5" w:rsidRPr="008D28C8">
        <w:rPr>
          <w:rFonts w:ascii="Arial" w:hAnsi="Arial" w:cs="Arial"/>
        </w:rPr>
        <w:t>stage is</w:t>
      </w:r>
      <w:r w:rsidR="002D2042" w:rsidRPr="008D28C8">
        <w:rPr>
          <w:rFonts w:ascii="Arial" w:hAnsi="Arial" w:cs="Arial"/>
        </w:rPr>
        <w:t xml:space="preserve"> localized</w:t>
      </w:r>
      <w:r w:rsidRPr="008D28C8">
        <w:rPr>
          <w:rFonts w:ascii="Arial" w:hAnsi="Arial" w:cs="Arial"/>
        </w:rPr>
        <w:t xml:space="preserve"> along the inner mitochondrial membrane. The accumulated NADH and </w:t>
      </w:r>
      <w:r w:rsidR="00223AE9" w:rsidRPr="008D28C8">
        <w:rPr>
          <w:rFonts w:ascii="Cambria Math" w:hAnsi="Cambria Math" w:cs="Cambria Math"/>
        </w:rPr>
        <w:t>𝐅𝐀𝐃𝐇</w:t>
      </w:r>
      <w:r w:rsidR="00223AE9" w:rsidRPr="008D28C8">
        <w:rPr>
          <w:rFonts w:ascii="Arial" w:hAnsi="Arial" w:cs="Arial"/>
        </w:rPr>
        <w:t>,</w:t>
      </w:r>
      <w:r w:rsidRPr="008D28C8">
        <w:rPr>
          <w:rFonts w:ascii="Arial" w:hAnsi="Arial" w:cs="Arial"/>
        </w:rPr>
        <w:t xml:space="preserve"> molecules donate high-energy electrons to embedded protein complexes. As electrons travel down this chain via redox reactions, they release energy used to pump hydrogen ions (</w:t>
      </w:r>
      <w:r w:rsidR="00621764" w:rsidRPr="008D28C8">
        <w:rPr>
          <w:rFonts w:ascii="Cambria Math" w:hAnsi="Cambria Math" w:cs="Cambria Math"/>
        </w:rPr>
        <w:t>𝐻</w:t>
      </w:r>
      <w:r w:rsidR="00621764" w:rsidRPr="008D28C8">
        <w:rPr>
          <w:rFonts w:ascii="Arial" w:hAnsi="Arial" w:cs="Arial"/>
        </w:rPr>
        <w:t>)</w:t>
      </w:r>
      <w:r w:rsidRPr="008D28C8">
        <w:rPr>
          <w:rFonts w:ascii="Arial" w:hAnsi="Arial" w:cs="Arial"/>
        </w:rPr>
        <w:t xml:space="preserve"> out of the matrix into the intermembrane space, building a steep electrochemical gradient. </w:t>
      </w:r>
    </w:p>
    <w:p w14:paraId="07A9AC35" w14:textId="05722C7C" w:rsidR="005477F4" w:rsidRPr="008D28C8" w:rsidRDefault="00AF2B17" w:rsidP="008D28C8">
      <w:pPr>
        <w:spacing w:line="360" w:lineRule="auto"/>
        <w:ind w:right="55"/>
        <w:rPr>
          <w:rFonts w:ascii="Arial" w:hAnsi="Arial" w:cs="Arial"/>
        </w:rPr>
      </w:pPr>
      <w:r w:rsidRPr="008D28C8">
        <w:rPr>
          <w:rFonts w:ascii="Arial" w:hAnsi="Arial" w:cs="Arial"/>
        </w:rPr>
        <w:t>The Role of Oxygen: At the end of the chain, oxygen (</w:t>
      </w:r>
      <w:r w:rsidR="00464625" w:rsidRPr="008D28C8">
        <w:rPr>
          <w:rFonts w:ascii="Cambria Math" w:hAnsi="Cambria Math" w:cs="Cambria Math"/>
        </w:rPr>
        <w:t>𝑂</w:t>
      </w:r>
      <w:r w:rsidR="00464625" w:rsidRPr="008D28C8">
        <w:rPr>
          <w:rFonts w:ascii="Arial" w:hAnsi="Arial" w:cs="Arial"/>
        </w:rPr>
        <w:t>)</w:t>
      </w:r>
      <w:r w:rsidRPr="008D28C8">
        <w:rPr>
          <w:rFonts w:ascii="Arial" w:hAnsi="Arial" w:cs="Arial"/>
        </w:rPr>
        <w:t xml:space="preserve"> acts as the final electron acceptor. It binds with spent electrons and free hydrogen ions to form water (</w:t>
      </w:r>
      <w:r w:rsidRPr="008D28C8">
        <w:rPr>
          <w:rFonts w:ascii="Cambria Math" w:hAnsi="Cambria Math" w:cs="Cambria Math"/>
        </w:rPr>
        <w:t>𝐻</w:t>
      </w:r>
      <w:r w:rsidRPr="008D28C8">
        <w:rPr>
          <w:rFonts w:ascii="Arial" w:hAnsi="Arial" w:cs="Arial"/>
        </w:rPr>
        <w:t xml:space="preserve"> </w:t>
      </w:r>
      <w:r w:rsidRPr="008D28C8">
        <w:rPr>
          <w:rFonts w:ascii="Cambria Math" w:hAnsi="Cambria Math" w:cs="Cambria Math"/>
        </w:rPr>
        <w:t>𝑂</w:t>
      </w:r>
      <w:r w:rsidRPr="008D28C8">
        <w:rPr>
          <w:rFonts w:ascii="Arial" w:hAnsi="Arial" w:cs="Arial"/>
        </w:rPr>
        <w:t xml:space="preserve">). Without inhaled oxygen, the electron transport chain halts, and ATP synthesis ceases. </w:t>
      </w:r>
    </w:p>
    <w:p w14:paraId="13403065" w14:textId="33C1B5BC" w:rsidR="005477F4" w:rsidRPr="008D28C8" w:rsidRDefault="00AF2B17" w:rsidP="008D28C8">
      <w:pPr>
        <w:spacing w:line="360" w:lineRule="auto"/>
        <w:ind w:right="55"/>
        <w:rPr>
          <w:rFonts w:ascii="Arial" w:hAnsi="Arial" w:cs="Arial"/>
        </w:rPr>
      </w:pPr>
      <w:r w:rsidRPr="008D28C8">
        <w:rPr>
          <w:rFonts w:ascii="Arial" w:hAnsi="Arial" w:cs="Arial"/>
        </w:rPr>
        <w:lastRenderedPageBreak/>
        <w:t xml:space="preserve">ATP Synthesis: Protons flow back down their gradient through ATP synthase. This movement drives the mechanical rotation of the enzyme, phosphorylating ADP into ATP. This step yields </w:t>
      </w:r>
      <w:r w:rsidR="00AD6919" w:rsidRPr="008D28C8">
        <w:rPr>
          <w:rFonts w:ascii="Arial" w:hAnsi="Arial" w:cs="Arial"/>
        </w:rPr>
        <w:t>32</w:t>
      </w:r>
      <w:r w:rsidRPr="008D28C8">
        <w:rPr>
          <w:rFonts w:ascii="Arial" w:hAnsi="Arial" w:cs="Arial"/>
        </w:rPr>
        <w:t xml:space="preserve"> to 34 ATP molecules. </w:t>
      </w:r>
    </w:p>
    <w:p w14:paraId="208D3C94" w14:textId="7893ABDC" w:rsidR="005477F4" w:rsidRPr="008D28C8" w:rsidRDefault="00AF2B17" w:rsidP="008D28C8">
      <w:pPr>
        <w:spacing w:after="175" w:line="360" w:lineRule="auto"/>
        <w:ind w:left="-3" w:right="0"/>
        <w:rPr>
          <w:rFonts w:ascii="Arial" w:hAnsi="Arial" w:cs="Arial"/>
        </w:rPr>
      </w:pPr>
      <w:r w:rsidRPr="008D28C8">
        <w:rPr>
          <w:rFonts w:ascii="Arial" w:hAnsi="Arial" w:cs="Arial"/>
        </w:rPr>
        <w:t xml:space="preserve"> </w:t>
      </w:r>
      <w:r w:rsidRPr="008D28C8">
        <w:rPr>
          <w:rFonts w:ascii="Arial" w:hAnsi="Arial" w:cs="Arial"/>
          <w:b/>
          <w:bCs/>
        </w:rPr>
        <w:t>Clinical Relevance to the Diabetic Patient</w:t>
      </w:r>
      <w:r w:rsidRPr="008D28C8">
        <w:rPr>
          <w:rFonts w:ascii="Arial" w:hAnsi="Arial" w:cs="Arial"/>
        </w:rPr>
        <w:t xml:space="preserve"> </w:t>
      </w:r>
    </w:p>
    <w:p w14:paraId="6559C1D8" w14:textId="15E42101" w:rsidR="005477F4" w:rsidRPr="008D28C8" w:rsidRDefault="00AF2B17" w:rsidP="008D28C8">
      <w:pPr>
        <w:spacing w:after="394" w:line="360" w:lineRule="auto"/>
        <w:ind w:left="-3" w:right="55"/>
        <w:rPr>
          <w:rFonts w:ascii="Arial" w:hAnsi="Arial" w:cs="Arial"/>
        </w:rPr>
      </w:pPr>
      <w:r w:rsidRPr="008D28C8">
        <w:rPr>
          <w:rFonts w:ascii="Arial" w:hAnsi="Arial" w:cs="Arial"/>
        </w:rPr>
        <w:t xml:space="preserve">In T2DM, patients breathe in enough </w:t>
      </w:r>
      <w:r w:rsidR="00A91193" w:rsidRPr="008D28C8">
        <w:rPr>
          <w:rFonts w:ascii="Arial" w:hAnsi="Arial" w:cs="Arial"/>
        </w:rPr>
        <w:t>oxygen,</w:t>
      </w:r>
      <w:r w:rsidRPr="008D28C8">
        <w:rPr>
          <w:rFonts w:ascii="Arial" w:hAnsi="Arial" w:cs="Arial"/>
        </w:rPr>
        <w:t xml:space="preserve"> but insulin resistance stops glucose from effectively entering cells. The cells end up </w:t>
      </w:r>
      <w:r w:rsidR="00954BE5" w:rsidRPr="008D28C8">
        <w:rPr>
          <w:rFonts w:ascii="Arial" w:hAnsi="Arial" w:cs="Arial"/>
        </w:rPr>
        <w:t>being starved</w:t>
      </w:r>
      <w:r w:rsidR="00CC18B6" w:rsidRPr="008D28C8">
        <w:rPr>
          <w:rFonts w:ascii="Arial" w:hAnsi="Arial" w:cs="Arial"/>
        </w:rPr>
        <w:t xml:space="preserve"> for</w:t>
      </w:r>
      <w:r w:rsidRPr="008D28C8">
        <w:rPr>
          <w:rFonts w:ascii="Arial" w:hAnsi="Arial" w:cs="Arial"/>
        </w:rPr>
        <w:t xml:space="preserve"> fuel, which leads to a direct reduction in ATP production. This lack of cellular energy is why they feel so profoundly and chronically tired (and is </w:t>
      </w:r>
      <w:r w:rsidR="00650F50" w:rsidRPr="008D28C8">
        <w:rPr>
          <w:rFonts w:ascii="Arial" w:hAnsi="Arial" w:cs="Arial"/>
        </w:rPr>
        <w:t>a quite common</w:t>
      </w:r>
      <w:r w:rsidRPr="008D28C8">
        <w:rPr>
          <w:rFonts w:ascii="Arial" w:hAnsi="Arial" w:cs="Arial"/>
        </w:rPr>
        <w:t xml:space="preserve"> symptom of uncontrolled diabetes). </w:t>
      </w:r>
    </w:p>
    <w:p w14:paraId="3F6E71A2" w14:textId="77777777" w:rsidR="005477F4" w:rsidRPr="008D28C8" w:rsidRDefault="00AF2B17" w:rsidP="008D28C8">
      <w:pPr>
        <w:pStyle w:val="Heading1"/>
        <w:numPr>
          <w:ilvl w:val="0"/>
          <w:numId w:val="0"/>
        </w:numPr>
        <w:spacing w:line="360" w:lineRule="auto"/>
        <w:rPr>
          <w:rFonts w:ascii="Arial" w:hAnsi="Arial" w:cs="Arial"/>
        </w:rPr>
      </w:pPr>
      <w:r w:rsidRPr="008D28C8">
        <w:rPr>
          <w:rFonts w:ascii="Arial" w:hAnsi="Arial" w:cs="Arial"/>
        </w:rPr>
        <w:t xml:space="preserve">IMPORTANCE OF MONITORING BLOOD GLUCOSE AND HBA1C </w:t>
      </w:r>
    </w:p>
    <w:p w14:paraId="0B0A187D" w14:textId="5D157462" w:rsidR="005477F4" w:rsidRPr="008D28C8" w:rsidRDefault="00AF2B17" w:rsidP="008D28C8">
      <w:pPr>
        <w:spacing w:line="360" w:lineRule="auto"/>
        <w:ind w:left="-3" w:right="55"/>
        <w:rPr>
          <w:rFonts w:ascii="Arial" w:hAnsi="Arial" w:cs="Arial"/>
        </w:rPr>
      </w:pPr>
      <w:r w:rsidRPr="008D28C8">
        <w:rPr>
          <w:rFonts w:ascii="Arial" w:hAnsi="Arial" w:cs="Arial"/>
        </w:rPr>
        <w:t xml:space="preserve">Biochemical monitoring of glycaemia through the following two complementary indices of glucose metabolism </w:t>
      </w:r>
      <w:r w:rsidR="002B3C4D" w:rsidRPr="008D28C8">
        <w:rPr>
          <w:rFonts w:ascii="Arial" w:hAnsi="Arial" w:cs="Arial"/>
        </w:rPr>
        <w:t>is required</w:t>
      </w:r>
      <w:r w:rsidRPr="008D28C8">
        <w:rPr>
          <w:rFonts w:ascii="Arial" w:hAnsi="Arial" w:cs="Arial"/>
        </w:rPr>
        <w:t xml:space="preserve"> for safe and effective management of type 2 diabetic mellitus (T2DM): Self-Monitoring of Blood Glucose (SMBG) using capillary finger-pricks, and laboratory-based monitoring of Glycated Haemoglobin (HbA1c) (Sibal and Home, 2009).  </w:t>
      </w:r>
    </w:p>
    <w:p w14:paraId="1D5A3593" w14:textId="5A4352B9" w:rsidR="005477F4" w:rsidRPr="008D28C8" w:rsidRDefault="00AF2B17" w:rsidP="008D28C8">
      <w:pPr>
        <w:spacing w:after="0" w:line="360" w:lineRule="auto"/>
        <w:ind w:left="-3" w:right="0"/>
        <w:rPr>
          <w:rFonts w:ascii="Arial" w:hAnsi="Arial" w:cs="Arial"/>
        </w:rPr>
      </w:pPr>
      <w:r w:rsidRPr="008D28C8">
        <w:rPr>
          <w:rFonts w:ascii="Arial" w:hAnsi="Arial" w:cs="Arial"/>
        </w:rPr>
        <w:t xml:space="preserve">Table 1: </w:t>
      </w:r>
      <w:r w:rsidR="006C2275" w:rsidRPr="008D28C8">
        <w:rPr>
          <w:rFonts w:ascii="Arial" w:hAnsi="Arial" w:cs="Arial"/>
        </w:rPr>
        <w:t>Glycaemic</w:t>
      </w:r>
      <w:r w:rsidRPr="008D28C8">
        <w:rPr>
          <w:rFonts w:ascii="Arial" w:hAnsi="Arial" w:cs="Arial"/>
        </w:rPr>
        <w:t xml:space="preserve"> Monitoring Tools in Primary Care </w:t>
      </w:r>
    </w:p>
    <w:tbl>
      <w:tblPr>
        <w:tblStyle w:val="TableGrid"/>
        <w:tblW w:w="9098" w:type="dxa"/>
        <w:tblInd w:w="6" w:type="dxa"/>
        <w:tblCellMar>
          <w:top w:w="45" w:type="dxa"/>
          <w:left w:w="104" w:type="dxa"/>
          <w:right w:w="55" w:type="dxa"/>
        </w:tblCellMar>
        <w:tblLook w:val="04A0" w:firstRow="1" w:lastRow="0" w:firstColumn="1" w:lastColumn="0" w:noHBand="0" w:noVBand="1"/>
      </w:tblPr>
      <w:tblGrid>
        <w:gridCol w:w="1504"/>
        <w:gridCol w:w="1574"/>
        <w:gridCol w:w="1638"/>
        <w:gridCol w:w="2225"/>
        <w:gridCol w:w="2157"/>
      </w:tblGrid>
      <w:tr w:rsidR="005477F4" w:rsidRPr="008D28C8" w14:paraId="5F83A6B2" w14:textId="77777777">
        <w:trPr>
          <w:trHeight w:val="685"/>
        </w:trPr>
        <w:tc>
          <w:tcPr>
            <w:tcW w:w="1594" w:type="dxa"/>
            <w:tcBorders>
              <w:top w:val="single" w:sz="4" w:space="0" w:color="BFBFBF"/>
              <w:left w:val="single" w:sz="4" w:space="0" w:color="BFBFBF"/>
              <w:bottom w:val="single" w:sz="4" w:space="0" w:color="BFBFBF"/>
              <w:right w:val="single" w:sz="4" w:space="0" w:color="BFBFBF"/>
            </w:tcBorders>
          </w:tcPr>
          <w:p w14:paraId="28C60ACA" w14:textId="77777777" w:rsidR="005477F4" w:rsidRPr="008D28C8" w:rsidRDefault="00AF2B17" w:rsidP="008D28C8">
            <w:pPr>
              <w:spacing w:after="17" w:line="360" w:lineRule="auto"/>
              <w:ind w:left="0" w:right="0" w:firstLine="0"/>
              <w:rPr>
                <w:rFonts w:ascii="Arial" w:hAnsi="Arial" w:cs="Arial"/>
              </w:rPr>
            </w:pPr>
            <w:r w:rsidRPr="008D28C8">
              <w:rPr>
                <w:rFonts w:ascii="Arial" w:hAnsi="Arial" w:cs="Arial"/>
                <w:sz w:val="19"/>
              </w:rPr>
              <w:t xml:space="preserve">Monitoring </w:t>
            </w:r>
          </w:p>
          <w:p w14:paraId="5098BEAC" w14:textId="77777777" w:rsidR="005477F4" w:rsidRPr="008D28C8" w:rsidRDefault="00AF2B17" w:rsidP="008D28C8">
            <w:pPr>
              <w:spacing w:after="0" w:line="360" w:lineRule="auto"/>
              <w:ind w:left="0" w:right="0" w:firstLine="0"/>
              <w:rPr>
                <w:rFonts w:ascii="Arial" w:hAnsi="Arial" w:cs="Arial"/>
              </w:rPr>
            </w:pPr>
            <w:r w:rsidRPr="008D28C8">
              <w:rPr>
                <w:rFonts w:ascii="Arial" w:hAnsi="Arial" w:cs="Arial"/>
                <w:sz w:val="19"/>
              </w:rPr>
              <w:t xml:space="preserve">Parameter </w:t>
            </w:r>
          </w:p>
        </w:tc>
        <w:tc>
          <w:tcPr>
            <w:tcW w:w="1711" w:type="dxa"/>
            <w:tcBorders>
              <w:top w:val="single" w:sz="4" w:space="0" w:color="BFBFBF"/>
              <w:left w:val="single" w:sz="4" w:space="0" w:color="BFBFBF"/>
              <w:bottom w:val="single" w:sz="4" w:space="0" w:color="BFBFBF"/>
              <w:right w:val="single" w:sz="4" w:space="0" w:color="BFBFBF"/>
            </w:tcBorders>
          </w:tcPr>
          <w:p w14:paraId="0ED7BDC7" w14:textId="77777777" w:rsidR="005477F4" w:rsidRPr="008D28C8" w:rsidRDefault="00AF2B17" w:rsidP="008D28C8">
            <w:pPr>
              <w:spacing w:after="17" w:line="360" w:lineRule="auto"/>
              <w:ind w:left="2" w:right="0" w:firstLine="0"/>
              <w:rPr>
                <w:rFonts w:ascii="Arial" w:hAnsi="Arial" w:cs="Arial"/>
              </w:rPr>
            </w:pPr>
            <w:r w:rsidRPr="008D28C8">
              <w:rPr>
                <w:rFonts w:ascii="Arial" w:hAnsi="Arial" w:cs="Arial"/>
                <w:sz w:val="19"/>
              </w:rPr>
              <w:t xml:space="preserve">Method of </w:t>
            </w:r>
          </w:p>
          <w:p w14:paraId="05984759" w14:textId="77777777" w:rsidR="005477F4" w:rsidRPr="008D28C8" w:rsidRDefault="00AF2B17" w:rsidP="008D28C8">
            <w:pPr>
              <w:spacing w:after="0" w:line="360" w:lineRule="auto"/>
              <w:ind w:left="2" w:right="0" w:firstLine="0"/>
              <w:rPr>
                <w:rFonts w:ascii="Arial" w:hAnsi="Arial" w:cs="Arial"/>
              </w:rPr>
            </w:pPr>
            <w:r w:rsidRPr="008D28C8">
              <w:rPr>
                <w:rFonts w:ascii="Arial" w:hAnsi="Arial" w:cs="Arial"/>
                <w:sz w:val="19"/>
              </w:rPr>
              <w:t xml:space="preserve">Measurement </w:t>
            </w:r>
          </w:p>
        </w:tc>
        <w:tc>
          <w:tcPr>
            <w:tcW w:w="1768" w:type="dxa"/>
            <w:tcBorders>
              <w:top w:val="single" w:sz="4" w:space="0" w:color="BFBFBF"/>
              <w:left w:val="single" w:sz="4" w:space="0" w:color="BFBFBF"/>
              <w:bottom w:val="single" w:sz="4" w:space="0" w:color="BFBFBF"/>
              <w:right w:val="single" w:sz="4" w:space="0" w:color="BFBFBF"/>
            </w:tcBorders>
          </w:tcPr>
          <w:p w14:paraId="3DF5E2D2" w14:textId="77777777" w:rsidR="005477F4" w:rsidRPr="008D28C8" w:rsidRDefault="00AF2B17" w:rsidP="008D28C8">
            <w:pPr>
              <w:spacing w:after="0" w:line="360" w:lineRule="auto"/>
              <w:ind w:left="2" w:right="0" w:firstLine="0"/>
              <w:rPr>
                <w:rFonts w:ascii="Arial" w:hAnsi="Arial" w:cs="Arial"/>
              </w:rPr>
            </w:pPr>
            <w:r w:rsidRPr="008D28C8">
              <w:rPr>
                <w:rFonts w:ascii="Arial" w:hAnsi="Arial" w:cs="Arial"/>
                <w:sz w:val="19"/>
              </w:rPr>
              <w:t xml:space="preserve">What It Reflects </w:t>
            </w:r>
          </w:p>
        </w:tc>
        <w:tc>
          <w:tcPr>
            <w:tcW w:w="2383" w:type="dxa"/>
            <w:tcBorders>
              <w:top w:val="single" w:sz="4" w:space="0" w:color="BFBFBF"/>
              <w:left w:val="single" w:sz="4" w:space="0" w:color="BFBFBF"/>
              <w:bottom w:val="single" w:sz="4" w:space="0" w:color="BFBFBF"/>
              <w:right w:val="single" w:sz="4" w:space="0" w:color="BFBFBF"/>
            </w:tcBorders>
          </w:tcPr>
          <w:p w14:paraId="1D0B62B1" w14:textId="77777777" w:rsidR="005477F4" w:rsidRPr="008D28C8" w:rsidRDefault="00AF2B17" w:rsidP="008D28C8">
            <w:pPr>
              <w:spacing w:after="0" w:line="360" w:lineRule="auto"/>
              <w:ind w:left="2" w:right="0" w:firstLine="0"/>
              <w:rPr>
                <w:rFonts w:ascii="Arial" w:hAnsi="Arial" w:cs="Arial"/>
              </w:rPr>
            </w:pPr>
            <w:r w:rsidRPr="008D28C8">
              <w:rPr>
                <w:rFonts w:ascii="Arial" w:hAnsi="Arial" w:cs="Arial"/>
                <w:sz w:val="19"/>
              </w:rPr>
              <w:t xml:space="preserve">Clinical Utility </w:t>
            </w:r>
          </w:p>
        </w:tc>
        <w:tc>
          <w:tcPr>
            <w:tcW w:w="1643" w:type="dxa"/>
            <w:tcBorders>
              <w:top w:val="single" w:sz="4" w:space="0" w:color="BFBFBF"/>
              <w:left w:val="single" w:sz="4" w:space="0" w:color="BFBFBF"/>
              <w:bottom w:val="single" w:sz="4" w:space="0" w:color="BFBFBF"/>
              <w:right w:val="single" w:sz="4" w:space="0" w:color="BFBFBF"/>
            </w:tcBorders>
          </w:tcPr>
          <w:p w14:paraId="58D5CFF4" w14:textId="77777777" w:rsidR="005477F4" w:rsidRPr="008D28C8" w:rsidRDefault="00AF2B17" w:rsidP="008D28C8">
            <w:pPr>
              <w:spacing w:after="17" w:line="360" w:lineRule="auto"/>
              <w:ind w:left="2" w:right="0" w:firstLine="0"/>
              <w:rPr>
                <w:rFonts w:ascii="Arial" w:hAnsi="Arial" w:cs="Arial"/>
              </w:rPr>
            </w:pPr>
            <w:r w:rsidRPr="008D28C8">
              <w:rPr>
                <w:rFonts w:ascii="Arial" w:hAnsi="Arial" w:cs="Arial"/>
                <w:sz w:val="19"/>
              </w:rPr>
              <w:t xml:space="preserve">Target Range </w:t>
            </w:r>
          </w:p>
          <w:p w14:paraId="1D97B190" w14:textId="77777777" w:rsidR="005477F4" w:rsidRPr="008D28C8" w:rsidRDefault="00AF2B17" w:rsidP="008D28C8">
            <w:pPr>
              <w:spacing w:after="0" w:line="360" w:lineRule="auto"/>
              <w:ind w:left="1" w:right="0" w:firstLine="0"/>
              <w:rPr>
                <w:rFonts w:ascii="Arial" w:hAnsi="Arial" w:cs="Arial"/>
              </w:rPr>
            </w:pPr>
            <w:r w:rsidRPr="008D28C8">
              <w:rPr>
                <w:rFonts w:ascii="Arial" w:hAnsi="Arial" w:cs="Arial"/>
                <w:sz w:val="19"/>
              </w:rPr>
              <w:t xml:space="preserve">(Standard) </w:t>
            </w:r>
          </w:p>
        </w:tc>
      </w:tr>
      <w:tr w:rsidR="005477F4" w:rsidRPr="008D28C8" w14:paraId="412D5D3F" w14:textId="77777777">
        <w:trPr>
          <w:trHeight w:val="2290"/>
        </w:trPr>
        <w:tc>
          <w:tcPr>
            <w:tcW w:w="1594" w:type="dxa"/>
            <w:tcBorders>
              <w:top w:val="single" w:sz="4" w:space="0" w:color="BFBFBF"/>
              <w:left w:val="single" w:sz="4" w:space="0" w:color="BFBFBF"/>
              <w:bottom w:val="single" w:sz="4" w:space="0" w:color="BFBFBF"/>
              <w:right w:val="single" w:sz="4" w:space="0" w:color="BFBFBF"/>
            </w:tcBorders>
            <w:shd w:val="clear" w:color="auto" w:fill="F2F2F2"/>
          </w:tcPr>
          <w:p w14:paraId="589EDC25" w14:textId="77777777" w:rsidR="005477F4" w:rsidRPr="008D28C8" w:rsidRDefault="00AF2B17" w:rsidP="008D28C8">
            <w:pPr>
              <w:spacing w:after="17" w:line="360" w:lineRule="auto"/>
              <w:ind w:left="0" w:right="0" w:firstLine="0"/>
              <w:rPr>
                <w:rFonts w:ascii="Arial" w:hAnsi="Arial" w:cs="Arial"/>
              </w:rPr>
            </w:pPr>
            <w:r w:rsidRPr="008D28C8">
              <w:rPr>
                <w:rFonts w:ascii="Arial" w:hAnsi="Arial" w:cs="Arial"/>
                <w:sz w:val="19"/>
              </w:rPr>
              <w:t xml:space="preserve">Capillary </w:t>
            </w:r>
          </w:p>
          <w:p w14:paraId="61705D58" w14:textId="77777777" w:rsidR="005477F4" w:rsidRPr="008D28C8" w:rsidRDefault="00AF2B17" w:rsidP="008D28C8">
            <w:pPr>
              <w:spacing w:after="17" w:line="360" w:lineRule="auto"/>
              <w:ind w:left="0" w:right="0" w:firstLine="0"/>
              <w:rPr>
                <w:rFonts w:ascii="Arial" w:hAnsi="Arial" w:cs="Arial"/>
              </w:rPr>
            </w:pPr>
            <w:r w:rsidRPr="008D28C8">
              <w:rPr>
                <w:rFonts w:ascii="Arial" w:hAnsi="Arial" w:cs="Arial"/>
                <w:sz w:val="19"/>
              </w:rPr>
              <w:t xml:space="preserve">Blood Glucose </w:t>
            </w:r>
          </w:p>
          <w:p w14:paraId="2EB9D402" w14:textId="77777777" w:rsidR="005477F4" w:rsidRPr="008D28C8" w:rsidRDefault="00AF2B17" w:rsidP="008D28C8">
            <w:pPr>
              <w:spacing w:after="0" w:line="360" w:lineRule="auto"/>
              <w:ind w:left="0" w:right="0" w:firstLine="0"/>
              <w:rPr>
                <w:rFonts w:ascii="Arial" w:hAnsi="Arial" w:cs="Arial"/>
              </w:rPr>
            </w:pPr>
            <w:r w:rsidRPr="008D28C8">
              <w:rPr>
                <w:rFonts w:ascii="Arial" w:hAnsi="Arial" w:cs="Arial"/>
                <w:sz w:val="19"/>
              </w:rPr>
              <w:t xml:space="preserve">(SMBG) </w:t>
            </w:r>
          </w:p>
        </w:tc>
        <w:tc>
          <w:tcPr>
            <w:tcW w:w="1711" w:type="dxa"/>
            <w:tcBorders>
              <w:top w:val="single" w:sz="4" w:space="0" w:color="BFBFBF"/>
              <w:left w:val="single" w:sz="4" w:space="0" w:color="BFBFBF"/>
              <w:bottom w:val="single" w:sz="4" w:space="0" w:color="BFBFBF"/>
              <w:right w:val="single" w:sz="4" w:space="0" w:color="BFBFBF"/>
            </w:tcBorders>
            <w:shd w:val="clear" w:color="auto" w:fill="F2F2F2"/>
          </w:tcPr>
          <w:p w14:paraId="2A071ECE" w14:textId="77777777" w:rsidR="005477F4" w:rsidRPr="008D28C8" w:rsidRDefault="00AF2B17" w:rsidP="008D28C8">
            <w:pPr>
              <w:spacing w:after="0" w:line="360" w:lineRule="auto"/>
              <w:ind w:left="2" w:right="0" w:firstLine="0"/>
              <w:rPr>
                <w:rFonts w:ascii="Arial" w:hAnsi="Arial" w:cs="Arial"/>
              </w:rPr>
            </w:pPr>
            <w:r w:rsidRPr="008D28C8">
              <w:rPr>
                <w:rFonts w:ascii="Arial" w:hAnsi="Arial" w:cs="Arial"/>
                <w:sz w:val="19"/>
              </w:rPr>
              <w:t xml:space="preserve">Finger-prick capillary sample onto a test strip via a personal glucometer. </w:t>
            </w:r>
          </w:p>
        </w:tc>
        <w:tc>
          <w:tcPr>
            <w:tcW w:w="1768" w:type="dxa"/>
            <w:tcBorders>
              <w:top w:val="single" w:sz="4" w:space="0" w:color="BFBFBF"/>
              <w:left w:val="single" w:sz="4" w:space="0" w:color="BFBFBF"/>
              <w:bottom w:val="single" w:sz="4" w:space="0" w:color="BFBFBF"/>
              <w:right w:val="single" w:sz="4" w:space="0" w:color="BFBFBF"/>
            </w:tcBorders>
            <w:shd w:val="clear" w:color="auto" w:fill="F2F2F2"/>
          </w:tcPr>
          <w:p w14:paraId="6E3582A6" w14:textId="77777777" w:rsidR="005477F4" w:rsidRPr="008D28C8" w:rsidRDefault="00AF2B17" w:rsidP="008D28C8">
            <w:pPr>
              <w:spacing w:after="0" w:line="360" w:lineRule="auto"/>
              <w:ind w:left="2" w:right="0" w:firstLine="0"/>
              <w:rPr>
                <w:rFonts w:ascii="Arial" w:hAnsi="Arial" w:cs="Arial"/>
              </w:rPr>
            </w:pPr>
            <w:r w:rsidRPr="008D28C8">
              <w:rPr>
                <w:rFonts w:ascii="Arial" w:hAnsi="Arial" w:cs="Arial"/>
                <w:sz w:val="19"/>
              </w:rPr>
              <w:t xml:space="preserve">Instantaneous, real-time blood glucose concentration. </w:t>
            </w:r>
          </w:p>
        </w:tc>
        <w:tc>
          <w:tcPr>
            <w:tcW w:w="2383" w:type="dxa"/>
            <w:tcBorders>
              <w:top w:val="single" w:sz="4" w:space="0" w:color="BFBFBF"/>
              <w:left w:val="single" w:sz="4" w:space="0" w:color="BFBFBF"/>
              <w:bottom w:val="single" w:sz="4" w:space="0" w:color="BFBFBF"/>
              <w:right w:val="single" w:sz="4" w:space="0" w:color="BFBFBF"/>
            </w:tcBorders>
            <w:shd w:val="clear" w:color="auto" w:fill="F2F2F2"/>
          </w:tcPr>
          <w:p w14:paraId="15E214E4" w14:textId="77777777" w:rsidR="005477F4" w:rsidRPr="008D28C8" w:rsidRDefault="00AF2B17" w:rsidP="008D28C8">
            <w:pPr>
              <w:spacing w:after="0" w:line="360" w:lineRule="auto"/>
              <w:ind w:left="1" w:right="21" w:firstLine="0"/>
              <w:rPr>
                <w:rFonts w:ascii="Arial" w:hAnsi="Arial" w:cs="Arial"/>
              </w:rPr>
            </w:pPr>
            <w:r w:rsidRPr="008D28C8">
              <w:rPr>
                <w:rFonts w:ascii="Arial" w:hAnsi="Arial" w:cs="Arial"/>
                <w:sz w:val="19"/>
              </w:rPr>
              <w:t xml:space="preserve">Assess immediate impact of meals, exercise, stress, or acute illness; safe titration of insulin/sulfonylureas. </w:t>
            </w:r>
          </w:p>
        </w:tc>
        <w:tc>
          <w:tcPr>
            <w:tcW w:w="1643" w:type="dxa"/>
            <w:tcBorders>
              <w:top w:val="single" w:sz="4" w:space="0" w:color="BFBFBF"/>
              <w:left w:val="single" w:sz="4" w:space="0" w:color="BFBFBF"/>
              <w:bottom w:val="single" w:sz="4" w:space="0" w:color="BFBFBF"/>
              <w:right w:val="single" w:sz="4" w:space="0" w:color="BFBFBF"/>
            </w:tcBorders>
            <w:shd w:val="clear" w:color="auto" w:fill="F2F2F2"/>
          </w:tcPr>
          <w:p w14:paraId="1D48289A" w14:textId="77777777" w:rsidR="005477F4" w:rsidRPr="008D28C8" w:rsidRDefault="00AF2B17" w:rsidP="008D28C8">
            <w:pPr>
              <w:numPr>
                <w:ilvl w:val="0"/>
                <w:numId w:val="3"/>
              </w:numPr>
              <w:spacing w:after="17" w:line="360" w:lineRule="auto"/>
              <w:ind w:right="0" w:firstLine="0"/>
              <w:rPr>
                <w:rFonts w:ascii="Arial" w:hAnsi="Arial" w:cs="Arial"/>
              </w:rPr>
            </w:pPr>
            <w:r w:rsidRPr="008D28C8">
              <w:rPr>
                <w:rFonts w:ascii="Arial" w:hAnsi="Arial" w:cs="Arial"/>
                <w:sz w:val="19"/>
              </w:rPr>
              <w:t xml:space="preserve">Fasting: 4.0 – </w:t>
            </w:r>
          </w:p>
          <w:p w14:paraId="744A5124" w14:textId="77777777" w:rsidR="005477F4" w:rsidRPr="008D28C8" w:rsidRDefault="00AF2B17" w:rsidP="008D28C8">
            <w:pPr>
              <w:spacing w:after="170" w:line="360" w:lineRule="auto"/>
              <w:ind w:left="1" w:right="0" w:firstLine="0"/>
              <w:rPr>
                <w:rFonts w:ascii="Arial" w:hAnsi="Arial" w:cs="Arial"/>
              </w:rPr>
            </w:pPr>
            <w:r w:rsidRPr="008D28C8">
              <w:rPr>
                <w:rFonts w:ascii="Arial" w:hAnsi="Arial" w:cs="Arial"/>
                <w:sz w:val="19"/>
              </w:rPr>
              <w:t xml:space="preserve">7.0 mmol/L </w:t>
            </w:r>
          </w:p>
          <w:p w14:paraId="6217D0EE" w14:textId="77777777" w:rsidR="005477F4" w:rsidRPr="008D28C8" w:rsidRDefault="00AF2B17" w:rsidP="008D28C8">
            <w:pPr>
              <w:spacing w:after="17" w:line="360" w:lineRule="auto"/>
              <w:ind w:left="1" w:right="0" w:firstLine="0"/>
              <w:rPr>
                <w:rFonts w:ascii="Arial" w:hAnsi="Arial" w:cs="Arial"/>
              </w:rPr>
            </w:pPr>
            <w:r w:rsidRPr="008D28C8">
              <w:rPr>
                <w:rFonts w:ascii="Arial" w:hAnsi="Arial" w:cs="Arial"/>
                <w:sz w:val="19"/>
              </w:rPr>
              <w:t xml:space="preserve"> </w:t>
            </w:r>
          </w:p>
          <w:p w14:paraId="46B7283B" w14:textId="77777777" w:rsidR="005477F4" w:rsidRPr="008D28C8" w:rsidRDefault="00AF2B17" w:rsidP="008D28C8">
            <w:pPr>
              <w:spacing w:after="175" w:line="360" w:lineRule="auto"/>
              <w:ind w:left="1" w:right="0" w:firstLine="0"/>
              <w:rPr>
                <w:rFonts w:ascii="Arial" w:hAnsi="Arial" w:cs="Arial"/>
              </w:rPr>
            </w:pPr>
            <w:r w:rsidRPr="008D28C8">
              <w:rPr>
                <w:rFonts w:ascii="Arial" w:hAnsi="Arial" w:cs="Arial"/>
                <w:sz w:val="19"/>
              </w:rPr>
              <w:t xml:space="preserve"> </w:t>
            </w:r>
          </w:p>
          <w:p w14:paraId="7B8F3D3E" w14:textId="77777777" w:rsidR="005477F4" w:rsidRPr="008D28C8" w:rsidRDefault="00AF2B17" w:rsidP="008D28C8">
            <w:pPr>
              <w:numPr>
                <w:ilvl w:val="0"/>
                <w:numId w:val="3"/>
              </w:numPr>
              <w:spacing w:after="0" w:line="360" w:lineRule="auto"/>
              <w:ind w:right="0" w:firstLine="0"/>
              <w:rPr>
                <w:rFonts w:ascii="Arial" w:hAnsi="Arial" w:cs="Arial"/>
              </w:rPr>
            </w:pPr>
            <w:r w:rsidRPr="008D28C8">
              <w:rPr>
                <w:rFonts w:ascii="Arial" w:hAnsi="Arial" w:cs="Arial"/>
                <w:sz w:val="19"/>
              </w:rPr>
              <w:t xml:space="preserve">Postprandial (2 hrs): &lt; 8.5 mmol/L </w:t>
            </w:r>
          </w:p>
        </w:tc>
      </w:tr>
      <w:tr w:rsidR="005477F4" w:rsidRPr="008D28C8" w14:paraId="449B25A2" w14:textId="77777777">
        <w:trPr>
          <w:trHeight w:val="3071"/>
        </w:trPr>
        <w:tc>
          <w:tcPr>
            <w:tcW w:w="1594" w:type="dxa"/>
            <w:tcBorders>
              <w:top w:val="single" w:sz="4" w:space="0" w:color="BFBFBF"/>
              <w:left w:val="single" w:sz="4" w:space="0" w:color="BFBFBF"/>
              <w:bottom w:val="single" w:sz="4" w:space="0" w:color="BFBFBF"/>
              <w:right w:val="single" w:sz="4" w:space="0" w:color="BFBFBF"/>
            </w:tcBorders>
          </w:tcPr>
          <w:p w14:paraId="045F1F1E" w14:textId="77777777" w:rsidR="005477F4" w:rsidRPr="008D28C8" w:rsidRDefault="00AF2B17" w:rsidP="008D28C8">
            <w:pPr>
              <w:spacing w:after="17" w:line="360" w:lineRule="auto"/>
              <w:ind w:left="0" w:right="0" w:firstLine="0"/>
              <w:rPr>
                <w:rFonts w:ascii="Arial" w:hAnsi="Arial" w:cs="Arial"/>
              </w:rPr>
            </w:pPr>
            <w:r w:rsidRPr="008D28C8">
              <w:rPr>
                <w:rFonts w:ascii="Arial" w:hAnsi="Arial" w:cs="Arial"/>
                <w:sz w:val="19"/>
              </w:rPr>
              <w:lastRenderedPageBreak/>
              <w:t xml:space="preserve">HbA1c </w:t>
            </w:r>
          </w:p>
          <w:p w14:paraId="50398495" w14:textId="77777777" w:rsidR="005477F4" w:rsidRPr="008D28C8" w:rsidRDefault="00AF2B17" w:rsidP="008D28C8">
            <w:pPr>
              <w:spacing w:after="17" w:line="360" w:lineRule="auto"/>
              <w:ind w:left="0" w:right="0" w:firstLine="0"/>
              <w:rPr>
                <w:rFonts w:ascii="Arial" w:hAnsi="Arial" w:cs="Arial"/>
              </w:rPr>
            </w:pPr>
            <w:r w:rsidRPr="008D28C8">
              <w:rPr>
                <w:rFonts w:ascii="Arial" w:hAnsi="Arial" w:cs="Arial"/>
                <w:sz w:val="19"/>
              </w:rPr>
              <w:t xml:space="preserve">(Glycated </w:t>
            </w:r>
          </w:p>
          <w:p w14:paraId="49A03B4B" w14:textId="77777777" w:rsidR="005477F4" w:rsidRPr="008D28C8" w:rsidRDefault="00AF2B17" w:rsidP="008D28C8">
            <w:pPr>
              <w:spacing w:after="0" w:line="360" w:lineRule="auto"/>
              <w:ind w:left="0" w:right="0" w:firstLine="0"/>
              <w:rPr>
                <w:rFonts w:ascii="Arial" w:hAnsi="Arial" w:cs="Arial"/>
              </w:rPr>
            </w:pPr>
            <w:r w:rsidRPr="008D28C8">
              <w:rPr>
                <w:rFonts w:ascii="Arial" w:hAnsi="Arial" w:cs="Arial"/>
                <w:sz w:val="19"/>
              </w:rPr>
              <w:t xml:space="preserve">Haemoglobin) </w:t>
            </w:r>
          </w:p>
        </w:tc>
        <w:tc>
          <w:tcPr>
            <w:tcW w:w="1711" w:type="dxa"/>
            <w:tcBorders>
              <w:top w:val="single" w:sz="4" w:space="0" w:color="BFBFBF"/>
              <w:left w:val="single" w:sz="4" w:space="0" w:color="BFBFBF"/>
              <w:bottom w:val="single" w:sz="4" w:space="0" w:color="BFBFBF"/>
              <w:right w:val="single" w:sz="4" w:space="0" w:color="BFBFBF"/>
            </w:tcBorders>
          </w:tcPr>
          <w:p w14:paraId="230F8D0E" w14:textId="77777777" w:rsidR="005477F4" w:rsidRPr="008D28C8" w:rsidRDefault="00AF2B17" w:rsidP="008D28C8">
            <w:pPr>
              <w:spacing w:after="0" w:line="360" w:lineRule="auto"/>
              <w:ind w:left="2" w:right="287" w:firstLine="0"/>
              <w:jc w:val="both"/>
              <w:rPr>
                <w:rFonts w:ascii="Arial" w:hAnsi="Arial" w:cs="Arial"/>
              </w:rPr>
            </w:pPr>
            <w:r w:rsidRPr="008D28C8">
              <w:rPr>
                <w:rFonts w:ascii="Arial" w:hAnsi="Arial" w:cs="Arial"/>
                <w:sz w:val="19"/>
              </w:rPr>
              <w:t xml:space="preserve">Venous blood sample processed in a laboratory. </w:t>
            </w:r>
          </w:p>
        </w:tc>
        <w:tc>
          <w:tcPr>
            <w:tcW w:w="1768" w:type="dxa"/>
            <w:tcBorders>
              <w:top w:val="single" w:sz="4" w:space="0" w:color="BFBFBF"/>
              <w:left w:val="single" w:sz="4" w:space="0" w:color="BFBFBF"/>
              <w:bottom w:val="single" w:sz="4" w:space="0" w:color="BFBFBF"/>
              <w:right w:val="single" w:sz="4" w:space="0" w:color="BFBFBF"/>
            </w:tcBorders>
          </w:tcPr>
          <w:p w14:paraId="26A31FA3" w14:textId="77777777" w:rsidR="005477F4" w:rsidRPr="008D28C8" w:rsidRDefault="00AF2B17" w:rsidP="008D28C8">
            <w:pPr>
              <w:spacing w:after="0" w:line="360" w:lineRule="auto"/>
              <w:ind w:left="2" w:right="34" w:firstLine="0"/>
              <w:rPr>
                <w:rFonts w:ascii="Arial" w:hAnsi="Arial" w:cs="Arial"/>
              </w:rPr>
            </w:pPr>
            <w:r w:rsidRPr="008D28C8">
              <w:rPr>
                <w:rFonts w:ascii="Arial" w:hAnsi="Arial" w:cs="Arial"/>
                <w:sz w:val="19"/>
              </w:rPr>
              <w:t xml:space="preserve">Weighted average blood glucose concentration over the preceding 2–3 months. </w:t>
            </w:r>
          </w:p>
        </w:tc>
        <w:tc>
          <w:tcPr>
            <w:tcW w:w="2383" w:type="dxa"/>
            <w:tcBorders>
              <w:top w:val="single" w:sz="4" w:space="0" w:color="BFBFBF"/>
              <w:left w:val="single" w:sz="4" w:space="0" w:color="BFBFBF"/>
              <w:bottom w:val="single" w:sz="4" w:space="0" w:color="BFBFBF"/>
              <w:right w:val="single" w:sz="4" w:space="0" w:color="BFBFBF"/>
            </w:tcBorders>
          </w:tcPr>
          <w:p w14:paraId="5B0189FA" w14:textId="3F8E2B42" w:rsidR="005477F4" w:rsidRPr="008D28C8" w:rsidRDefault="00AF2B17" w:rsidP="008D28C8">
            <w:pPr>
              <w:spacing w:after="0" w:line="360" w:lineRule="auto"/>
              <w:ind w:left="1" w:right="0" w:firstLine="0"/>
              <w:rPr>
                <w:rFonts w:ascii="Arial" w:hAnsi="Arial" w:cs="Arial"/>
              </w:rPr>
            </w:pPr>
            <w:r w:rsidRPr="008D28C8">
              <w:rPr>
                <w:rFonts w:ascii="Arial" w:hAnsi="Arial" w:cs="Arial"/>
                <w:sz w:val="19"/>
              </w:rPr>
              <w:t xml:space="preserve">Standard for assessing long-term </w:t>
            </w:r>
            <w:r w:rsidR="00313A15" w:rsidRPr="008D28C8">
              <w:rPr>
                <w:rFonts w:ascii="Arial" w:hAnsi="Arial" w:cs="Arial"/>
                <w:sz w:val="19"/>
              </w:rPr>
              <w:t>glycaemic</w:t>
            </w:r>
            <w:r w:rsidRPr="008D28C8">
              <w:rPr>
                <w:rFonts w:ascii="Arial" w:hAnsi="Arial" w:cs="Arial"/>
                <w:sz w:val="19"/>
              </w:rPr>
              <w:t xml:space="preserve"> control, treatment efficacy, and vascular complication risks. </w:t>
            </w:r>
          </w:p>
        </w:tc>
        <w:tc>
          <w:tcPr>
            <w:tcW w:w="1643" w:type="dxa"/>
            <w:tcBorders>
              <w:top w:val="single" w:sz="4" w:space="0" w:color="BFBFBF"/>
              <w:left w:val="single" w:sz="4" w:space="0" w:color="BFBFBF"/>
              <w:bottom w:val="single" w:sz="4" w:space="0" w:color="BFBFBF"/>
              <w:right w:val="single" w:sz="4" w:space="0" w:color="BFBFBF"/>
            </w:tcBorders>
          </w:tcPr>
          <w:p w14:paraId="65172CE3" w14:textId="77777777" w:rsidR="005477F4" w:rsidRPr="008D28C8" w:rsidRDefault="00AF2B17" w:rsidP="008D28C8">
            <w:pPr>
              <w:numPr>
                <w:ilvl w:val="0"/>
                <w:numId w:val="8"/>
              </w:numPr>
              <w:spacing w:after="0" w:line="360" w:lineRule="auto"/>
              <w:ind w:right="0" w:firstLine="0"/>
              <w:rPr>
                <w:rFonts w:ascii="Arial" w:hAnsi="Arial" w:cs="Arial"/>
              </w:rPr>
            </w:pPr>
            <w:r w:rsidRPr="008D28C8">
              <w:rPr>
                <w:rFonts w:ascii="Arial" w:hAnsi="Arial" w:cs="Arial"/>
                <w:sz w:val="19"/>
              </w:rPr>
              <w:t xml:space="preserve">Lifestyle/Single drug: 48 </w:t>
            </w:r>
          </w:p>
          <w:p w14:paraId="4521DDFA" w14:textId="77777777" w:rsidR="005477F4" w:rsidRPr="008D28C8" w:rsidRDefault="00AF2B17" w:rsidP="008D28C8">
            <w:pPr>
              <w:spacing w:after="156" w:line="360" w:lineRule="auto"/>
              <w:ind w:left="1" w:right="0" w:firstLine="0"/>
              <w:rPr>
                <w:rFonts w:ascii="Arial" w:hAnsi="Arial" w:cs="Arial"/>
              </w:rPr>
            </w:pPr>
            <w:r w:rsidRPr="008D28C8">
              <w:rPr>
                <w:rFonts w:ascii="Arial" w:hAnsi="Arial" w:cs="Arial"/>
                <w:sz w:val="19"/>
              </w:rPr>
              <w:t xml:space="preserve">mmol/mol (6.5%) </w:t>
            </w:r>
          </w:p>
          <w:p w14:paraId="3F4D8DAC" w14:textId="77777777" w:rsidR="005477F4" w:rsidRPr="008D28C8" w:rsidRDefault="00AF2B17" w:rsidP="008D28C8">
            <w:pPr>
              <w:spacing w:after="17" w:line="360" w:lineRule="auto"/>
              <w:ind w:left="1" w:right="0" w:firstLine="0"/>
              <w:rPr>
                <w:rFonts w:ascii="Arial" w:hAnsi="Arial" w:cs="Arial"/>
              </w:rPr>
            </w:pPr>
            <w:r w:rsidRPr="008D28C8">
              <w:rPr>
                <w:rFonts w:ascii="Arial" w:hAnsi="Arial" w:cs="Arial"/>
                <w:sz w:val="19"/>
              </w:rPr>
              <w:t xml:space="preserve"> </w:t>
            </w:r>
          </w:p>
          <w:p w14:paraId="1D40CEC3" w14:textId="77777777" w:rsidR="005477F4" w:rsidRPr="008D28C8" w:rsidRDefault="00AF2B17" w:rsidP="008D28C8">
            <w:pPr>
              <w:spacing w:after="170" w:line="360" w:lineRule="auto"/>
              <w:ind w:left="1" w:right="0" w:firstLine="0"/>
              <w:rPr>
                <w:rFonts w:ascii="Arial" w:hAnsi="Arial" w:cs="Arial"/>
              </w:rPr>
            </w:pPr>
            <w:r w:rsidRPr="008D28C8">
              <w:rPr>
                <w:rFonts w:ascii="Arial" w:hAnsi="Arial" w:cs="Arial"/>
                <w:sz w:val="19"/>
              </w:rPr>
              <w:t xml:space="preserve"> </w:t>
            </w:r>
          </w:p>
          <w:p w14:paraId="5A48C90F" w14:textId="77777777" w:rsidR="005477F4" w:rsidRPr="008D28C8" w:rsidRDefault="00AF2B17" w:rsidP="008D28C8">
            <w:pPr>
              <w:numPr>
                <w:ilvl w:val="0"/>
                <w:numId w:val="8"/>
              </w:numPr>
              <w:spacing w:after="0" w:line="360" w:lineRule="auto"/>
              <w:ind w:right="0" w:firstLine="0"/>
              <w:rPr>
                <w:rFonts w:ascii="Arial" w:hAnsi="Arial" w:cs="Arial"/>
              </w:rPr>
            </w:pPr>
            <w:r w:rsidRPr="008D28C8">
              <w:rPr>
                <w:rFonts w:ascii="Arial" w:hAnsi="Arial" w:cs="Arial"/>
                <w:sz w:val="19"/>
              </w:rPr>
              <w:t xml:space="preserve">Hypo-risk drugs: 53 mmol/mol </w:t>
            </w:r>
          </w:p>
          <w:p w14:paraId="35562376" w14:textId="77777777" w:rsidR="005477F4" w:rsidRPr="008D28C8" w:rsidRDefault="00AF2B17" w:rsidP="008D28C8">
            <w:pPr>
              <w:spacing w:after="0" w:line="360" w:lineRule="auto"/>
              <w:ind w:left="1" w:right="0" w:firstLine="0"/>
              <w:rPr>
                <w:rFonts w:ascii="Arial" w:hAnsi="Arial" w:cs="Arial"/>
              </w:rPr>
            </w:pPr>
            <w:r w:rsidRPr="008D28C8">
              <w:rPr>
                <w:rFonts w:ascii="Arial" w:hAnsi="Arial" w:cs="Arial"/>
                <w:sz w:val="19"/>
              </w:rPr>
              <w:t xml:space="preserve">(7.0%) </w:t>
            </w:r>
          </w:p>
        </w:tc>
      </w:tr>
    </w:tbl>
    <w:p w14:paraId="0EFF816F" w14:textId="77777777" w:rsidR="005477F4" w:rsidRPr="008D28C8" w:rsidRDefault="00AF2B17" w:rsidP="008D28C8">
      <w:pPr>
        <w:spacing w:after="176" w:line="360" w:lineRule="auto"/>
        <w:ind w:left="0" w:right="0" w:firstLine="0"/>
        <w:rPr>
          <w:rFonts w:ascii="Arial" w:hAnsi="Arial" w:cs="Arial"/>
        </w:rPr>
      </w:pPr>
      <w:r w:rsidRPr="008D28C8">
        <w:rPr>
          <w:rFonts w:ascii="Arial" w:hAnsi="Arial" w:cs="Arial"/>
        </w:rPr>
        <w:t xml:space="preserve"> </w:t>
      </w:r>
    </w:p>
    <w:p w14:paraId="7B154108" w14:textId="77777777" w:rsidR="005477F4" w:rsidRPr="008D28C8" w:rsidRDefault="00AF2B17" w:rsidP="008D28C8">
      <w:pPr>
        <w:spacing w:after="0" w:line="360" w:lineRule="auto"/>
        <w:ind w:left="0" w:right="0" w:firstLine="0"/>
        <w:rPr>
          <w:rFonts w:ascii="Arial" w:hAnsi="Arial" w:cs="Arial"/>
        </w:rPr>
      </w:pPr>
      <w:r w:rsidRPr="008D28C8">
        <w:rPr>
          <w:rFonts w:ascii="Arial" w:hAnsi="Arial" w:cs="Arial"/>
        </w:rPr>
        <w:t xml:space="preserve"> </w:t>
      </w:r>
    </w:p>
    <w:p w14:paraId="796CDB92" w14:textId="26B569C9" w:rsidR="005477F4" w:rsidRPr="008D28C8" w:rsidRDefault="00AF2B17" w:rsidP="008D28C8">
      <w:pPr>
        <w:spacing w:after="175" w:line="360" w:lineRule="auto"/>
        <w:ind w:left="-3" w:right="0"/>
        <w:rPr>
          <w:rFonts w:ascii="Arial" w:hAnsi="Arial" w:cs="Arial"/>
        </w:rPr>
      </w:pPr>
      <w:r w:rsidRPr="008D28C8">
        <w:rPr>
          <w:rFonts w:ascii="Arial" w:hAnsi="Arial" w:cs="Arial"/>
        </w:rPr>
        <w:t xml:space="preserve"> Daily Capillary Blood Glucose Monitoring (SMBG) </w:t>
      </w:r>
    </w:p>
    <w:p w14:paraId="6030600E" w14:textId="75CF648B" w:rsidR="005477F4" w:rsidRPr="008D28C8" w:rsidRDefault="00AF2B17" w:rsidP="008D28C8">
      <w:pPr>
        <w:spacing w:line="360" w:lineRule="auto"/>
        <w:ind w:left="-3" w:right="55"/>
        <w:rPr>
          <w:rFonts w:ascii="Arial" w:hAnsi="Arial" w:cs="Arial"/>
        </w:rPr>
      </w:pPr>
      <w:r w:rsidRPr="008D28C8">
        <w:rPr>
          <w:rFonts w:ascii="Arial" w:hAnsi="Arial" w:cs="Arial"/>
        </w:rPr>
        <w:t xml:space="preserve">Capillary testing provides an instantaneous snapshot of systemic glucose levels. The patient punctures the lateral edge of the tip of their </w:t>
      </w:r>
      <w:r w:rsidR="00313A15" w:rsidRPr="008D28C8">
        <w:rPr>
          <w:rFonts w:ascii="Arial" w:hAnsi="Arial" w:cs="Arial"/>
        </w:rPr>
        <w:t>finger,</w:t>
      </w:r>
      <w:r w:rsidRPr="008D28C8">
        <w:rPr>
          <w:rFonts w:ascii="Arial" w:hAnsi="Arial" w:cs="Arial"/>
        </w:rPr>
        <w:t xml:space="preserve"> and the blood </w:t>
      </w:r>
      <w:r w:rsidR="00145BAD" w:rsidRPr="008D28C8">
        <w:rPr>
          <w:rFonts w:ascii="Arial" w:hAnsi="Arial" w:cs="Arial"/>
        </w:rPr>
        <w:t>is enzymatically</w:t>
      </w:r>
      <w:r w:rsidR="008B5E06" w:rsidRPr="008D28C8">
        <w:rPr>
          <w:rFonts w:ascii="Arial" w:hAnsi="Arial" w:cs="Arial"/>
        </w:rPr>
        <w:t xml:space="preserve"> analysed</w:t>
      </w:r>
      <w:r w:rsidRPr="008D28C8">
        <w:rPr>
          <w:rFonts w:ascii="Arial" w:hAnsi="Arial" w:cs="Arial"/>
        </w:rPr>
        <w:t xml:space="preserve"> by a handheld glucometer (</w:t>
      </w:r>
      <w:r w:rsidR="00AA0F76" w:rsidRPr="008D28C8">
        <w:rPr>
          <w:rFonts w:ascii="Arial" w:hAnsi="Arial" w:cs="Arial"/>
        </w:rPr>
        <w:t>Stat Pearls</w:t>
      </w:r>
      <w:r w:rsidRPr="008D28C8">
        <w:rPr>
          <w:rFonts w:ascii="Arial" w:hAnsi="Arial" w:cs="Arial"/>
        </w:rPr>
        <w:t xml:space="preserve">, 2026). This instantaneous feedback allows patients to associate lifestyle decisions with their metabolic health (e.g., recognizing postprandial spikes and exercise-related dips). For individuals who are on drugs which have a potential to cause </w:t>
      </w:r>
      <w:r w:rsidR="00AA0F76" w:rsidRPr="008D28C8">
        <w:rPr>
          <w:rFonts w:ascii="Arial" w:hAnsi="Arial" w:cs="Arial"/>
        </w:rPr>
        <w:t>hypoglycaemia</w:t>
      </w:r>
      <w:r w:rsidRPr="008D28C8">
        <w:rPr>
          <w:rFonts w:ascii="Arial" w:hAnsi="Arial" w:cs="Arial"/>
        </w:rPr>
        <w:t xml:space="preserve"> (such as sulfonylureas or insulin) for which they </w:t>
      </w:r>
      <w:r w:rsidR="001101DC" w:rsidRPr="008D28C8">
        <w:rPr>
          <w:rFonts w:ascii="Arial" w:hAnsi="Arial" w:cs="Arial"/>
        </w:rPr>
        <w:t>have been</w:t>
      </w:r>
      <w:r w:rsidR="00DD6B09" w:rsidRPr="008D28C8">
        <w:rPr>
          <w:rFonts w:ascii="Arial" w:hAnsi="Arial" w:cs="Arial"/>
        </w:rPr>
        <w:t xml:space="preserve"> prescribed</w:t>
      </w:r>
      <w:r w:rsidRPr="008D28C8">
        <w:rPr>
          <w:rFonts w:ascii="Arial" w:hAnsi="Arial" w:cs="Arial"/>
        </w:rPr>
        <w:t xml:space="preserve">, frequent testing is an important safety net to avoid significant neurological manifestations (Sibal and Home, 2009).  </w:t>
      </w:r>
    </w:p>
    <w:p w14:paraId="3AE1E835" w14:textId="12D8D812" w:rsidR="005477F4" w:rsidRPr="008D28C8" w:rsidRDefault="00AF2B17" w:rsidP="008D28C8">
      <w:pPr>
        <w:spacing w:after="175" w:line="360" w:lineRule="auto"/>
        <w:ind w:left="-3" w:right="0"/>
        <w:rPr>
          <w:rFonts w:ascii="Arial" w:hAnsi="Arial" w:cs="Arial"/>
        </w:rPr>
      </w:pPr>
      <w:r w:rsidRPr="008D28C8">
        <w:rPr>
          <w:rFonts w:ascii="Arial" w:hAnsi="Arial" w:cs="Arial"/>
        </w:rPr>
        <w:t xml:space="preserve"> Glycated Haemoglobin (HbA1c) </w:t>
      </w:r>
    </w:p>
    <w:p w14:paraId="0795FB0B" w14:textId="3FB26C7D" w:rsidR="005477F4" w:rsidRPr="008D28C8" w:rsidRDefault="00AF2B17" w:rsidP="008D28C8">
      <w:pPr>
        <w:spacing w:line="360" w:lineRule="auto"/>
        <w:ind w:left="-3" w:right="55"/>
        <w:rPr>
          <w:rFonts w:ascii="Arial" w:hAnsi="Arial" w:cs="Arial"/>
        </w:rPr>
      </w:pPr>
      <w:r w:rsidRPr="008D28C8">
        <w:rPr>
          <w:rFonts w:ascii="Arial" w:hAnsi="Arial" w:cs="Arial"/>
        </w:rPr>
        <w:t xml:space="preserve">HbA1c reflects long-term control and can </w:t>
      </w:r>
      <w:r w:rsidR="008A5634" w:rsidRPr="008D28C8">
        <w:rPr>
          <w:rFonts w:ascii="Arial" w:hAnsi="Arial" w:cs="Arial"/>
        </w:rPr>
        <w:t>be measured by</w:t>
      </w:r>
      <w:r w:rsidRPr="008D28C8">
        <w:rPr>
          <w:rFonts w:ascii="Arial" w:hAnsi="Arial" w:cs="Arial"/>
        </w:rPr>
        <w:t xml:space="preserve"> a simple venous blood sample. Glucose molecules in the blood stream adhere non-enzymatically to the haemoglobin within red blood cells in a process known as glycation. Since the life span of red blood cell is about 120 days, this information gives a weighted average of blood glucose level for past 8 to 12 weeks. Since </w:t>
      </w:r>
      <w:r w:rsidR="001101DC" w:rsidRPr="008D28C8">
        <w:rPr>
          <w:rFonts w:ascii="Arial" w:hAnsi="Arial" w:cs="Arial"/>
        </w:rPr>
        <w:t>it can’t</w:t>
      </w:r>
      <w:r w:rsidRPr="008D28C8">
        <w:rPr>
          <w:rFonts w:ascii="Arial" w:hAnsi="Arial" w:cs="Arial"/>
        </w:rPr>
        <w:t xml:space="preserve"> </w:t>
      </w:r>
      <w:r w:rsidR="000B3CD8" w:rsidRPr="008D28C8">
        <w:rPr>
          <w:rFonts w:ascii="Arial" w:hAnsi="Arial" w:cs="Arial"/>
        </w:rPr>
        <w:t xml:space="preserve">be </w:t>
      </w:r>
      <w:r w:rsidR="008A5634" w:rsidRPr="008D28C8">
        <w:rPr>
          <w:rFonts w:ascii="Arial" w:hAnsi="Arial" w:cs="Arial"/>
        </w:rPr>
        <w:t>influenced by</w:t>
      </w:r>
      <w:r w:rsidRPr="008D28C8">
        <w:rPr>
          <w:rFonts w:ascii="Arial" w:hAnsi="Arial" w:cs="Arial"/>
        </w:rPr>
        <w:t xml:space="preserve"> short-term factors like fasting in the morning, </w:t>
      </w:r>
      <w:r w:rsidR="00930DD7" w:rsidRPr="008D28C8">
        <w:rPr>
          <w:rFonts w:ascii="Arial" w:hAnsi="Arial" w:cs="Arial"/>
        </w:rPr>
        <w:t>it is</w:t>
      </w:r>
      <w:r w:rsidRPr="008D28C8">
        <w:rPr>
          <w:rFonts w:ascii="Arial" w:hAnsi="Arial" w:cs="Arial"/>
        </w:rPr>
        <w:t xml:space="preserve"> considered the clinical gold standard for assessing overall management (Sibal and Home, 2009).  </w:t>
      </w:r>
    </w:p>
    <w:p w14:paraId="1FCC9AE8" w14:textId="43469010" w:rsidR="005477F4" w:rsidRPr="008D28C8" w:rsidRDefault="00AF2B17" w:rsidP="008D28C8">
      <w:pPr>
        <w:spacing w:after="175" w:line="360" w:lineRule="auto"/>
        <w:ind w:left="-3" w:right="0"/>
        <w:rPr>
          <w:rFonts w:ascii="Arial" w:hAnsi="Arial" w:cs="Arial"/>
        </w:rPr>
      </w:pPr>
      <w:r w:rsidRPr="008D28C8">
        <w:rPr>
          <w:rFonts w:ascii="Arial" w:hAnsi="Arial" w:cs="Arial"/>
        </w:rPr>
        <w:t xml:space="preserve"> NICE </w:t>
      </w:r>
      <w:r w:rsidR="008543FE" w:rsidRPr="008D28C8">
        <w:rPr>
          <w:rFonts w:ascii="Arial" w:hAnsi="Arial" w:cs="Arial"/>
        </w:rPr>
        <w:t>Glycaemic</w:t>
      </w:r>
      <w:r w:rsidRPr="008D28C8">
        <w:rPr>
          <w:rFonts w:ascii="Arial" w:hAnsi="Arial" w:cs="Arial"/>
        </w:rPr>
        <w:t xml:space="preserve"> Targets and Preventing Complications </w:t>
      </w:r>
    </w:p>
    <w:p w14:paraId="075F7BD2" w14:textId="77777777" w:rsidR="005477F4" w:rsidRPr="008D28C8" w:rsidRDefault="00AF2B17" w:rsidP="008D28C8">
      <w:pPr>
        <w:spacing w:line="360" w:lineRule="auto"/>
        <w:ind w:left="-3" w:right="55"/>
        <w:rPr>
          <w:rFonts w:ascii="Arial" w:hAnsi="Arial" w:cs="Arial"/>
        </w:rPr>
      </w:pPr>
      <w:r w:rsidRPr="008D28C8">
        <w:rPr>
          <w:rFonts w:ascii="Arial" w:hAnsi="Arial" w:cs="Arial"/>
        </w:rPr>
        <w:lastRenderedPageBreak/>
        <w:t xml:space="preserve">NICE guidelines recommend individualised targets based on treatment regimens (NICE, 2022): </w:t>
      </w:r>
    </w:p>
    <w:p w14:paraId="751DC9FA" w14:textId="3EFD1C21" w:rsidR="005477F4" w:rsidRPr="008D28C8" w:rsidRDefault="00AF2B17" w:rsidP="008D28C8">
      <w:pPr>
        <w:spacing w:line="360" w:lineRule="auto"/>
        <w:ind w:left="700" w:right="55" w:firstLine="0"/>
        <w:rPr>
          <w:rFonts w:ascii="Arial" w:hAnsi="Arial" w:cs="Arial"/>
        </w:rPr>
      </w:pPr>
      <w:r w:rsidRPr="008D28C8">
        <w:rPr>
          <w:rFonts w:ascii="Arial" w:hAnsi="Arial" w:cs="Arial"/>
        </w:rPr>
        <w:t xml:space="preserve">For patients managed through lifestyle and diet </w:t>
      </w:r>
      <w:r w:rsidR="008543FE" w:rsidRPr="008D28C8">
        <w:rPr>
          <w:rFonts w:ascii="Arial" w:hAnsi="Arial" w:cs="Arial"/>
        </w:rPr>
        <w:t>alone or</w:t>
      </w:r>
      <w:r w:rsidRPr="008D28C8">
        <w:rPr>
          <w:rFonts w:ascii="Arial" w:hAnsi="Arial" w:cs="Arial"/>
        </w:rPr>
        <w:t xml:space="preserve"> combined with a </w:t>
      </w:r>
      <w:r w:rsidR="008543FE" w:rsidRPr="008D28C8">
        <w:rPr>
          <w:rFonts w:ascii="Arial" w:hAnsi="Arial" w:cs="Arial"/>
        </w:rPr>
        <w:t>first line</w:t>
      </w:r>
      <w:r w:rsidRPr="008D28C8">
        <w:rPr>
          <w:rFonts w:ascii="Arial" w:hAnsi="Arial" w:cs="Arial"/>
        </w:rPr>
        <w:t xml:space="preserve"> drug that does not induce </w:t>
      </w:r>
      <w:r w:rsidR="008543FE" w:rsidRPr="008D28C8">
        <w:rPr>
          <w:rFonts w:ascii="Arial" w:hAnsi="Arial" w:cs="Arial"/>
        </w:rPr>
        <w:t>hypoglycaemia</w:t>
      </w:r>
      <w:r w:rsidRPr="008D28C8">
        <w:rPr>
          <w:rFonts w:ascii="Arial" w:hAnsi="Arial" w:cs="Arial"/>
        </w:rPr>
        <w:t xml:space="preserve"> (e.g., metformin), the target HbA1c is </w:t>
      </w:r>
      <w:r w:rsidR="00F61573" w:rsidRPr="008D28C8">
        <w:rPr>
          <w:rFonts w:ascii="Arial" w:hAnsi="Arial" w:cs="Arial"/>
        </w:rPr>
        <w:t>forty-eight</w:t>
      </w:r>
      <w:r w:rsidRPr="008D28C8">
        <w:rPr>
          <w:rFonts w:ascii="Arial" w:hAnsi="Arial" w:cs="Arial"/>
        </w:rPr>
        <w:t xml:space="preserve"> mmol/mol (6.5%). </w:t>
      </w:r>
    </w:p>
    <w:p w14:paraId="12DA7FD9" w14:textId="241BD218" w:rsidR="005477F4" w:rsidRPr="008D28C8" w:rsidRDefault="00AF2B17" w:rsidP="008D28C8">
      <w:pPr>
        <w:spacing w:line="360" w:lineRule="auto"/>
        <w:ind w:left="701" w:right="55" w:firstLine="0"/>
        <w:rPr>
          <w:rFonts w:ascii="Arial" w:hAnsi="Arial" w:cs="Arial"/>
        </w:rPr>
      </w:pPr>
      <w:r w:rsidRPr="008D28C8">
        <w:rPr>
          <w:rFonts w:ascii="Arial" w:hAnsi="Arial" w:cs="Arial"/>
        </w:rPr>
        <w:t xml:space="preserve">For patients taking medications associated with higher </w:t>
      </w:r>
      <w:r w:rsidR="008543FE" w:rsidRPr="008D28C8">
        <w:rPr>
          <w:rFonts w:ascii="Arial" w:hAnsi="Arial" w:cs="Arial"/>
        </w:rPr>
        <w:t>hypoglycaemic</w:t>
      </w:r>
      <w:r w:rsidRPr="008D28C8">
        <w:rPr>
          <w:rFonts w:ascii="Arial" w:hAnsi="Arial" w:cs="Arial"/>
        </w:rPr>
        <w:t xml:space="preserve"> risk, the </w:t>
      </w:r>
      <w:r w:rsidR="00930DD7" w:rsidRPr="008D28C8">
        <w:rPr>
          <w:rFonts w:ascii="Arial" w:hAnsi="Arial" w:cs="Arial"/>
        </w:rPr>
        <w:t>target is</w:t>
      </w:r>
      <w:r w:rsidR="006C5743" w:rsidRPr="008D28C8">
        <w:rPr>
          <w:rFonts w:ascii="Arial" w:hAnsi="Arial" w:cs="Arial"/>
        </w:rPr>
        <w:t xml:space="preserve"> </w:t>
      </w:r>
      <w:r w:rsidR="007D4B14" w:rsidRPr="008D28C8">
        <w:rPr>
          <w:rFonts w:ascii="Arial" w:hAnsi="Arial" w:cs="Arial"/>
        </w:rPr>
        <w:t>adjusted to</w:t>
      </w:r>
      <w:r w:rsidRPr="008D28C8">
        <w:rPr>
          <w:rFonts w:ascii="Arial" w:hAnsi="Arial" w:cs="Arial"/>
        </w:rPr>
        <w:t xml:space="preserve"> 53 mmol/mol (7.0%). </w:t>
      </w:r>
    </w:p>
    <w:p w14:paraId="63675D67" w14:textId="6604EBA7" w:rsidR="005477F4" w:rsidRPr="008D28C8" w:rsidRDefault="00AF2B17" w:rsidP="008D28C8">
      <w:pPr>
        <w:spacing w:line="360" w:lineRule="auto"/>
        <w:ind w:left="-3" w:right="55"/>
        <w:rPr>
          <w:rFonts w:ascii="Arial" w:hAnsi="Arial" w:cs="Arial"/>
        </w:rPr>
      </w:pPr>
      <w:r w:rsidRPr="008D28C8">
        <w:rPr>
          <w:rFonts w:ascii="Arial" w:hAnsi="Arial" w:cs="Arial"/>
        </w:rPr>
        <w:t xml:space="preserve">Maintaining these targets is crucial for avoiding long-term vascular complications driven by chronic </w:t>
      </w:r>
      <w:r w:rsidR="008543FE" w:rsidRPr="008D28C8">
        <w:rPr>
          <w:rFonts w:ascii="Arial" w:hAnsi="Arial" w:cs="Arial"/>
        </w:rPr>
        <w:t>hyperglycaemia</w:t>
      </w:r>
      <w:r w:rsidRPr="008D28C8">
        <w:rPr>
          <w:rFonts w:ascii="Arial" w:hAnsi="Arial" w:cs="Arial"/>
        </w:rPr>
        <w:t xml:space="preserve">: </w:t>
      </w:r>
    </w:p>
    <w:p w14:paraId="0F7733C1" w14:textId="77777777" w:rsidR="005477F4" w:rsidRPr="008D28C8" w:rsidRDefault="00AF2B17" w:rsidP="008D28C8">
      <w:pPr>
        <w:spacing w:line="360" w:lineRule="auto"/>
        <w:ind w:left="701" w:right="55" w:firstLine="0"/>
        <w:rPr>
          <w:rFonts w:ascii="Arial" w:hAnsi="Arial" w:cs="Arial"/>
        </w:rPr>
      </w:pPr>
      <w:r w:rsidRPr="008D28C8">
        <w:rPr>
          <w:rFonts w:ascii="Arial" w:hAnsi="Arial" w:cs="Arial"/>
        </w:rPr>
        <w:t xml:space="preserve">Microvascular Damage: Chronic glucose spikes damage delicate capillaries supplying the eyes (retinopathy, leading to blindness), kidneys (nephropathy, leading to chronic kidney disease), and peripheral nerves (neuropathy, causing sensory loss and increased risk of foot ulceration). </w:t>
      </w:r>
    </w:p>
    <w:p w14:paraId="6B0925D6" w14:textId="7EECBC45" w:rsidR="005477F4" w:rsidRPr="008D28C8" w:rsidRDefault="00AF2B17" w:rsidP="008D28C8">
      <w:pPr>
        <w:spacing w:line="360" w:lineRule="auto"/>
        <w:ind w:left="700" w:right="55" w:firstLine="0"/>
        <w:rPr>
          <w:rFonts w:ascii="Arial" w:hAnsi="Arial" w:cs="Arial"/>
        </w:rPr>
      </w:pPr>
      <w:r w:rsidRPr="008D28C8">
        <w:rPr>
          <w:rFonts w:ascii="Arial" w:hAnsi="Arial" w:cs="Arial"/>
        </w:rPr>
        <w:t xml:space="preserve">Macrovascular Damage: </w:t>
      </w:r>
      <w:r w:rsidR="008543FE" w:rsidRPr="008D28C8">
        <w:rPr>
          <w:rFonts w:ascii="Arial" w:hAnsi="Arial" w:cs="Arial"/>
        </w:rPr>
        <w:t>Hyperglycaemia</w:t>
      </w:r>
      <w:r w:rsidRPr="008D28C8">
        <w:rPr>
          <w:rFonts w:ascii="Arial" w:hAnsi="Arial" w:cs="Arial"/>
        </w:rPr>
        <w:t xml:space="preserve"> accelerates atherosclerosis, exponentially increasing the baseline risk of myocardial infarction, stroke, and peripheral arterial disease. </w:t>
      </w:r>
    </w:p>
    <w:p w14:paraId="58FD81D2" w14:textId="77777777" w:rsidR="005477F4" w:rsidRPr="008D28C8" w:rsidRDefault="00AF2B17" w:rsidP="008D28C8">
      <w:pPr>
        <w:pStyle w:val="Heading1"/>
        <w:spacing w:line="360" w:lineRule="auto"/>
        <w:ind w:left="261" w:hanging="274"/>
        <w:rPr>
          <w:rFonts w:ascii="Arial" w:hAnsi="Arial" w:cs="Arial"/>
        </w:rPr>
      </w:pPr>
      <w:r w:rsidRPr="008D28C8">
        <w:rPr>
          <w:rFonts w:ascii="Arial" w:hAnsi="Arial" w:cs="Arial"/>
        </w:rPr>
        <w:t xml:space="preserve">EVIDENCE-BASED LIFESTYLE RECOMMENDATIONS </w:t>
      </w:r>
    </w:p>
    <w:p w14:paraId="106A3187" w14:textId="77777777" w:rsidR="005477F4" w:rsidRPr="008D28C8" w:rsidRDefault="00AF2B17" w:rsidP="008D28C8">
      <w:pPr>
        <w:spacing w:line="360" w:lineRule="auto"/>
        <w:ind w:left="-3" w:right="55"/>
        <w:rPr>
          <w:rFonts w:ascii="Arial" w:hAnsi="Arial" w:cs="Arial"/>
        </w:rPr>
      </w:pPr>
      <w:r w:rsidRPr="008D28C8">
        <w:rPr>
          <w:rFonts w:ascii="Arial" w:hAnsi="Arial" w:cs="Arial"/>
        </w:rPr>
        <w:t xml:space="preserve">Lifestyle modification remains the foundational cornerstone of T2DM care, working alongside pharmacological options to manage disease progression. </w:t>
      </w:r>
    </w:p>
    <w:p w14:paraId="54FAD285" w14:textId="6D91816D" w:rsidR="005477F4" w:rsidRPr="008D28C8" w:rsidRDefault="00AF2B17" w:rsidP="008D28C8">
      <w:pPr>
        <w:spacing w:after="175" w:line="360" w:lineRule="auto"/>
        <w:ind w:left="-3" w:right="0"/>
        <w:rPr>
          <w:rFonts w:ascii="Arial" w:hAnsi="Arial" w:cs="Arial"/>
        </w:rPr>
      </w:pPr>
      <w:r w:rsidRPr="008D28C8">
        <w:rPr>
          <w:rFonts w:ascii="Arial" w:hAnsi="Arial" w:cs="Arial"/>
        </w:rPr>
        <w:t xml:space="preserve"> Dietary Modifications and Weight Optimization </w:t>
      </w:r>
    </w:p>
    <w:p w14:paraId="356B2749" w14:textId="77777777" w:rsidR="005477F4" w:rsidRPr="008D28C8" w:rsidRDefault="00AF2B17" w:rsidP="008D28C8">
      <w:pPr>
        <w:spacing w:line="360" w:lineRule="auto"/>
        <w:ind w:left="-3" w:right="55"/>
        <w:rPr>
          <w:rFonts w:ascii="Arial" w:hAnsi="Arial" w:cs="Arial"/>
        </w:rPr>
      </w:pPr>
      <w:r w:rsidRPr="008D28C8">
        <w:rPr>
          <w:rFonts w:ascii="Arial" w:hAnsi="Arial" w:cs="Arial"/>
        </w:rPr>
        <w:t xml:space="preserve">Dietary advice should focus on sustainable, cardioprotective eating patterns rather than restrictive, generalized diets (Sibal and Home, 2009). </w:t>
      </w:r>
    </w:p>
    <w:p w14:paraId="6ACEF5BB" w14:textId="1BE542B7" w:rsidR="005477F4" w:rsidRPr="008D28C8" w:rsidRDefault="00AF2B17" w:rsidP="008D28C8">
      <w:pPr>
        <w:spacing w:line="360" w:lineRule="auto"/>
        <w:ind w:left="701" w:right="55" w:firstLine="0"/>
        <w:rPr>
          <w:rFonts w:ascii="Arial" w:hAnsi="Arial" w:cs="Arial"/>
        </w:rPr>
      </w:pPr>
      <w:r w:rsidRPr="008D28C8">
        <w:rPr>
          <w:rFonts w:ascii="Arial" w:hAnsi="Arial" w:cs="Arial"/>
        </w:rPr>
        <w:t xml:space="preserve">Emphasize Low Glycaemic Index (GI) and High-Fibre Carbohydrates: Patients ought to substitute refined carbs (white bread, processed cereals) with complex, </w:t>
      </w:r>
      <w:r w:rsidR="008543FE" w:rsidRPr="008D28C8">
        <w:rPr>
          <w:rFonts w:ascii="Arial" w:hAnsi="Arial" w:cs="Arial"/>
        </w:rPr>
        <w:t>fibre</w:t>
      </w:r>
      <w:r w:rsidRPr="008D28C8">
        <w:rPr>
          <w:rFonts w:ascii="Arial" w:hAnsi="Arial" w:cs="Arial"/>
        </w:rPr>
        <w:t xml:space="preserve">-rich ones (oats, brown rice, lentils, non-starchy vegetables). Fiber also slows gastric emptying and glucose absorption in the small bowel and, as a result, </w:t>
      </w:r>
      <w:r w:rsidRPr="008D28C8">
        <w:rPr>
          <w:rFonts w:ascii="Arial" w:hAnsi="Arial" w:cs="Arial"/>
        </w:rPr>
        <w:lastRenderedPageBreak/>
        <w:t xml:space="preserve">reduces postprandial excursions and the associated oxidative stress and inflammation (Sibal and Home, 2009). </w:t>
      </w:r>
    </w:p>
    <w:p w14:paraId="20B5FB73" w14:textId="2D193189" w:rsidR="005477F4" w:rsidRPr="008D28C8" w:rsidRDefault="00AF2B17" w:rsidP="008D28C8">
      <w:pPr>
        <w:spacing w:line="360" w:lineRule="auto"/>
        <w:ind w:left="700" w:right="55" w:firstLine="0"/>
        <w:rPr>
          <w:rFonts w:ascii="Arial" w:hAnsi="Arial" w:cs="Arial"/>
        </w:rPr>
      </w:pPr>
      <w:r w:rsidRPr="008D28C8">
        <w:rPr>
          <w:rFonts w:ascii="Arial" w:hAnsi="Arial" w:cs="Arial"/>
        </w:rPr>
        <w:t xml:space="preserve">Reduce Free Sugars and Saturated Fats: Eliminating sugar-sweetened beverages avoids direct </w:t>
      </w:r>
      <w:r w:rsidR="00322A24" w:rsidRPr="008D28C8">
        <w:rPr>
          <w:rFonts w:ascii="Arial" w:hAnsi="Arial" w:cs="Arial"/>
        </w:rPr>
        <w:t>glycaemic</w:t>
      </w:r>
      <w:r w:rsidRPr="008D28C8">
        <w:rPr>
          <w:rFonts w:ascii="Arial" w:hAnsi="Arial" w:cs="Arial"/>
        </w:rPr>
        <w:t xml:space="preserve"> distress. Replacing saturated fats with monounsaturated or polyunsaturated options (olive oil, avocados, oily fish) optimizes lipid profiles and protects macrovascular pathways. </w:t>
      </w:r>
    </w:p>
    <w:p w14:paraId="007C2FA4" w14:textId="77777777" w:rsidR="005477F4" w:rsidRPr="008D28C8" w:rsidRDefault="00AF2B17" w:rsidP="008D28C8">
      <w:pPr>
        <w:spacing w:line="360" w:lineRule="auto"/>
        <w:ind w:left="701" w:right="55" w:firstLine="0"/>
        <w:rPr>
          <w:rFonts w:ascii="Arial" w:hAnsi="Arial" w:cs="Arial"/>
        </w:rPr>
      </w:pPr>
      <w:r w:rsidRPr="008D28C8">
        <w:rPr>
          <w:rFonts w:ascii="Arial" w:hAnsi="Arial" w:cs="Arial"/>
        </w:rPr>
        <w:t xml:space="preserve">Targeted Weight Loss: Adults who are overweight or obese should aim for a structured, multicomponent weight loss intervention that results in 5% to 7% loss of the initial body weight (AAFP, 2017). Moderate weight loss removes ectopic fat from the liver and pancreas, reduces hepatic insulin resistance and, in subjects with early-stage disease, may induce type 2 diabetes remission. </w:t>
      </w:r>
    </w:p>
    <w:p w14:paraId="373C5748" w14:textId="579AF4F5" w:rsidR="005477F4" w:rsidRPr="008D28C8" w:rsidRDefault="00AF2B17" w:rsidP="008D28C8">
      <w:pPr>
        <w:spacing w:after="175" w:line="360" w:lineRule="auto"/>
        <w:ind w:left="-3" w:right="0"/>
        <w:rPr>
          <w:rFonts w:ascii="Arial" w:hAnsi="Arial" w:cs="Arial"/>
          <w:b/>
          <w:bCs/>
          <w:sz w:val="24"/>
          <w:szCs w:val="28"/>
        </w:rPr>
      </w:pPr>
      <w:r w:rsidRPr="008D28C8">
        <w:rPr>
          <w:rFonts w:ascii="Arial" w:hAnsi="Arial" w:cs="Arial"/>
          <w:b/>
          <w:bCs/>
          <w:sz w:val="24"/>
          <w:szCs w:val="28"/>
        </w:rPr>
        <w:t xml:space="preserve"> Structured Physical Activity </w:t>
      </w:r>
    </w:p>
    <w:p w14:paraId="20ED418C" w14:textId="77777777" w:rsidR="005477F4" w:rsidRPr="008D28C8" w:rsidRDefault="00AF2B17" w:rsidP="008D28C8">
      <w:pPr>
        <w:spacing w:line="360" w:lineRule="auto"/>
        <w:ind w:left="-3" w:right="55"/>
        <w:rPr>
          <w:rFonts w:ascii="Arial" w:hAnsi="Arial" w:cs="Arial"/>
        </w:rPr>
      </w:pPr>
      <w:r w:rsidRPr="008D28C8">
        <w:rPr>
          <w:rFonts w:ascii="Arial" w:hAnsi="Arial" w:cs="Arial"/>
        </w:rPr>
        <w:t xml:space="preserve">Exercise improves glucose uptake by bypassing insulin resistance through independent physiological pathways. </w:t>
      </w:r>
    </w:p>
    <w:p w14:paraId="48F85560" w14:textId="423FF459" w:rsidR="005477F4" w:rsidRPr="008D28C8" w:rsidRDefault="00AF2B17" w:rsidP="008D28C8">
      <w:pPr>
        <w:spacing w:line="360" w:lineRule="auto"/>
        <w:ind w:left="756" w:right="55" w:firstLine="0"/>
        <w:rPr>
          <w:rFonts w:ascii="Arial" w:hAnsi="Arial" w:cs="Arial"/>
        </w:rPr>
      </w:pPr>
      <w:r w:rsidRPr="008D28C8">
        <w:rPr>
          <w:rFonts w:ascii="Arial" w:hAnsi="Arial" w:cs="Arial"/>
        </w:rPr>
        <w:t xml:space="preserve">Activity Guidelines: Patients should complete at least 150 minutes of </w:t>
      </w:r>
      <w:r w:rsidR="00322A24" w:rsidRPr="008D28C8">
        <w:rPr>
          <w:rFonts w:ascii="Arial" w:hAnsi="Arial" w:cs="Arial"/>
        </w:rPr>
        <w:t>moderate to</w:t>
      </w:r>
      <w:r w:rsidRPr="008D28C8">
        <w:rPr>
          <w:rFonts w:ascii="Arial" w:hAnsi="Arial" w:cs="Arial"/>
        </w:rPr>
        <w:t xml:space="preserve">-vigorous aerobic activity per week (e.g., brisk walking, swimming, cycling), distributed over at least three days, with no more than two consecutive sedentary days (AAFP, 2017). </w:t>
      </w:r>
    </w:p>
    <w:p w14:paraId="79F02295" w14:textId="7C0B2A64" w:rsidR="005477F4" w:rsidRPr="008D28C8" w:rsidRDefault="00AF2B17" w:rsidP="008D28C8">
      <w:pPr>
        <w:spacing w:line="360" w:lineRule="auto"/>
        <w:ind w:left="756" w:right="55" w:firstLine="0"/>
        <w:rPr>
          <w:rFonts w:ascii="Arial" w:hAnsi="Arial" w:cs="Arial"/>
        </w:rPr>
      </w:pPr>
      <w:r w:rsidRPr="008D28C8">
        <w:rPr>
          <w:rFonts w:ascii="Arial" w:hAnsi="Arial" w:cs="Arial"/>
        </w:rPr>
        <w:t xml:space="preserve">Resistance Training: Incorporating resistance training (bodyweight exercises, bands, weights) 2 to 3 days per week supports </w:t>
      </w:r>
      <w:r w:rsidR="00CB3F91" w:rsidRPr="008D28C8">
        <w:rPr>
          <w:rFonts w:ascii="Arial" w:hAnsi="Arial" w:cs="Arial"/>
        </w:rPr>
        <w:t>glycaemic</w:t>
      </w:r>
      <w:r w:rsidRPr="008D28C8">
        <w:rPr>
          <w:rFonts w:ascii="Arial" w:hAnsi="Arial" w:cs="Arial"/>
        </w:rPr>
        <w:t xml:space="preserve"> control (AAFP, 2017). </w:t>
      </w:r>
    </w:p>
    <w:p w14:paraId="0C6B9EC0" w14:textId="77777777" w:rsidR="005477F4" w:rsidRPr="008D28C8" w:rsidRDefault="00AF2B17" w:rsidP="008D28C8">
      <w:pPr>
        <w:spacing w:line="360" w:lineRule="auto"/>
        <w:ind w:left="756" w:right="55" w:firstLine="0"/>
        <w:rPr>
          <w:rFonts w:ascii="Arial" w:hAnsi="Arial" w:cs="Arial"/>
        </w:rPr>
      </w:pPr>
      <w:r w:rsidRPr="008D28C8">
        <w:rPr>
          <w:rFonts w:ascii="Arial" w:hAnsi="Arial" w:cs="Arial"/>
        </w:rPr>
        <w:t xml:space="preserve">Underlying Physiology: The active muscle requires ATP at a high rate. The contractions induce an insulin-independent mechanism that promotes translocation of GLUT4 vesicles to the plasma membrane.  </w:t>
      </w:r>
    </w:p>
    <w:p w14:paraId="17B5DF87" w14:textId="77777777" w:rsidR="005477F4" w:rsidRPr="008D28C8" w:rsidRDefault="00AF2B17" w:rsidP="008D28C8">
      <w:pPr>
        <w:spacing w:after="0" w:line="360" w:lineRule="auto"/>
        <w:ind w:left="350" w:right="0" w:firstLine="0"/>
        <w:rPr>
          <w:rFonts w:ascii="Arial" w:hAnsi="Arial" w:cs="Arial"/>
        </w:rPr>
      </w:pPr>
      <w:r w:rsidRPr="008D28C8">
        <w:rPr>
          <w:rFonts w:ascii="Arial" w:hAnsi="Arial" w:cs="Arial"/>
        </w:rPr>
        <w:t xml:space="preserve"> </w:t>
      </w:r>
    </w:p>
    <w:p w14:paraId="374D053A" w14:textId="0A31F645" w:rsidR="005477F4" w:rsidRPr="008D28C8" w:rsidRDefault="00AF2B17" w:rsidP="008D28C8">
      <w:pPr>
        <w:spacing w:after="175" w:line="360" w:lineRule="auto"/>
        <w:ind w:left="-3" w:right="0"/>
        <w:rPr>
          <w:rFonts w:ascii="Arial" w:hAnsi="Arial" w:cs="Arial"/>
          <w:sz w:val="24"/>
          <w:szCs w:val="28"/>
        </w:rPr>
      </w:pPr>
      <w:r w:rsidRPr="008D28C8">
        <w:rPr>
          <w:rFonts w:ascii="Arial" w:hAnsi="Arial" w:cs="Arial"/>
          <w:b/>
          <w:bCs/>
          <w:sz w:val="24"/>
          <w:szCs w:val="28"/>
        </w:rPr>
        <w:t>Smoking Cessation</w:t>
      </w:r>
      <w:r w:rsidRPr="008D28C8">
        <w:rPr>
          <w:rFonts w:ascii="Arial" w:hAnsi="Arial" w:cs="Arial"/>
          <w:sz w:val="24"/>
          <w:szCs w:val="28"/>
        </w:rPr>
        <w:t xml:space="preserve"> </w:t>
      </w:r>
    </w:p>
    <w:p w14:paraId="2D1F8463" w14:textId="15717F35" w:rsidR="00FD5CCC" w:rsidRPr="008D28C8" w:rsidRDefault="00141EA3" w:rsidP="008D28C8">
      <w:pPr>
        <w:spacing w:after="175" w:line="360" w:lineRule="auto"/>
        <w:ind w:left="-3" w:right="0"/>
        <w:rPr>
          <w:rFonts w:ascii="Arial" w:hAnsi="Arial" w:cs="Arial"/>
        </w:rPr>
      </w:pPr>
      <w:r w:rsidRPr="008D28C8">
        <w:rPr>
          <w:rFonts w:ascii="Arial" w:hAnsi="Arial" w:cs="Arial"/>
        </w:rPr>
        <w:t>Although quitting smoking lowers health dangers, its effect on type 2 diabetes mellitus (T2DM), particularly after weight gain following cessation, is complicated.</w:t>
      </w:r>
      <w:r w:rsidR="00504594" w:rsidRPr="008D28C8">
        <w:rPr>
          <w:rFonts w:ascii="Arial" w:hAnsi="Arial" w:cs="Arial"/>
        </w:rPr>
        <w:t xml:space="preserve"> </w:t>
      </w:r>
      <w:r w:rsidR="006D5DBC" w:rsidRPr="008D28C8">
        <w:rPr>
          <w:rFonts w:ascii="Arial" w:hAnsi="Arial" w:cs="Arial"/>
        </w:rPr>
        <w:t xml:space="preserve">This systematic review and meta-analysis examined the connection between smoking reduction and </w:t>
      </w:r>
      <w:r w:rsidR="006D5DBC" w:rsidRPr="008D28C8">
        <w:rPr>
          <w:rFonts w:ascii="Arial" w:hAnsi="Arial" w:cs="Arial"/>
        </w:rPr>
        <w:lastRenderedPageBreak/>
        <w:t>diabetes likelihood, considering distinctions by weight modifications and duration of cessation.</w:t>
      </w:r>
      <w:r w:rsidR="00504594" w:rsidRPr="008D28C8">
        <w:rPr>
          <w:rFonts w:ascii="Arial" w:hAnsi="Arial" w:cs="Arial"/>
        </w:rPr>
        <w:t xml:space="preserve"> </w:t>
      </w:r>
      <w:r w:rsidR="006D5DBC" w:rsidRPr="008D28C8">
        <w:rPr>
          <w:rFonts w:ascii="Arial" w:hAnsi="Arial" w:cs="Arial"/>
        </w:rPr>
        <w:t>By the end of April 14, 2025, we had searched through seven databases.</w:t>
      </w:r>
      <w:r w:rsidR="00504594" w:rsidRPr="008D28C8">
        <w:rPr>
          <w:rFonts w:ascii="Arial" w:hAnsi="Arial" w:cs="Arial"/>
        </w:rPr>
        <w:t xml:space="preserve"> </w:t>
      </w:r>
      <w:r w:rsidR="008F7ECE" w:rsidRPr="008D28C8">
        <w:rPr>
          <w:rFonts w:ascii="Arial" w:hAnsi="Arial" w:cs="Arial"/>
        </w:rPr>
        <w:t xml:space="preserve">Studies observing smoking cessation, weight alterations, and T2DM </w:t>
      </w:r>
      <w:r w:rsidR="00756B63" w:rsidRPr="008D28C8">
        <w:rPr>
          <w:rFonts w:ascii="Arial" w:hAnsi="Arial" w:cs="Arial"/>
        </w:rPr>
        <w:t>were incorporated</w:t>
      </w:r>
      <w:r w:rsidR="008F7ECE" w:rsidRPr="008D28C8">
        <w:rPr>
          <w:rFonts w:ascii="Arial" w:hAnsi="Arial" w:cs="Arial"/>
        </w:rPr>
        <w:t>.</w:t>
      </w:r>
      <w:r w:rsidR="00504594" w:rsidRPr="008D28C8">
        <w:rPr>
          <w:rFonts w:ascii="Arial" w:hAnsi="Arial" w:cs="Arial"/>
        </w:rPr>
        <w:t xml:space="preserve"> </w:t>
      </w:r>
      <w:r w:rsidR="00E52A66" w:rsidRPr="008D28C8">
        <w:rPr>
          <w:rFonts w:ascii="Arial" w:hAnsi="Arial" w:cs="Arial"/>
        </w:rPr>
        <w:t>Random-effects models were used to pool hazard ratios (HRs), comparing recent and long-term quitters to continuous/never smokers, with strata by weight gain.</w:t>
      </w:r>
      <w:r w:rsidR="00504594" w:rsidRPr="008D28C8">
        <w:rPr>
          <w:rFonts w:ascii="Arial" w:hAnsi="Arial" w:cs="Arial"/>
        </w:rPr>
        <w:t xml:space="preserve"> </w:t>
      </w:r>
      <w:r w:rsidR="00E52A66" w:rsidRPr="008D28C8">
        <w:rPr>
          <w:rFonts w:ascii="Arial" w:hAnsi="Arial" w:cs="Arial"/>
        </w:rPr>
        <w:t xml:space="preserve">In eleven cohort studies, those who quit smoking but gained </w:t>
      </w:r>
      <w:r w:rsidR="00F90E98" w:rsidRPr="008D28C8">
        <w:rPr>
          <w:rFonts w:ascii="Arial" w:hAnsi="Arial" w:cs="Arial"/>
        </w:rPr>
        <w:t>weight</w:t>
      </w:r>
      <w:r w:rsidR="00F90E98">
        <w:rPr>
          <w:rFonts w:ascii="Arial" w:hAnsi="Arial" w:cs="Arial"/>
        </w:rPr>
        <w:t xml:space="preserve"> </w:t>
      </w:r>
      <w:r w:rsidR="00F90E98" w:rsidRPr="008D28C8">
        <w:rPr>
          <w:rFonts w:ascii="Arial" w:hAnsi="Arial" w:cs="Arial"/>
        </w:rPr>
        <w:t>are</w:t>
      </w:r>
      <w:r w:rsidR="00756B63" w:rsidRPr="008D28C8">
        <w:rPr>
          <w:rFonts w:ascii="Arial" w:hAnsi="Arial" w:cs="Arial"/>
        </w:rPr>
        <w:t xml:space="preserve"> found</w:t>
      </w:r>
      <w:r w:rsidR="00E52A66" w:rsidRPr="008D28C8">
        <w:rPr>
          <w:rFonts w:ascii="Arial" w:hAnsi="Arial" w:cs="Arial"/>
        </w:rPr>
        <w:t xml:space="preserve"> to have a higher risk of diabetes compared to those who continued </w:t>
      </w:r>
      <w:r w:rsidR="0071376D" w:rsidRPr="008D28C8">
        <w:rPr>
          <w:rFonts w:ascii="Arial" w:hAnsi="Arial" w:cs="Arial"/>
        </w:rPr>
        <w:t>smoking.</w:t>
      </w:r>
      <w:r w:rsidR="00095057" w:rsidRPr="00095057">
        <w:t xml:space="preserve"> </w:t>
      </w:r>
      <w:r w:rsidR="00095057" w:rsidRPr="006E3916">
        <w:t xml:space="preserve">Yu, Y. </w:t>
      </w:r>
      <w:r w:rsidR="00095057" w:rsidRPr="006E3916">
        <w:rPr>
          <w:i/>
          <w:iCs/>
        </w:rPr>
        <w:t>et al.</w:t>
      </w:r>
      <w:r w:rsidR="00095057" w:rsidRPr="006E3916">
        <w:t xml:space="preserve"> (2026)</w:t>
      </w:r>
    </w:p>
    <w:p w14:paraId="20CE4AFA" w14:textId="20469343" w:rsidR="005477F4" w:rsidRPr="008D28C8" w:rsidRDefault="00AF2B17" w:rsidP="008D28C8">
      <w:pPr>
        <w:spacing w:line="360" w:lineRule="auto"/>
        <w:ind w:left="-3" w:right="55"/>
        <w:rPr>
          <w:rFonts w:ascii="Arial" w:hAnsi="Arial" w:cs="Arial"/>
        </w:rPr>
      </w:pPr>
      <w:r w:rsidRPr="008D28C8">
        <w:rPr>
          <w:rFonts w:ascii="Arial" w:hAnsi="Arial" w:cs="Arial"/>
        </w:rPr>
        <w:t>Patients with T2</w:t>
      </w:r>
      <w:r w:rsidR="002A26F0" w:rsidRPr="008D28C8">
        <w:rPr>
          <w:rFonts w:ascii="Arial" w:hAnsi="Arial" w:cs="Arial"/>
        </w:rPr>
        <w:t>DM</w:t>
      </w:r>
      <w:r w:rsidR="00436CD3">
        <w:rPr>
          <w:rFonts w:ascii="Arial" w:hAnsi="Arial" w:cs="Arial"/>
        </w:rPr>
        <w:t xml:space="preserve"> </w:t>
      </w:r>
      <w:r w:rsidR="008039E7">
        <w:rPr>
          <w:rFonts w:ascii="Arial" w:hAnsi="Arial" w:cs="Arial"/>
        </w:rPr>
        <w:t xml:space="preserve">who </w:t>
      </w:r>
      <w:r w:rsidR="008039E7" w:rsidRPr="008D28C8">
        <w:rPr>
          <w:rFonts w:ascii="Arial" w:hAnsi="Arial" w:cs="Arial"/>
        </w:rPr>
        <w:t>are</w:t>
      </w:r>
      <w:r w:rsidRPr="008D28C8">
        <w:rPr>
          <w:rFonts w:ascii="Arial" w:hAnsi="Arial" w:cs="Arial"/>
        </w:rPr>
        <w:t xml:space="preserve"> more severely </w:t>
      </w:r>
      <w:r w:rsidR="00E30480" w:rsidRPr="008D28C8">
        <w:rPr>
          <w:rFonts w:ascii="Arial" w:hAnsi="Arial" w:cs="Arial"/>
        </w:rPr>
        <w:t>affected by</w:t>
      </w:r>
      <w:r w:rsidRPr="008D28C8">
        <w:rPr>
          <w:rFonts w:ascii="Arial" w:hAnsi="Arial" w:cs="Arial"/>
        </w:rPr>
        <w:t xml:space="preserve"> cigarette smoking. Nicotine has a direct inhibitory effect on insulin action leading to volatility in blood glucose levels. And since both diabetes and smoking are potent, separate, independent risk factors for destruction of the lining of blood vessels the very thing that </w:t>
      </w:r>
      <w:r w:rsidR="001068E8" w:rsidRPr="008D28C8">
        <w:rPr>
          <w:rFonts w:ascii="Arial" w:hAnsi="Arial" w:cs="Arial"/>
        </w:rPr>
        <w:t>leads</w:t>
      </w:r>
      <w:r w:rsidRPr="008D28C8">
        <w:rPr>
          <w:rFonts w:ascii="Arial" w:hAnsi="Arial" w:cs="Arial"/>
        </w:rPr>
        <w:t xml:space="preserve"> to heart attacks, stroke and peripheral arterial disease smoking multiplies those risks.  </w:t>
      </w:r>
    </w:p>
    <w:p w14:paraId="251F288C" w14:textId="77777777" w:rsidR="005477F4" w:rsidRPr="008D28C8" w:rsidRDefault="00AF2B17" w:rsidP="008D28C8">
      <w:pPr>
        <w:spacing w:after="113" w:line="360" w:lineRule="auto"/>
        <w:ind w:left="-3" w:right="55"/>
        <w:rPr>
          <w:rFonts w:ascii="Arial" w:hAnsi="Arial" w:cs="Arial"/>
        </w:rPr>
      </w:pPr>
      <w:r w:rsidRPr="008D28C8">
        <w:rPr>
          <w:rFonts w:ascii="Arial" w:hAnsi="Arial" w:cs="Arial"/>
        </w:rPr>
        <w:t xml:space="preserve">Patient Education Resource: For an accessible, patient-focused reference guide on meal planning, portion control, and healthy eating plates, patients can view this visual guide: </w:t>
      </w:r>
    </w:p>
    <w:p w14:paraId="37634087" w14:textId="77777777" w:rsidR="005477F4" w:rsidRPr="008D28C8" w:rsidRDefault="00AF2B17" w:rsidP="008D28C8">
      <w:pPr>
        <w:spacing w:after="89" w:line="360" w:lineRule="auto"/>
        <w:ind w:left="0" w:right="0" w:firstLine="0"/>
        <w:jc w:val="center"/>
        <w:rPr>
          <w:rFonts w:ascii="Arial" w:hAnsi="Arial" w:cs="Arial"/>
        </w:rPr>
      </w:pPr>
      <w:r w:rsidRPr="008D28C8">
        <w:rPr>
          <w:rFonts w:ascii="Arial" w:hAnsi="Arial" w:cs="Arial"/>
          <w:noProof/>
        </w:rPr>
        <w:drawing>
          <wp:inline distT="0" distB="0" distL="0" distR="0" wp14:anchorId="52FDC6F9" wp14:editId="6CC724BB">
            <wp:extent cx="2967228" cy="3372612"/>
            <wp:effectExtent l="0" t="0" r="0" b="0"/>
            <wp:docPr id="565" name="Picture 565">
              <a:extLst xmlns:a="http://schemas.openxmlformats.org/drawingml/2006/main">
                <a:ext uri="{FF2B5EF4-FFF2-40B4-BE49-F238E27FC236}">
                  <a16:creationId xmlns:a16="http://schemas.microsoft.com/office/drawing/2014/main" id="{4FA63C58-A2D8-4228-AD10-0C7020E8EA7B}"/>
                </a:ext>
              </a:extLst>
            </wp:docPr>
            <wp:cNvGraphicFramePr/>
            <a:graphic xmlns:a="http://schemas.openxmlformats.org/drawingml/2006/main">
              <a:graphicData uri="http://schemas.openxmlformats.org/drawingml/2006/picture">
                <pic:pic xmlns:pic="http://schemas.openxmlformats.org/drawingml/2006/picture">
                  <pic:nvPicPr>
                    <pic:cNvPr id="565" name="Picture 565"/>
                    <pic:cNvPicPr/>
                  </pic:nvPicPr>
                  <pic:blipFill>
                    <a:blip r:embed="rId13"/>
                    <a:stretch>
                      <a:fillRect/>
                    </a:stretch>
                  </pic:blipFill>
                  <pic:spPr>
                    <a:xfrm>
                      <a:off x="0" y="0"/>
                      <a:ext cx="2967228" cy="3372612"/>
                    </a:xfrm>
                    <a:prstGeom prst="rect">
                      <a:avLst/>
                    </a:prstGeom>
                  </pic:spPr>
                </pic:pic>
              </a:graphicData>
            </a:graphic>
          </wp:inline>
        </w:drawing>
      </w:r>
      <w:r w:rsidRPr="008D28C8">
        <w:rPr>
          <w:rFonts w:ascii="Arial" w:hAnsi="Arial" w:cs="Arial"/>
        </w:rPr>
        <w:t xml:space="preserve"> </w:t>
      </w:r>
    </w:p>
    <w:p w14:paraId="75AF4153" w14:textId="1FD56BED" w:rsidR="005477F4" w:rsidRPr="008D28C8" w:rsidRDefault="00AF2B17" w:rsidP="008D28C8">
      <w:pPr>
        <w:spacing w:after="430" w:line="360" w:lineRule="auto"/>
        <w:ind w:right="0"/>
        <w:jc w:val="center"/>
        <w:rPr>
          <w:rFonts w:ascii="Arial" w:hAnsi="Arial" w:cs="Arial"/>
        </w:rPr>
      </w:pPr>
      <w:r w:rsidRPr="008D28C8">
        <w:rPr>
          <w:rFonts w:ascii="Arial" w:hAnsi="Arial" w:cs="Arial"/>
          <w:sz w:val="19"/>
        </w:rPr>
        <w:t xml:space="preserve">Educational visual guide illustrating healthy plate portions, carbohydrate swaps, and dietary recommendations tailored for individuals managing diabetes (Amazon UK, 2026). </w:t>
      </w:r>
    </w:p>
    <w:p w14:paraId="5F69F587" w14:textId="77777777" w:rsidR="005477F4" w:rsidRPr="008D28C8" w:rsidRDefault="00AF2B17" w:rsidP="008D28C8">
      <w:pPr>
        <w:pStyle w:val="Heading1"/>
        <w:spacing w:line="360" w:lineRule="auto"/>
        <w:ind w:left="261" w:hanging="274"/>
        <w:rPr>
          <w:rFonts w:ascii="Arial" w:hAnsi="Arial" w:cs="Arial"/>
        </w:rPr>
      </w:pPr>
      <w:r w:rsidRPr="008D28C8">
        <w:rPr>
          <w:rFonts w:ascii="Arial" w:hAnsi="Arial" w:cs="Arial"/>
        </w:rPr>
        <w:lastRenderedPageBreak/>
        <w:t xml:space="preserve">CONCLUSION </w:t>
      </w:r>
    </w:p>
    <w:p w14:paraId="7EFD16ED" w14:textId="1E3ABEB0" w:rsidR="005477F4" w:rsidRPr="008D28C8" w:rsidRDefault="00AF2B17" w:rsidP="008D28C8">
      <w:pPr>
        <w:spacing w:line="360" w:lineRule="auto"/>
        <w:ind w:left="-3" w:right="55"/>
        <w:rPr>
          <w:rFonts w:ascii="Arial" w:hAnsi="Arial" w:cs="Arial"/>
        </w:rPr>
      </w:pPr>
      <w:r w:rsidRPr="008D28C8">
        <w:rPr>
          <w:rFonts w:ascii="Arial" w:hAnsi="Arial" w:cs="Arial"/>
        </w:rPr>
        <w:t>Type 2 diabetes mellitus (T2DM) is a metabolic disorder characteri</w:t>
      </w:r>
      <w:r w:rsidR="00756B63" w:rsidRPr="008D28C8">
        <w:rPr>
          <w:rFonts w:ascii="Arial" w:hAnsi="Arial" w:cs="Arial"/>
        </w:rPr>
        <w:t>s</w:t>
      </w:r>
      <w:r w:rsidRPr="008D28C8">
        <w:rPr>
          <w:rFonts w:ascii="Arial" w:hAnsi="Arial" w:cs="Arial"/>
        </w:rPr>
        <w:t xml:space="preserve">ed by a combination of peripheral insulin resistance and beta cell insufficiency. Without treatment, chronic </w:t>
      </w:r>
      <w:r w:rsidR="0065123D" w:rsidRPr="008D28C8">
        <w:rPr>
          <w:rFonts w:ascii="Arial" w:hAnsi="Arial" w:cs="Arial"/>
        </w:rPr>
        <w:t>hypoglycaemia</w:t>
      </w:r>
      <w:r w:rsidRPr="008D28C8">
        <w:rPr>
          <w:rFonts w:ascii="Arial" w:hAnsi="Arial" w:cs="Arial"/>
        </w:rPr>
        <w:t xml:space="preserve"> causes disruption of metabolic homeostasis, leading to individual cells </w:t>
      </w:r>
      <w:r w:rsidR="00881EE0" w:rsidRPr="008D28C8">
        <w:rPr>
          <w:rFonts w:ascii="Arial" w:hAnsi="Arial" w:cs="Arial"/>
        </w:rPr>
        <w:t>being deprived</w:t>
      </w:r>
      <w:r w:rsidRPr="008D28C8">
        <w:rPr>
          <w:rFonts w:ascii="Arial" w:hAnsi="Arial" w:cs="Arial"/>
        </w:rPr>
        <w:t xml:space="preserve"> of the glucose needed to perform aerobic respiration and mitochondria producing less ATP. Common systemic manifestations caused by this defective cellular energetics, such as fatigue, are reversible, while the disease itself eventually leads to irreversible microvascular and macrovascular complications. </w:t>
      </w:r>
    </w:p>
    <w:p w14:paraId="26F82018" w14:textId="77777777" w:rsidR="008E03F0" w:rsidRDefault="008E03F0">
      <w:pPr>
        <w:pStyle w:val="Heading1"/>
        <w:numPr>
          <w:ilvl w:val="0"/>
          <w:numId w:val="0"/>
        </w:numPr>
        <w:ind w:left="-3"/>
      </w:pPr>
    </w:p>
    <w:p w14:paraId="096D4A24" w14:textId="77777777" w:rsidR="008E03F0" w:rsidRDefault="008E03F0">
      <w:pPr>
        <w:pStyle w:val="Heading1"/>
        <w:numPr>
          <w:ilvl w:val="0"/>
          <w:numId w:val="0"/>
        </w:numPr>
        <w:ind w:left="-3"/>
      </w:pPr>
    </w:p>
    <w:p w14:paraId="6F1D0F94" w14:textId="77777777" w:rsidR="008E03F0" w:rsidRDefault="008E03F0">
      <w:pPr>
        <w:pStyle w:val="Heading1"/>
        <w:numPr>
          <w:ilvl w:val="0"/>
          <w:numId w:val="0"/>
        </w:numPr>
        <w:ind w:left="-3"/>
      </w:pPr>
    </w:p>
    <w:p w14:paraId="128B1BD8" w14:textId="77777777" w:rsidR="008E03F0" w:rsidRDefault="008E03F0">
      <w:pPr>
        <w:pStyle w:val="Heading1"/>
        <w:numPr>
          <w:ilvl w:val="0"/>
          <w:numId w:val="0"/>
        </w:numPr>
        <w:ind w:left="-3"/>
      </w:pPr>
    </w:p>
    <w:p w14:paraId="13378A56" w14:textId="77777777" w:rsidR="008E03F0" w:rsidRDefault="008E03F0">
      <w:pPr>
        <w:pStyle w:val="Heading1"/>
        <w:numPr>
          <w:ilvl w:val="0"/>
          <w:numId w:val="0"/>
        </w:numPr>
        <w:ind w:left="-3"/>
      </w:pPr>
    </w:p>
    <w:p w14:paraId="50E9D1D6" w14:textId="77777777" w:rsidR="008E03F0" w:rsidRDefault="008E03F0">
      <w:pPr>
        <w:pStyle w:val="Heading1"/>
        <w:numPr>
          <w:ilvl w:val="0"/>
          <w:numId w:val="0"/>
        </w:numPr>
        <w:ind w:left="-3"/>
      </w:pPr>
    </w:p>
    <w:p w14:paraId="3E51FA1B" w14:textId="62C9E958" w:rsidR="008E03F0" w:rsidRDefault="008E03F0">
      <w:pPr>
        <w:pStyle w:val="Heading1"/>
        <w:numPr>
          <w:ilvl w:val="0"/>
          <w:numId w:val="0"/>
        </w:numPr>
        <w:ind w:left="-3"/>
      </w:pPr>
    </w:p>
    <w:p w14:paraId="4E658EF6" w14:textId="39789A72" w:rsidR="005477F4" w:rsidRDefault="00AF2B17">
      <w:pPr>
        <w:pStyle w:val="Heading1"/>
        <w:numPr>
          <w:ilvl w:val="0"/>
          <w:numId w:val="0"/>
        </w:numPr>
        <w:ind w:left="-3"/>
      </w:pPr>
      <w:r>
        <w:t xml:space="preserve">REFERENCES </w:t>
      </w:r>
    </w:p>
    <w:p w14:paraId="292A5FCA" w14:textId="77777777" w:rsidR="005477F4" w:rsidRDefault="00AF2B17">
      <w:pPr>
        <w:spacing w:after="20" w:line="259" w:lineRule="auto"/>
        <w:ind w:left="0" w:right="0" w:firstLine="0"/>
      </w:pPr>
      <w:r>
        <w:t xml:space="preserve">Amazon, (2026). MQXFCZUX Healthy Eating Poster for Diabetics. [online] </w:t>
      </w:r>
    </w:p>
    <w:p w14:paraId="59A99BDA" w14:textId="77777777" w:rsidR="005477F4" w:rsidRDefault="00AF2B17">
      <w:pPr>
        <w:spacing w:after="20" w:line="259" w:lineRule="auto"/>
        <w:ind w:left="-5" w:right="0"/>
      </w:pPr>
      <w:r>
        <w:t xml:space="preserve">Amazon.co.uk. Available at: </w:t>
      </w:r>
      <w:r>
        <w:rPr>
          <w:color w:val="467886"/>
          <w:u w:val="single" w:color="467886"/>
        </w:rPr>
        <w:t>https://www.amazon.co.uk/MQXFCZUX-Healthy-Eating-</w:t>
      </w:r>
    </w:p>
    <w:p w14:paraId="5ACCE15F" w14:textId="77777777" w:rsidR="005477F4" w:rsidRDefault="00AF2B17">
      <w:pPr>
        <w:spacing w:after="176" w:line="259" w:lineRule="auto"/>
        <w:ind w:left="-5" w:right="0"/>
      </w:pPr>
      <w:r>
        <w:rPr>
          <w:color w:val="467886"/>
          <w:u w:val="single" w:color="467886"/>
        </w:rPr>
        <w:t>Poster-Diabetics/dp/B0GSR44BRL</w:t>
      </w:r>
      <w:r>
        <w:t xml:space="preserve">  </w:t>
      </w:r>
    </w:p>
    <w:p w14:paraId="00EED7ED" w14:textId="77777777" w:rsidR="005477F4" w:rsidRDefault="00AF2B17">
      <w:pPr>
        <w:ind w:left="-3" w:right="55"/>
      </w:pPr>
      <w:r>
        <w:t xml:space="preserve">American Academy of Family Physicians (AAFP). (2017). Diabetes Self-Management: Facilitating Lifestyle Change. American Family Physician, 96(6), pp. 362-370. </w:t>
      </w:r>
    </w:p>
    <w:p w14:paraId="65DE4D7A" w14:textId="77777777" w:rsidR="005477F4" w:rsidRDefault="00AF2B17">
      <w:pPr>
        <w:spacing w:after="151" w:line="280" w:lineRule="auto"/>
        <w:ind w:left="-5" w:right="929"/>
        <w:jc w:val="both"/>
      </w:pPr>
      <w:r>
        <w:t xml:space="preserve">Harmony Endocrine, (n.d.). Understanding Type 2 Diabetes Infographic. [online] Harmony Thyroid, Endocrinology and Diabetes Centre. Available at: </w:t>
      </w:r>
      <w:r>
        <w:rPr>
          <w:color w:val="467886"/>
          <w:u w:val="single" w:color="467886"/>
        </w:rPr>
        <w:t>https://www.endocrineharmony.sg/conditions/type-2-diabetes/</w:t>
      </w:r>
      <w:r>
        <w:t xml:space="preserve">  </w:t>
      </w:r>
    </w:p>
    <w:p w14:paraId="1C4F2BDF" w14:textId="77777777" w:rsidR="005477F4" w:rsidRDefault="00AF2B17">
      <w:pPr>
        <w:ind w:left="-3" w:right="55"/>
      </w:pPr>
      <w:r>
        <w:t xml:space="preserve">Labster, (n.d.). Regulation of Blood Glucose Level. [online] Labster Theory Pages. Available at: </w:t>
      </w:r>
      <w:r>
        <w:rPr>
          <w:color w:val="467886"/>
          <w:u w:val="single" w:color="467886"/>
        </w:rPr>
        <w:t>https://theory.labster.com/regulation-blood-glucose</w:t>
      </w:r>
      <w:r>
        <w:t xml:space="preserve"> [Accessed 24 June 2026]. </w:t>
      </w:r>
    </w:p>
    <w:p w14:paraId="2452D431" w14:textId="77777777" w:rsidR="005477F4" w:rsidRDefault="00AF2B17">
      <w:pPr>
        <w:ind w:left="-3" w:right="55"/>
      </w:pPr>
      <w:r>
        <w:t xml:space="preserve">National Institute for Health and Care Excellence (NICE). (2022). Type 2 diabetes in adults: management (NICE Guideline NG28). London: NICE. Available at: </w:t>
      </w:r>
      <w:r>
        <w:rPr>
          <w:color w:val="467886"/>
          <w:u w:val="single" w:color="467886"/>
        </w:rPr>
        <w:t>https://www.nice.org.uk/guidance/ng28</w:t>
      </w:r>
      <w:r>
        <w:t xml:space="preserve">  </w:t>
      </w:r>
    </w:p>
    <w:p w14:paraId="18A32EE6" w14:textId="77777777" w:rsidR="005477F4" w:rsidRDefault="00AF2B17">
      <w:pPr>
        <w:ind w:left="-3" w:right="55"/>
      </w:pPr>
      <w:r>
        <w:t xml:space="preserve">National Institutes of Health, (n.d.). Cellular Respiration Mapping. [online] National Center for Biotechnology Information (NCBI). Available at: </w:t>
      </w:r>
      <w:r>
        <w:rPr>
          <w:color w:val="467886"/>
          <w:u w:val="single" w:color="467886"/>
        </w:rPr>
        <w:t>https://www.ncbi.nlm.nih.gov/books/NBK26882/bin/ch2f17.gif</w:t>
      </w:r>
      <w:r>
        <w:t xml:space="preserve"> [Accessed 24 June 2026]. </w:t>
      </w:r>
    </w:p>
    <w:p w14:paraId="474AF1E4" w14:textId="77777777" w:rsidR="005477F4" w:rsidRDefault="00AF2B17">
      <w:pPr>
        <w:ind w:left="-3" w:right="55"/>
      </w:pPr>
      <w:r>
        <w:lastRenderedPageBreak/>
        <w:t xml:space="preserve">Röder, P.V., Wu, B., Liu, Y. and Han, W. (2016). Pancreatic regulation of glucose homeostasis. Experimental &amp; Molecular Medicine, 48(1), p. e219. </w:t>
      </w:r>
      <w:r>
        <w:rPr>
          <w:color w:val="467886"/>
          <w:u w:val="single" w:color="467886"/>
        </w:rPr>
        <w:t>https://doi.org/10.1038/emm.2016.6</w:t>
      </w:r>
      <w:r>
        <w:t xml:space="preserve"> </w:t>
      </w:r>
    </w:p>
    <w:p w14:paraId="212E847B" w14:textId="77777777" w:rsidR="005477F4" w:rsidRDefault="00AF2B17">
      <w:pPr>
        <w:spacing w:after="8"/>
        <w:ind w:left="-3" w:right="55"/>
      </w:pPr>
      <w:r>
        <w:t xml:space="preserve">Sibal, L. and Home, P.D. (2009). Management of type 2 diabetes: NICE guidelines. </w:t>
      </w:r>
    </w:p>
    <w:p w14:paraId="109D358F" w14:textId="77777777" w:rsidR="005477F4" w:rsidRDefault="00AF2B17">
      <w:pPr>
        <w:spacing w:after="176" w:line="259" w:lineRule="auto"/>
        <w:ind w:left="-5" w:right="0"/>
      </w:pPr>
      <w:r>
        <w:t xml:space="preserve">Clinical Medicine, 9(4), pp. 353-357. </w:t>
      </w:r>
      <w:r>
        <w:rPr>
          <w:color w:val="467886"/>
          <w:u w:val="single" w:color="467886"/>
        </w:rPr>
        <w:t>https://doi.org/10.7861/clinmedicine.9-4-353</w:t>
      </w:r>
      <w:r>
        <w:t xml:space="preserve"> </w:t>
      </w:r>
    </w:p>
    <w:p w14:paraId="7A1C5E60" w14:textId="77777777" w:rsidR="005477F4" w:rsidRDefault="00AF2B17">
      <w:pPr>
        <w:spacing w:after="8"/>
        <w:ind w:left="-3" w:right="55"/>
      </w:pPr>
      <w:r>
        <w:t xml:space="preserve">StatPearls. (2026). Blood Glucose Monitoring. Treasure Island (FL): StatPearls </w:t>
      </w:r>
    </w:p>
    <w:p w14:paraId="2D5D8841" w14:textId="77777777" w:rsidR="005477F4" w:rsidRDefault="00AF2B17">
      <w:pPr>
        <w:spacing w:after="176" w:line="259" w:lineRule="auto"/>
        <w:ind w:left="-5" w:right="0"/>
      </w:pPr>
      <w:r>
        <w:t xml:space="preserve">Publishing. Available at: </w:t>
      </w:r>
      <w:r>
        <w:rPr>
          <w:color w:val="467886"/>
          <w:u w:val="single" w:color="467886"/>
        </w:rPr>
        <w:t>https://www.ncbi.nlm.nih.gov/books/NBK555976/</w:t>
      </w:r>
      <w:r>
        <w:t xml:space="preserve">  </w:t>
      </w:r>
    </w:p>
    <w:p w14:paraId="514906A6" w14:textId="77777777" w:rsidR="006E3916" w:rsidRPr="006E3916" w:rsidRDefault="006E3916" w:rsidP="006E3916">
      <w:pPr>
        <w:spacing w:after="176" w:line="259" w:lineRule="auto"/>
        <w:ind w:left="-5" w:right="0"/>
      </w:pPr>
      <w:r w:rsidRPr="006E3916">
        <w:t xml:space="preserve">Yu, Y. </w:t>
      </w:r>
      <w:r w:rsidRPr="006E3916">
        <w:rPr>
          <w:i/>
          <w:iCs/>
        </w:rPr>
        <w:t>et al.</w:t>
      </w:r>
      <w:r w:rsidRPr="006E3916">
        <w:t xml:space="preserve"> (2026) “Association between smoking cessation and risk for type 2 diabetes, stratified by post-cessation weight change: A systematic review and meta-analysis,” </w:t>
      </w:r>
      <w:r w:rsidRPr="006E3916">
        <w:rPr>
          <w:i/>
          <w:iCs/>
        </w:rPr>
        <w:t>Preventive medicine</w:t>
      </w:r>
      <w:r w:rsidRPr="006E3916">
        <w:t>, 202. Available at: https://doi.org/10.1016/j.ypmed.2025.108429.</w:t>
      </w:r>
    </w:p>
    <w:p w14:paraId="2B841AB9" w14:textId="77777777" w:rsidR="006E3916" w:rsidRDefault="006E3916">
      <w:pPr>
        <w:spacing w:after="176" w:line="259" w:lineRule="auto"/>
        <w:ind w:left="-5" w:right="0"/>
      </w:pPr>
    </w:p>
    <w:p w14:paraId="7840F75B" w14:textId="77777777" w:rsidR="005477F4" w:rsidRDefault="00AF2B17">
      <w:pPr>
        <w:spacing w:after="0" w:line="259" w:lineRule="auto"/>
        <w:ind w:left="0" w:right="0" w:firstLine="0"/>
      </w:pPr>
      <w:r>
        <w:t xml:space="preserve"> </w:t>
      </w:r>
    </w:p>
    <w:sectPr w:rsidR="005477F4">
      <w:pgSz w:w="11906" w:h="16838"/>
      <w:pgMar w:top="2117" w:right="1330" w:bottom="2137" w:left="1402"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EE1ACB"/>
    <w:multiLevelType w:val="hybridMultilevel"/>
    <w:tmpl w:val="31781026"/>
    <w:lvl w:ilvl="0" w:tplc="C0260BEE">
      <w:start w:val="1"/>
      <w:numFmt w:val="lowerLetter"/>
      <w:lvlText w:val="%1."/>
      <w:lvlJc w:val="left"/>
      <w:pPr>
        <w:ind w:left="701"/>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1" w:tplc="1DE8C02A">
      <w:start w:val="1"/>
      <w:numFmt w:val="lowerLetter"/>
      <w:lvlText w:val="%2"/>
      <w:lvlJc w:val="left"/>
      <w:pPr>
        <w:ind w:left="143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2" w:tplc="888A9A54">
      <w:start w:val="1"/>
      <w:numFmt w:val="lowerRoman"/>
      <w:lvlText w:val="%3"/>
      <w:lvlJc w:val="left"/>
      <w:pPr>
        <w:ind w:left="215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3" w:tplc="19BC9ED2">
      <w:start w:val="1"/>
      <w:numFmt w:val="decimal"/>
      <w:lvlText w:val="%4"/>
      <w:lvlJc w:val="left"/>
      <w:pPr>
        <w:ind w:left="287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4" w:tplc="664AB30E">
      <w:start w:val="1"/>
      <w:numFmt w:val="lowerLetter"/>
      <w:lvlText w:val="%5"/>
      <w:lvlJc w:val="left"/>
      <w:pPr>
        <w:ind w:left="359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5" w:tplc="C168603A">
      <w:start w:val="1"/>
      <w:numFmt w:val="lowerRoman"/>
      <w:lvlText w:val="%6"/>
      <w:lvlJc w:val="left"/>
      <w:pPr>
        <w:ind w:left="431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6" w:tplc="ED046B82">
      <w:start w:val="1"/>
      <w:numFmt w:val="decimal"/>
      <w:lvlText w:val="%7"/>
      <w:lvlJc w:val="left"/>
      <w:pPr>
        <w:ind w:left="503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7" w:tplc="CF4884D6">
      <w:start w:val="1"/>
      <w:numFmt w:val="lowerLetter"/>
      <w:lvlText w:val="%8"/>
      <w:lvlJc w:val="left"/>
      <w:pPr>
        <w:ind w:left="575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8" w:tplc="9878A7EA">
      <w:start w:val="1"/>
      <w:numFmt w:val="lowerRoman"/>
      <w:lvlText w:val="%9"/>
      <w:lvlJc w:val="left"/>
      <w:pPr>
        <w:ind w:left="647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abstractNum>
  <w:abstractNum w:abstractNumId="1" w15:restartNumberingAfterBreak="0">
    <w:nsid w:val="10134D62"/>
    <w:multiLevelType w:val="hybridMultilevel"/>
    <w:tmpl w:val="E0E8C746"/>
    <w:lvl w:ilvl="0" w:tplc="5C5A54E4">
      <w:start w:val="1"/>
      <w:numFmt w:val="lowerLetter"/>
      <w:lvlText w:val="%1."/>
      <w:lvlJc w:val="left"/>
      <w:pPr>
        <w:ind w:left="701"/>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1" w:tplc="2B5E2D5C">
      <w:start w:val="1"/>
      <w:numFmt w:val="lowerLetter"/>
      <w:lvlText w:val="%2"/>
      <w:lvlJc w:val="left"/>
      <w:pPr>
        <w:ind w:left="143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2" w:tplc="6FAEF046">
      <w:start w:val="1"/>
      <w:numFmt w:val="lowerRoman"/>
      <w:lvlText w:val="%3"/>
      <w:lvlJc w:val="left"/>
      <w:pPr>
        <w:ind w:left="215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3" w:tplc="4CEED092">
      <w:start w:val="1"/>
      <w:numFmt w:val="decimal"/>
      <w:lvlText w:val="%4"/>
      <w:lvlJc w:val="left"/>
      <w:pPr>
        <w:ind w:left="287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4" w:tplc="1F9E7522">
      <w:start w:val="1"/>
      <w:numFmt w:val="lowerLetter"/>
      <w:lvlText w:val="%5"/>
      <w:lvlJc w:val="left"/>
      <w:pPr>
        <w:ind w:left="359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5" w:tplc="00F2BBBA">
      <w:start w:val="1"/>
      <w:numFmt w:val="lowerRoman"/>
      <w:lvlText w:val="%6"/>
      <w:lvlJc w:val="left"/>
      <w:pPr>
        <w:ind w:left="431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6" w:tplc="5778FED6">
      <w:start w:val="1"/>
      <w:numFmt w:val="decimal"/>
      <w:lvlText w:val="%7"/>
      <w:lvlJc w:val="left"/>
      <w:pPr>
        <w:ind w:left="503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7" w:tplc="F20C7638">
      <w:start w:val="1"/>
      <w:numFmt w:val="lowerLetter"/>
      <w:lvlText w:val="%8"/>
      <w:lvlJc w:val="left"/>
      <w:pPr>
        <w:ind w:left="575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8" w:tplc="BD5AAF3A">
      <w:start w:val="1"/>
      <w:numFmt w:val="lowerRoman"/>
      <w:lvlText w:val="%9"/>
      <w:lvlJc w:val="left"/>
      <w:pPr>
        <w:ind w:left="647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abstractNum>
  <w:abstractNum w:abstractNumId="2" w15:restartNumberingAfterBreak="0">
    <w:nsid w:val="298049C8"/>
    <w:multiLevelType w:val="hybridMultilevel"/>
    <w:tmpl w:val="7B5A9484"/>
    <w:lvl w:ilvl="0" w:tplc="2DA0A866">
      <w:start w:val="1"/>
      <w:numFmt w:val="bullet"/>
      <w:lvlText w:val="•"/>
      <w:lvlJc w:val="left"/>
      <w:pPr>
        <w:ind w:left="1"/>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1" w:tplc="E1D64FC4">
      <w:start w:val="1"/>
      <w:numFmt w:val="bullet"/>
      <w:lvlText w:val="o"/>
      <w:lvlJc w:val="left"/>
      <w:pPr>
        <w:ind w:left="1186"/>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2" w:tplc="727A47DC">
      <w:start w:val="1"/>
      <w:numFmt w:val="bullet"/>
      <w:lvlText w:val="▪"/>
      <w:lvlJc w:val="left"/>
      <w:pPr>
        <w:ind w:left="1906"/>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3" w:tplc="22B26650">
      <w:start w:val="1"/>
      <w:numFmt w:val="bullet"/>
      <w:lvlText w:val="•"/>
      <w:lvlJc w:val="left"/>
      <w:pPr>
        <w:ind w:left="2626"/>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4" w:tplc="8B82A146">
      <w:start w:val="1"/>
      <w:numFmt w:val="bullet"/>
      <w:lvlText w:val="o"/>
      <w:lvlJc w:val="left"/>
      <w:pPr>
        <w:ind w:left="3346"/>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5" w:tplc="7D4A1978">
      <w:start w:val="1"/>
      <w:numFmt w:val="bullet"/>
      <w:lvlText w:val="▪"/>
      <w:lvlJc w:val="left"/>
      <w:pPr>
        <w:ind w:left="4066"/>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6" w:tplc="7DFE1C46">
      <w:start w:val="1"/>
      <w:numFmt w:val="bullet"/>
      <w:lvlText w:val="•"/>
      <w:lvlJc w:val="left"/>
      <w:pPr>
        <w:ind w:left="4786"/>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7" w:tplc="0B202F68">
      <w:start w:val="1"/>
      <w:numFmt w:val="bullet"/>
      <w:lvlText w:val="o"/>
      <w:lvlJc w:val="left"/>
      <w:pPr>
        <w:ind w:left="5506"/>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8" w:tplc="F2BCD048">
      <w:start w:val="1"/>
      <w:numFmt w:val="bullet"/>
      <w:lvlText w:val="▪"/>
      <w:lvlJc w:val="left"/>
      <w:pPr>
        <w:ind w:left="6226"/>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abstractNum>
  <w:abstractNum w:abstractNumId="3" w15:restartNumberingAfterBreak="0">
    <w:nsid w:val="2F0B6402"/>
    <w:multiLevelType w:val="hybridMultilevel"/>
    <w:tmpl w:val="27F08B76"/>
    <w:lvl w:ilvl="0" w:tplc="8EDC2DC8">
      <w:start w:val="1"/>
      <w:numFmt w:val="upperRoman"/>
      <w:lvlText w:val="%1."/>
      <w:lvlJc w:val="left"/>
      <w:pPr>
        <w:ind w:left="756"/>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1" w:tplc="DF8CADE2">
      <w:start w:val="1"/>
      <w:numFmt w:val="lowerLetter"/>
      <w:lvlText w:val="%2"/>
      <w:lvlJc w:val="left"/>
      <w:pPr>
        <w:ind w:left="1269"/>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2" w:tplc="4C002650">
      <w:start w:val="1"/>
      <w:numFmt w:val="lowerRoman"/>
      <w:lvlText w:val="%3"/>
      <w:lvlJc w:val="left"/>
      <w:pPr>
        <w:ind w:left="1989"/>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3" w:tplc="26DAF34C">
      <w:start w:val="1"/>
      <w:numFmt w:val="decimal"/>
      <w:lvlText w:val="%4"/>
      <w:lvlJc w:val="left"/>
      <w:pPr>
        <w:ind w:left="2709"/>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4" w:tplc="5DE23244">
      <w:start w:val="1"/>
      <w:numFmt w:val="lowerLetter"/>
      <w:lvlText w:val="%5"/>
      <w:lvlJc w:val="left"/>
      <w:pPr>
        <w:ind w:left="3429"/>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5" w:tplc="A8044712">
      <w:start w:val="1"/>
      <w:numFmt w:val="lowerRoman"/>
      <w:lvlText w:val="%6"/>
      <w:lvlJc w:val="left"/>
      <w:pPr>
        <w:ind w:left="4149"/>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6" w:tplc="F0CA022E">
      <w:start w:val="1"/>
      <w:numFmt w:val="decimal"/>
      <w:lvlText w:val="%7"/>
      <w:lvlJc w:val="left"/>
      <w:pPr>
        <w:ind w:left="4869"/>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7" w:tplc="0862FA6C">
      <w:start w:val="1"/>
      <w:numFmt w:val="lowerLetter"/>
      <w:lvlText w:val="%8"/>
      <w:lvlJc w:val="left"/>
      <w:pPr>
        <w:ind w:left="5589"/>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8" w:tplc="9BF6CF8C">
      <w:start w:val="1"/>
      <w:numFmt w:val="lowerRoman"/>
      <w:lvlText w:val="%9"/>
      <w:lvlJc w:val="left"/>
      <w:pPr>
        <w:ind w:left="6309"/>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abstractNum>
  <w:abstractNum w:abstractNumId="4" w15:restartNumberingAfterBreak="0">
    <w:nsid w:val="35DA20CF"/>
    <w:multiLevelType w:val="hybridMultilevel"/>
    <w:tmpl w:val="DE90CD1E"/>
    <w:lvl w:ilvl="0" w:tplc="9140CE54">
      <w:start w:val="1"/>
      <w:numFmt w:val="lowerLetter"/>
      <w:lvlText w:val="%1."/>
      <w:lvlJc w:val="left"/>
      <w:pPr>
        <w:ind w:left="701"/>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1" w:tplc="FD12697C">
      <w:start w:val="1"/>
      <w:numFmt w:val="lowerLetter"/>
      <w:lvlText w:val="%2"/>
      <w:lvlJc w:val="left"/>
      <w:pPr>
        <w:ind w:left="143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2" w:tplc="33244B48">
      <w:start w:val="1"/>
      <w:numFmt w:val="lowerRoman"/>
      <w:lvlText w:val="%3"/>
      <w:lvlJc w:val="left"/>
      <w:pPr>
        <w:ind w:left="215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3" w:tplc="A152755E">
      <w:start w:val="1"/>
      <w:numFmt w:val="decimal"/>
      <w:lvlText w:val="%4"/>
      <w:lvlJc w:val="left"/>
      <w:pPr>
        <w:ind w:left="287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4" w:tplc="16DA197A">
      <w:start w:val="1"/>
      <w:numFmt w:val="lowerLetter"/>
      <w:lvlText w:val="%5"/>
      <w:lvlJc w:val="left"/>
      <w:pPr>
        <w:ind w:left="359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5" w:tplc="A2EEFFBE">
      <w:start w:val="1"/>
      <w:numFmt w:val="lowerRoman"/>
      <w:lvlText w:val="%6"/>
      <w:lvlJc w:val="left"/>
      <w:pPr>
        <w:ind w:left="431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6" w:tplc="AEA2EA0C">
      <w:start w:val="1"/>
      <w:numFmt w:val="decimal"/>
      <w:lvlText w:val="%7"/>
      <w:lvlJc w:val="left"/>
      <w:pPr>
        <w:ind w:left="503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7" w:tplc="9364F3D6">
      <w:start w:val="1"/>
      <w:numFmt w:val="lowerLetter"/>
      <w:lvlText w:val="%8"/>
      <w:lvlJc w:val="left"/>
      <w:pPr>
        <w:ind w:left="575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8" w:tplc="0B2614D6">
      <w:start w:val="1"/>
      <w:numFmt w:val="lowerRoman"/>
      <w:lvlText w:val="%9"/>
      <w:lvlJc w:val="left"/>
      <w:pPr>
        <w:ind w:left="647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abstractNum>
  <w:abstractNum w:abstractNumId="5" w15:restartNumberingAfterBreak="0">
    <w:nsid w:val="368706DB"/>
    <w:multiLevelType w:val="hybridMultilevel"/>
    <w:tmpl w:val="740C8F7A"/>
    <w:lvl w:ilvl="0" w:tplc="C1AC5B10">
      <w:start w:val="1"/>
      <w:numFmt w:val="decimal"/>
      <w:pStyle w:val="Heading1"/>
      <w:lvlText w:val="%1."/>
      <w:lvlJc w:val="left"/>
      <w:pPr>
        <w:ind w:left="0"/>
      </w:pPr>
      <w:rPr>
        <w:rFonts w:ascii="Times New Roman" w:eastAsia="Times New Roman" w:hAnsi="Times New Roman" w:cs="Times New Roman"/>
        <w:b w:val="0"/>
        <w:i w:val="0"/>
        <w:strike w:val="0"/>
        <w:dstrike w:val="0"/>
        <w:color w:val="0F4761"/>
        <w:sz w:val="27"/>
        <w:szCs w:val="27"/>
        <w:u w:val="none" w:color="000000"/>
        <w:bdr w:val="none" w:sz="0" w:space="0" w:color="auto"/>
        <w:shd w:val="clear" w:color="auto" w:fill="auto"/>
        <w:vertAlign w:val="baseline"/>
      </w:rPr>
    </w:lvl>
    <w:lvl w:ilvl="1" w:tplc="E1D672F8">
      <w:start w:val="1"/>
      <w:numFmt w:val="lowerLetter"/>
      <w:lvlText w:val="%2"/>
      <w:lvlJc w:val="left"/>
      <w:pPr>
        <w:ind w:left="1080"/>
      </w:pPr>
      <w:rPr>
        <w:rFonts w:ascii="Times New Roman" w:eastAsia="Times New Roman" w:hAnsi="Times New Roman" w:cs="Times New Roman"/>
        <w:b w:val="0"/>
        <w:i w:val="0"/>
        <w:strike w:val="0"/>
        <w:dstrike w:val="0"/>
        <w:color w:val="0F4761"/>
        <w:sz w:val="27"/>
        <w:szCs w:val="27"/>
        <w:u w:val="none" w:color="000000"/>
        <w:bdr w:val="none" w:sz="0" w:space="0" w:color="auto"/>
        <w:shd w:val="clear" w:color="auto" w:fill="auto"/>
        <w:vertAlign w:val="baseline"/>
      </w:rPr>
    </w:lvl>
    <w:lvl w:ilvl="2" w:tplc="2188B2AA">
      <w:start w:val="1"/>
      <w:numFmt w:val="lowerRoman"/>
      <w:lvlText w:val="%3"/>
      <w:lvlJc w:val="left"/>
      <w:pPr>
        <w:ind w:left="1800"/>
      </w:pPr>
      <w:rPr>
        <w:rFonts w:ascii="Times New Roman" w:eastAsia="Times New Roman" w:hAnsi="Times New Roman" w:cs="Times New Roman"/>
        <w:b w:val="0"/>
        <w:i w:val="0"/>
        <w:strike w:val="0"/>
        <w:dstrike w:val="0"/>
        <w:color w:val="0F4761"/>
        <w:sz w:val="27"/>
        <w:szCs w:val="27"/>
        <w:u w:val="none" w:color="000000"/>
        <w:bdr w:val="none" w:sz="0" w:space="0" w:color="auto"/>
        <w:shd w:val="clear" w:color="auto" w:fill="auto"/>
        <w:vertAlign w:val="baseline"/>
      </w:rPr>
    </w:lvl>
    <w:lvl w:ilvl="3" w:tplc="CF70B81A">
      <w:start w:val="1"/>
      <w:numFmt w:val="decimal"/>
      <w:lvlText w:val="%4"/>
      <w:lvlJc w:val="left"/>
      <w:pPr>
        <w:ind w:left="2520"/>
      </w:pPr>
      <w:rPr>
        <w:rFonts w:ascii="Times New Roman" w:eastAsia="Times New Roman" w:hAnsi="Times New Roman" w:cs="Times New Roman"/>
        <w:b w:val="0"/>
        <w:i w:val="0"/>
        <w:strike w:val="0"/>
        <w:dstrike w:val="0"/>
        <w:color w:val="0F4761"/>
        <w:sz w:val="27"/>
        <w:szCs w:val="27"/>
        <w:u w:val="none" w:color="000000"/>
        <w:bdr w:val="none" w:sz="0" w:space="0" w:color="auto"/>
        <w:shd w:val="clear" w:color="auto" w:fill="auto"/>
        <w:vertAlign w:val="baseline"/>
      </w:rPr>
    </w:lvl>
    <w:lvl w:ilvl="4" w:tplc="6F327244">
      <w:start w:val="1"/>
      <w:numFmt w:val="lowerLetter"/>
      <w:lvlText w:val="%5"/>
      <w:lvlJc w:val="left"/>
      <w:pPr>
        <w:ind w:left="3240"/>
      </w:pPr>
      <w:rPr>
        <w:rFonts w:ascii="Times New Roman" w:eastAsia="Times New Roman" w:hAnsi="Times New Roman" w:cs="Times New Roman"/>
        <w:b w:val="0"/>
        <w:i w:val="0"/>
        <w:strike w:val="0"/>
        <w:dstrike w:val="0"/>
        <w:color w:val="0F4761"/>
        <w:sz w:val="27"/>
        <w:szCs w:val="27"/>
        <w:u w:val="none" w:color="000000"/>
        <w:bdr w:val="none" w:sz="0" w:space="0" w:color="auto"/>
        <w:shd w:val="clear" w:color="auto" w:fill="auto"/>
        <w:vertAlign w:val="baseline"/>
      </w:rPr>
    </w:lvl>
    <w:lvl w:ilvl="5" w:tplc="14289E4A">
      <w:start w:val="1"/>
      <w:numFmt w:val="lowerRoman"/>
      <w:lvlText w:val="%6"/>
      <w:lvlJc w:val="left"/>
      <w:pPr>
        <w:ind w:left="3960"/>
      </w:pPr>
      <w:rPr>
        <w:rFonts w:ascii="Times New Roman" w:eastAsia="Times New Roman" w:hAnsi="Times New Roman" w:cs="Times New Roman"/>
        <w:b w:val="0"/>
        <w:i w:val="0"/>
        <w:strike w:val="0"/>
        <w:dstrike w:val="0"/>
        <w:color w:val="0F4761"/>
        <w:sz w:val="27"/>
        <w:szCs w:val="27"/>
        <w:u w:val="none" w:color="000000"/>
        <w:bdr w:val="none" w:sz="0" w:space="0" w:color="auto"/>
        <w:shd w:val="clear" w:color="auto" w:fill="auto"/>
        <w:vertAlign w:val="baseline"/>
      </w:rPr>
    </w:lvl>
    <w:lvl w:ilvl="6" w:tplc="E974ADA2">
      <w:start w:val="1"/>
      <w:numFmt w:val="decimal"/>
      <w:lvlText w:val="%7"/>
      <w:lvlJc w:val="left"/>
      <w:pPr>
        <w:ind w:left="4680"/>
      </w:pPr>
      <w:rPr>
        <w:rFonts w:ascii="Times New Roman" w:eastAsia="Times New Roman" w:hAnsi="Times New Roman" w:cs="Times New Roman"/>
        <w:b w:val="0"/>
        <w:i w:val="0"/>
        <w:strike w:val="0"/>
        <w:dstrike w:val="0"/>
        <w:color w:val="0F4761"/>
        <w:sz w:val="27"/>
        <w:szCs w:val="27"/>
        <w:u w:val="none" w:color="000000"/>
        <w:bdr w:val="none" w:sz="0" w:space="0" w:color="auto"/>
        <w:shd w:val="clear" w:color="auto" w:fill="auto"/>
        <w:vertAlign w:val="baseline"/>
      </w:rPr>
    </w:lvl>
    <w:lvl w:ilvl="7" w:tplc="9E7692FA">
      <w:start w:val="1"/>
      <w:numFmt w:val="lowerLetter"/>
      <w:lvlText w:val="%8"/>
      <w:lvlJc w:val="left"/>
      <w:pPr>
        <w:ind w:left="5400"/>
      </w:pPr>
      <w:rPr>
        <w:rFonts w:ascii="Times New Roman" w:eastAsia="Times New Roman" w:hAnsi="Times New Roman" w:cs="Times New Roman"/>
        <w:b w:val="0"/>
        <w:i w:val="0"/>
        <w:strike w:val="0"/>
        <w:dstrike w:val="0"/>
        <w:color w:val="0F4761"/>
        <w:sz w:val="27"/>
        <w:szCs w:val="27"/>
        <w:u w:val="none" w:color="000000"/>
        <w:bdr w:val="none" w:sz="0" w:space="0" w:color="auto"/>
        <w:shd w:val="clear" w:color="auto" w:fill="auto"/>
        <w:vertAlign w:val="baseline"/>
      </w:rPr>
    </w:lvl>
    <w:lvl w:ilvl="8" w:tplc="05F87AE6">
      <w:start w:val="1"/>
      <w:numFmt w:val="lowerRoman"/>
      <w:lvlText w:val="%9"/>
      <w:lvlJc w:val="left"/>
      <w:pPr>
        <w:ind w:left="6120"/>
      </w:pPr>
      <w:rPr>
        <w:rFonts w:ascii="Times New Roman" w:eastAsia="Times New Roman" w:hAnsi="Times New Roman" w:cs="Times New Roman"/>
        <w:b w:val="0"/>
        <w:i w:val="0"/>
        <w:strike w:val="0"/>
        <w:dstrike w:val="0"/>
        <w:color w:val="0F4761"/>
        <w:sz w:val="27"/>
        <w:szCs w:val="27"/>
        <w:u w:val="none" w:color="000000"/>
        <w:bdr w:val="none" w:sz="0" w:space="0" w:color="auto"/>
        <w:shd w:val="clear" w:color="auto" w:fill="auto"/>
        <w:vertAlign w:val="baseline"/>
      </w:rPr>
    </w:lvl>
  </w:abstractNum>
  <w:abstractNum w:abstractNumId="6" w15:restartNumberingAfterBreak="0">
    <w:nsid w:val="478E55A6"/>
    <w:multiLevelType w:val="hybridMultilevel"/>
    <w:tmpl w:val="2E5263B2"/>
    <w:lvl w:ilvl="0" w:tplc="2C26308C">
      <w:start w:val="1"/>
      <w:numFmt w:val="upperRoman"/>
      <w:lvlText w:val="%1."/>
      <w:lvlJc w:val="left"/>
      <w:pPr>
        <w:ind w:left="751"/>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1" w:tplc="D24C2F94">
      <w:start w:val="1"/>
      <w:numFmt w:val="lowerLetter"/>
      <w:lvlText w:val="%2"/>
      <w:lvlJc w:val="left"/>
      <w:pPr>
        <w:ind w:left="1249"/>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2" w:tplc="934EA07C">
      <w:start w:val="1"/>
      <w:numFmt w:val="lowerRoman"/>
      <w:lvlText w:val="%3"/>
      <w:lvlJc w:val="left"/>
      <w:pPr>
        <w:ind w:left="1969"/>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3" w:tplc="379CBCEE">
      <w:start w:val="1"/>
      <w:numFmt w:val="decimal"/>
      <w:lvlText w:val="%4"/>
      <w:lvlJc w:val="left"/>
      <w:pPr>
        <w:ind w:left="2689"/>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4" w:tplc="75804B2A">
      <w:start w:val="1"/>
      <w:numFmt w:val="lowerLetter"/>
      <w:lvlText w:val="%5"/>
      <w:lvlJc w:val="left"/>
      <w:pPr>
        <w:ind w:left="3409"/>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5" w:tplc="FE8E4BD2">
      <w:start w:val="1"/>
      <w:numFmt w:val="lowerRoman"/>
      <w:lvlText w:val="%6"/>
      <w:lvlJc w:val="left"/>
      <w:pPr>
        <w:ind w:left="4129"/>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6" w:tplc="3C28306A">
      <w:start w:val="1"/>
      <w:numFmt w:val="decimal"/>
      <w:lvlText w:val="%7"/>
      <w:lvlJc w:val="left"/>
      <w:pPr>
        <w:ind w:left="4849"/>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7" w:tplc="C638F4F4">
      <w:start w:val="1"/>
      <w:numFmt w:val="lowerLetter"/>
      <w:lvlText w:val="%8"/>
      <w:lvlJc w:val="left"/>
      <w:pPr>
        <w:ind w:left="5569"/>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8" w:tplc="DBB8E5AA">
      <w:start w:val="1"/>
      <w:numFmt w:val="lowerRoman"/>
      <w:lvlText w:val="%9"/>
      <w:lvlJc w:val="left"/>
      <w:pPr>
        <w:ind w:left="6289"/>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abstractNum>
  <w:abstractNum w:abstractNumId="7" w15:restartNumberingAfterBreak="0">
    <w:nsid w:val="59803C57"/>
    <w:multiLevelType w:val="hybridMultilevel"/>
    <w:tmpl w:val="0EE25248"/>
    <w:lvl w:ilvl="0" w:tplc="EF1EFF1A">
      <w:start w:val="1"/>
      <w:numFmt w:val="upperRoman"/>
      <w:lvlText w:val="%1."/>
      <w:lvlJc w:val="left"/>
      <w:pPr>
        <w:ind w:left="756"/>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1" w:tplc="5332F5C0">
      <w:start w:val="1"/>
      <w:numFmt w:val="lowerLetter"/>
      <w:lvlText w:val="%2"/>
      <w:lvlJc w:val="left"/>
      <w:pPr>
        <w:ind w:left="1269"/>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2" w:tplc="704234E8">
      <w:start w:val="1"/>
      <w:numFmt w:val="lowerRoman"/>
      <w:lvlText w:val="%3"/>
      <w:lvlJc w:val="left"/>
      <w:pPr>
        <w:ind w:left="1989"/>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3" w:tplc="25EAF128">
      <w:start w:val="1"/>
      <w:numFmt w:val="decimal"/>
      <w:lvlText w:val="%4"/>
      <w:lvlJc w:val="left"/>
      <w:pPr>
        <w:ind w:left="2709"/>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4" w:tplc="4738BCE4">
      <w:start w:val="1"/>
      <w:numFmt w:val="lowerLetter"/>
      <w:lvlText w:val="%5"/>
      <w:lvlJc w:val="left"/>
      <w:pPr>
        <w:ind w:left="3429"/>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5" w:tplc="0B0AFC16">
      <w:start w:val="1"/>
      <w:numFmt w:val="lowerRoman"/>
      <w:lvlText w:val="%6"/>
      <w:lvlJc w:val="left"/>
      <w:pPr>
        <w:ind w:left="4149"/>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6" w:tplc="97A6518C">
      <w:start w:val="1"/>
      <w:numFmt w:val="decimal"/>
      <w:lvlText w:val="%7"/>
      <w:lvlJc w:val="left"/>
      <w:pPr>
        <w:ind w:left="4869"/>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7" w:tplc="D59EA558">
      <w:start w:val="1"/>
      <w:numFmt w:val="lowerLetter"/>
      <w:lvlText w:val="%8"/>
      <w:lvlJc w:val="left"/>
      <w:pPr>
        <w:ind w:left="5589"/>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8" w:tplc="A90CBA64">
      <w:start w:val="1"/>
      <w:numFmt w:val="lowerRoman"/>
      <w:lvlText w:val="%9"/>
      <w:lvlJc w:val="left"/>
      <w:pPr>
        <w:ind w:left="6309"/>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abstractNum>
  <w:abstractNum w:abstractNumId="8" w15:restartNumberingAfterBreak="0">
    <w:nsid w:val="5FB033B7"/>
    <w:multiLevelType w:val="hybridMultilevel"/>
    <w:tmpl w:val="85F0E12C"/>
    <w:lvl w:ilvl="0" w:tplc="E18ECA22">
      <w:start w:val="1"/>
      <w:numFmt w:val="bullet"/>
      <w:lvlText w:val="•"/>
      <w:lvlJc w:val="left"/>
      <w:pPr>
        <w:ind w:left="1"/>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1" w:tplc="15BABD2E">
      <w:start w:val="1"/>
      <w:numFmt w:val="bullet"/>
      <w:lvlText w:val="o"/>
      <w:lvlJc w:val="left"/>
      <w:pPr>
        <w:ind w:left="1186"/>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2" w:tplc="418E601E">
      <w:start w:val="1"/>
      <w:numFmt w:val="bullet"/>
      <w:lvlText w:val="▪"/>
      <w:lvlJc w:val="left"/>
      <w:pPr>
        <w:ind w:left="1906"/>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3" w:tplc="EDB4ADE8">
      <w:start w:val="1"/>
      <w:numFmt w:val="bullet"/>
      <w:lvlText w:val="•"/>
      <w:lvlJc w:val="left"/>
      <w:pPr>
        <w:ind w:left="2626"/>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4" w:tplc="2A1E3B64">
      <w:start w:val="1"/>
      <w:numFmt w:val="bullet"/>
      <w:lvlText w:val="o"/>
      <w:lvlJc w:val="left"/>
      <w:pPr>
        <w:ind w:left="3346"/>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5" w:tplc="CD7CAE4C">
      <w:start w:val="1"/>
      <w:numFmt w:val="bullet"/>
      <w:lvlText w:val="▪"/>
      <w:lvlJc w:val="left"/>
      <w:pPr>
        <w:ind w:left="4066"/>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6" w:tplc="497C8204">
      <w:start w:val="1"/>
      <w:numFmt w:val="bullet"/>
      <w:lvlText w:val="•"/>
      <w:lvlJc w:val="left"/>
      <w:pPr>
        <w:ind w:left="4786"/>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7" w:tplc="751C25E6">
      <w:start w:val="1"/>
      <w:numFmt w:val="bullet"/>
      <w:lvlText w:val="o"/>
      <w:lvlJc w:val="left"/>
      <w:pPr>
        <w:ind w:left="5506"/>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8" w:tplc="2FA66D10">
      <w:start w:val="1"/>
      <w:numFmt w:val="bullet"/>
      <w:lvlText w:val="▪"/>
      <w:lvlJc w:val="left"/>
      <w:pPr>
        <w:ind w:left="6226"/>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abstractNum>
  <w:abstractNum w:abstractNumId="9" w15:restartNumberingAfterBreak="0">
    <w:nsid w:val="66786259"/>
    <w:multiLevelType w:val="hybridMultilevel"/>
    <w:tmpl w:val="684A67FA"/>
    <w:lvl w:ilvl="0" w:tplc="76A4FCBC">
      <w:start w:val="1"/>
      <w:numFmt w:val="lowerLetter"/>
      <w:lvlText w:val="%1."/>
      <w:lvlJc w:val="left"/>
      <w:pPr>
        <w:ind w:left="701"/>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1" w:tplc="73482DDE">
      <w:start w:val="1"/>
      <w:numFmt w:val="lowerLetter"/>
      <w:lvlText w:val="%2"/>
      <w:lvlJc w:val="left"/>
      <w:pPr>
        <w:ind w:left="143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2" w:tplc="01D239BA">
      <w:start w:val="1"/>
      <w:numFmt w:val="lowerRoman"/>
      <w:lvlText w:val="%3"/>
      <w:lvlJc w:val="left"/>
      <w:pPr>
        <w:ind w:left="215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3" w:tplc="DDEE8D64">
      <w:start w:val="1"/>
      <w:numFmt w:val="decimal"/>
      <w:lvlText w:val="%4"/>
      <w:lvlJc w:val="left"/>
      <w:pPr>
        <w:ind w:left="287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4" w:tplc="DB527990">
      <w:start w:val="1"/>
      <w:numFmt w:val="lowerLetter"/>
      <w:lvlText w:val="%5"/>
      <w:lvlJc w:val="left"/>
      <w:pPr>
        <w:ind w:left="359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5" w:tplc="1FF0C2DC">
      <w:start w:val="1"/>
      <w:numFmt w:val="lowerRoman"/>
      <w:lvlText w:val="%6"/>
      <w:lvlJc w:val="left"/>
      <w:pPr>
        <w:ind w:left="431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6" w:tplc="217AC528">
      <w:start w:val="1"/>
      <w:numFmt w:val="decimal"/>
      <w:lvlText w:val="%7"/>
      <w:lvlJc w:val="left"/>
      <w:pPr>
        <w:ind w:left="503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7" w:tplc="0936E142">
      <w:start w:val="1"/>
      <w:numFmt w:val="lowerLetter"/>
      <w:lvlText w:val="%8"/>
      <w:lvlJc w:val="left"/>
      <w:pPr>
        <w:ind w:left="575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8" w:tplc="22C2F74C">
      <w:start w:val="1"/>
      <w:numFmt w:val="lowerRoman"/>
      <w:lvlText w:val="%9"/>
      <w:lvlJc w:val="left"/>
      <w:pPr>
        <w:ind w:left="647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abstractNum>
  <w:abstractNum w:abstractNumId="10" w15:restartNumberingAfterBreak="0">
    <w:nsid w:val="68C80276"/>
    <w:multiLevelType w:val="hybridMultilevel"/>
    <w:tmpl w:val="4EDA7D8C"/>
    <w:lvl w:ilvl="0" w:tplc="DBF02172">
      <w:start w:val="1"/>
      <w:numFmt w:val="lowerLetter"/>
      <w:lvlText w:val="%1."/>
      <w:lvlJc w:val="left"/>
      <w:pPr>
        <w:ind w:left="701"/>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1" w:tplc="8668D2C6">
      <w:start w:val="1"/>
      <w:numFmt w:val="lowerLetter"/>
      <w:lvlText w:val="%2"/>
      <w:lvlJc w:val="left"/>
      <w:pPr>
        <w:ind w:left="143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2" w:tplc="8E18973A">
      <w:start w:val="1"/>
      <w:numFmt w:val="lowerRoman"/>
      <w:lvlText w:val="%3"/>
      <w:lvlJc w:val="left"/>
      <w:pPr>
        <w:ind w:left="215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3" w:tplc="37FA0534">
      <w:start w:val="1"/>
      <w:numFmt w:val="decimal"/>
      <w:lvlText w:val="%4"/>
      <w:lvlJc w:val="left"/>
      <w:pPr>
        <w:ind w:left="287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4" w:tplc="0A14DE6C">
      <w:start w:val="1"/>
      <w:numFmt w:val="lowerLetter"/>
      <w:lvlText w:val="%5"/>
      <w:lvlJc w:val="left"/>
      <w:pPr>
        <w:ind w:left="359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5" w:tplc="942CD918">
      <w:start w:val="1"/>
      <w:numFmt w:val="lowerRoman"/>
      <w:lvlText w:val="%6"/>
      <w:lvlJc w:val="left"/>
      <w:pPr>
        <w:ind w:left="431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6" w:tplc="14DEE4FA">
      <w:start w:val="1"/>
      <w:numFmt w:val="decimal"/>
      <w:lvlText w:val="%7"/>
      <w:lvlJc w:val="left"/>
      <w:pPr>
        <w:ind w:left="503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7" w:tplc="DEFC2232">
      <w:start w:val="1"/>
      <w:numFmt w:val="lowerLetter"/>
      <w:lvlText w:val="%8"/>
      <w:lvlJc w:val="left"/>
      <w:pPr>
        <w:ind w:left="575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8" w:tplc="4D065428">
      <w:start w:val="1"/>
      <w:numFmt w:val="lowerRoman"/>
      <w:lvlText w:val="%9"/>
      <w:lvlJc w:val="left"/>
      <w:pPr>
        <w:ind w:left="647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abstractNum>
  <w:abstractNum w:abstractNumId="11" w15:restartNumberingAfterBreak="0">
    <w:nsid w:val="72E642A8"/>
    <w:multiLevelType w:val="hybridMultilevel"/>
    <w:tmpl w:val="ADEA951C"/>
    <w:lvl w:ilvl="0" w:tplc="EA1261E4">
      <w:start w:val="1"/>
      <w:numFmt w:val="lowerLetter"/>
      <w:lvlText w:val="%1."/>
      <w:lvlJc w:val="left"/>
      <w:pPr>
        <w:ind w:left="701"/>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1" w:tplc="CBD2D5F2">
      <w:start w:val="1"/>
      <w:numFmt w:val="lowerLetter"/>
      <w:lvlText w:val="%2"/>
      <w:lvlJc w:val="left"/>
      <w:pPr>
        <w:ind w:left="143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2" w:tplc="3C0279D6">
      <w:start w:val="1"/>
      <w:numFmt w:val="lowerRoman"/>
      <w:lvlText w:val="%3"/>
      <w:lvlJc w:val="left"/>
      <w:pPr>
        <w:ind w:left="215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3" w:tplc="6FC41756">
      <w:start w:val="1"/>
      <w:numFmt w:val="decimal"/>
      <w:lvlText w:val="%4"/>
      <w:lvlJc w:val="left"/>
      <w:pPr>
        <w:ind w:left="287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4" w:tplc="B8CCF324">
      <w:start w:val="1"/>
      <w:numFmt w:val="lowerLetter"/>
      <w:lvlText w:val="%5"/>
      <w:lvlJc w:val="left"/>
      <w:pPr>
        <w:ind w:left="359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5" w:tplc="64B25C16">
      <w:start w:val="1"/>
      <w:numFmt w:val="lowerRoman"/>
      <w:lvlText w:val="%6"/>
      <w:lvlJc w:val="left"/>
      <w:pPr>
        <w:ind w:left="431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6" w:tplc="47E4534C">
      <w:start w:val="1"/>
      <w:numFmt w:val="decimal"/>
      <w:lvlText w:val="%7"/>
      <w:lvlJc w:val="left"/>
      <w:pPr>
        <w:ind w:left="503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7" w:tplc="FB2A372E">
      <w:start w:val="1"/>
      <w:numFmt w:val="lowerLetter"/>
      <w:lvlText w:val="%8"/>
      <w:lvlJc w:val="left"/>
      <w:pPr>
        <w:ind w:left="575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8" w:tplc="66FAF738">
      <w:start w:val="1"/>
      <w:numFmt w:val="lowerRoman"/>
      <w:lvlText w:val="%9"/>
      <w:lvlJc w:val="left"/>
      <w:pPr>
        <w:ind w:left="647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abstractNum>
  <w:num w:numId="1" w16cid:durableId="1070466295">
    <w:abstractNumId w:val="9"/>
  </w:num>
  <w:num w:numId="2" w16cid:durableId="1166869341">
    <w:abstractNumId w:val="6"/>
  </w:num>
  <w:num w:numId="3" w16cid:durableId="1382948362">
    <w:abstractNumId w:val="8"/>
  </w:num>
  <w:num w:numId="4" w16cid:durableId="1743940954">
    <w:abstractNumId w:val="10"/>
  </w:num>
  <w:num w:numId="5" w16cid:durableId="1858929478">
    <w:abstractNumId w:val="4"/>
  </w:num>
  <w:num w:numId="6" w16cid:durableId="1916355846">
    <w:abstractNumId w:val="11"/>
  </w:num>
  <w:num w:numId="7" w16cid:durableId="2041201697">
    <w:abstractNumId w:val="1"/>
  </w:num>
  <w:num w:numId="8" w16cid:durableId="22557636">
    <w:abstractNumId w:val="2"/>
  </w:num>
  <w:num w:numId="9" w16cid:durableId="265505606">
    <w:abstractNumId w:val="0"/>
  </w:num>
  <w:num w:numId="10" w16cid:durableId="341009481">
    <w:abstractNumId w:val="3"/>
  </w:num>
  <w:num w:numId="11" w16cid:durableId="611058044">
    <w:abstractNumId w:val="7"/>
  </w:num>
  <w:num w:numId="12" w16cid:durableId="98076603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477F4"/>
    <w:rsid w:val="0003170E"/>
    <w:rsid w:val="000620DA"/>
    <w:rsid w:val="00084DEA"/>
    <w:rsid w:val="00095057"/>
    <w:rsid w:val="000B0BA8"/>
    <w:rsid w:val="000B3CD8"/>
    <w:rsid w:val="000C5CAC"/>
    <w:rsid w:val="000D510A"/>
    <w:rsid w:val="000D792F"/>
    <w:rsid w:val="000E7825"/>
    <w:rsid w:val="001068E8"/>
    <w:rsid w:val="001101DC"/>
    <w:rsid w:val="00121DC7"/>
    <w:rsid w:val="00141EA3"/>
    <w:rsid w:val="00145BAD"/>
    <w:rsid w:val="00164687"/>
    <w:rsid w:val="00170468"/>
    <w:rsid w:val="001723E8"/>
    <w:rsid w:val="0017501F"/>
    <w:rsid w:val="001A1765"/>
    <w:rsid w:val="001E05BF"/>
    <w:rsid w:val="001F6384"/>
    <w:rsid w:val="00223AE9"/>
    <w:rsid w:val="00230D6C"/>
    <w:rsid w:val="0026508B"/>
    <w:rsid w:val="002A26F0"/>
    <w:rsid w:val="002B3C4D"/>
    <w:rsid w:val="002C4B2E"/>
    <w:rsid w:val="002D2042"/>
    <w:rsid w:val="002F180F"/>
    <w:rsid w:val="002F341D"/>
    <w:rsid w:val="002F7DE5"/>
    <w:rsid w:val="00313A15"/>
    <w:rsid w:val="00322A24"/>
    <w:rsid w:val="00326B58"/>
    <w:rsid w:val="00332599"/>
    <w:rsid w:val="003477E3"/>
    <w:rsid w:val="00362929"/>
    <w:rsid w:val="00377969"/>
    <w:rsid w:val="00391CCF"/>
    <w:rsid w:val="00393659"/>
    <w:rsid w:val="003A62C1"/>
    <w:rsid w:val="003A6620"/>
    <w:rsid w:val="003C62C0"/>
    <w:rsid w:val="003D2CDC"/>
    <w:rsid w:val="003D3C42"/>
    <w:rsid w:val="00400A50"/>
    <w:rsid w:val="00411FAF"/>
    <w:rsid w:val="00436CD3"/>
    <w:rsid w:val="004440CB"/>
    <w:rsid w:val="00464625"/>
    <w:rsid w:val="00484781"/>
    <w:rsid w:val="004B175C"/>
    <w:rsid w:val="004C54EA"/>
    <w:rsid w:val="004E1134"/>
    <w:rsid w:val="004E5481"/>
    <w:rsid w:val="00503096"/>
    <w:rsid w:val="00504594"/>
    <w:rsid w:val="005477F4"/>
    <w:rsid w:val="00554520"/>
    <w:rsid w:val="00563266"/>
    <w:rsid w:val="00584987"/>
    <w:rsid w:val="005A10FF"/>
    <w:rsid w:val="005A458B"/>
    <w:rsid w:val="00620148"/>
    <w:rsid w:val="00621764"/>
    <w:rsid w:val="00642D2C"/>
    <w:rsid w:val="00650F50"/>
    <w:rsid w:val="0065123D"/>
    <w:rsid w:val="00654075"/>
    <w:rsid w:val="006C2275"/>
    <w:rsid w:val="006C5743"/>
    <w:rsid w:val="006D5DBC"/>
    <w:rsid w:val="006E3916"/>
    <w:rsid w:val="006E6B2B"/>
    <w:rsid w:val="0070226A"/>
    <w:rsid w:val="0071376D"/>
    <w:rsid w:val="007147E0"/>
    <w:rsid w:val="007433D3"/>
    <w:rsid w:val="00756B63"/>
    <w:rsid w:val="00765AE8"/>
    <w:rsid w:val="0077225D"/>
    <w:rsid w:val="007757BA"/>
    <w:rsid w:val="00777FD6"/>
    <w:rsid w:val="00794D49"/>
    <w:rsid w:val="007B2619"/>
    <w:rsid w:val="007D4B14"/>
    <w:rsid w:val="007E4024"/>
    <w:rsid w:val="008039E7"/>
    <w:rsid w:val="008225A4"/>
    <w:rsid w:val="00822A60"/>
    <w:rsid w:val="00853EA7"/>
    <w:rsid w:val="008543FE"/>
    <w:rsid w:val="00873FE4"/>
    <w:rsid w:val="00881EE0"/>
    <w:rsid w:val="008A20BD"/>
    <w:rsid w:val="008A5634"/>
    <w:rsid w:val="008B5E06"/>
    <w:rsid w:val="008C3E32"/>
    <w:rsid w:val="008D28C8"/>
    <w:rsid w:val="008D4395"/>
    <w:rsid w:val="008E03F0"/>
    <w:rsid w:val="008F23B5"/>
    <w:rsid w:val="008F7ECE"/>
    <w:rsid w:val="00901B37"/>
    <w:rsid w:val="00921E25"/>
    <w:rsid w:val="009304B0"/>
    <w:rsid w:val="00930DD7"/>
    <w:rsid w:val="00954BE5"/>
    <w:rsid w:val="00973DEF"/>
    <w:rsid w:val="0098309D"/>
    <w:rsid w:val="009C5896"/>
    <w:rsid w:val="009E217C"/>
    <w:rsid w:val="009F569C"/>
    <w:rsid w:val="00A02158"/>
    <w:rsid w:val="00A15024"/>
    <w:rsid w:val="00A17F99"/>
    <w:rsid w:val="00A24992"/>
    <w:rsid w:val="00A328DB"/>
    <w:rsid w:val="00A54D21"/>
    <w:rsid w:val="00A91193"/>
    <w:rsid w:val="00A95426"/>
    <w:rsid w:val="00AA0F76"/>
    <w:rsid w:val="00AC4B88"/>
    <w:rsid w:val="00AC6810"/>
    <w:rsid w:val="00AD6919"/>
    <w:rsid w:val="00AE5103"/>
    <w:rsid w:val="00AF2B17"/>
    <w:rsid w:val="00B01BC5"/>
    <w:rsid w:val="00B366E0"/>
    <w:rsid w:val="00BF1829"/>
    <w:rsid w:val="00C07ADF"/>
    <w:rsid w:val="00C2518F"/>
    <w:rsid w:val="00C25724"/>
    <w:rsid w:val="00C44FD1"/>
    <w:rsid w:val="00C7791B"/>
    <w:rsid w:val="00CA1816"/>
    <w:rsid w:val="00CB3F91"/>
    <w:rsid w:val="00CC18B6"/>
    <w:rsid w:val="00D1123D"/>
    <w:rsid w:val="00D30F95"/>
    <w:rsid w:val="00D379F8"/>
    <w:rsid w:val="00D60F13"/>
    <w:rsid w:val="00D81D41"/>
    <w:rsid w:val="00DC1F55"/>
    <w:rsid w:val="00DC78A1"/>
    <w:rsid w:val="00DD6B09"/>
    <w:rsid w:val="00E26463"/>
    <w:rsid w:val="00E30480"/>
    <w:rsid w:val="00E52A66"/>
    <w:rsid w:val="00E6146B"/>
    <w:rsid w:val="00E67B29"/>
    <w:rsid w:val="00EC0268"/>
    <w:rsid w:val="00EF13DA"/>
    <w:rsid w:val="00F31FCE"/>
    <w:rsid w:val="00F61573"/>
    <w:rsid w:val="00F66C6D"/>
    <w:rsid w:val="00F719B6"/>
    <w:rsid w:val="00F76A51"/>
    <w:rsid w:val="00F90E98"/>
    <w:rsid w:val="00FA547E"/>
    <w:rsid w:val="00FD5C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716000"/>
  <w15:docId w15:val="{E63D0E25-1250-4C14-A7A4-898D770739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4" w:line="269" w:lineRule="auto"/>
      <w:ind w:left="10" w:right="67" w:hanging="10"/>
    </w:pPr>
    <w:rPr>
      <w:rFonts w:ascii="Times New Roman" w:eastAsia="Times New Roman" w:hAnsi="Times New Roman" w:cs="Times New Roman"/>
      <w:color w:val="000000"/>
      <w:sz w:val="23"/>
    </w:rPr>
  </w:style>
  <w:style w:type="paragraph" w:styleId="Heading1">
    <w:name w:val="heading 1"/>
    <w:next w:val="Normal"/>
    <w:link w:val="Heading1Char"/>
    <w:uiPriority w:val="9"/>
    <w:qFormat/>
    <w:pPr>
      <w:keepNext/>
      <w:keepLines/>
      <w:numPr>
        <w:numId w:val="12"/>
      </w:numPr>
      <w:spacing w:after="84" w:line="259" w:lineRule="auto"/>
      <w:ind w:left="10" w:hanging="10"/>
      <w:outlineLvl w:val="0"/>
    </w:pPr>
    <w:rPr>
      <w:rFonts w:ascii="Times New Roman" w:eastAsia="Times New Roman" w:hAnsi="Times New Roman" w:cs="Times New Roman"/>
      <w:color w:val="0F4761"/>
      <w:sz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Times New Roman" w:eastAsia="Times New Roman" w:hAnsi="Times New Roman" w:cs="Times New Roman"/>
      <w:color w:val="0F4761"/>
      <w:sz w:val="27"/>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jp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jp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jp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image" Target="media/image2.jpg"/><Relationship Id="rId4" Type="http://schemas.openxmlformats.org/officeDocument/2006/relationships/customXml" Target="../customXml/item4.xml"/><Relationship Id="rId9" Type="http://schemas.openxmlformats.org/officeDocument/2006/relationships/image" Target="media/image1.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AF7A81DB2712C44963F24CDB781C727" ma:contentTypeVersion="5" ma:contentTypeDescription="Create a new document." ma:contentTypeScope="" ma:versionID="ef467671b99180ab52468d3c16d9ebc6">
  <xsd:schema xmlns:xsd="http://www.w3.org/2001/XMLSchema" xmlns:xs="http://www.w3.org/2001/XMLSchema" xmlns:p="http://schemas.microsoft.com/office/2006/metadata/properties" xmlns:ns3="c1d1778d-a818-455a-8cd4-46a2d86b45f1" targetNamespace="http://schemas.microsoft.com/office/2006/metadata/properties" ma:root="true" ma:fieldsID="2f066275d7b1eed4205147493345b90d" ns3:_="">
    <xsd:import namespace="c1d1778d-a818-455a-8cd4-46a2d86b45f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1d1778d-a818-455a-8cd4-46a2d86b45f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c1d1778d-a818-455a-8cd4-46a2d86b45f1"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45B377-B1FF-4EA1-BE5F-C24ABBED34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1d1778d-a818-455a-8cd4-46a2d86b45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BA2E35B-EB47-421E-9332-C172E10674C8}">
  <ds:schemaRefs>
    <ds:schemaRef ds:uri="http://schemas.microsoft.com/sharepoint/v3/contenttype/forms"/>
  </ds:schemaRefs>
</ds:datastoreItem>
</file>

<file path=customXml/itemProps3.xml><?xml version="1.0" encoding="utf-8"?>
<ds:datastoreItem xmlns:ds="http://schemas.openxmlformats.org/officeDocument/2006/customXml" ds:itemID="{6FC7EF2D-A86E-4B49-831C-21CD66D51254}">
  <ds:schemaRefs>
    <ds:schemaRef ds:uri="http://schemas.microsoft.com/office/2006/metadata/properties"/>
    <ds:schemaRef ds:uri="http://schemas.microsoft.com/office/infopath/2007/PartnerControls"/>
    <ds:schemaRef ds:uri="c1d1778d-a818-455a-8cd4-46a2d86b45f1"/>
  </ds:schemaRefs>
</ds:datastoreItem>
</file>

<file path=customXml/itemProps4.xml><?xml version="1.0" encoding="utf-8"?>
<ds:datastoreItem xmlns:ds="http://schemas.openxmlformats.org/officeDocument/2006/customXml" ds:itemID="{D07CE63D-A082-4715-89BA-3909FB338D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2620</Words>
  <Characters>14935</Characters>
  <Application>Microsoft Office Word</Application>
  <DocSecurity>0</DocSecurity>
  <Lines>124</Lines>
  <Paragraphs>35</Paragraphs>
  <ScaleCrop>false</ScaleCrop>
  <Company/>
  <LinksUpToDate>false</LinksUpToDate>
  <CharactersWithSpaces>17520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Microsoft Word - CASE STUDY REPORT</dc:title>
  <dc:subject/>
  <dc:creator>irene baaba quagraine</dc:creator>
  <cp:keywords/>
  <cp:lastModifiedBy>Irene Baaba Quagraine (2434408)</cp:lastModifiedBy>
  <cp:revision>2</cp:revision>
  <dcterms:created xsi:type="dcterms:W3CDTF">2026-06-28T12:49:00Z</dcterms:created>
  <dcterms:modified xsi:type="dcterms:W3CDTF">2026-06-28T12:49:00Z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0x0101007AF7A81DB2712C44963F24CDB781C727</vt:lpwstr>
  </property>
</Properties>
</file>