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F2E23" w:rsidRDefault="000A768F">
      <w:pPr>
        <w:jc w:val="center"/>
      </w:pPr>
      <w:r>
        <w:rPr>
          <w:noProof/>
          <w:lang w:val="en-US" w:eastAsia="en-US"/>
        </w:rPr>
        <w:drawing>
          <wp:inline distT="114300" distB="114300" distL="114300" distR="114300">
            <wp:extent cx="2000250" cy="685800"/>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2000250" cy="685800"/>
                    </a:xfrm>
                    <a:prstGeom prst="rect">
                      <a:avLst/>
                    </a:prstGeom>
                    <a:ln/>
                  </pic:spPr>
                </pic:pic>
              </a:graphicData>
            </a:graphic>
          </wp:inline>
        </w:drawing>
      </w:r>
    </w:p>
    <w:p w:rsidR="00FF2E23" w:rsidRDefault="00FF2E23">
      <w:pPr>
        <w:jc w:val="center"/>
      </w:pPr>
    </w:p>
    <w:p w:rsidR="00FF2E23" w:rsidRDefault="00FF2E23">
      <w:pPr>
        <w:jc w:val="center"/>
        <w:rPr>
          <w:b/>
          <w:sz w:val="36"/>
          <w:szCs w:val="36"/>
        </w:rPr>
      </w:pPr>
    </w:p>
    <w:p w:rsidR="00FF2E23" w:rsidRDefault="000A768F">
      <w:pPr>
        <w:jc w:val="center"/>
        <w:rPr>
          <w:b/>
          <w:sz w:val="36"/>
          <w:szCs w:val="36"/>
        </w:rPr>
      </w:pPr>
      <w:r>
        <w:rPr>
          <w:b/>
          <w:sz w:val="36"/>
          <w:szCs w:val="36"/>
        </w:rPr>
        <w:t>LCMB7023: HUMAN CAPITAL MANAGEMENT</w:t>
      </w:r>
    </w:p>
    <w:p w:rsidR="00FF2E23" w:rsidRDefault="000A768F">
      <w:pPr>
        <w:jc w:val="center"/>
        <w:rPr>
          <w:b/>
          <w:sz w:val="36"/>
          <w:szCs w:val="36"/>
        </w:rPr>
      </w:pPr>
      <w:r>
        <w:rPr>
          <w:b/>
          <w:sz w:val="36"/>
          <w:szCs w:val="36"/>
        </w:rPr>
        <w:t>ASSESSMENT COMPONENT 1: INDIVIDUAL REPORT</w:t>
      </w:r>
    </w:p>
    <w:p w:rsidR="00FF2E23" w:rsidRDefault="00FF2E23">
      <w:pPr>
        <w:jc w:val="center"/>
        <w:rPr>
          <w:b/>
          <w:sz w:val="36"/>
          <w:szCs w:val="36"/>
        </w:rPr>
      </w:pPr>
    </w:p>
    <w:p w:rsidR="00FF2E23" w:rsidRDefault="000A768F">
      <w:pPr>
        <w:jc w:val="center"/>
        <w:rPr>
          <w:b/>
          <w:sz w:val="36"/>
          <w:szCs w:val="36"/>
        </w:rPr>
      </w:pPr>
      <w:r>
        <w:rPr>
          <w:b/>
          <w:sz w:val="36"/>
          <w:szCs w:val="36"/>
        </w:rPr>
        <w:t>THE INFLUENCE OF NATIONAL AND INTERNATIONAL LABOUR MARKETS ON HRM AND IHRM STRATEGIES</w:t>
      </w:r>
    </w:p>
    <w:p w:rsidR="00FF2E23" w:rsidRDefault="00FF2E23">
      <w:pPr>
        <w:rPr>
          <w:b/>
        </w:rPr>
      </w:pPr>
    </w:p>
    <w:p w:rsidR="00FF2E23" w:rsidRDefault="00FF2E23">
      <w:pPr>
        <w:jc w:val="center"/>
        <w:rPr>
          <w:b/>
        </w:rPr>
      </w:pPr>
    </w:p>
    <w:p w:rsidR="00FF2E23" w:rsidRDefault="00FF2E23">
      <w:pPr>
        <w:jc w:val="center"/>
        <w:rPr>
          <w:b/>
        </w:rPr>
      </w:pPr>
    </w:p>
    <w:p w:rsidR="00FF2E23" w:rsidRDefault="000A768F" w:rsidP="00CF1FCE">
      <w:pPr>
        <w:jc w:val="center"/>
        <w:rPr>
          <w:b/>
        </w:rPr>
      </w:pPr>
      <w:r>
        <w:rPr>
          <w:b/>
        </w:rPr>
        <w:t>MODULE LEADER:</w:t>
      </w:r>
      <w:r w:rsidR="00CF1FCE">
        <w:rPr>
          <w:b/>
        </w:rPr>
        <w:t xml:space="preserve"> </w:t>
      </w:r>
      <w:r w:rsidR="00CF1FCE" w:rsidRPr="00CF1FCE">
        <w:rPr>
          <w:b/>
          <w:szCs w:val="22"/>
        </w:rPr>
        <w:t>Ejike Udeogu</w:t>
      </w:r>
    </w:p>
    <w:p w:rsidR="00FF2E23" w:rsidRDefault="00FF2E23">
      <w:pPr>
        <w:jc w:val="center"/>
        <w:rPr>
          <w:b/>
        </w:rPr>
      </w:pPr>
    </w:p>
    <w:p w:rsidR="00FF2E23" w:rsidRDefault="000A768F">
      <w:pPr>
        <w:jc w:val="center"/>
        <w:rPr>
          <w:b/>
        </w:rPr>
      </w:pPr>
      <w:r>
        <w:rPr>
          <w:b/>
        </w:rPr>
        <w:t>STUDENT NAME:</w:t>
      </w:r>
      <w:r w:rsidR="00CF1FCE">
        <w:rPr>
          <w:b/>
        </w:rPr>
        <w:t xml:space="preserve"> Iyyapan Balakrishnan</w:t>
      </w:r>
    </w:p>
    <w:p w:rsidR="00FF2E23" w:rsidRDefault="000A768F">
      <w:pPr>
        <w:jc w:val="center"/>
        <w:rPr>
          <w:b/>
        </w:rPr>
      </w:pPr>
      <w:r>
        <w:rPr>
          <w:b/>
        </w:rPr>
        <w:t>STUDENT ID:</w:t>
      </w:r>
      <w:r w:rsidR="00CF1FCE">
        <w:rPr>
          <w:b/>
        </w:rPr>
        <w:t xml:space="preserve"> 2434791</w:t>
      </w:r>
    </w:p>
    <w:p w:rsidR="00FF2E23" w:rsidRDefault="000A768F">
      <w:pPr>
        <w:jc w:val="center"/>
      </w:pPr>
      <w:r>
        <w:rPr>
          <w:b/>
        </w:rPr>
        <w:t xml:space="preserve">SUBMISSION DATE: </w:t>
      </w:r>
      <w:r w:rsidR="00CF1FCE">
        <w:rPr>
          <w:b/>
        </w:rPr>
        <w:t>17</w:t>
      </w:r>
      <w:r w:rsidR="00CF1FCE" w:rsidRPr="00CF1FCE">
        <w:rPr>
          <w:b/>
          <w:vertAlign w:val="superscript"/>
        </w:rPr>
        <w:t>th</w:t>
      </w:r>
      <w:r w:rsidR="00CF1FCE">
        <w:rPr>
          <w:b/>
        </w:rPr>
        <w:t xml:space="preserve"> October 2025</w:t>
      </w:r>
      <w:bookmarkStart w:id="0" w:name="_GoBack"/>
      <w:bookmarkEnd w:id="0"/>
      <w:r>
        <w:br w:type="page"/>
      </w:r>
    </w:p>
    <w:p w:rsidR="00FF2E23" w:rsidRDefault="000A768F">
      <w:pPr>
        <w:jc w:val="center"/>
        <w:rPr>
          <w:b/>
          <w:sz w:val="28"/>
          <w:szCs w:val="28"/>
        </w:rPr>
      </w:pPr>
      <w:r>
        <w:rPr>
          <w:b/>
          <w:sz w:val="28"/>
          <w:szCs w:val="28"/>
        </w:rPr>
        <w:lastRenderedPageBreak/>
        <w:t>Table of Contents</w:t>
      </w:r>
    </w:p>
    <w:sdt>
      <w:sdtPr>
        <w:id w:val="-15831835"/>
        <w:docPartObj>
          <w:docPartGallery w:val="Table of Contents"/>
          <w:docPartUnique/>
        </w:docPartObj>
      </w:sdtPr>
      <w:sdtEndPr/>
      <w:sdtContent>
        <w:p w:rsidR="00FF2E23" w:rsidRDefault="000A768F">
          <w:pPr>
            <w:widowControl w:val="0"/>
            <w:tabs>
              <w:tab w:val="right" w:leader="dot" w:pos="12000"/>
            </w:tabs>
            <w:spacing w:before="60" w:after="0"/>
            <w:rPr>
              <w:b/>
              <w:color w:val="000000"/>
              <w:sz w:val="22"/>
              <w:szCs w:val="22"/>
            </w:rPr>
          </w:pPr>
          <w:r>
            <w:fldChar w:fldCharType="begin"/>
          </w:r>
          <w:r>
            <w:instrText xml:space="preserve"> TOC \h \u \z \t "Heading 1,1,Heading 2,2,Heading 3,3,Heading 4,4,Heading 5,5,Heading 6,6,"</w:instrText>
          </w:r>
          <w:r>
            <w:fldChar w:fldCharType="separate"/>
          </w:r>
          <w:hyperlink w:anchor="_heading=h.un6n7jgikpak">
            <w:r>
              <w:rPr>
                <w:color w:val="000000"/>
              </w:rPr>
              <w:t>1. Impacts of technological advancements on labour markets and their implications on HRM and IHRM strategies</w:t>
            </w:r>
            <w:r>
              <w:rPr>
                <w:color w:val="000000"/>
              </w:rPr>
              <w:tab/>
              <w:t>2</w:t>
            </w:r>
          </w:hyperlink>
        </w:p>
        <w:p w:rsidR="00FF2E23" w:rsidRDefault="0006722D">
          <w:pPr>
            <w:widowControl w:val="0"/>
            <w:tabs>
              <w:tab w:val="right" w:leader="dot" w:pos="12000"/>
            </w:tabs>
            <w:spacing w:before="60" w:after="0"/>
            <w:rPr>
              <w:b/>
              <w:color w:val="000000"/>
              <w:sz w:val="22"/>
              <w:szCs w:val="22"/>
            </w:rPr>
          </w:pPr>
          <w:hyperlink w:anchor="_heading=h.kqzndzr3h8ge">
            <w:r w:rsidR="000A768F">
              <w:rPr>
                <w:color w:val="000000"/>
              </w:rPr>
              <w:t>2. Key demographic and geopolitical factors influencing employment markets and challenges for HR professionals</w:t>
            </w:r>
            <w:r w:rsidR="000A768F">
              <w:rPr>
                <w:color w:val="000000"/>
              </w:rPr>
              <w:tab/>
              <w:t>4</w:t>
            </w:r>
          </w:hyperlink>
        </w:p>
        <w:p w:rsidR="00FF2E23" w:rsidRDefault="0006722D">
          <w:pPr>
            <w:widowControl w:val="0"/>
            <w:tabs>
              <w:tab w:val="right" w:leader="dot" w:pos="12000"/>
            </w:tabs>
            <w:spacing w:before="60" w:after="0"/>
            <w:rPr>
              <w:b/>
              <w:color w:val="000000"/>
              <w:sz w:val="22"/>
              <w:szCs w:val="22"/>
            </w:rPr>
          </w:pPr>
          <w:hyperlink w:anchor="_heading=h.egwijjg0v6ru">
            <w:r w:rsidR="000A768F">
              <w:rPr>
                <w:color w:val="000000"/>
              </w:rPr>
              <w:t>3. Ways of addressing persistent skills gaps and talent shortages in critical sectors</w:t>
            </w:r>
            <w:r w:rsidR="000A768F">
              <w:rPr>
                <w:color w:val="000000"/>
              </w:rPr>
              <w:tab/>
              <w:t>7</w:t>
            </w:r>
          </w:hyperlink>
        </w:p>
        <w:p w:rsidR="00FF2E23" w:rsidRDefault="0006722D">
          <w:pPr>
            <w:widowControl w:val="0"/>
            <w:tabs>
              <w:tab w:val="right" w:leader="dot" w:pos="12000"/>
            </w:tabs>
            <w:spacing w:before="60" w:after="0"/>
            <w:rPr>
              <w:b/>
              <w:color w:val="000000"/>
              <w:sz w:val="22"/>
              <w:szCs w:val="22"/>
            </w:rPr>
          </w:pPr>
          <w:hyperlink w:anchor="_heading=h.ep9yrii7ppt">
            <w:r w:rsidR="000A768F">
              <w:rPr>
                <w:color w:val="000000"/>
              </w:rPr>
              <w:t>4. Reflective Report</w:t>
            </w:r>
            <w:r w:rsidR="000A768F">
              <w:rPr>
                <w:color w:val="000000"/>
              </w:rPr>
              <w:tab/>
              <w:t>8</w:t>
            </w:r>
          </w:hyperlink>
        </w:p>
        <w:p w:rsidR="00FF2E23" w:rsidRDefault="0006722D">
          <w:pPr>
            <w:widowControl w:val="0"/>
            <w:tabs>
              <w:tab w:val="right" w:leader="dot" w:pos="12000"/>
            </w:tabs>
            <w:spacing w:before="60" w:after="0"/>
            <w:rPr>
              <w:b/>
              <w:color w:val="000000"/>
              <w:sz w:val="22"/>
              <w:szCs w:val="22"/>
            </w:rPr>
          </w:pPr>
          <w:hyperlink w:anchor="_heading=h.7jp0138eif3">
            <w:r w:rsidR="000A768F">
              <w:rPr>
                <w:color w:val="000000"/>
              </w:rPr>
              <w:t>References</w:t>
            </w:r>
            <w:r w:rsidR="000A768F">
              <w:rPr>
                <w:color w:val="000000"/>
              </w:rPr>
              <w:tab/>
              <w:t>14</w:t>
            </w:r>
          </w:hyperlink>
          <w:r w:rsidR="000A768F">
            <w:fldChar w:fldCharType="end"/>
          </w:r>
        </w:p>
      </w:sdtContent>
    </w:sdt>
    <w:p w:rsidR="00FF2E23" w:rsidRDefault="00FF2E23"/>
    <w:p w:rsidR="00FF2E23" w:rsidRDefault="000A768F">
      <w:pPr>
        <w:jc w:val="center"/>
        <w:rPr>
          <w:b/>
          <w:sz w:val="28"/>
          <w:szCs w:val="28"/>
        </w:rPr>
      </w:pPr>
      <w:r>
        <w:rPr>
          <w:b/>
          <w:sz w:val="28"/>
          <w:szCs w:val="28"/>
        </w:rPr>
        <w:t>List of Figures</w:t>
      </w:r>
    </w:p>
    <w:sdt>
      <w:sdtPr>
        <w:id w:val="-897344914"/>
        <w:docPartObj>
          <w:docPartGallery w:val="Table of Contents"/>
          <w:docPartUnique/>
        </w:docPartObj>
      </w:sdtPr>
      <w:sdtEndPr/>
      <w:sdtContent>
        <w:p w:rsidR="00FF2E23" w:rsidRDefault="000A768F">
          <w:pPr>
            <w:pBdr>
              <w:top w:val="nil"/>
              <w:left w:val="nil"/>
              <w:bottom w:val="nil"/>
              <w:right w:val="nil"/>
              <w:between w:val="nil"/>
            </w:pBdr>
            <w:tabs>
              <w:tab w:val="right" w:pos="9019"/>
            </w:tabs>
            <w:spacing w:after="0"/>
            <w:rPr>
              <w:color w:val="000000"/>
            </w:rPr>
          </w:pPr>
          <w:r>
            <w:fldChar w:fldCharType="begin"/>
          </w:r>
          <w:r>
            <w:instrText xml:space="preserve"> TOC \h \u \z \t "Heading 1,1,Heading 2,2,Heading 3,3,Heading 4,4,Heading 5,5,Heading 6,6,"</w:instrText>
          </w:r>
          <w:r>
            <w:fldChar w:fldCharType="separate"/>
          </w:r>
          <w:hyperlink w:anchor="_heading=h.u6jtp5c6bd5l">
            <w:r>
              <w:rPr>
                <w:color w:val="000000"/>
              </w:rPr>
              <w:t>Figure 1: High Automatability Workers’ Share by OECD Countries</w:t>
            </w:r>
            <w:r>
              <w:rPr>
                <w:color w:val="000000"/>
              </w:rPr>
              <w:tab/>
              <w:t>2</w:t>
            </w:r>
          </w:hyperlink>
        </w:p>
        <w:p w:rsidR="00FF2E23" w:rsidRDefault="0006722D">
          <w:pPr>
            <w:pBdr>
              <w:top w:val="nil"/>
              <w:left w:val="nil"/>
              <w:bottom w:val="nil"/>
              <w:right w:val="nil"/>
              <w:between w:val="nil"/>
            </w:pBdr>
            <w:tabs>
              <w:tab w:val="right" w:pos="9019"/>
            </w:tabs>
            <w:spacing w:after="0"/>
            <w:rPr>
              <w:color w:val="000000"/>
            </w:rPr>
          </w:pPr>
          <w:hyperlink w:anchor="_heading=h.shhd3qn065q">
            <w:r w:rsidR="000A768F">
              <w:rPr>
                <w:color w:val="000000"/>
              </w:rPr>
              <w:t>Figure 2: Key Statistics of Current Digital Transformation Scenario</w:t>
            </w:r>
            <w:r w:rsidR="000A768F">
              <w:rPr>
                <w:color w:val="000000"/>
              </w:rPr>
              <w:tab/>
              <w:t>3</w:t>
            </w:r>
          </w:hyperlink>
        </w:p>
        <w:p w:rsidR="00FF2E23" w:rsidRDefault="0006722D">
          <w:pPr>
            <w:pBdr>
              <w:top w:val="nil"/>
              <w:left w:val="nil"/>
              <w:bottom w:val="nil"/>
              <w:right w:val="nil"/>
              <w:between w:val="nil"/>
            </w:pBdr>
            <w:tabs>
              <w:tab w:val="right" w:pos="9019"/>
            </w:tabs>
            <w:spacing w:after="0"/>
            <w:rPr>
              <w:color w:val="000000"/>
            </w:rPr>
          </w:pPr>
          <w:hyperlink w:anchor="_heading=h.rt62c1xn8t99">
            <w:r w:rsidR="000A768F">
              <w:rPr>
                <w:color w:val="000000"/>
              </w:rPr>
              <w:t>Figure 3: Information-processing Skill Trends by Age</w:t>
            </w:r>
            <w:r w:rsidR="000A768F">
              <w:rPr>
                <w:color w:val="000000"/>
              </w:rPr>
              <w:tab/>
              <w:t>5</w:t>
            </w:r>
          </w:hyperlink>
        </w:p>
        <w:p w:rsidR="00FF2E23" w:rsidRDefault="0006722D">
          <w:pPr>
            <w:pBdr>
              <w:top w:val="nil"/>
              <w:left w:val="nil"/>
              <w:bottom w:val="nil"/>
              <w:right w:val="nil"/>
              <w:between w:val="nil"/>
            </w:pBdr>
            <w:tabs>
              <w:tab w:val="right" w:pos="9019"/>
            </w:tabs>
            <w:spacing w:after="0"/>
            <w:rPr>
              <w:color w:val="000000"/>
            </w:rPr>
          </w:pPr>
          <w:hyperlink w:anchor="_heading=h.dr1hp0mwjhzz">
            <w:r w:rsidR="000A768F">
              <w:rPr>
                <w:color w:val="000000"/>
              </w:rPr>
              <w:t>Figure 4: Gibbs Reflective Cycle</w:t>
            </w:r>
            <w:r w:rsidR="000A768F">
              <w:rPr>
                <w:color w:val="000000"/>
              </w:rPr>
              <w:tab/>
              <w:t>9</w:t>
            </w:r>
          </w:hyperlink>
        </w:p>
        <w:p w:rsidR="00FF2E23" w:rsidRDefault="000A768F">
          <w:r>
            <w:fldChar w:fldCharType="end"/>
          </w:r>
        </w:p>
      </w:sdtContent>
    </w:sdt>
    <w:p w:rsidR="00FF2E23" w:rsidRDefault="000A768F">
      <w:pPr>
        <w:jc w:val="center"/>
        <w:rPr>
          <w:b/>
          <w:sz w:val="28"/>
          <w:szCs w:val="28"/>
        </w:rPr>
      </w:pPr>
      <w:r>
        <w:rPr>
          <w:b/>
          <w:sz w:val="28"/>
          <w:szCs w:val="28"/>
        </w:rPr>
        <w:t>List of Tables</w:t>
      </w:r>
    </w:p>
    <w:sdt>
      <w:sdtPr>
        <w:id w:val="293958820"/>
        <w:docPartObj>
          <w:docPartGallery w:val="Table of Contents"/>
          <w:docPartUnique/>
        </w:docPartObj>
      </w:sdtPr>
      <w:sdtEndPr/>
      <w:sdtContent>
        <w:p w:rsidR="00FF2E23" w:rsidRDefault="000A768F">
          <w:pPr>
            <w:pBdr>
              <w:top w:val="nil"/>
              <w:left w:val="nil"/>
              <w:bottom w:val="nil"/>
              <w:right w:val="nil"/>
              <w:between w:val="nil"/>
            </w:pBdr>
            <w:tabs>
              <w:tab w:val="right" w:pos="9019"/>
            </w:tabs>
            <w:spacing w:after="0"/>
            <w:rPr>
              <w:rFonts w:ascii="Cambria" w:eastAsia="Cambria" w:hAnsi="Cambria" w:cs="Cambria"/>
              <w:color w:val="000000"/>
              <w:sz w:val="22"/>
              <w:szCs w:val="22"/>
            </w:rPr>
          </w:pPr>
          <w:r>
            <w:fldChar w:fldCharType="begin"/>
          </w:r>
          <w:r>
            <w:instrText xml:space="preserve"> TOC \h \u \z \t "Heading 1,1,Heading 2,2,Heading 3,3,Heading 4,4,Heading 5,5,Heading 6,6,"</w:instrText>
          </w:r>
          <w:r>
            <w:fldChar w:fldCharType="separate"/>
          </w:r>
          <w:hyperlink w:anchor="_heading=h.ltpx7nscnkh">
            <w:r>
              <w:rPr>
                <w:color w:val="000000"/>
              </w:rPr>
              <w:t>Table 1: Action Plan</w:t>
            </w:r>
            <w:r>
              <w:rPr>
                <w:color w:val="000000"/>
              </w:rPr>
              <w:tab/>
              <w:t>12</w:t>
            </w:r>
          </w:hyperlink>
          <w:r>
            <w:fldChar w:fldCharType="end"/>
          </w:r>
        </w:p>
      </w:sdtContent>
    </w:sdt>
    <w:p w:rsidR="00FF2E23" w:rsidRDefault="000A768F">
      <w:r>
        <w:br w:type="page"/>
      </w:r>
    </w:p>
    <w:p w:rsidR="00FF2E23" w:rsidRDefault="000A768F">
      <w:pPr>
        <w:pStyle w:val="Heading1"/>
      </w:pPr>
      <w:bookmarkStart w:id="1" w:name="_heading=h.un6n7jgikpak" w:colFirst="0" w:colLast="0"/>
      <w:bookmarkEnd w:id="1"/>
      <w:r>
        <w:lastRenderedPageBreak/>
        <w:t>1. Impacts of technological advancements on labour markets and their implications on HRM and IHRM strategies</w:t>
      </w:r>
    </w:p>
    <w:p w:rsidR="00FF2E23" w:rsidRDefault="000A768F">
      <w:r>
        <w:t>Technological change, specifically, generative AI, robotics and digital labour platforms are reconfiguring the quantity and quality of work. The macro analyses indicate that the small percentage of the workforce in every occupation is subject to automation, and new positions in AI oversight, data management, platform management and many others are increasing; whereas performance in each sector, skill level and location is not equal (Deliu and Olariu, 2024). To illustrate, according to OECD research, a significant share of jobs is vulnerable to automation, and surveys of companies show that many employers are concentrating on AI to enhance productivity and reduce staffing on the entry level (Arntz, Gregory and Zierahn, 2016).</w:t>
      </w:r>
    </w:p>
    <w:p w:rsidR="00FF2E23" w:rsidRDefault="000A768F">
      <w:pPr>
        <w:jc w:val="center"/>
      </w:pPr>
      <w:r>
        <w:rPr>
          <w:noProof/>
          <w:lang w:val="en-US" w:eastAsia="en-US"/>
        </w:rPr>
        <w:drawing>
          <wp:inline distT="114300" distB="114300" distL="114300" distR="114300">
            <wp:extent cx="4729163" cy="2851638"/>
            <wp:effectExtent l="12700" t="12700" r="12700" b="12700"/>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729163" cy="2851638"/>
                    </a:xfrm>
                    <a:prstGeom prst="rect">
                      <a:avLst/>
                    </a:prstGeom>
                    <a:ln w="12700">
                      <a:solidFill>
                        <a:srgbClr val="000000"/>
                      </a:solidFill>
                      <a:prstDash val="solid"/>
                    </a:ln>
                  </pic:spPr>
                </pic:pic>
              </a:graphicData>
            </a:graphic>
          </wp:inline>
        </w:drawing>
      </w:r>
    </w:p>
    <w:p w:rsidR="00FF2E23" w:rsidRDefault="000A768F">
      <w:pPr>
        <w:jc w:val="center"/>
        <w:rPr>
          <w:b/>
        </w:rPr>
      </w:pPr>
      <w:bookmarkStart w:id="2" w:name="_heading=h.u6jtp5c6bd5l" w:colFirst="0" w:colLast="0"/>
      <w:bookmarkEnd w:id="2"/>
      <w:r>
        <w:rPr>
          <w:b/>
        </w:rPr>
        <w:t>Figure 1: High Automatability Workers’ Share by OECD Countries</w:t>
      </w:r>
    </w:p>
    <w:p w:rsidR="00FF2E23" w:rsidRDefault="000A768F">
      <w:pPr>
        <w:jc w:val="center"/>
      </w:pPr>
      <w:r>
        <w:t>(Source: Arntz, Gregory and Zierahn, 2016)</w:t>
      </w:r>
    </w:p>
    <w:p w:rsidR="00FF2E23" w:rsidRDefault="000A768F">
      <w:pPr>
        <w:jc w:val="center"/>
        <w:rPr>
          <w:b/>
        </w:rPr>
      </w:pPr>
      <w:r>
        <w:rPr>
          <w:b/>
          <w:noProof/>
          <w:lang w:val="en-US" w:eastAsia="en-US"/>
        </w:rPr>
        <w:lastRenderedPageBreak/>
        <w:drawing>
          <wp:inline distT="114300" distB="114300" distL="114300" distR="114300">
            <wp:extent cx="4712666" cy="5643563"/>
            <wp:effectExtent l="12700" t="12700" r="12700" b="1270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712666" cy="5643563"/>
                    </a:xfrm>
                    <a:prstGeom prst="rect">
                      <a:avLst/>
                    </a:prstGeom>
                    <a:ln w="12700">
                      <a:solidFill>
                        <a:srgbClr val="000000"/>
                      </a:solidFill>
                      <a:prstDash val="solid"/>
                    </a:ln>
                  </pic:spPr>
                </pic:pic>
              </a:graphicData>
            </a:graphic>
          </wp:inline>
        </w:drawing>
      </w:r>
    </w:p>
    <w:p w:rsidR="00FF2E23" w:rsidRDefault="000A768F">
      <w:pPr>
        <w:jc w:val="center"/>
        <w:rPr>
          <w:b/>
        </w:rPr>
      </w:pPr>
      <w:bookmarkStart w:id="3" w:name="_heading=h.shhd3qn065q" w:colFirst="0" w:colLast="0"/>
      <w:bookmarkEnd w:id="3"/>
      <w:r>
        <w:rPr>
          <w:b/>
        </w:rPr>
        <w:t>Figure 2: Key Statistics of Current Digital Transformation Scenario</w:t>
      </w:r>
    </w:p>
    <w:p w:rsidR="00FF2E23" w:rsidRDefault="000A768F">
      <w:pPr>
        <w:jc w:val="center"/>
      </w:pPr>
      <w:r>
        <w:t xml:space="preserve">(Source: Mayer </w:t>
      </w:r>
      <w:r>
        <w:rPr>
          <w:i/>
        </w:rPr>
        <w:t>et al.</w:t>
      </w:r>
      <w:r>
        <w:t>, 2025)</w:t>
      </w:r>
    </w:p>
    <w:p w:rsidR="00FF2E23" w:rsidRDefault="000A768F">
      <w:r>
        <w:t xml:space="preserve">According to the concept of </w:t>
      </w:r>
      <w:r>
        <w:rPr>
          <w:b/>
          <w:i/>
        </w:rPr>
        <w:t>Skill-Biased Technological Change (SBTC)</w:t>
      </w:r>
      <w:r>
        <w:t xml:space="preserve">, the technological revolution is boosting the demand for more skilled cognitive tasks and substituting regular work (Nogueira and Madaleno, 2023). The </w:t>
      </w:r>
      <w:r>
        <w:rPr>
          <w:b/>
          <w:i/>
        </w:rPr>
        <w:t>Human Capital Theory</w:t>
      </w:r>
      <w:r>
        <w:t xml:space="preserve"> is concerned with investing in the skills of employees to achieve payoff on technology (CIPD, 2017). As the HRM/IHRM suggests, </w:t>
      </w:r>
      <w:r>
        <w:rPr>
          <w:b/>
          <w:i/>
        </w:rPr>
        <w:t>Strategic Human Resource Management (SHRM)</w:t>
      </w:r>
      <w:r>
        <w:t xml:space="preserve"> and </w:t>
      </w:r>
      <w:r>
        <w:rPr>
          <w:b/>
          <w:i/>
        </w:rPr>
        <w:t>Resource-Based View (RBV)</w:t>
      </w:r>
      <w:r>
        <w:t xml:space="preserve"> approaches presuppose that organisations must treat the resources of their personnel as strategic tools that must be reorganised in the light of the proliferation of technologies (Gerhart and Feng, 2021). </w:t>
      </w:r>
    </w:p>
    <w:p w:rsidR="00FF2E23" w:rsidRDefault="000A768F">
      <w:r>
        <w:lastRenderedPageBreak/>
        <w:t xml:space="preserve">Reskilling and lifelong learning are transformed into a key HR deliverable. HR must develop perpetual learning pathways, which are founded on micro-credentials, internal boot camps and integrate them with career ladders. The other challenge is cross-border credentialing and national education systems that IHRM also faces. </w:t>
      </w:r>
    </w:p>
    <w:p w:rsidR="00FF2E23" w:rsidRDefault="000A768F">
      <w:pPr>
        <w:rPr>
          <w:b/>
        </w:rPr>
      </w:pPr>
      <w:r>
        <w:rPr>
          <w:b/>
        </w:rPr>
        <w:t>Job redesign and task allocation:</w:t>
      </w:r>
    </w:p>
    <w:p w:rsidR="00FF2E23" w:rsidRDefault="000A768F">
      <w:r>
        <w:t xml:space="preserve">The HR should use human-AI teaming models and decide which ones are to be automated, which ones should have a human interface, and how to verify the outcomes of the algorithms. There are also such roles as AI-ethics officer or model steward that appear at the multi-national corporations. </w:t>
      </w:r>
    </w:p>
    <w:p w:rsidR="00FF2E23" w:rsidRDefault="000A768F">
      <w:pPr>
        <w:rPr>
          <w:b/>
        </w:rPr>
      </w:pPr>
      <w:r>
        <w:rPr>
          <w:b/>
        </w:rPr>
        <w:t>Talent sourcing &amp; flexible work:</w:t>
      </w:r>
    </w:p>
    <w:p w:rsidR="00FF2E23" w:rsidRDefault="000A768F">
      <w:r>
        <w:t xml:space="preserve">Digital platforms/Gig work provides a larger pool of creatives, but raises an issue of governance: worker classification, rights and cross-jurisdictional tax/benefits dilemmas to IHRM. HR must develop flexible contracts, vendor-governance policies, and platform-management policies. </w:t>
      </w:r>
    </w:p>
    <w:p w:rsidR="00FF2E23" w:rsidRDefault="000A768F">
      <w:pPr>
        <w:rPr>
          <w:b/>
        </w:rPr>
      </w:pPr>
      <w:r>
        <w:rPr>
          <w:b/>
        </w:rPr>
        <w:t>People analytics &amp; privacy:</w:t>
      </w:r>
    </w:p>
    <w:p w:rsidR="00FF2E23" w:rsidRDefault="000A768F">
      <w:r>
        <w:t xml:space="preserve">Data-based HR or people analytics is more applicable in a superior choice with respect to the workforce, yet it brings about more privacy, bias and compliance issues, especially in the IHRM, where national laws differ by country. HR must implement ethics and regulatory oversight in the analytics governance. </w:t>
      </w:r>
    </w:p>
    <w:p w:rsidR="00FF2E23" w:rsidRDefault="000A768F">
      <w:r>
        <w:t>Multinational employers are already using AI to screen and schedule, and simultaneously report the impacts of headcount on entry-level jobs, which results in the imperative to establish a balanced AI adoption and workforce policy (Bodea et al., 2024). Having socio-technical job design and a robust people-analytics governance, organisations which integrate strategic learning will be able to exploit the productivity benefits of technology and manage social and legal risks.</w:t>
      </w:r>
    </w:p>
    <w:p w:rsidR="00FF2E23" w:rsidRDefault="000A768F">
      <w:pPr>
        <w:pStyle w:val="Heading1"/>
      </w:pPr>
      <w:bookmarkStart w:id="4" w:name="_heading=h.kqzndzr3h8ge" w:colFirst="0" w:colLast="0"/>
      <w:bookmarkEnd w:id="4"/>
      <w:r>
        <w:t>2. Key demographic and geopolitical factors influencing employment markets and challenges for HR professionals</w:t>
      </w:r>
    </w:p>
    <w:p w:rsidR="00FF2E23" w:rsidRDefault="000A768F">
      <w:r>
        <w:t xml:space="preserve">Contemporary labour markets are influenced by two groups of forces: demographic forces, like ageing, cohort changes, and urbanisation; and geopolitical shocks, such as conflict, trade policy and migration. They both create structural shifts in labour </w:t>
      </w:r>
      <w:r>
        <w:lastRenderedPageBreak/>
        <w:t xml:space="preserve">supply, geographic skills and regulatory volatility, which present different HR/IHRM challenges. </w:t>
      </w:r>
    </w:p>
    <w:p w:rsidR="00FF2E23" w:rsidRDefault="000A768F">
      <w:pPr>
        <w:rPr>
          <w:b/>
        </w:rPr>
      </w:pPr>
      <w:r>
        <w:rPr>
          <w:b/>
        </w:rPr>
        <w:t xml:space="preserve">Demographics: </w:t>
      </w:r>
    </w:p>
    <w:p w:rsidR="00FF2E23" w:rsidRDefault="000A768F">
      <w:r>
        <w:t>Most developed economies are grappling with ageing labour forces and reduced population expansion, and OECD statistics indicate an increase in the number of older working-age people, but still indicate skill and gender gaps (OECD, 2025). This changes the demand towards policies that lengthen working lives, like flexible retirement, phased retirement, re-skilling older workers and escalates healthcare and pensions expenditure. At the same time, younger generations such as Gen Z take advantage of the market with new expectations, such as hybrid work, purpose that demand a different value proposition on the part of the employer.</w:t>
      </w:r>
    </w:p>
    <w:p w:rsidR="00FF2E23" w:rsidRDefault="000A768F">
      <w:pPr>
        <w:jc w:val="center"/>
      </w:pPr>
      <w:r>
        <w:rPr>
          <w:noProof/>
          <w:lang w:val="en-US" w:eastAsia="en-US"/>
        </w:rPr>
        <w:drawing>
          <wp:inline distT="114300" distB="114300" distL="114300" distR="114300">
            <wp:extent cx="4700455" cy="4216355"/>
            <wp:effectExtent l="12700" t="12700" r="12700" b="12700"/>
            <wp:docPr id="1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4700455" cy="4216355"/>
                    </a:xfrm>
                    <a:prstGeom prst="rect">
                      <a:avLst/>
                    </a:prstGeom>
                    <a:ln w="12700">
                      <a:solidFill>
                        <a:srgbClr val="000000"/>
                      </a:solidFill>
                      <a:prstDash val="solid"/>
                    </a:ln>
                  </pic:spPr>
                </pic:pic>
              </a:graphicData>
            </a:graphic>
          </wp:inline>
        </w:drawing>
      </w:r>
    </w:p>
    <w:p w:rsidR="00FF2E23" w:rsidRDefault="000A768F">
      <w:pPr>
        <w:jc w:val="center"/>
        <w:rPr>
          <w:b/>
        </w:rPr>
      </w:pPr>
      <w:bookmarkStart w:id="5" w:name="_heading=h.rt62c1xn8t99" w:colFirst="0" w:colLast="0"/>
      <w:bookmarkEnd w:id="5"/>
      <w:r>
        <w:rPr>
          <w:b/>
        </w:rPr>
        <w:t>Figure 3: Information-processing Skill Trends by Age</w:t>
      </w:r>
    </w:p>
    <w:p w:rsidR="00FF2E23" w:rsidRDefault="000A768F">
      <w:pPr>
        <w:jc w:val="center"/>
      </w:pPr>
      <w:r>
        <w:t>(Source: OECD, 2025)</w:t>
      </w:r>
    </w:p>
    <w:p w:rsidR="00FF2E23" w:rsidRDefault="000A768F">
      <w:pPr>
        <w:rPr>
          <w:b/>
        </w:rPr>
      </w:pPr>
      <w:r>
        <w:rPr>
          <w:b/>
        </w:rPr>
        <w:t xml:space="preserve">Geopolitical factors: </w:t>
      </w:r>
    </w:p>
    <w:p w:rsidR="00FF2E23" w:rsidRDefault="000A768F">
      <w:r>
        <w:lastRenderedPageBreak/>
        <w:t xml:space="preserve">The disruption of the labour market manifested by migration flows, sectoral contraction/expansion and regulatory fragmentation in armed conflicts like in Ukraine, trade conflicts, sanctions and supply chain shifting (Guenette, Kenworthy and Wheeler, 2022). As an illustration, the instability and war augment refugee movements and labour migration, change the labour supply at the local level and force the HR to handle integration, foreign qualification recognition, and trauma-informed support of the employees (Ospanov </w:t>
      </w:r>
      <w:r>
        <w:rPr>
          <w:i/>
        </w:rPr>
        <w:t>et al.,</w:t>
      </w:r>
      <w:r>
        <w:t xml:space="preserve"> 2025). Multinationals may be compelled by sanctions and changes in trade policies to furlough or reorganise regional business, as was the case with companies reorganising workforces due to economic costs.</w:t>
      </w:r>
    </w:p>
    <w:p w:rsidR="00FF2E23" w:rsidRDefault="000A768F">
      <w:pPr>
        <w:rPr>
          <w:b/>
        </w:rPr>
      </w:pPr>
      <w:r>
        <w:rPr>
          <w:b/>
        </w:rPr>
        <w:t>HR challenges:</w:t>
      </w:r>
    </w:p>
    <w:p w:rsidR="00FF2E23" w:rsidRDefault="000A768F">
      <w:pPr>
        <w:numPr>
          <w:ilvl w:val="0"/>
          <w:numId w:val="1"/>
        </w:numPr>
        <w:pBdr>
          <w:top w:val="nil"/>
          <w:left w:val="nil"/>
          <w:bottom w:val="nil"/>
          <w:right w:val="nil"/>
          <w:between w:val="nil"/>
        </w:pBdr>
        <w:spacing w:after="0"/>
      </w:pPr>
      <w:r>
        <w:rPr>
          <w:b/>
          <w:i/>
          <w:color w:val="000000"/>
        </w:rPr>
        <w:t>Planning the workforce in the uncertain environment</w:t>
      </w:r>
      <w:r>
        <w:rPr>
          <w:b/>
          <w:color w:val="000000"/>
        </w:rPr>
        <w:t xml:space="preserve">: </w:t>
      </w:r>
      <w:r>
        <w:rPr>
          <w:color w:val="000000"/>
        </w:rPr>
        <w:t>Under VUCA (Volatility, Uncertainty, Complexity, Ambiguity), HR should engage in scenario planning that involves utilising demographic and geopolitical scenarios to plan contingency hiring, redeployment, and movement across national boundaries (SHRM, 2024).</w:t>
      </w:r>
    </w:p>
    <w:p w:rsidR="00FF2E23" w:rsidRDefault="000A768F">
      <w:pPr>
        <w:numPr>
          <w:ilvl w:val="0"/>
          <w:numId w:val="1"/>
        </w:numPr>
        <w:pBdr>
          <w:top w:val="nil"/>
          <w:left w:val="nil"/>
          <w:bottom w:val="nil"/>
          <w:right w:val="nil"/>
          <w:between w:val="nil"/>
        </w:pBdr>
        <w:spacing w:before="0" w:after="0"/>
      </w:pPr>
      <w:r>
        <w:rPr>
          <w:b/>
          <w:i/>
          <w:color w:val="000000"/>
        </w:rPr>
        <w:t>Cross-border regulatory adherence</w:t>
      </w:r>
      <w:r>
        <w:rPr>
          <w:b/>
          <w:color w:val="000000"/>
        </w:rPr>
        <w:t>:</w:t>
      </w:r>
      <w:r>
        <w:rPr>
          <w:color w:val="000000"/>
        </w:rPr>
        <w:t xml:space="preserve"> IHRM has to negotiate between divergent labour legislations, immigration and social protection frameworks, which makes the global mobility programs and employee welfare policies challenging (Acosta, 2024).</w:t>
      </w:r>
    </w:p>
    <w:p w:rsidR="00FF2E23" w:rsidRDefault="000A768F">
      <w:pPr>
        <w:numPr>
          <w:ilvl w:val="0"/>
          <w:numId w:val="1"/>
        </w:numPr>
        <w:pBdr>
          <w:top w:val="nil"/>
          <w:left w:val="nil"/>
          <w:bottom w:val="nil"/>
          <w:right w:val="nil"/>
          <w:between w:val="nil"/>
        </w:pBdr>
        <w:spacing w:before="0"/>
      </w:pPr>
      <w:r>
        <w:rPr>
          <w:b/>
          <w:i/>
          <w:color w:val="000000"/>
        </w:rPr>
        <w:t>Diversity, Equity and Inclusion (DEI) issues</w:t>
      </w:r>
      <w:r>
        <w:rPr>
          <w:b/>
          <w:color w:val="000000"/>
        </w:rPr>
        <w:t>:</w:t>
      </w:r>
      <w:r>
        <w:rPr>
          <w:color w:val="000000"/>
        </w:rPr>
        <w:t xml:space="preserve"> Migration enhances workforce diversity, yet the HR manager needs to address the idea of credential recognition, language barriers and social integration, where specific onboarding, language support and mentoring can be offered (Ausaf and Khan, 2023).</w:t>
      </w:r>
    </w:p>
    <w:p w:rsidR="00FF2E23" w:rsidRDefault="000A768F">
      <w:r>
        <w:t xml:space="preserve">Organisations should employ models, like PESTLE analysis, to project the external forces, together with the Resource-Based View (RBV), to perceive human capital as being strategic. In reality, to cope with cross-border compliance, firms in the affected areas have utilised workforce redeployment, retraining, and local recruitment strategies and enhanced employee assistance and legal departments (Citilci and Akbalik, 2019; Gerhart and Feng, 2021). The Russian industrial realignment and furloughs are examples of how geopolitical strain may compel fast HR reactions (Lyrchikova and Gleb Stolyarov, 2025). Therefore, it can be noted that demographic and geopolitical forces generate a two-fold imperative to HR/IHRM. Companies need to develop inclusive and flexible workforce structures that expand the scope of workers </w:t>
      </w:r>
      <w:r>
        <w:lastRenderedPageBreak/>
        <w:t>and cope with cross-border complexity, and develop nimble planning and compliance to react to shocks.</w:t>
      </w:r>
    </w:p>
    <w:p w:rsidR="00FF2E23" w:rsidRDefault="000A768F">
      <w:pPr>
        <w:pStyle w:val="Heading1"/>
      </w:pPr>
      <w:bookmarkStart w:id="6" w:name="_heading=h.egwijjg0v6ru" w:colFirst="0" w:colLast="0"/>
      <w:bookmarkEnd w:id="6"/>
      <w:r>
        <w:t>3. Ways of addressing persistent skills gaps and talent shortages in critical sectors</w:t>
      </w:r>
    </w:p>
    <w:p w:rsidR="00FF2E23" w:rsidRDefault="000A768F">
      <w:r>
        <w:t xml:space="preserve">The sustained skills gaps necessitate multi-faceted strategic HR interventions, such as proactive supply-side investments in reskilling, apprenticeships, demand-side changes in job redesign, retention, and ecosystem relationships with education organisations, government. To enhance these areas, the following are the suggested strategies that organisations have been guided by: </w:t>
      </w:r>
    </w:p>
    <w:p w:rsidR="00FF2E23" w:rsidRDefault="000A768F">
      <w:pPr>
        <w:rPr>
          <w:b/>
        </w:rPr>
      </w:pPr>
      <w:r>
        <w:rPr>
          <w:b/>
        </w:rPr>
        <w:t>Diagnose precisely with data</w:t>
      </w:r>
    </w:p>
    <w:p w:rsidR="00FF2E23" w:rsidRDefault="000A768F">
      <w:r>
        <w:t xml:space="preserve">HRs should apply workforce analytics to map the existing skills, predict future requirements, which are scenario-based, and identify critical positions (Prima </w:t>
      </w:r>
      <w:r>
        <w:rPr>
          <w:i/>
        </w:rPr>
        <w:t>et al.,</w:t>
      </w:r>
      <w:r>
        <w:t xml:space="preserve"> 2024). Skills taxonomies and competency frameworks assist in the standardisation of assessment. This evidence-based diagnosis is used to direct specific interventions instead of random hiring.</w:t>
      </w:r>
    </w:p>
    <w:p w:rsidR="00FF2E23" w:rsidRDefault="000A768F">
      <w:pPr>
        <w:rPr>
          <w:b/>
        </w:rPr>
      </w:pPr>
      <w:r>
        <w:rPr>
          <w:b/>
        </w:rPr>
        <w:t>Build internal pipelines</w:t>
      </w:r>
    </w:p>
    <w:p w:rsidR="00FF2E23" w:rsidRDefault="000A768F">
      <w:r>
        <w:t xml:space="preserve">Incumbent workers should be upskilled, which is less expensive and tacit knowledge is retained. Organisations are advised to adopt systematic reskilling schemes like boot camps, micro credentials, rotations and direct internal career trajectories which connect learning and promotion (Gamage and Dehideniya, 2025). In technology, as an example, companies have internal AI academies to shift adjacent jobs to data-centric work (Haefner </w:t>
      </w:r>
      <w:r>
        <w:rPr>
          <w:i/>
        </w:rPr>
        <w:t>et al.,</w:t>
      </w:r>
      <w:r>
        <w:t xml:space="preserve"> 2023). Hospitality and health, Public-private apprenticeship, like dual training models, have been found to seal pipeline gaps. </w:t>
      </w:r>
    </w:p>
    <w:p w:rsidR="00FF2E23" w:rsidRDefault="000A768F">
      <w:pPr>
        <w:rPr>
          <w:b/>
        </w:rPr>
      </w:pPr>
      <w:r>
        <w:rPr>
          <w:b/>
        </w:rPr>
        <w:t>Partner with education and government</w:t>
      </w:r>
    </w:p>
    <w:p w:rsidR="00FF2E23" w:rsidRDefault="000A768F">
      <w:r>
        <w:t>Develop co-design curricula in collaboration with universities, community colleges and vocational providers to match the employer demand, such as work-integrated learning, internships, and clinical placements (Agile Education, 2025). Subsidies or visa schemes for essential jobs, such as healthcare workers, experienced hospitality personnel, can be implemented by governments. These ecosystem strategies save on time-to-hiring and enhance job readiness.</w:t>
      </w:r>
    </w:p>
    <w:p w:rsidR="00FF2E23" w:rsidRDefault="000A768F">
      <w:pPr>
        <w:rPr>
          <w:b/>
        </w:rPr>
      </w:pPr>
      <w:r>
        <w:rPr>
          <w:b/>
        </w:rPr>
        <w:t>Adopt flexible talent models</w:t>
      </w:r>
    </w:p>
    <w:p w:rsidR="00FF2E23" w:rsidRDefault="000A768F">
      <w:r>
        <w:lastRenderedPageBreak/>
        <w:t xml:space="preserve">Contemplate contingent work, managed services, and digital platforms as a strategy when the demand is up and down, like during a high season in the hospitality sector, peak staffing in healthcare when there is a surge (Rajani </w:t>
      </w:r>
      <w:r>
        <w:rPr>
          <w:i/>
        </w:rPr>
        <w:t>et al.,</w:t>
      </w:r>
      <w:r>
        <w:t xml:space="preserve"> 2022). But balance out gig sourcing with quality assurances, by means of vetting, training and retention benefits to ensure quality of service. </w:t>
      </w:r>
    </w:p>
    <w:p w:rsidR="00FF2E23" w:rsidRDefault="000A768F">
      <w:pPr>
        <w:rPr>
          <w:b/>
        </w:rPr>
      </w:pPr>
      <w:r>
        <w:rPr>
          <w:b/>
        </w:rPr>
        <w:t>Employer value proposition (EVP) and retention</w:t>
      </w:r>
    </w:p>
    <w:p w:rsidR="00FF2E23" w:rsidRDefault="000A768F">
      <w:r>
        <w:t>HR needs to reinforce EVP in high-turnover industries, like in the hospitality industry, by providing career progression, compensation, flexibility of schedules, and well-being support (Bhoir and Sinha, 2024). It is proven that high vacancy rates in the hospitality industry are associated with poor retention practices; a pay and development strategy will help decrease the dependence on expensive outside recruitment.</w:t>
      </w:r>
    </w:p>
    <w:p w:rsidR="00FF2E23" w:rsidRDefault="000A768F">
      <w:pPr>
        <w:rPr>
          <w:b/>
        </w:rPr>
      </w:pPr>
      <w:r>
        <w:rPr>
          <w:b/>
        </w:rPr>
        <w:t>Leverage technology for augmentation, not replacement</w:t>
      </w:r>
    </w:p>
    <w:p w:rsidR="00FF2E23" w:rsidRDefault="000A768F">
      <w:r>
        <w:t xml:space="preserve">Automation can be used in healthcare and hospitality fields to reduce routine workload, including scheduling, inventory, and documentation, to enable a small number of skilled professionals to concentrate on the core professional activities of healthcare, enhancing productivity and decreasing burnout (Bienefeld, Keller and Grote, 2024). HR must apply human-centred technology adoption and quantify workload and patient/customer outcomes change. </w:t>
      </w:r>
    </w:p>
    <w:p w:rsidR="00FF2E23" w:rsidRDefault="000A768F">
      <w:r>
        <w:t>Strategic HRM addresses skills gaps through diagnosis with analytics, internal development of talent, education alliances, flexible resources, and enhancing EVP. In the case of IHRM, this agenda includes adding cross-border credential recognition, international recruiting strategy and elimination of migration and accreditation regulations, demanding a more intensive partnership among HR, legal and outside partners.</w:t>
      </w:r>
    </w:p>
    <w:p w:rsidR="00FF2E23" w:rsidRDefault="000A768F">
      <w:pPr>
        <w:pStyle w:val="Heading1"/>
      </w:pPr>
      <w:bookmarkStart w:id="7" w:name="_heading=h.ep9yrii7ppt" w:colFirst="0" w:colLast="0"/>
      <w:bookmarkEnd w:id="7"/>
      <w:r>
        <w:t>4. Reflective Report</w:t>
      </w:r>
    </w:p>
    <w:p w:rsidR="00FF2E23" w:rsidRDefault="000A768F">
      <w:r>
        <w:t xml:space="preserve">In this modern and globalised technology-driven workplace, workers are required to work well in different international environments (Obasi and Benson, 2025). This reflection assesses the existing competencies of technology, communication, group work, leadership, and self-directed learning. For a better assessment of how my strengths and weaknesses can be improved to become more effective in my </w:t>
      </w:r>
      <w:r>
        <w:lastRenderedPageBreak/>
        <w:t xml:space="preserve">profession, I critically analyse my strengths and weaknesses and sketch a plan of personal development using </w:t>
      </w:r>
      <w:r>
        <w:rPr>
          <w:b/>
          <w:i/>
        </w:rPr>
        <w:t>Gibbs' (1988) reflective cycle</w:t>
      </w:r>
      <w:r>
        <w:t>.</w:t>
      </w:r>
    </w:p>
    <w:p w:rsidR="00FF2E23" w:rsidRDefault="000A768F">
      <w:pPr>
        <w:jc w:val="center"/>
      </w:pPr>
      <w:r>
        <w:rPr>
          <w:noProof/>
          <w:lang w:val="en-US" w:eastAsia="en-US"/>
        </w:rPr>
        <w:drawing>
          <wp:inline distT="114300" distB="114300" distL="114300" distR="114300">
            <wp:extent cx="3269270" cy="3269270"/>
            <wp:effectExtent l="12700" t="12700" r="12700" b="12700"/>
            <wp:docPr id="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3269270" cy="3269270"/>
                    </a:xfrm>
                    <a:prstGeom prst="rect">
                      <a:avLst/>
                    </a:prstGeom>
                    <a:ln w="12700">
                      <a:solidFill>
                        <a:srgbClr val="000000"/>
                      </a:solidFill>
                      <a:prstDash val="solid"/>
                    </a:ln>
                  </pic:spPr>
                </pic:pic>
              </a:graphicData>
            </a:graphic>
          </wp:inline>
        </w:drawing>
      </w:r>
    </w:p>
    <w:p w:rsidR="00FF2E23" w:rsidRDefault="000A768F">
      <w:pPr>
        <w:jc w:val="center"/>
        <w:rPr>
          <w:b/>
        </w:rPr>
      </w:pPr>
      <w:bookmarkStart w:id="8" w:name="_heading=h.dr1hp0mwjhzz" w:colFirst="0" w:colLast="0"/>
      <w:bookmarkEnd w:id="8"/>
      <w:r>
        <w:rPr>
          <w:b/>
        </w:rPr>
        <w:t>Figure 4: Gibbs Reflective Cycle</w:t>
      </w:r>
    </w:p>
    <w:p w:rsidR="00FF2E23" w:rsidRDefault="000A768F">
      <w:pPr>
        <w:jc w:val="center"/>
      </w:pPr>
      <w:r>
        <w:t>(Source: Channell, 2023)</w:t>
      </w:r>
    </w:p>
    <w:p w:rsidR="00FF2E23" w:rsidRDefault="000A768F">
      <w:pPr>
        <w:rPr>
          <w:b/>
        </w:rPr>
      </w:pPr>
      <w:r>
        <w:rPr>
          <w:b/>
        </w:rPr>
        <w:t>Description</w:t>
      </w:r>
    </w:p>
    <w:p w:rsidR="00C23EBE" w:rsidRDefault="000A768F">
      <w:r>
        <w:t xml:space="preserve">I have been engaged in various group projects, online games, and discussion boards based on international business management. These functions demanded a lot of group work with other students of different cultural and academic backgrounds, while enabling me to be exposed to a diversity of opinions and work styles. In order to communicate efficiently, share resources and organise work, I tend to use digital tools, Zoom and collaborative document programs. </w:t>
      </w:r>
      <w:r w:rsidR="00C23EBE" w:rsidRPr="00C23EBE">
        <w:t>I also trained on exercises related to leadership which involved delegating duties, making tactical decisions and resolving issues involving the team. These experiences provided me with an actual experience on how to manage projects within such multicultural and technology-driven environment and to build my problem-solving and organisation skills.</w:t>
      </w:r>
    </w:p>
    <w:p w:rsidR="00FF2E23" w:rsidRDefault="000A768F">
      <w:pPr>
        <w:rPr>
          <w:b/>
        </w:rPr>
      </w:pPr>
      <w:r>
        <w:rPr>
          <w:b/>
        </w:rPr>
        <w:t>Feelings</w:t>
      </w:r>
    </w:p>
    <w:p w:rsidR="00C23EBE" w:rsidRDefault="00C23EBE">
      <w:r w:rsidRPr="00C23EBE">
        <w:t xml:space="preserve">At the start of the term, I was relatively sure about my abilities to coordinate myself in communication and solve problems with the assistance of digital tools. Nonetheless, I was also anxious when dealing with cross-cultural environments, particularly in </w:t>
      </w:r>
      <w:r w:rsidRPr="00C23EBE">
        <w:lastRenderedPageBreak/>
        <w:t>grasping the disparities in the work styles, favoured communication, and expectations between the members of the team of various backgrounds. Working asynchronously with the colleagues that were in different time zones was also an issue and it was causing some delays and misunderstandings (Rhymer, 2023). Besides, the project management under the assistance of advanced technological resources and data analysis was excessive as well. Nevertheless, these challenges could not prevent me to learn and I understood that such encounters identified some good areas on how to grow personally and professionally.</w:t>
      </w:r>
    </w:p>
    <w:p w:rsidR="00FF2E23" w:rsidRDefault="000A768F">
      <w:pPr>
        <w:rPr>
          <w:b/>
        </w:rPr>
      </w:pPr>
      <w:r>
        <w:rPr>
          <w:b/>
        </w:rPr>
        <w:t>Evaluation</w:t>
      </w:r>
    </w:p>
    <w:p w:rsidR="00C23EBE" w:rsidRDefault="00C23EBE">
      <w:r w:rsidRPr="00C23EBE">
        <w:t xml:space="preserve">During this term I managed to learn several strengths and weaknesses in my experience of using international group projects and online simulations. </w:t>
      </w:r>
    </w:p>
    <w:p w:rsidR="00C23EBE" w:rsidRPr="00C23EBE" w:rsidRDefault="00C23EBE">
      <w:pPr>
        <w:rPr>
          <w:b/>
          <w:i/>
        </w:rPr>
      </w:pPr>
      <w:r w:rsidRPr="00C23EBE">
        <w:rPr>
          <w:b/>
          <w:i/>
        </w:rPr>
        <w:t xml:space="preserve">Strengths: </w:t>
      </w:r>
    </w:p>
    <w:p w:rsidR="00FF2E23" w:rsidRDefault="00C23EBE">
      <w:r w:rsidRPr="00C23EBE">
        <w:t>One of my strengths is communication. I believe that I can articulate the ideas, be an active listener, and provide constructive feedback, which will help to make the team discussions fruitful and make the right decisions. Teamwork is another skill that I exhibited since I adapted well to the teamwork exercises. I was also supportive of my colleagues and contributed positively whenever a shared goal was to be realized hence being dependable and adaptable.</w:t>
      </w:r>
      <w:r>
        <w:t xml:space="preserve"> </w:t>
      </w:r>
      <w:r w:rsidR="000A768F">
        <w:t>As a leader, I was able to organise work, assign duties, motivate people, and keep the team on target. Also, my self-directed learning was good, and I took the initiative to find extra materials, research papers, and online tutorials to enhance my knowledge on tricky topics.</w:t>
      </w:r>
    </w:p>
    <w:p w:rsidR="00FF2E23" w:rsidRDefault="000A768F">
      <w:pPr>
        <w:rPr>
          <w:b/>
          <w:i/>
        </w:rPr>
      </w:pPr>
      <w:r>
        <w:rPr>
          <w:b/>
          <w:i/>
        </w:rPr>
        <w:t>Weaknesses:</w:t>
      </w:r>
    </w:p>
    <w:p w:rsidR="00FF2E23" w:rsidRDefault="000A768F">
      <w:r>
        <w:t>Although these are the strengths, I did not find digital fluency easy, especially when using sophisticated data analysis tools and collaborative applications such as project management programs. Flexibility in culture was not easy at the beginning. The ability to understand various communication styles and norms could hinder teamwork in some cases. International coordination was also a challenge to my time management abilities as I was working in different time zones, which sometimes slowed down asynchronous teamwork.</w:t>
      </w:r>
    </w:p>
    <w:p w:rsidR="00FF2E23" w:rsidRDefault="000A768F">
      <w:pPr>
        <w:rPr>
          <w:b/>
        </w:rPr>
      </w:pPr>
      <w:r>
        <w:rPr>
          <w:b/>
        </w:rPr>
        <w:t>Analysis</w:t>
      </w:r>
    </w:p>
    <w:p w:rsidR="00FF2E23" w:rsidRDefault="000A768F">
      <w:r>
        <w:lastRenderedPageBreak/>
        <w:t xml:space="preserve">Considering these experiences, it is obvious that my communication and teamwork strengths and leadership qualities had a beneficial effect on the project performance and group collaboration. Such a proactive approach to self-directed learning enabled me to learn new things and work with them very quickly. However, weaknesses in digital fluency decreased my productivity in using high-tech collaborative technologies. Most of the time, cultural adaptability issues occurred and resulted in minor misunderstandings during cross-cultural communication. The time management in the foreign context also implied the need to enhance the methods of planning and scheduling (Williams </w:t>
      </w:r>
      <w:r>
        <w:rPr>
          <w:i/>
        </w:rPr>
        <w:t>et al</w:t>
      </w:r>
      <w:r>
        <w:t>., 2024). Overall, these lessons imply that despite the ability to successfully participate in international work, I am yet to work on certain strengths in the areas of technical work, cultural awareness, and international coordination to become a successful person in the future.</w:t>
      </w:r>
    </w:p>
    <w:p w:rsidR="00FF2E23" w:rsidRDefault="000A768F">
      <w:pPr>
        <w:rPr>
          <w:b/>
        </w:rPr>
      </w:pPr>
      <w:r>
        <w:rPr>
          <w:b/>
        </w:rPr>
        <w:t>Conclusion</w:t>
      </w:r>
    </w:p>
    <w:p w:rsidR="00FF2E23" w:rsidRDefault="000A768F">
      <w:r>
        <w:t>In conclusion, the experiences of this term also assisted in identifying my strengths and weaknesses in the world environment, along with my prospects to work on. My teamwork skills, communication skills, and leadership skills assisted me in working effectively; however, the issue of digital fluency, cultural flexibility, and time management on a global level demonstrated that I can still enhance such aspects. The identification of these areas will help me to formulate certain strategies that would allow me to work efficiently in the different and technology-oriented overseas markets and continue to develop as a professional effective in the international scene.</w:t>
      </w:r>
    </w:p>
    <w:p w:rsidR="00FF2E23" w:rsidRDefault="000A768F">
      <w:r>
        <w:rPr>
          <w:b/>
        </w:rPr>
        <w:t>Action plan</w:t>
      </w:r>
    </w:p>
    <w:tbl>
      <w:tblPr>
        <w:tblStyle w:val="a"/>
        <w:tblW w:w="8985" w:type="dxa"/>
        <w:tblInd w:w="20" w:type="dxa"/>
        <w:tblBorders>
          <w:top w:val="nil"/>
          <w:left w:val="nil"/>
          <w:bottom w:val="nil"/>
          <w:right w:val="nil"/>
          <w:insideH w:val="nil"/>
          <w:insideV w:val="nil"/>
        </w:tblBorders>
        <w:tblLayout w:type="fixed"/>
        <w:tblLook w:val="0600" w:firstRow="0" w:lastRow="0" w:firstColumn="0" w:lastColumn="0" w:noHBand="1" w:noVBand="1"/>
      </w:tblPr>
      <w:tblGrid>
        <w:gridCol w:w="1665"/>
        <w:gridCol w:w="3555"/>
        <w:gridCol w:w="1425"/>
        <w:gridCol w:w="2340"/>
      </w:tblGrid>
      <w:tr w:rsidR="00FF2E23">
        <w:trPr>
          <w:trHeight w:val="770"/>
        </w:trPr>
        <w:tc>
          <w:tcPr>
            <w:tcW w:w="1665" w:type="dxa"/>
            <w:tcBorders>
              <w:top w:val="single" w:sz="4" w:space="0" w:color="000000"/>
              <w:left w:val="single" w:sz="4" w:space="0" w:color="000000"/>
              <w:bottom w:val="single" w:sz="4" w:space="0" w:color="000000"/>
              <w:right w:val="single" w:sz="4" w:space="0" w:color="000000"/>
            </w:tcBorders>
            <w:shd w:val="clear" w:color="auto" w:fill="E69138"/>
            <w:tcMar>
              <w:top w:w="100" w:type="dxa"/>
              <w:left w:w="100" w:type="dxa"/>
              <w:bottom w:w="100" w:type="dxa"/>
              <w:right w:w="100" w:type="dxa"/>
            </w:tcMar>
          </w:tcPr>
          <w:p w:rsidR="00FF2E23" w:rsidRDefault="000A768F">
            <w:pPr>
              <w:jc w:val="center"/>
            </w:pPr>
            <w:r>
              <w:rPr>
                <w:b/>
              </w:rPr>
              <w:t>Areas for Improvement</w:t>
            </w:r>
          </w:p>
        </w:tc>
        <w:tc>
          <w:tcPr>
            <w:tcW w:w="3555" w:type="dxa"/>
            <w:tcBorders>
              <w:top w:val="single" w:sz="4" w:space="0" w:color="000000"/>
              <w:left w:val="single" w:sz="4" w:space="0" w:color="000000"/>
              <w:bottom w:val="single" w:sz="4" w:space="0" w:color="000000"/>
              <w:right w:val="single" w:sz="4" w:space="0" w:color="000000"/>
            </w:tcBorders>
            <w:shd w:val="clear" w:color="auto" w:fill="E69138"/>
            <w:tcMar>
              <w:top w:w="100" w:type="dxa"/>
              <w:left w:w="100" w:type="dxa"/>
              <w:bottom w:w="100" w:type="dxa"/>
              <w:right w:w="100" w:type="dxa"/>
            </w:tcMar>
          </w:tcPr>
          <w:p w:rsidR="00FF2E23" w:rsidRDefault="000A768F">
            <w:pPr>
              <w:jc w:val="center"/>
            </w:pPr>
            <w:r>
              <w:rPr>
                <w:b/>
              </w:rPr>
              <w:t>Action</w:t>
            </w:r>
          </w:p>
        </w:tc>
        <w:tc>
          <w:tcPr>
            <w:tcW w:w="1425" w:type="dxa"/>
            <w:tcBorders>
              <w:top w:val="single" w:sz="4" w:space="0" w:color="000000"/>
              <w:left w:val="single" w:sz="4" w:space="0" w:color="000000"/>
              <w:bottom w:val="single" w:sz="4" w:space="0" w:color="000000"/>
              <w:right w:val="single" w:sz="4" w:space="0" w:color="000000"/>
            </w:tcBorders>
            <w:shd w:val="clear" w:color="auto" w:fill="E69138"/>
            <w:tcMar>
              <w:top w:w="100" w:type="dxa"/>
              <w:left w:w="100" w:type="dxa"/>
              <w:bottom w:w="100" w:type="dxa"/>
              <w:right w:w="100" w:type="dxa"/>
            </w:tcMar>
          </w:tcPr>
          <w:p w:rsidR="00FF2E23" w:rsidRDefault="000A768F">
            <w:pPr>
              <w:jc w:val="center"/>
            </w:pPr>
            <w:r>
              <w:rPr>
                <w:b/>
              </w:rPr>
              <w:t>Timeline</w:t>
            </w:r>
          </w:p>
        </w:tc>
        <w:tc>
          <w:tcPr>
            <w:tcW w:w="2340" w:type="dxa"/>
            <w:tcBorders>
              <w:top w:val="single" w:sz="4" w:space="0" w:color="000000"/>
              <w:left w:val="single" w:sz="4" w:space="0" w:color="000000"/>
              <w:bottom w:val="single" w:sz="4" w:space="0" w:color="000000"/>
              <w:right w:val="single" w:sz="4" w:space="0" w:color="000000"/>
            </w:tcBorders>
            <w:shd w:val="clear" w:color="auto" w:fill="E69138"/>
            <w:tcMar>
              <w:top w:w="100" w:type="dxa"/>
              <w:left w:w="100" w:type="dxa"/>
              <w:bottom w:w="100" w:type="dxa"/>
              <w:right w:w="100" w:type="dxa"/>
            </w:tcMar>
          </w:tcPr>
          <w:p w:rsidR="00FF2E23" w:rsidRDefault="000A768F">
            <w:pPr>
              <w:jc w:val="center"/>
            </w:pPr>
            <w:r>
              <w:rPr>
                <w:b/>
              </w:rPr>
              <w:t>Success Measure</w:t>
            </w:r>
          </w:p>
        </w:tc>
      </w:tr>
      <w:tr w:rsidR="00FF2E23">
        <w:trPr>
          <w:trHeight w:val="1310"/>
        </w:trPr>
        <w:tc>
          <w:tcPr>
            <w:tcW w:w="1665" w:type="dxa"/>
            <w:tcBorders>
              <w:top w:val="single" w:sz="4" w:space="0" w:color="000000"/>
              <w:left w:val="single" w:sz="4" w:space="0" w:color="000000"/>
              <w:bottom w:val="single" w:sz="4" w:space="0" w:color="000000"/>
              <w:right w:val="single" w:sz="4" w:space="0" w:color="000000"/>
            </w:tcBorders>
            <w:shd w:val="clear" w:color="auto" w:fill="FFE599"/>
            <w:tcMar>
              <w:top w:w="100" w:type="dxa"/>
              <w:left w:w="100" w:type="dxa"/>
              <w:bottom w:w="100" w:type="dxa"/>
              <w:right w:w="100" w:type="dxa"/>
            </w:tcMar>
          </w:tcPr>
          <w:p w:rsidR="00FF2E23" w:rsidRDefault="000A768F">
            <w:r>
              <w:t>Digital fluency</w:t>
            </w:r>
          </w:p>
        </w:tc>
        <w:tc>
          <w:tcPr>
            <w:tcW w:w="3555" w:type="dxa"/>
            <w:tcBorders>
              <w:top w:val="single" w:sz="4" w:space="0" w:color="000000"/>
              <w:left w:val="single" w:sz="4" w:space="0" w:color="000000"/>
              <w:bottom w:val="single" w:sz="4" w:space="0" w:color="000000"/>
              <w:right w:val="single" w:sz="4" w:space="0" w:color="000000"/>
            </w:tcBorders>
            <w:shd w:val="clear" w:color="auto" w:fill="FFF2CC"/>
            <w:tcMar>
              <w:top w:w="100" w:type="dxa"/>
              <w:left w:w="100" w:type="dxa"/>
              <w:bottom w:w="100" w:type="dxa"/>
              <w:right w:w="100" w:type="dxa"/>
            </w:tcMar>
          </w:tcPr>
          <w:p w:rsidR="00FF2E23" w:rsidRDefault="000A768F">
            <w:r>
              <w:t>Complete online courses on advanced data analysis and project management software (for example, Microsoft Project, Tableau)</w:t>
            </w:r>
          </w:p>
        </w:tc>
        <w:tc>
          <w:tcPr>
            <w:tcW w:w="1425" w:type="dxa"/>
            <w:tcBorders>
              <w:top w:val="single" w:sz="4" w:space="0" w:color="000000"/>
              <w:left w:val="single" w:sz="4" w:space="0" w:color="000000"/>
              <w:bottom w:val="single" w:sz="4" w:space="0" w:color="000000"/>
              <w:right w:val="single" w:sz="4" w:space="0" w:color="000000"/>
            </w:tcBorders>
            <w:shd w:val="clear" w:color="auto" w:fill="FFF2CC"/>
            <w:tcMar>
              <w:top w:w="100" w:type="dxa"/>
              <w:left w:w="100" w:type="dxa"/>
              <w:bottom w:w="100" w:type="dxa"/>
              <w:right w:w="100" w:type="dxa"/>
            </w:tcMar>
          </w:tcPr>
          <w:p w:rsidR="00FF2E23" w:rsidRDefault="000A768F">
            <w:pPr>
              <w:jc w:val="center"/>
              <w:rPr>
                <w:b/>
                <w:i/>
              </w:rPr>
            </w:pPr>
            <w:r>
              <w:rPr>
                <w:b/>
                <w:i/>
              </w:rPr>
              <w:t>3 months</w:t>
            </w:r>
          </w:p>
        </w:tc>
        <w:tc>
          <w:tcPr>
            <w:tcW w:w="2340" w:type="dxa"/>
            <w:tcBorders>
              <w:top w:val="single" w:sz="4" w:space="0" w:color="000000"/>
              <w:left w:val="single" w:sz="4" w:space="0" w:color="000000"/>
              <w:bottom w:val="single" w:sz="4" w:space="0" w:color="000000"/>
              <w:right w:val="single" w:sz="4" w:space="0" w:color="000000"/>
            </w:tcBorders>
            <w:shd w:val="clear" w:color="auto" w:fill="FFF2CC"/>
            <w:tcMar>
              <w:top w:w="100" w:type="dxa"/>
              <w:left w:w="100" w:type="dxa"/>
              <w:bottom w:w="100" w:type="dxa"/>
              <w:right w:w="100" w:type="dxa"/>
            </w:tcMar>
          </w:tcPr>
          <w:p w:rsidR="00FF2E23" w:rsidRDefault="000A768F">
            <w:r>
              <w:t>Ability to use tools confidently in group projects and simulations</w:t>
            </w:r>
          </w:p>
        </w:tc>
      </w:tr>
      <w:tr w:rsidR="00FF2E23">
        <w:trPr>
          <w:trHeight w:val="1580"/>
        </w:trPr>
        <w:tc>
          <w:tcPr>
            <w:tcW w:w="1665" w:type="dxa"/>
            <w:tcBorders>
              <w:top w:val="single" w:sz="4" w:space="0" w:color="000000"/>
              <w:left w:val="single" w:sz="4" w:space="0" w:color="000000"/>
              <w:bottom w:val="single" w:sz="4" w:space="0" w:color="000000"/>
              <w:right w:val="single" w:sz="4" w:space="0" w:color="000000"/>
            </w:tcBorders>
            <w:shd w:val="clear" w:color="auto" w:fill="FFE599"/>
            <w:tcMar>
              <w:top w:w="100" w:type="dxa"/>
              <w:left w:w="100" w:type="dxa"/>
              <w:bottom w:w="100" w:type="dxa"/>
              <w:right w:w="100" w:type="dxa"/>
            </w:tcMar>
          </w:tcPr>
          <w:p w:rsidR="00FF2E23" w:rsidRDefault="000A768F">
            <w:r>
              <w:lastRenderedPageBreak/>
              <w:t>Cultural adaptability</w:t>
            </w:r>
          </w:p>
        </w:tc>
        <w:tc>
          <w:tcPr>
            <w:tcW w:w="3555" w:type="dxa"/>
            <w:tcBorders>
              <w:top w:val="single" w:sz="4" w:space="0" w:color="000000"/>
              <w:left w:val="single" w:sz="4" w:space="0" w:color="000000"/>
              <w:bottom w:val="single" w:sz="4" w:space="0" w:color="000000"/>
              <w:right w:val="single" w:sz="4" w:space="0" w:color="000000"/>
            </w:tcBorders>
            <w:shd w:val="clear" w:color="auto" w:fill="FFF2CC"/>
            <w:tcMar>
              <w:top w:w="100" w:type="dxa"/>
              <w:left w:w="100" w:type="dxa"/>
              <w:bottom w:w="100" w:type="dxa"/>
              <w:right w:w="100" w:type="dxa"/>
            </w:tcMar>
          </w:tcPr>
          <w:p w:rsidR="00FF2E23" w:rsidRDefault="000A768F">
            <w:r>
              <w:t>Attend cross-cultural workshops, participate in international networking events, and engage in discussions with peers from diverse backgrounds</w:t>
            </w:r>
          </w:p>
        </w:tc>
        <w:tc>
          <w:tcPr>
            <w:tcW w:w="1425" w:type="dxa"/>
            <w:tcBorders>
              <w:top w:val="single" w:sz="4" w:space="0" w:color="000000"/>
              <w:left w:val="single" w:sz="4" w:space="0" w:color="000000"/>
              <w:bottom w:val="single" w:sz="4" w:space="0" w:color="000000"/>
              <w:right w:val="single" w:sz="4" w:space="0" w:color="000000"/>
            </w:tcBorders>
            <w:shd w:val="clear" w:color="auto" w:fill="FFF2CC"/>
            <w:tcMar>
              <w:top w:w="100" w:type="dxa"/>
              <w:left w:w="100" w:type="dxa"/>
              <w:bottom w:w="100" w:type="dxa"/>
              <w:right w:w="100" w:type="dxa"/>
            </w:tcMar>
          </w:tcPr>
          <w:p w:rsidR="00FF2E23" w:rsidRDefault="000A768F">
            <w:pPr>
              <w:jc w:val="center"/>
              <w:rPr>
                <w:b/>
                <w:i/>
              </w:rPr>
            </w:pPr>
            <w:r>
              <w:rPr>
                <w:b/>
                <w:i/>
              </w:rPr>
              <w:t>4 months</w:t>
            </w:r>
          </w:p>
        </w:tc>
        <w:tc>
          <w:tcPr>
            <w:tcW w:w="2340" w:type="dxa"/>
            <w:tcBorders>
              <w:top w:val="single" w:sz="4" w:space="0" w:color="000000"/>
              <w:left w:val="single" w:sz="4" w:space="0" w:color="000000"/>
              <w:bottom w:val="single" w:sz="4" w:space="0" w:color="000000"/>
              <w:right w:val="single" w:sz="4" w:space="0" w:color="000000"/>
            </w:tcBorders>
            <w:shd w:val="clear" w:color="auto" w:fill="FFF2CC"/>
            <w:tcMar>
              <w:top w:w="100" w:type="dxa"/>
              <w:left w:w="100" w:type="dxa"/>
              <w:bottom w:w="100" w:type="dxa"/>
              <w:right w:w="100" w:type="dxa"/>
            </w:tcMar>
          </w:tcPr>
          <w:p w:rsidR="00FF2E23" w:rsidRDefault="000A768F">
            <w:r>
              <w:t>Improved understanding of cultural norms and smoother collaboration</w:t>
            </w:r>
          </w:p>
        </w:tc>
      </w:tr>
      <w:tr w:rsidR="00FF2E23">
        <w:trPr>
          <w:trHeight w:val="1310"/>
        </w:trPr>
        <w:tc>
          <w:tcPr>
            <w:tcW w:w="1665" w:type="dxa"/>
            <w:tcBorders>
              <w:top w:val="single" w:sz="4" w:space="0" w:color="000000"/>
              <w:left w:val="single" w:sz="4" w:space="0" w:color="000000"/>
              <w:bottom w:val="single" w:sz="4" w:space="0" w:color="000000"/>
              <w:right w:val="single" w:sz="4" w:space="0" w:color="000000"/>
            </w:tcBorders>
            <w:shd w:val="clear" w:color="auto" w:fill="FFE599"/>
            <w:tcMar>
              <w:top w:w="100" w:type="dxa"/>
              <w:left w:w="100" w:type="dxa"/>
              <w:bottom w:w="100" w:type="dxa"/>
              <w:right w:w="100" w:type="dxa"/>
            </w:tcMar>
          </w:tcPr>
          <w:p w:rsidR="00FF2E23" w:rsidRDefault="000A768F">
            <w:r>
              <w:t>Time management in global teams</w:t>
            </w:r>
          </w:p>
        </w:tc>
        <w:tc>
          <w:tcPr>
            <w:tcW w:w="3555" w:type="dxa"/>
            <w:tcBorders>
              <w:top w:val="single" w:sz="4" w:space="0" w:color="000000"/>
              <w:left w:val="single" w:sz="4" w:space="0" w:color="000000"/>
              <w:bottom w:val="single" w:sz="4" w:space="0" w:color="000000"/>
              <w:right w:val="single" w:sz="4" w:space="0" w:color="000000"/>
            </w:tcBorders>
            <w:shd w:val="clear" w:color="auto" w:fill="FFF2CC"/>
            <w:tcMar>
              <w:top w:w="100" w:type="dxa"/>
              <w:left w:w="100" w:type="dxa"/>
              <w:bottom w:w="100" w:type="dxa"/>
              <w:right w:w="100" w:type="dxa"/>
            </w:tcMar>
          </w:tcPr>
          <w:p w:rsidR="00FF2E23" w:rsidRDefault="000A768F">
            <w:r>
              <w:t>Implement scheduling tools, plan tasks with time zone awareness, and set clear deadlines with team members</w:t>
            </w:r>
          </w:p>
        </w:tc>
        <w:tc>
          <w:tcPr>
            <w:tcW w:w="1425" w:type="dxa"/>
            <w:tcBorders>
              <w:top w:val="single" w:sz="4" w:space="0" w:color="000000"/>
              <w:left w:val="single" w:sz="4" w:space="0" w:color="000000"/>
              <w:bottom w:val="single" w:sz="4" w:space="0" w:color="000000"/>
              <w:right w:val="single" w:sz="4" w:space="0" w:color="000000"/>
            </w:tcBorders>
            <w:shd w:val="clear" w:color="auto" w:fill="FFF2CC"/>
            <w:tcMar>
              <w:top w:w="100" w:type="dxa"/>
              <w:left w:w="100" w:type="dxa"/>
              <w:bottom w:w="100" w:type="dxa"/>
              <w:right w:w="100" w:type="dxa"/>
            </w:tcMar>
          </w:tcPr>
          <w:p w:rsidR="00FF2E23" w:rsidRDefault="000A768F">
            <w:pPr>
              <w:jc w:val="center"/>
              <w:rPr>
                <w:b/>
                <w:i/>
              </w:rPr>
            </w:pPr>
            <w:r>
              <w:rPr>
                <w:b/>
                <w:i/>
              </w:rPr>
              <w:t>2 months</w:t>
            </w:r>
          </w:p>
        </w:tc>
        <w:tc>
          <w:tcPr>
            <w:tcW w:w="2340" w:type="dxa"/>
            <w:tcBorders>
              <w:top w:val="single" w:sz="4" w:space="0" w:color="000000"/>
              <w:left w:val="single" w:sz="4" w:space="0" w:color="000000"/>
              <w:bottom w:val="single" w:sz="4" w:space="0" w:color="000000"/>
              <w:right w:val="single" w:sz="4" w:space="0" w:color="000000"/>
            </w:tcBorders>
            <w:shd w:val="clear" w:color="auto" w:fill="FFF2CC"/>
            <w:tcMar>
              <w:top w:w="100" w:type="dxa"/>
              <w:left w:w="100" w:type="dxa"/>
              <w:bottom w:w="100" w:type="dxa"/>
              <w:right w:w="100" w:type="dxa"/>
            </w:tcMar>
          </w:tcPr>
          <w:p w:rsidR="00FF2E23" w:rsidRDefault="000A768F">
            <w:r>
              <w:t>More efficient coordination in synchronous and asynchronous teamwork</w:t>
            </w:r>
          </w:p>
        </w:tc>
      </w:tr>
      <w:tr w:rsidR="00FF2E23">
        <w:trPr>
          <w:trHeight w:val="1310"/>
        </w:trPr>
        <w:tc>
          <w:tcPr>
            <w:tcW w:w="1665" w:type="dxa"/>
            <w:tcBorders>
              <w:top w:val="single" w:sz="4" w:space="0" w:color="000000"/>
              <w:left w:val="single" w:sz="4" w:space="0" w:color="000000"/>
              <w:bottom w:val="single" w:sz="4" w:space="0" w:color="000000"/>
              <w:right w:val="single" w:sz="4" w:space="0" w:color="000000"/>
            </w:tcBorders>
            <w:shd w:val="clear" w:color="auto" w:fill="FFE599"/>
            <w:tcMar>
              <w:top w:w="100" w:type="dxa"/>
              <w:left w:w="100" w:type="dxa"/>
              <w:bottom w:w="100" w:type="dxa"/>
              <w:right w:w="100" w:type="dxa"/>
            </w:tcMar>
          </w:tcPr>
          <w:p w:rsidR="00FF2E23" w:rsidRDefault="000A768F">
            <w:r>
              <w:t>Leadership enhancement</w:t>
            </w:r>
          </w:p>
        </w:tc>
        <w:tc>
          <w:tcPr>
            <w:tcW w:w="3555" w:type="dxa"/>
            <w:tcBorders>
              <w:top w:val="single" w:sz="4" w:space="0" w:color="000000"/>
              <w:left w:val="single" w:sz="4" w:space="0" w:color="000000"/>
              <w:bottom w:val="single" w:sz="4" w:space="0" w:color="000000"/>
              <w:right w:val="single" w:sz="4" w:space="0" w:color="000000"/>
            </w:tcBorders>
            <w:shd w:val="clear" w:color="auto" w:fill="FFF2CC"/>
            <w:tcMar>
              <w:top w:w="100" w:type="dxa"/>
              <w:left w:w="100" w:type="dxa"/>
              <w:bottom w:w="100" w:type="dxa"/>
              <w:right w:w="100" w:type="dxa"/>
            </w:tcMar>
          </w:tcPr>
          <w:p w:rsidR="00FF2E23" w:rsidRDefault="000A768F">
            <w:r>
              <w:t>Seek mentorship, practice delegation in team projects, and solicit feedback from peers on leadership approach</w:t>
            </w:r>
          </w:p>
        </w:tc>
        <w:tc>
          <w:tcPr>
            <w:tcW w:w="1425" w:type="dxa"/>
            <w:tcBorders>
              <w:top w:val="single" w:sz="4" w:space="0" w:color="000000"/>
              <w:left w:val="single" w:sz="4" w:space="0" w:color="000000"/>
              <w:bottom w:val="single" w:sz="4" w:space="0" w:color="000000"/>
              <w:right w:val="single" w:sz="4" w:space="0" w:color="000000"/>
            </w:tcBorders>
            <w:shd w:val="clear" w:color="auto" w:fill="FFF2CC"/>
            <w:tcMar>
              <w:top w:w="100" w:type="dxa"/>
              <w:left w:w="100" w:type="dxa"/>
              <w:bottom w:w="100" w:type="dxa"/>
              <w:right w:w="100" w:type="dxa"/>
            </w:tcMar>
          </w:tcPr>
          <w:p w:rsidR="00FF2E23" w:rsidRDefault="000A768F">
            <w:pPr>
              <w:jc w:val="center"/>
              <w:rPr>
                <w:b/>
                <w:i/>
              </w:rPr>
            </w:pPr>
            <w:r>
              <w:rPr>
                <w:b/>
                <w:i/>
              </w:rPr>
              <w:t>Ongoing</w:t>
            </w:r>
          </w:p>
        </w:tc>
        <w:tc>
          <w:tcPr>
            <w:tcW w:w="2340" w:type="dxa"/>
            <w:tcBorders>
              <w:top w:val="single" w:sz="4" w:space="0" w:color="000000"/>
              <w:left w:val="single" w:sz="4" w:space="0" w:color="000000"/>
              <w:bottom w:val="single" w:sz="4" w:space="0" w:color="000000"/>
              <w:right w:val="single" w:sz="4" w:space="0" w:color="000000"/>
            </w:tcBorders>
            <w:shd w:val="clear" w:color="auto" w:fill="FFF2CC"/>
            <w:tcMar>
              <w:top w:w="100" w:type="dxa"/>
              <w:left w:w="100" w:type="dxa"/>
              <w:bottom w:w="100" w:type="dxa"/>
              <w:right w:w="100" w:type="dxa"/>
            </w:tcMar>
          </w:tcPr>
          <w:p w:rsidR="00FF2E23" w:rsidRDefault="000A768F">
            <w:r>
              <w:t>Stronger team cohesion and positive peer feedback on leadership</w:t>
            </w:r>
          </w:p>
        </w:tc>
      </w:tr>
      <w:tr w:rsidR="00FF2E23">
        <w:trPr>
          <w:trHeight w:val="1310"/>
        </w:trPr>
        <w:tc>
          <w:tcPr>
            <w:tcW w:w="1665" w:type="dxa"/>
            <w:tcBorders>
              <w:top w:val="single" w:sz="4" w:space="0" w:color="000000"/>
              <w:left w:val="single" w:sz="4" w:space="0" w:color="000000"/>
              <w:bottom w:val="single" w:sz="4" w:space="0" w:color="000000"/>
              <w:right w:val="single" w:sz="4" w:space="0" w:color="000000"/>
            </w:tcBorders>
            <w:shd w:val="clear" w:color="auto" w:fill="FFE599"/>
            <w:tcMar>
              <w:top w:w="100" w:type="dxa"/>
              <w:left w:w="100" w:type="dxa"/>
              <w:bottom w:w="100" w:type="dxa"/>
              <w:right w:w="100" w:type="dxa"/>
            </w:tcMar>
          </w:tcPr>
          <w:p w:rsidR="00FF2E23" w:rsidRDefault="000A768F">
            <w:r>
              <w:t>Self-directed learning</w:t>
            </w:r>
          </w:p>
        </w:tc>
        <w:tc>
          <w:tcPr>
            <w:tcW w:w="3555" w:type="dxa"/>
            <w:tcBorders>
              <w:top w:val="single" w:sz="4" w:space="0" w:color="000000"/>
              <w:left w:val="single" w:sz="4" w:space="0" w:color="000000"/>
              <w:bottom w:val="single" w:sz="4" w:space="0" w:color="000000"/>
              <w:right w:val="single" w:sz="4" w:space="0" w:color="000000"/>
            </w:tcBorders>
            <w:shd w:val="clear" w:color="auto" w:fill="FFF2CC"/>
            <w:tcMar>
              <w:top w:w="100" w:type="dxa"/>
              <w:left w:w="100" w:type="dxa"/>
              <w:bottom w:w="100" w:type="dxa"/>
              <w:right w:w="100" w:type="dxa"/>
            </w:tcMar>
          </w:tcPr>
          <w:p w:rsidR="00FF2E23" w:rsidRDefault="000A768F">
            <w:r>
              <w:t>Schedule weekly learning sessions, track progress, and reflect on new skills acquired</w:t>
            </w:r>
          </w:p>
        </w:tc>
        <w:tc>
          <w:tcPr>
            <w:tcW w:w="1425" w:type="dxa"/>
            <w:tcBorders>
              <w:top w:val="single" w:sz="4" w:space="0" w:color="000000"/>
              <w:left w:val="single" w:sz="4" w:space="0" w:color="000000"/>
              <w:bottom w:val="single" w:sz="4" w:space="0" w:color="000000"/>
              <w:right w:val="single" w:sz="4" w:space="0" w:color="000000"/>
            </w:tcBorders>
            <w:shd w:val="clear" w:color="auto" w:fill="FFF2CC"/>
            <w:tcMar>
              <w:top w:w="100" w:type="dxa"/>
              <w:left w:w="100" w:type="dxa"/>
              <w:bottom w:w="100" w:type="dxa"/>
              <w:right w:w="100" w:type="dxa"/>
            </w:tcMar>
          </w:tcPr>
          <w:p w:rsidR="00FF2E23" w:rsidRDefault="000A768F">
            <w:pPr>
              <w:jc w:val="center"/>
              <w:rPr>
                <w:b/>
                <w:i/>
              </w:rPr>
            </w:pPr>
            <w:r>
              <w:rPr>
                <w:b/>
                <w:i/>
              </w:rPr>
              <w:t>Ongoing</w:t>
            </w:r>
          </w:p>
        </w:tc>
        <w:tc>
          <w:tcPr>
            <w:tcW w:w="2340" w:type="dxa"/>
            <w:tcBorders>
              <w:top w:val="single" w:sz="4" w:space="0" w:color="000000"/>
              <w:left w:val="single" w:sz="4" w:space="0" w:color="000000"/>
              <w:bottom w:val="single" w:sz="4" w:space="0" w:color="000000"/>
              <w:right w:val="single" w:sz="4" w:space="0" w:color="000000"/>
            </w:tcBorders>
            <w:shd w:val="clear" w:color="auto" w:fill="FFF2CC"/>
            <w:tcMar>
              <w:top w:w="100" w:type="dxa"/>
              <w:left w:w="100" w:type="dxa"/>
              <w:bottom w:w="100" w:type="dxa"/>
              <w:right w:w="100" w:type="dxa"/>
            </w:tcMar>
          </w:tcPr>
          <w:p w:rsidR="00FF2E23" w:rsidRDefault="000A768F">
            <w:r>
              <w:t>Continuous improvement in knowledge application and project outcomes</w:t>
            </w:r>
          </w:p>
        </w:tc>
      </w:tr>
    </w:tbl>
    <w:p w:rsidR="00FF2E23" w:rsidRDefault="000A768F">
      <w:pPr>
        <w:jc w:val="center"/>
        <w:rPr>
          <w:b/>
        </w:rPr>
      </w:pPr>
      <w:bookmarkStart w:id="9" w:name="_heading=h.ltpx7nscnkh" w:colFirst="0" w:colLast="0"/>
      <w:bookmarkEnd w:id="9"/>
      <w:r>
        <w:rPr>
          <w:b/>
        </w:rPr>
        <w:t>Table 1: Action Plan</w:t>
      </w:r>
    </w:p>
    <w:p w:rsidR="00FF2E23" w:rsidRDefault="000A768F">
      <w:pPr>
        <w:jc w:val="center"/>
      </w:pPr>
      <w:r>
        <w:t>(Source: Self-Created)</w:t>
      </w:r>
    </w:p>
    <w:p w:rsidR="00FF2E23" w:rsidRDefault="000A768F">
      <w:r>
        <w:t xml:space="preserve">Overall, this assignment has critically analysed the challenges in national and international labour markets, as well as what skills, technological, and demographic challenges I will face personally in the global labour market overall, and personal preparation for working globally in particular. These issues and the need to be more </w:t>
      </w:r>
      <w:r>
        <w:lastRenderedPageBreak/>
        <w:t>effective in different, changing places of work are addressed through strategic HRM and self-development.</w:t>
      </w:r>
      <w:r>
        <w:br w:type="page"/>
      </w:r>
    </w:p>
    <w:p w:rsidR="00FF2E23" w:rsidRDefault="000A768F">
      <w:pPr>
        <w:pStyle w:val="Heading1"/>
      </w:pPr>
      <w:bookmarkStart w:id="10" w:name="_heading=h.7jp0138eif3" w:colFirst="0" w:colLast="0"/>
      <w:bookmarkEnd w:id="10"/>
      <w:r>
        <w:lastRenderedPageBreak/>
        <w:t>References</w:t>
      </w:r>
    </w:p>
    <w:p w:rsidR="00FF2E23" w:rsidRDefault="000A768F">
      <w:r>
        <w:t xml:space="preserve">Acosta, Z. (2024) </w:t>
      </w:r>
      <w:r>
        <w:rPr>
          <w:i/>
        </w:rPr>
        <w:t>Global HR Compliance: Navigating Employment Across Borders</w:t>
      </w:r>
      <w:r>
        <w:t xml:space="preserve">. Available at: </w:t>
      </w:r>
      <w:hyperlink r:id="rId13">
        <w:r>
          <w:rPr>
            <w:color w:val="1155CC"/>
            <w:u w:val="single"/>
          </w:rPr>
          <w:t>https://eosglobalexpansion.com/global-hr-compliance-navigating/</w:t>
        </w:r>
      </w:hyperlink>
      <w:r>
        <w:t xml:space="preserve"> (Accessed: 7 October 2025).</w:t>
      </w:r>
    </w:p>
    <w:p w:rsidR="00FF2E23" w:rsidRDefault="000A768F">
      <w:r>
        <w:t xml:space="preserve">Agile Education (2025) </w:t>
      </w:r>
      <w:r>
        <w:rPr>
          <w:i/>
        </w:rPr>
        <w:t>Bridging the Skills Gap: How Universities Can Align Curricula With Workforce Needs</w:t>
      </w:r>
      <w:r>
        <w:t xml:space="preserve">, </w:t>
      </w:r>
      <w:r>
        <w:rPr>
          <w:i/>
        </w:rPr>
        <w:t>eCampus News</w:t>
      </w:r>
      <w:r>
        <w:t xml:space="preserve">. Available at: </w:t>
      </w:r>
      <w:hyperlink r:id="rId14">
        <w:r>
          <w:rPr>
            <w:color w:val="1155CC"/>
            <w:u w:val="single"/>
          </w:rPr>
          <w:t>https://www.ecampusnews.com/newsline/2025/05/28/bridging-the-skills-gap-how-universities-can-align-curricula-with-workforce-needs/</w:t>
        </w:r>
      </w:hyperlink>
      <w:r>
        <w:t xml:space="preserve"> (Accessed: 8 October 2025).</w:t>
      </w:r>
    </w:p>
    <w:p w:rsidR="00FF2E23" w:rsidRDefault="000A768F">
      <w:r>
        <w:t xml:space="preserve">Arntz, M., Gregory, T. and Zierahn, U. (2016) ‘The Risk of Automation for Jobs in OECD Countries’, </w:t>
      </w:r>
      <w:r>
        <w:rPr>
          <w:i/>
        </w:rPr>
        <w:t>OECD Social, Employment and Migration Working Papers</w:t>
      </w:r>
      <w:r>
        <w:t xml:space="preserve">, 189(189). doi: </w:t>
      </w:r>
      <w:hyperlink r:id="rId15">
        <w:r>
          <w:rPr>
            <w:color w:val="0000FF"/>
            <w:u w:val="single"/>
          </w:rPr>
          <w:t>https://doi.org/10.1787/5jlz9h56dvq7-en</w:t>
        </w:r>
      </w:hyperlink>
      <w:r>
        <w:t xml:space="preserve">. </w:t>
      </w:r>
    </w:p>
    <w:p w:rsidR="00FF2E23" w:rsidRDefault="000A768F">
      <w:r>
        <w:t xml:space="preserve">Ausaf, A. and Khan, N.A. (2023) ‘EXPLORING DIVERSITY, EQUITY, AND INCLUSION (DEI) IN THE CONTEXT OF HUMAN RESOURCE MANAGEMENT’, </w:t>
      </w:r>
      <w:r>
        <w:rPr>
          <w:i/>
        </w:rPr>
        <w:t>ANVESHAK-International Journal of Management</w:t>
      </w:r>
      <w:r>
        <w:t xml:space="preserve">, 53(15/09/2023). Available at: </w:t>
      </w:r>
      <w:hyperlink r:id="rId16">
        <w:r>
          <w:rPr>
            <w:color w:val="1155CC"/>
            <w:u w:val="single"/>
          </w:rPr>
          <w:t>https://www.researchgate.net/publication/373993580_EXPLORING_DIVERSITY_EQUITY_AND_INCLUSION_DEI_IN_THE_CONTEXT_OF_HUMAN_RESOURCE_MANAGEMENT</w:t>
        </w:r>
      </w:hyperlink>
      <w:r>
        <w:t xml:space="preserve"> (Accessed: 7 October 2025).</w:t>
      </w:r>
    </w:p>
    <w:p w:rsidR="00FF2E23" w:rsidRDefault="000A768F">
      <w:r>
        <w:t xml:space="preserve">Bhoir, M. and Sinha, V. (2024) ‘Employee well-being Human Resource practices: a Systematic Literature Review and Directions for Future Research’, </w:t>
      </w:r>
      <w:r>
        <w:rPr>
          <w:i/>
        </w:rPr>
        <w:t>Future Business Journal</w:t>
      </w:r>
      <w:r>
        <w:t xml:space="preserve">, 10(1). doi: </w:t>
      </w:r>
      <w:hyperlink r:id="rId17">
        <w:r>
          <w:rPr>
            <w:color w:val="0000FF"/>
            <w:u w:val="single"/>
          </w:rPr>
          <w:t>https://doi.org/10.1186/s43093-024-00382-w</w:t>
        </w:r>
      </w:hyperlink>
      <w:r>
        <w:t xml:space="preserve">. </w:t>
      </w:r>
    </w:p>
    <w:p w:rsidR="00FF2E23" w:rsidRDefault="000A768F">
      <w:r>
        <w:t xml:space="preserve">Bienefeld, N., Keller, E. and Grote, G. (2024) ‘AI to Mitigate Healthcare Shortages: A Qualitative Analysis of Current and Future Work Conditions to Enhance Job Satisfaction and Wellbeing in Critical Care Nurses and Physicians (Preprint)’, </w:t>
      </w:r>
      <w:r>
        <w:rPr>
          <w:i/>
        </w:rPr>
        <w:t>Journal of Medical Internet Research</w:t>
      </w:r>
      <w:r>
        <w:t xml:space="preserve">, 27, pp. e50852–e50852. doi: </w:t>
      </w:r>
      <w:hyperlink r:id="rId18">
        <w:r>
          <w:rPr>
            <w:color w:val="0000FF"/>
            <w:u w:val="single"/>
          </w:rPr>
          <w:t>https://doi.org/10.2196/50852</w:t>
        </w:r>
      </w:hyperlink>
      <w:r>
        <w:t xml:space="preserve">. </w:t>
      </w:r>
    </w:p>
    <w:p w:rsidR="00FF2E23" w:rsidRDefault="000A768F">
      <w:r>
        <w:t xml:space="preserve">Bodea, C.-N., Paparic, M., Mogos, R.I. and Dascalu, M.I. (2024) ‘Artificial Intelligence Adoption in the Workplace and Its Impact on the Upskilling and Reskilling Strategies’, </w:t>
      </w:r>
      <w:r>
        <w:rPr>
          <w:i/>
        </w:rPr>
        <w:t>Amfiteatru Economic</w:t>
      </w:r>
      <w:r>
        <w:t xml:space="preserve">, 26(65), p. 126. doi: </w:t>
      </w:r>
      <w:hyperlink r:id="rId19">
        <w:r>
          <w:rPr>
            <w:color w:val="0000FF"/>
            <w:u w:val="single"/>
          </w:rPr>
          <w:t>https://doi.org/10.24818/ea/2024/65/126</w:t>
        </w:r>
      </w:hyperlink>
      <w:r>
        <w:t xml:space="preserve">. </w:t>
      </w:r>
    </w:p>
    <w:p w:rsidR="00FF2E23" w:rsidRDefault="000A768F">
      <w:r>
        <w:t xml:space="preserve">Channell, M. (2023) </w:t>
      </w:r>
      <w:r>
        <w:rPr>
          <w:i/>
        </w:rPr>
        <w:t>Gibbs Reflective Cycle – How to Learn from Experience and Become a Better Leader</w:t>
      </w:r>
      <w:r>
        <w:t xml:space="preserve">. Available at: </w:t>
      </w:r>
      <w:hyperlink r:id="rId20">
        <w:r>
          <w:rPr>
            <w:color w:val="0000FF"/>
            <w:u w:val="single"/>
          </w:rPr>
          <w:t>https://www.tsw.co.uk/blog/leadership-and-management/gibbs-reflective-cycle/</w:t>
        </w:r>
      </w:hyperlink>
      <w:r>
        <w:t xml:space="preserve"> (Accessed 9 October. 2025)</w:t>
      </w:r>
    </w:p>
    <w:p w:rsidR="00FF2E23" w:rsidRDefault="000A768F">
      <w:r>
        <w:lastRenderedPageBreak/>
        <w:t xml:space="preserve">CIPD (2017) </w:t>
      </w:r>
      <w:r>
        <w:rPr>
          <w:i/>
        </w:rPr>
        <w:t>Human capital theory: assessing the evidence for the value and importance of people to organisational success in partnership with</w:t>
      </w:r>
      <w:r>
        <w:t xml:space="preserve">, </w:t>
      </w:r>
      <w:r>
        <w:rPr>
          <w:i/>
        </w:rPr>
        <w:t>CIPD</w:t>
      </w:r>
      <w:r>
        <w:t xml:space="preserve">, pp. 1–96. Available at: </w:t>
      </w:r>
      <w:hyperlink r:id="rId21">
        <w:r>
          <w:rPr>
            <w:color w:val="1155CC"/>
            <w:u w:val="single"/>
          </w:rPr>
          <w:t>https://www.cipd.org/globalassets/media/knowledge/knowledge-hub/reports/human-capital-theory-assessing-the-evidence_tcm18-22292.pdf</w:t>
        </w:r>
      </w:hyperlink>
      <w:r>
        <w:t xml:space="preserve"> (Accessed: 6 October 2025).</w:t>
      </w:r>
    </w:p>
    <w:p w:rsidR="00FF2E23" w:rsidRDefault="000A768F">
      <w:r>
        <w:t xml:space="preserve">Citilci, T. and Akbalik, M. (2019) ‘The Importance of PESTEL Analysis for Environmental Scanning Process’, </w:t>
      </w:r>
      <w:r>
        <w:rPr>
          <w:i/>
        </w:rPr>
        <w:t>Advances in Marketing, Customer Relationship Management, and E-Services</w:t>
      </w:r>
      <w:r>
        <w:t xml:space="preserve">, pp. 336–357. doi: </w:t>
      </w:r>
      <w:hyperlink r:id="rId22">
        <w:r>
          <w:rPr>
            <w:color w:val="0000FF"/>
            <w:u w:val="single"/>
          </w:rPr>
          <w:t>https://doi.org/10.4018/978-1-7998-2559-3.ch016</w:t>
        </w:r>
      </w:hyperlink>
      <w:r>
        <w:t xml:space="preserve">. </w:t>
      </w:r>
    </w:p>
    <w:p w:rsidR="00FF2E23" w:rsidRDefault="000A768F">
      <w:r>
        <w:t xml:space="preserve">Deliu, D. and Olariu, A. (2024) ‘The Role of Artificial Intelligence and Big Data Analytics in Shaping the Future of Professions in Industry 6.0: Perspectives from an Emerging Market’, </w:t>
      </w:r>
      <w:r>
        <w:rPr>
          <w:i/>
        </w:rPr>
        <w:t>Electronics</w:t>
      </w:r>
      <w:r>
        <w:t xml:space="preserve">, 13(24), p. 4983. doi: </w:t>
      </w:r>
      <w:hyperlink r:id="rId23">
        <w:r>
          <w:rPr>
            <w:color w:val="0000FF"/>
            <w:u w:val="single"/>
          </w:rPr>
          <w:t>https://doi.org/10.3390/electronics13244983</w:t>
        </w:r>
      </w:hyperlink>
      <w:r>
        <w:t xml:space="preserve">. </w:t>
      </w:r>
    </w:p>
    <w:p w:rsidR="00FF2E23" w:rsidRDefault="000A768F">
      <w:r>
        <w:t xml:space="preserve">Gamage, K.A.A. and Dehideniya, S.C.P. (2025) ‘Unlocking Career Potential: How Micro-Credentials Are Revolutionising Higher Education and Lifelong Learning’, </w:t>
      </w:r>
      <w:r>
        <w:rPr>
          <w:i/>
        </w:rPr>
        <w:t>Education Sciences</w:t>
      </w:r>
      <w:r>
        <w:t xml:space="preserve">, 15(5), p. 525. doi: </w:t>
      </w:r>
      <w:hyperlink r:id="rId24">
        <w:r>
          <w:rPr>
            <w:color w:val="0000FF"/>
            <w:u w:val="single"/>
          </w:rPr>
          <w:t>https://doi.org/10.3390/educsci15050525</w:t>
        </w:r>
      </w:hyperlink>
      <w:r>
        <w:t xml:space="preserve">. </w:t>
      </w:r>
    </w:p>
    <w:p w:rsidR="00FF2E23" w:rsidRDefault="000A768F">
      <w:r>
        <w:t xml:space="preserve">Gerhart, B. and Feng, J. (2021) ‘The resource-based view of the firm, human resources, and human capital: Progress and prospects’, </w:t>
      </w:r>
      <w:r>
        <w:rPr>
          <w:i/>
        </w:rPr>
        <w:t>Journal of Management</w:t>
      </w:r>
      <w:r>
        <w:t xml:space="preserve">, 47(7), pp. 1796–1819. doi: </w:t>
      </w:r>
      <w:hyperlink r:id="rId25">
        <w:r>
          <w:rPr>
            <w:color w:val="0000FF"/>
            <w:u w:val="single"/>
          </w:rPr>
          <w:t>https://doi.org/10.1177/0149206320978799</w:t>
        </w:r>
      </w:hyperlink>
      <w:r>
        <w:t xml:space="preserve">. </w:t>
      </w:r>
    </w:p>
    <w:p w:rsidR="00FF2E23" w:rsidRDefault="000A768F">
      <w:r>
        <w:t xml:space="preserve">Guénette, J.D., Kenworthy, P. and Wheeler, C. (2022) </w:t>
      </w:r>
      <w:r>
        <w:rPr>
          <w:i/>
        </w:rPr>
        <w:t>Implications of the war in Ukraine for the global economy</w:t>
      </w:r>
      <w:r>
        <w:t xml:space="preserve">, pp. 1–32. Available at: </w:t>
      </w:r>
      <w:hyperlink r:id="rId26">
        <w:r>
          <w:rPr>
            <w:color w:val="1155CC"/>
            <w:u w:val="single"/>
          </w:rPr>
          <w:t>https://thedocs.worldbank.org/en/doc/5d903e848db1d1b83e0ec8f744e55570-0350012021/related/Implications-of-the-War-in-Ukraine-for-the-Global-Economy.pdf</w:t>
        </w:r>
      </w:hyperlink>
      <w:r>
        <w:t xml:space="preserve"> (Accessed: 7 October 2025).</w:t>
      </w:r>
    </w:p>
    <w:p w:rsidR="00FF2E23" w:rsidRDefault="000A768F">
      <w:r>
        <w:t xml:space="preserve">Haefner, N., Parida, V., Gassmann, O. and Wincent, J. (2023) ‘Implementing and scaling artificial intelligence: A review, framework, and research agenda’, </w:t>
      </w:r>
      <w:r>
        <w:rPr>
          <w:i/>
        </w:rPr>
        <w:t>Technological Forecasting and Social Change</w:t>
      </w:r>
      <w:r>
        <w:t xml:space="preserve">, 197, pp. 122878–122878. doi: </w:t>
      </w:r>
      <w:hyperlink r:id="rId27">
        <w:r>
          <w:rPr>
            <w:color w:val="0000FF"/>
            <w:u w:val="single"/>
          </w:rPr>
          <w:t>https://doi.org/10.1016/j.techfore.2023.122878</w:t>
        </w:r>
      </w:hyperlink>
      <w:r>
        <w:t xml:space="preserve">. </w:t>
      </w:r>
    </w:p>
    <w:p w:rsidR="00FF2E23" w:rsidRDefault="000A768F">
      <w:r>
        <w:t xml:space="preserve">Lyrchikova, A. and Gleb Stolyarov (2025) ‘Russia’s industrial titans furlough workers as its war economy stalls’, </w:t>
      </w:r>
      <w:r>
        <w:rPr>
          <w:i/>
        </w:rPr>
        <w:t>Reuters</w:t>
      </w:r>
      <w:r>
        <w:t xml:space="preserve">, 9 October. Available at: </w:t>
      </w:r>
      <w:hyperlink r:id="rId28">
        <w:r>
          <w:rPr>
            <w:color w:val="1155CC"/>
            <w:u w:val="single"/>
          </w:rPr>
          <w:t>https://www.reuters.com/world/europe/russias-industrial-titans-furlough-workers-its-war-economy-stalls-2025-10-09/</w:t>
        </w:r>
      </w:hyperlink>
      <w:r>
        <w:t xml:space="preserve"> (Accessed: 7 October 2025).</w:t>
      </w:r>
    </w:p>
    <w:p w:rsidR="00FF2E23" w:rsidRDefault="000A768F">
      <w:r>
        <w:lastRenderedPageBreak/>
        <w:t xml:space="preserve">Mayer, H., Yee, L., Chui, M. and Roberts, R. (2025) </w:t>
      </w:r>
      <w:r>
        <w:rPr>
          <w:i/>
        </w:rPr>
        <w:t>Superagency in the workplace: Empowering People to Unlock AI’s Full Potential</w:t>
      </w:r>
      <w:r>
        <w:t xml:space="preserve">, </w:t>
      </w:r>
      <w:r>
        <w:rPr>
          <w:i/>
        </w:rPr>
        <w:t>McKinsey &amp; Company</w:t>
      </w:r>
      <w:r>
        <w:t xml:space="preserve">. Available at: </w:t>
      </w:r>
      <w:hyperlink r:id="rId29">
        <w:r>
          <w:rPr>
            <w:color w:val="1155CC"/>
            <w:u w:val="single"/>
          </w:rPr>
          <w:t>https://www.mckinsey.com/capabilities/mckinsey-digital/our-insights/superagency-in-the-workplace-empowering-people-to-unlock-ais-full-potential-at-work</w:t>
        </w:r>
      </w:hyperlink>
      <w:r>
        <w:t xml:space="preserve"> (Accessed: 6 October 2025).</w:t>
      </w:r>
    </w:p>
    <w:p w:rsidR="00FF2E23" w:rsidRDefault="000A768F">
      <w:r>
        <w:t xml:space="preserve">Nogueira, M.C. and Madaleno, M. (2023) ‘Skill-Biased Technological Change and Gender Inequality across OECD Countries—A Simultaneous Approach’, </w:t>
      </w:r>
      <w:r>
        <w:rPr>
          <w:i/>
        </w:rPr>
        <w:t>Economies</w:t>
      </w:r>
      <w:r>
        <w:t xml:space="preserve">, 11(4), p. 115. doi: </w:t>
      </w:r>
      <w:hyperlink r:id="rId30">
        <w:r>
          <w:rPr>
            <w:color w:val="0000FF"/>
            <w:u w:val="single"/>
          </w:rPr>
          <w:t>https://doi.org/10.3390/economies11040115</w:t>
        </w:r>
      </w:hyperlink>
      <w:r>
        <w:t xml:space="preserve">. </w:t>
      </w:r>
    </w:p>
    <w:p w:rsidR="00FF2E23" w:rsidRDefault="000A768F">
      <w:r>
        <w:t xml:space="preserve">Obasi, I.C. and Benson, C. (2025) ‘The Impact of Digitalization and Information and Communication Technology on the Nature and Organization of Work and the Emerging Challenges for Occupational Safety and Health.’ </w:t>
      </w:r>
      <w:r>
        <w:rPr>
          <w:i/>
        </w:rPr>
        <w:t>International Journal of Environmental Research and Public Health</w:t>
      </w:r>
      <w:r>
        <w:t xml:space="preserve">, </w:t>
      </w:r>
      <w:r>
        <w:rPr>
          <w:i/>
        </w:rPr>
        <w:t>22</w:t>
      </w:r>
      <w:r>
        <w:t>(3), p. 362.</w:t>
      </w:r>
      <w:hyperlink r:id="rId31">
        <w:r>
          <w:rPr>
            <w:color w:val="0000FF"/>
            <w:u w:val="single"/>
          </w:rPr>
          <w:t xml:space="preserve"> https://doi.org/10.3390/ijerph22030362</w:t>
        </w:r>
      </w:hyperlink>
      <w:r>
        <w:t xml:space="preserve"> </w:t>
      </w:r>
    </w:p>
    <w:p w:rsidR="00FF2E23" w:rsidRDefault="000A768F">
      <w:r>
        <w:t xml:space="preserve">OECD (2025) </w:t>
      </w:r>
      <w:r>
        <w:rPr>
          <w:i/>
        </w:rPr>
        <w:t>OECD Employment Outlook 2025: Staying in the game: Skills and jobs of older workers in a changing labour market</w:t>
      </w:r>
      <w:r>
        <w:t xml:space="preserve">, </w:t>
      </w:r>
      <w:r>
        <w:rPr>
          <w:i/>
        </w:rPr>
        <w:t>OECD</w:t>
      </w:r>
      <w:r>
        <w:t xml:space="preserve">. Available at: </w:t>
      </w:r>
      <w:hyperlink r:id="rId32">
        <w:r>
          <w:rPr>
            <w:color w:val="1155CC"/>
            <w:u w:val="single"/>
          </w:rPr>
          <w:t>https://www.oecd.org/en/publications/2025/07/oecd-employment-outlook-2025_5345f034/full-report/component-8.html</w:t>
        </w:r>
      </w:hyperlink>
      <w:r>
        <w:t xml:space="preserve"> (Accessed: 7 October 2025).</w:t>
      </w:r>
    </w:p>
    <w:p w:rsidR="00FF2E23" w:rsidRDefault="000A768F">
      <w:r>
        <w:t xml:space="preserve">Ospanov, M., Kalyuzhnova, Y., Khlystova, O. and Crowley-Vigneau, A. (2025) ‘The impact of armed conflicts and forced migration on labour markets: systematic literature review and future research agenda’, </w:t>
      </w:r>
      <w:r>
        <w:rPr>
          <w:i/>
        </w:rPr>
        <w:t>Defence and Peace Economics</w:t>
      </w:r>
      <w:r>
        <w:t xml:space="preserve">, pp. 1-24. doi: </w:t>
      </w:r>
      <w:hyperlink r:id="rId33">
        <w:r>
          <w:rPr>
            <w:color w:val="0000FF"/>
            <w:u w:val="single"/>
          </w:rPr>
          <w:t>https://doi.org/10.1080/10242694.2025.2513072</w:t>
        </w:r>
      </w:hyperlink>
      <w:r>
        <w:t xml:space="preserve"> </w:t>
      </w:r>
    </w:p>
    <w:p w:rsidR="00FF2E23" w:rsidRDefault="000A768F">
      <w:r>
        <w:t xml:space="preserve">Prima, C.D., Cepel, M., Kotaskova, A. and Ferraris, A. ‘Help me help you: How HR analytics forecasts foster organizational creativity’, </w:t>
      </w:r>
      <w:r>
        <w:rPr>
          <w:i/>
        </w:rPr>
        <w:t>Technological Forecasting and Social Change</w:t>
      </w:r>
      <w:r>
        <w:t xml:space="preserve">, 206, p. 123540. doi: </w:t>
      </w:r>
      <w:hyperlink r:id="rId34">
        <w:r>
          <w:rPr>
            <w:color w:val="0000FF"/>
            <w:u w:val="single"/>
          </w:rPr>
          <w:t>https://doi.org/10.1016/j.techfore.2024.123540</w:t>
        </w:r>
      </w:hyperlink>
      <w:r>
        <w:t xml:space="preserve">. </w:t>
      </w:r>
    </w:p>
    <w:p w:rsidR="00FF2E23" w:rsidRDefault="000A768F">
      <w:r>
        <w:t xml:space="preserve">Rajani, R.L., Heggde, G.S., Kumar, R. and Bangwal, D. ‘Demand management approaches in services sector and influence on company performance’, </w:t>
      </w:r>
      <w:r>
        <w:rPr>
          <w:i/>
        </w:rPr>
        <w:t>International Journal of Productivity and Performance Management</w:t>
      </w:r>
      <w:r>
        <w:t xml:space="preserve">, 72(10), pp. 2808–2837. doi: </w:t>
      </w:r>
      <w:hyperlink r:id="rId35">
        <w:r>
          <w:rPr>
            <w:color w:val="0000FF"/>
            <w:u w:val="single"/>
          </w:rPr>
          <w:t>https://doi.org/10.1108/ijppm-02-2022-0080</w:t>
        </w:r>
      </w:hyperlink>
      <w:r>
        <w:t xml:space="preserve">. </w:t>
      </w:r>
    </w:p>
    <w:p w:rsidR="00FF2E23" w:rsidRDefault="000A768F">
      <w:pPr>
        <w:rPr>
          <w:u w:val="single"/>
        </w:rPr>
      </w:pPr>
      <w:r>
        <w:t xml:space="preserve">Rhymer, J. (2023) ‘Location-independent organizations: Designing collaboration across space and time.’ </w:t>
      </w:r>
      <w:r>
        <w:rPr>
          <w:i/>
        </w:rPr>
        <w:t>Administrative Science Quarterly</w:t>
      </w:r>
      <w:r>
        <w:t xml:space="preserve">, </w:t>
      </w:r>
      <w:r>
        <w:rPr>
          <w:i/>
        </w:rPr>
        <w:t>68</w:t>
      </w:r>
      <w:r>
        <w:t>(1), pp. 1-43.</w:t>
      </w:r>
      <w:hyperlink r:id="rId36">
        <w:r>
          <w:rPr>
            <w:color w:val="0000FF"/>
            <w:u w:val="single"/>
          </w:rPr>
          <w:t xml:space="preserve"> https://doi.org/10.1177/00018392221129175</w:t>
        </w:r>
      </w:hyperlink>
    </w:p>
    <w:p w:rsidR="00FF2E23" w:rsidRDefault="000A768F">
      <w:r>
        <w:lastRenderedPageBreak/>
        <w:t xml:space="preserve">SHRM (2024) </w:t>
      </w:r>
      <w:r>
        <w:rPr>
          <w:i/>
        </w:rPr>
        <w:t>Strategic Workforce Planning: Navigating the Future of HR</w:t>
      </w:r>
      <w:r>
        <w:t xml:space="preserve">, </w:t>
      </w:r>
      <w:r>
        <w:rPr>
          <w:i/>
        </w:rPr>
        <w:t>Shrm.org</w:t>
      </w:r>
      <w:r>
        <w:t xml:space="preserve">. Available at: </w:t>
      </w:r>
      <w:hyperlink r:id="rId37">
        <w:r>
          <w:rPr>
            <w:color w:val="1155CC"/>
            <w:u w:val="single"/>
          </w:rPr>
          <w:t>https://www.shrm.org/in/labs/resources/strategic-workforce-planning-navigating-the-future-of-hr</w:t>
        </w:r>
      </w:hyperlink>
      <w:r>
        <w:t xml:space="preserve"> (Accessed: 7 October 2025).</w:t>
      </w:r>
    </w:p>
    <w:p w:rsidR="00FF2E23" w:rsidRDefault="000A768F">
      <w:r>
        <w:t xml:space="preserve">Williams, T., Kallas, E., Garcia, E., Fitzroy, A. and Sithole, P. (2024) ‘International business expansion strategies: A data-driven approach with ibm spss.’ </w:t>
      </w:r>
      <w:r>
        <w:rPr>
          <w:i/>
        </w:rPr>
        <w:t>APTISI Transactions on Management</w:t>
      </w:r>
      <w:r>
        <w:t xml:space="preserve">, </w:t>
      </w:r>
      <w:r>
        <w:rPr>
          <w:i/>
        </w:rPr>
        <w:t>8</w:t>
      </w:r>
      <w:r>
        <w:t>(2), pp. 131-138.</w:t>
      </w:r>
      <w:hyperlink r:id="rId38">
        <w:r>
          <w:rPr>
            <w:color w:val="0000FF"/>
            <w:u w:val="single"/>
          </w:rPr>
          <w:t xml:space="preserve"> https://pdfs.semanticscholar.org/f431/bca14aa174b86fe68a86e9d8bc70dea02ebf.pdf</w:t>
        </w:r>
      </w:hyperlink>
      <w:r>
        <w:t xml:space="preserve"> </w:t>
      </w:r>
    </w:p>
    <w:p w:rsidR="00FF2E23" w:rsidRDefault="00FF2E23"/>
    <w:sectPr w:rsidR="00FF2E23">
      <w:footerReference w:type="default" r:id="rId39"/>
      <w:footerReference w:type="first" r:id="rId40"/>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6722D" w:rsidRDefault="0006722D">
      <w:pPr>
        <w:spacing w:before="0" w:after="0" w:line="240" w:lineRule="auto"/>
      </w:pPr>
      <w:r>
        <w:separator/>
      </w:r>
    </w:p>
  </w:endnote>
  <w:endnote w:type="continuationSeparator" w:id="0">
    <w:p w:rsidR="0006722D" w:rsidRDefault="0006722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F2E23" w:rsidRDefault="000A768F">
    <w:pPr>
      <w:jc w:val="right"/>
    </w:pPr>
    <w:r>
      <w:fldChar w:fldCharType="begin"/>
    </w:r>
    <w:r>
      <w:instrText>PAGE</w:instrText>
    </w:r>
    <w:r>
      <w:fldChar w:fldCharType="separate"/>
    </w:r>
    <w:r w:rsidR="005F63C6">
      <w:rPr>
        <w:noProof/>
      </w:rPr>
      <w:t>1</w:t>
    </w:r>
    <w: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F2E23" w:rsidRDefault="00FF2E23">
    <w:pPr>
      <w:jc w:val="right"/>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6722D" w:rsidRDefault="0006722D">
      <w:pPr>
        <w:spacing w:before="0" w:after="0" w:line="240" w:lineRule="auto"/>
      </w:pPr>
      <w:r>
        <w:separator/>
      </w:r>
    </w:p>
  </w:footnote>
  <w:footnote w:type="continuationSeparator" w:id="0">
    <w:p w:rsidR="0006722D" w:rsidRDefault="0006722D">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2B24210"/>
    <w:multiLevelType w:val="multilevel"/>
    <w:tmpl w:val="5456D43A"/>
    <w:lvl w:ilvl="0">
      <w:start w:val="1"/>
      <w:numFmt w:val="lowerRoman"/>
      <w:lvlText w:val="%1."/>
      <w:lvlJc w:val="righ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F2E23"/>
    <w:rsid w:val="0006722D"/>
    <w:rsid w:val="000A768F"/>
    <w:rsid w:val="005F63C6"/>
    <w:rsid w:val="00C23EBE"/>
    <w:rsid w:val="00CF1FCE"/>
    <w:rsid w:val="00FF2E2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7EF670A5-9A9D-4674-AF8A-2340A1B589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4"/>
        <w:szCs w:val="24"/>
        <w:lang w:val="en-IN" w:eastAsia="en-IN" w:bidi="ar-SA"/>
      </w:rPr>
    </w:rPrDefault>
    <w:pPrDefault>
      <w:pPr>
        <w:spacing w:before="120" w:after="12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outlineLvl w:val="0"/>
    </w:pPr>
    <w:rPr>
      <w:b/>
      <w:sz w:val="28"/>
      <w:szCs w:val="28"/>
    </w:rPr>
  </w:style>
  <w:style w:type="paragraph" w:styleId="Heading2">
    <w:name w:val="heading 2"/>
    <w:basedOn w:val="Normal"/>
    <w:next w:val="Normal"/>
    <w:pPr>
      <w:keepNext/>
      <w:keepLines/>
      <w:spacing w:before="36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AB6A3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B6A3A"/>
    <w:rPr>
      <w:rFonts w:ascii="Tahoma" w:hAnsi="Tahoma" w:cs="Tahoma"/>
      <w:sz w:val="16"/>
      <w:szCs w:val="16"/>
    </w:rPr>
  </w:style>
  <w:style w:type="character" w:styleId="Hyperlink">
    <w:name w:val="Hyperlink"/>
    <w:basedOn w:val="DefaultParagraphFont"/>
    <w:uiPriority w:val="99"/>
    <w:unhideWhenUsed/>
    <w:rsid w:val="00AB6A3A"/>
    <w:rPr>
      <w:color w:val="0000FF" w:themeColor="hyperlink"/>
      <w:u w:val="single"/>
    </w:rPr>
  </w:style>
  <w:style w:type="paragraph" w:styleId="TOC1">
    <w:name w:val="toc 1"/>
    <w:basedOn w:val="Normal"/>
    <w:next w:val="Normal"/>
    <w:autoRedefine/>
    <w:uiPriority w:val="39"/>
    <w:unhideWhenUsed/>
    <w:rsid w:val="00AB6A3A"/>
    <w:pPr>
      <w:spacing w:after="100"/>
    </w:pPr>
  </w:style>
  <w:style w:type="paragraph" w:styleId="Header">
    <w:name w:val="header"/>
    <w:basedOn w:val="Normal"/>
    <w:link w:val="HeaderChar"/>
    <w:uiPriority w:val="99"/>
    <w:unhideWhenUsed/>
    <w:rsid w:val="00F75C83"/>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F75C83"/>
    <w:rPr>
      <w:rFonts w:ascii="Arial" w:hAnsi="Arial"/>
      <w:color w:val="000000" w:themeColor="text1"/>
    </w:rPr>
  </w:style>
  <w:style w:type="paragraph" w:styleId="Footer">
    <w:name w:val="footer"/>
    <w:basedOn w:val="Normal"/>
    <w:link w:val="FooterChar"/>
    <w:uiPriority w:val="99"/>
    <w:unhideWhenUsed/>
    <w:rsid w:val="00F75C83"/>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F75C83"/>
    <w:rPr>
      <w:rFonts w:ascii="Arial" w:hAnsi="Arial"/>
      <w:color w:val="000000" w:themeColor="text1"/>
    </w:rPr>
  </w:style>
  <w:style w:type="paragraph" w:styleId="Caption">
    <w:name w:val="caption"/>
    <w:basedOn w:val="Normal"/>
    <w:next w:val="Normal"/>
    <w:uiPriority w:val="35"/>
    <w:unhideWhenUsed/>
    <w:qFormat/>
    <w:rsid w:val="002C736C"/>
    <w:pPr>
      <w:spacing w:before="0" w:after="200" w:line="240" w:lineRule="auto"/>
    </w:pPr>
    <w:rPr>
      <w:i/>
      <w:iCs/>
      <w:color w:val="1F497D" w:themeColor="text2"/>
      <w:sz w:val="18"/>
      <w:szCs w:val="18"/>
    </w:rPr>
  </w:style>
  <w:style w:type="paragraph" w:styleId="ListParagraph">
    <w:name w:val="List Paragraph"/>
    <w:basedOn w:val="Normal"/>
    <w:uiPriority w:val="34"/>
    <w:qFormat/>
    <w:rsid w:val="00EC24DF"/>
    <w:pPr>
      <w:ind w:left="720"/>
      <w:contextualSpacing/>
    </w:pPr>
  </w:style>
  <w:style w:type="character" w:customStyle="1" w:styleId="UnresolvedMention">
    <w:name w:val="Unresolved Mention"/>
    <w:basedOn w:val="DefaultParagraphFont"/>
    <w:uiPriority w:val="99"/>
    <w:semiHidden/>
    <w:unhideWhenUsed/>
    <w:rsid w:val="00CF2FCC"/>
    <w:rPr>
      <w:color w:val="605E5C"/>
      <w:shd w:val="clear" w:color="auto" w:fill="E1DFDD"/>
    </w:rPr>
  </w:style>
  <w:style w:type="paragraph" w:styleId="TableofFigures">
    <w:name w:val="table of figures"/>
    <w:basedOn w:val="Normal"/>
    <w:next w:val="Normal"/>
    <w:uiPriority w:val="99"/>
    <w:unhideWhenUsed/>
    <w:rsid w:val="00246457"/>
    <w:pPr>
      <w:spacing w:after="0"/>
    </w:p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osglobalexpansion.com/global-hr-compliance-navigating/" TargetMode="External"/><Relationship Id="rId18" Type="http://schemas.openxmlformats.org/officeDocument/2006/relationships/hyperlink" Target="https://doi.org/10.2196/50852" TargetMode="External"/><Relationship Id="rId26" Type="http://schemas.openxmlformats.org/officeDocument/2006/relationships/hyperlink" Target="https://thedocs.worldbank.org/en/doc/5d903e848db1d1b83e0ec8f744e55570-0350012021/related/Implications-of-the-War-in-Ukraine-for-the-Global-Economy.pdf" TargetMode="External"/><Relationship Id="rId39"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cipd.org/globalassets/media/knowledge/knowledge-hub/reports/human-capital-theory-assessing-the-evidence_tcm18-22292.pdf" TargetMode="External"/><Relationship Id="rId34" Type="http://schemas.openxmlformats.org/officeDocument/2006/relationships/hyperlink" Target="https://doi.org/10.1016/j.techfore.2024.123540" TargetMode="External"/><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1186/s43093-024-00382-w" TargetMode="External"/><Relationship Id="rId25" Type="http://schemas.openxmlformats.org/officeDocument/2006/relationships/hyperlink" Target="https://doi.org/10.1177/0149206320978799" TargetMode="External"/><Relationship Id="rId33" Type="http://schemas.openxmlformats.org/officeDocument/2006/relationships/hyperlink" Target="https://doi.org/10.1080/10242694.2025.2513072" TargetMode="External"/><Relationship Id="rId38" Type="http://schemas.openxmlformats.org/officeDocument/2006/relationships/hyperlink" Target="https://pdfs.semanticscholar.org/f431/bca14aa174b86fe68a86e9d8bc70dea02ebf.pdf" TargetMode="External"/><Relationship Id="rId2" Type="http://schemas.openxmlformats.org/officeDocument/2006/relationships/numbering" Target="numbering.xml"/><Relationship Id="rId16" Type="http://schemas.openxmlformats.org/officeDocument/2006/relationships/hyperlink" Target="https://www.researchgate.net/publication/373993580_EXPLORING_DIVERSITY_EQUITY_AND_INCLUSION_DEI_IN_THE_CONTEXT_OF_HUMAN_RESOURCE_MANAGEMENT" TargetMode="External"/><Relationship Id="rId20" Type="http://schemas.openxmlformats.org/officeDocument/2006/relationships/hyperlink" Target="https://www.tsw.co.uk/blog/leadership-and-management/gibbs-reflective-cycle/" TargetMode="External"/><Relationship Id="rId29" Type="http://schemas.openxmlformats.org/officeDocument/2006/relationships/hyperlink" Target="https://www.mckinsey.com/capabilities/mckinsey-digital/our-insights/superagency-in-the-workplace-empowering-people-to-unlock-ais-full-potential-at-work"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3390/educsci15050525" TargetMode="External"/><Relationship Id="rId32" Type="http://schemas.openxmlformats.org/officeDocument/2006/relationships/hyperlink" Target="https://www.oecd.org/en/publications/2025/07/oecd-employment-outlook-2025_5345f034/full-report/component-8.html" TargetMode="External"/><Relationship Id="rId37" Type="http://schemas.openxmlformats.org/officeDocument/2006/relationships/hyperlink" Target="https://www.shrm.org/in/labs/resources/strategic-workforce-planning-navigating-the-future-of-hr" TargetMode="External"/><Relationship Id="rId40"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doi.org/10.1787/5jlz9h56dvq7-en" TargetMode="External"/><Relationship Id="rId23" Type="http://schemas.openxmlformats.org/officeDocument/2006/relationships/hyperlink" Target="https://doi.org/10.3390/electronics13244983" TargetMode="External"/><Relationship Id="rId28" Type="http://schemas.openxmlformats.org/officeDocument/2006/relationships/hyperlink" Target="https://www.reuters.com/world/europe/russias-industrial-titans-furlough-workers-its-war-economy-stalls-2025-10-09/" TargetMode="External"/><Relationship Id="rId36" Type="http://schemas.openxmlformats.org/officeDocument/2006/relationships/hyperlink" Target="https://doi.org/10.1177/00018392221129175" TargetMode="External"/><Relationship Id="rId10" Type="http://schemas.openxmlformats.org/officeDocument/2006/relationships/image" Target="media/image3.png"/><Relationship Id="rId19" Type="http://schemas.openxmlformats.org/officeDocument/2006/relationships/hyperlink" Target="https://doi.org/10.24818/ea/2024/65/126" TargetMode="External"/><Relationship Id="rId31" Type="http://schemas.openxmlformats.org/officeDocument/2006/relationships/hyperlink" Target="https://doi.org/10.3390/ijerph2203036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campusnews.com/newsline/2025/05/28/bridging-the-skills-gap-how-universities-can-align-curricula-with-workforce-needs/" TargetMode="External"/><Relationship Id="rId22" Type="http://schemas.openxmlformats.org/officeDocument/2006/relationships/hyperlink" Target="https://doi.org/10.4018/978-1-7998-2559-3.ch016" TargetMode="External"/><Relationship Id="rId27" Type="http://schemas.openxmlformats.org/officeDocument/2006/relationships/hyperlink" Target="https://doi.org/10.1016/j.techfore.2023.122878" TargetMode="External"/><Relationship Id="rId30" Type="http://schemas.openxmlformats.org/officeDocument/2006/relationships/hyperlink" Target="https://doi.org/10.3390/economies11040115" TargetMode="External"/><Relationship Id="rId35" Type="http://schemas.openxmlformats.org/officeDocument/2006/relationships/hyperlink" Target="https://doi.org/10.1108/ijppm-02-2022-008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llToqKAeSd8JEDnC24h92RIpeCQ==">CgMxLjAyDmgudW42bjdqZ2lrcGFrMg5oLnU2anRwNWM2YmQ1bDINaC5zaGhkM3FuMDY1cTIOaC5rcXpuZHpyM2g4Z2UyDmgucnQ2MmMxeG44dDk5Mg5oLmVnd2lqamcwdjZydTINaC5lcDl5cmlpN3BwdDIOaC5kcjFocDBtd2poenoyDWgubHRweDduc2Nua2gyDWguN2pwMDEzOGVpZjM4AHIhMVJEY2VCWGpyeEhmVEV5RnQ2eEZicXhPa0dvbVYyVU0w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4339</Words>
  <Characters>24737</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DAROTHY</dc:creator>
  <cp:lastModifiedBy>Microsoft account</cp:lastModifiedBy>
  <cp:revision>2</cp:revision>
  <dcterms:created xsi:type="dcterms:W3CDTF">2025-10-16T20:56:00Z</dcterms:created>
  <dcterms:modified xsi:type="dcterms:W3CDTF">2025-10-16T20:56:00Z</dcterms:modified>
</cp:coreProperties>
</file>