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BB189" w14:textId="62C748F1" w:rsidR="0097247F" w:rsidRDefault="0097247F" w:rsidP="0097247F">
      <w:pPr>
        <w:rPr>
          <w:b/>
          <w:bCs/>
        </w:rPr>
      </w:pPr>
      <w:r>
        <w:rPr>
          <w:b/>
          <w:bCs/>
        </w:rPr>
        <w:t>AC 1.1</w:t>
      </w:r>
      <w:r w:rsidR="00AB6FD8">
        <w:rPr>
          <w:b/>
          <w:bCs/>
        </w:rPr>
        <w:t xml:space="preserve"> </w:t>
      </w:r>
      <w:r w:rsidR="005704DF">
        <w:rPr>
          <w:b/>
          <w:bCs/>
        </w:rPr>
        <w:t>39</w:t>
      </w:r>
      <w:r w:rsidR="00E7509A">
        <w:rPr>
          <w:b/>
          <w:bCs/>
        </w:rPr>
        <w:t xml:space="preserve">9 </w:t>
      </w:r>
      <w:r w:rsidR="00AB6FD8">
        <w:rPr>
          <w:b/>
          <w:bCs/>
        </w:rPr>
        <w:t>words</w:t>
      </w:r>
    </w:p>
    <w:p w14:paraId="4B63DFED" w14:textId="10ABDE66" w:rsidR="005704DF" w:rsidRPr="005704DF" w:rsidRDefault="005704DF" w:rsidP="005704DF">
      <w:pPr>
        <w:rPr>
          <w:b/>
          <w:bCs/>
        </w:rPr>
      </w:pPr>
      <w:r w:rsidRPr="005704DF">
        <w:rPr>
          <w:b/>
          <w:bCs/>
        </w:rPr>
        <w:t>Daniels (2025) explains that employment regulation</w:t>
      </w:r>
      <w:r w:rsidR="003D4E3A">
        <w:rPr>
          <w:b/>
          <w:bCs/>
        </w:rPr>
        <w:t xml:space="preserve"> (</w:t>
      </w:r>
      <w:r w:rsidR="003F6FD2">
        <w:rPr>
          <w:b/>
          <w:bCs/>
        </w:rPr>
        <w:t xml:space="preserve"> ER</w:t>
      </w:r>
      <w:r w:rsidR="003D4E3A">
        <w:rPr>
          <w:b/>
          <w:bCs/>
        </w:rPr>
        <w:t>)</w:t>
      </w:r>
      <w:r w:rsidRPr="005704DF">
        <w:rPr>
          <w:b/>
          <w:bCs/>
        </w:rPr>
        <w:t xml:space="preserve"> is important because it provides the rules and structure governing the relationship between employers and employees. It sets out what we as a Trust can reasonably expect from staff, what employees are entitled to, and the rights individuals hold at work (CIPD, 2026). This is essential in an NHS Trust, where fairness, safety and consistency for employees directly support the safe, effective care we provide to patients.</w:t>
      </w:r>
    </w:p>
    <w:p w14:paraId="519269ED" w14:textId="412AB77B" w:rsidR="005704DF" w:rsidRPr="005704DF" w:rsidRDefault="005704DF" w:rsidP="005704DF">
      <w:pPr>
        <w:rPr>
          <w:b/>
          <w:bCs/>
        </w:rPr>
      </w:pPr>
      <w:r w:rsidRPr="005704DF">
        <w:rPr>
          <w:b/>
          <w:bCs/>
        </w:rPr>
        <w:t xml:space="preserve">The Employment Rights Act (ERA) 2025 builds on existing legislation, including the ERA 1996 (Acas, 2025), establishing minimum standards for pay, working hours, job security and fair dismissal. These protections help prevent unfair treatment and ensure staff have clear rights that must be followed and can be challenged if not upheld (GOV.UK, 2024). With operational pressures and staffing challenges common in </w:t>
      </w:r>
      <w:r w:rsidR="009C557B">
        <w:rPr>
          <w:b/>
          <w:bCs/>
        </w:rPr>
        <w:t>our Trust</w:t>
      </w:r>
      <w:r w:rsidRPr="005704DF">
        <w:rPr>
          <w:b/>
          <w:bCs/>
        </w:rPr>
        <w:t xml:space="preserve">, these safeguards are </w:t>
      </w:r>
      <w:r w:rsidR="003F6FD2">
        <w:rPr>
          <w:b/>
          <w:bCs/>
        </w:rPr>
        <w:t>paramount</w:t>
      </w:r>
      <w:r w:rsidRPr="005704DF">
        <w:rPr>
          <w:b/>
          <w:bCs/>
        </w:rPr>
        <w:t xml:space="preserve"> for maintaining trust, wellbeing and retention.</w:t>
      </w:r>
    </w:p>
    <w:p w14:paraId="78F69956" w14:textId="6B986C9E" w:rsidR="005704DF" w:rsidRPr="005704DF" w:rsidRDefault="003D4E3A" w:rsidP="005704DF">
      <w:pPr>
        <w:rPr>
          <w:b/>
          <w:bCs/>
        </w:rPr>
      </w:pPr>
      <w:r>
        <w:rPr>
          <w:b/>
          <w:bCs/>
        </w:rPr>
        <w:t>ER</w:t>
      </w:r>
      <w:r w:rsidR="005704DF" w:rsidRPr="005704DF">
        <w:rPr>
          <w:b/>
          <w:bCs/>
        </w:rPr>
        <w:t xml:space="preserve">  promotes fairness and equality. The Equality Act 2010 brings together laws protecting against discrimination across nine protected characteristics. This is particularly important for minority groups, who may be more vulnerable to unfair treatment. By setting clear expectations for employers, the Act encourages inclusive practice and supports greater equality across our workforce (CIPD, 2025). Regulation also strengthens Trade Unions, giving them statutory rights to represent staff and support constructive working relationships.</w:t>
      </w:r>
    </w:p>
    <w:p w14:paraId="27657C31" w14:textId="77777777" w:rsidR="005704DF" w:rsidRPr="005704DF" w:rsidRDefault="005704DF" w:rsidP="005704DF">
      <w:pPr>
        <w:rPr>
          <w:b/>
          <w:bCs/>
        </w:rPr>
      </w:pPr>
      <w:r w:rsidRPr="005704DF">
        <w:rPr>
          <w:b/>
          <w:bCs/>
        </w:rPr>
        <w:t>Regulation ensures staff work in safe, healthy conditions. The Health and Safety at Work Act 1974 requires employers to identify risks and take action to prevent harm, which is especially important in clinical environments. In NHS Wales, policies such as the All Wales Managing Attendance at Work Policy (2025) help us apply these duties consistently. The All Wales Flexible Working Policy (2025) also supports safer, sustainable working patterns by helping staff balance work and personal commitments.</w:t>
      </w:r>
    </w:p>
    <w:p w14:paraId="7B5A38B1" w14:textId="5050D6C5" w:rsidR="005704DF" w:rsidRPr="005704DF" w:rsidRDefault="007B3468" w:rsidP="005704DF">
      <w:pPr>
        <w:rPr>
          <w:b/>
          <w:bCs/>
        </w:rPr>
      </w:pPr>
      <w:r>
        <w:rPr>
          <w:b/>
          <w:bCs/>
        </w:rPr>
        <w:t>ER</w:t>
      </w:r>
      <w:r w:rsidR="005704DF" w:rsidRPr="005704DF">
        <w:rPr>
          <w:b/>
          <w:bCs/>
        </w:rPr>
        <w:t xml:space="preserve"> is shaped by external factors, including the political party in Government. Different Governments take different approaches, with some prioritising flexibility and reduced regulation, and others strengthening worker protections. The UK Government’s 2013 progress report set out three aims for the labour market</w:t>
      </w:r>
      <w:r w:rsidR="006A43B4">
        <w:rPr>
          <w:b/>
          <w:bCs/>
        </w:rPr>
        <w:t xml:space="preserve"> to be </w:t>
      </w:r>
      <w:r w:rsidR="005704DF" w:rsidRPr="005704DF">
        <w:rPr>
          <w:b/>
          <w:bCs/>
        </w:rPr>
        <w:t>flexible, effective and fair (Armstrong, 2023). The Taylor Review of Modern Working Practices (2017) also influenced regulation by calling for clearer employment status definitions, stronger worker protection and addressing one</w:t>
      </w:r>
      <w:r w:rsidR="00687482">
        <w:rPr>
          <w:rFonts w:ascii="Cambria Math" w:hAnsi="Cambria Math" w:cs="Cambria Math"/>
          <w:b/>
          <w:bCs/>
        </w:rPr>
        <w:t xml:space="preserve"> </w:t>
      </w:r>
      <w:r w:rsidR="005704DF" w:rsidRPr="005704DF">
        <w:rPr>
          <w:b/>
          <w:bCs/>
        </w:rPr>
        <w:t>sided flexibility.</w:t>
      </w:r>
    </w:p>
    <w:p w14:paraId="278869E4" w14:textId="4F3DD6C9" w:rsidR="005704DF" w:rsidRDefault="005704DF" w:rsidP="005704DF">
      <w:pPr>
        <w:rPr>
          <w:b/>
          <w:bCs/>
        </w:rPr>
      </w:pPr>
      <w:r w:rsidRPr="005704DF">
        <w:rPr>
          <w:b/>
          <w:bCs/>
        </w:rPr>
        <w:t>Overall, the 20% on employment regulation provides an essential foundation for fairness, safety and credibility across our Trust, supporting the positive employee experience work you are delivering.</w:t>
      </w:r>
    </w:p>
    <w:p w14:paraId="53C7C10D" w14:textId="77777777" w:rsidR="00346597" w:rsidRDefault="00346597" w:rsidP="0097247F">
      <w:pPr>
        <w:rPr>
          <w:b/>
          <w:bCs/>
        </w:rPr>
      </w:pPr>
    </w:p>
    <w:p w14:paraId="62070C04" w14:textId="0C847A77" w:rsidR="00346597" w:rsidRDefault="00346597" w:rsidP="0097247F">
      <w:pPr>
        <w:rPr>
          <w:b/>
          <w:bCs/>
        </w:rPr>
      </w:pPr>
      <w:r>
        <w:rPr>
          <w:b/>
          <w:bCs/>
        </w:rPr>
        <w:t>1.2 – To do</w:t>
      </w:r>
    </w:p>
    <w:p w14:paraId="5FDCAD27" w14:textId="7795404B" w:rsidR="00346597" w:rsidRDefault="00346597" w:rsidP="0097247F">
      <w:pPr>
        <w:rPr>
          <w:b/>
          <w:bCs/>
        </w:rPr>
      </w:pPr>
    </w:p>
    <w:p w14:paraId="7F71651D" w14:textId="77777777" w:rsidR="00C85A5D" w:rsidRDefault="00C85A5D" w:rsidP="0097247F">
      <w:pPr>
        <w:rPr>
          <w:b/>
          <w:bCs/>
        </w:rPr>
      </w:pPr>
    </w:p>
    <w:p w14:paraId="310526BF" w14:textId="70A28B14" w:rsidR="00C11413" w:rsidRDefault="00C85A5D" w:rsidP="0027245F">
      <w:r>
        <w:t xml:space="preserve"> 2.1</w:t>
      </w:r>
      <w:r w:rsidR="00E83F30">
        <w:t xml:space="preserve">  4</w:t>
      </w:r>
      <w:r w:rsidR="00C023DC">
        <w:t>20</w:t>
      </w:r>
    </w:p>
    <w:p w14:paraId="3884D232" w14:textId="791DD110" w:rsidR="00362E7D" w:rsidRDefault="006A1941" w:rsidP="00362E7D">
      <w:r>
        <w:t>T</w:t>
      </w:r>
      <w:r w:rsidR="00362E7D">
        <w:t>he Equality Act (EA) 2010 is the main legislation governing discrimination in recruitment and selection, replacing and harmonising earlier discrimination laws (Daniels, 2025). It identifies nine protected characteristics</w:t>
      </w:r>
      <w:r>
        <w:t xml:space="preserve">, </w:t>
      </w:r>
      <w:r w:rsidR="00362E7D">
        <w:t>age, disability, gender reassignment, marriage and civil partnership, pregnancy and maternity, race, religion or belief, sex and sexual orientation (ACAS, 2023). The Equality Act 2010 (Amendment) Regulations 2023 further strengthened protections by making it unlawful for employers to indicate an intention to discriminate during selection.</w:t>
      </w:r>
    </w:p>
    <w:p w14:paraId="5A80AA8B" w14:textId="7875C264" w:rsidR="00362E7D" w:rsidRDefault="00362E7D" w:rsidP="00362E7D">
      <w:r>
        <w:t>The Act sets out six forms of prohibited conduc</w:t>
      </w:r>
      <w:r w:rsidR="00462E68">
        <w:t xml:space="preserve">t, </w:t>
      </w:r>
      <w:r>
        <w:t>direct discrimination, indirect discrimination, associative discrimination, perceived discrimination, harassment and victimisatio</w:t>
      </w:r>
      <w:r w:rsidR="00462E68">
        <w:t xml:space="preserve">n, </w:t>
      </w:r>
      <w:r>
        <w:t>so recruitment decisions remain fair and linked to job requirements. Direct discrimination cannot be justified, even unintentionally, as illustrated in Amnesty International v Ahmed (2009) (Daniels, 2025, p.116/17).</w:t>
      </w:r>
    </w:p>
    <w:p w14:paraId="151B834B" w14:textId="77777777" w:rsidR="00362E7D" w:rsidRDefault="00362E7D" w:rsidP="00362E7D">
      <w:r>
        <w:t>Stipulating that a role must be performed by a particular sex amounts to direct sex discrimination because it excludes applicants of the opposite sex without a lawful exception. The comparator is the person who would have been rejected because of their sex. Such restrictions are only lawful where a recognised exception applies (Daniels, 2025; ACAS, 2024).</w:t>
      </w:r>
    </w:p>
    <w:p w14:paraId="5B88A431" w14:textId="63F6B9DD" w:rsidR="00362E7D" w:rsidRDefault="00362E7D" w:rsidP="00362E7D">
      <w:r>
        <w:t>One such exception is an Occupational Requirement (OR). ORs apply only where a protected characteristic is genuinely essential for the role and there is objective justification, such as one of two posts requiring a married or civil partnership couple. Schedule 9, paragraph 6(2) confirms that ORs apply solely to direct discrimination and cannot justify indirect discrimination or organisational preference (GOV.UK, 2010). A</w:t>
      </w:r>
      <w:r w:rsidR="00432E39">
        <w:t>cas</w:t>
      </w:r>
      <w:r>
        <w:t xml:space="preserve"> guidance stresses that an OR must be a proportionate means of achieving a legitimate aim and cannot be based on convenience (ACAS,  2024).</w:t>
      </w:r>
    </w:p>
    <w:p w14:paraId="240FE4BD" w14:textId="3FAAEB22" w:rsidR="00362E7D" w:rsidRDefault="00362E7D" w:rsidP="00362E7D">
      <w:r>
        <w:t>In our Trust ORs may be relevant in roles involving intimate personal care, religion</w:t>
      </w:r>
      <w:r w:rsidR="00397407">
        <w:t>/</w:t>
      </w:r>
      <w:r>
        <w:t>culture considerations or someone post</w:t>
      </w:r>
      <w:r w:rsidR="00397407">
        <w:rPr>
          <w:rFonts w:ascii="Cambria Math" w:hAnsi="Cambria Math" w:cs="Cambria Math"/>
        </w:rPr>
        <w:t xml:space="preserve"> </w:t>
      </w:r>
      <w:r>
        <w:t>trauma</w:t>
      </w:r>
      <w:r w:rsidR="006217E0">
        <w:t xml:space="preserve">, </w:t>
      </w:r>
      <w:r>
        <w:t>for example, in forensic S</w:t>
      </w:r>
      <w:r>
        <w:rPr>
          <w:rFonts w:ascii="Cambria Math" w:hAnsi="Cambria Math" w:cs="Cambria Math"/>
        </w:rPr>
        <w:t>‑</w:t>
      </w:r>
      <w:r>
        <w:t>CAMHS services, individuals referred following sexual assault may only feel safe being examined or counselled by a practitioner of the same sex, making this a legitimate OR (HDUHB, 2025; CIPD, 2025). Supporting case law includes Etam plc v Rowan (1989), where requiring a female changing room attendant was held lawful to protect privacy and dignity (Daniels, 2025).</w:t>
      </w:r>
    </w:p>
    <w:p w14:paraId="10C6E095" w14:textId="77777777" w:rsidR="00362E7D" w:rsidRDefault="00362E7D" w:rsidP="00362E7D">
      <w:r>
        <w:t>If discrimination occurs, an Employment Tribunal may issue a declaration, award compensation and make recommendations. There is no cap on discrimination compensation, which can include financial loss and injury to feelings, assessed using the Vento bands from Vento v Chief Constable of West Yorkshire Police (2023) (Daniels, 2025). The Equality and Human Rights Commission provides statutory Codes of Practice and has enforcement powers for serious breaches (EHRC, 2026).</w:t>
      </w:r>
    </w:p>
    <w:p w14:paraId="15C5AC92" w14:textId="0263C70E" w:rsidR="00362E7D" w:rsidRDefault="00362E7D" w:rsidP="00362E7D">
      <w:r>
        <w:t xml:space="preserve">Taking this into account, ORs should be applied with </w:t>
      </w:r>
      <w:r w:rsidR="00700E27">
        <w:t>ca</w:t>
      </w:r>
      <w:r w:rsidR="00C023DC">
        <w:t>ution.</w:t>
      </w:r>
    </w:p>
    <w:p w14:paraId="23EA6E0D" w14:textId="77777777" w:rsidR="00C023DC" w:rsidRDefault="00C023DC" w:rsidP="00362E7D"/>
    <w:p w14:paraId="794F3200" w14:textId="77777777" w:rsidR="00442571" w:rsidRDefault="00442571" w:rsidP="00A601A8">
      <w:hyperlink r:id="rId4" w:history="1">
        <w:r w:rsidRPr="00442571">
          <w:rPr>
            <w:rStyle w:val="Hyperlink"/>
          </w:rPr>
          <w:t>Our enforcement powers | EHRC</w:t>
        </w:r>
      </w:hyperlink>
      <w:r>
        <w:t xml:space="preserve"> 2026 </w:t>
      </w:r>
    </w:p>
    <w:p w14:paraId="77B68257" w14:textId="1CB9D428" w:rsidR="003C4931" w:rsidRDefault="001F5BA2" w:rsidP="00A601A8">
      <w:r>
        <w:t>2.2</w:t>
      </w:r>
      <w:r w:rsidR="003C4931">
        <w:t xml:space="preserve">  </w:t>
      </w:r>
      <w:r w:rsidR="00801C61">
        <w:t>4</w:t>
      </w:r>
      <w:r w:rsidR="00106F70">
        <w:t>2</w:t>
      </w:r>
      <w:r w:rsidR="00D57C99">
        <w:t>8</w:t>
      </w:r>
    </w:p>
    <w:p w14:paraId="77E4E292" w14:textId="64FF3EEB" w:rsidR="002E7B34" w:rsidRDefault="002E7B34" w:rsidP="002E7B34">
      <w:r>
        <w:t>It is imperative that we adhere to the Equality Act 2010, particularly the equal pay provision. The Act requires men and women to receive equal pay for equal work across all contractual terms, with comparisons only between men and women (Daniels, 2025). Equal pay is enforced through the sex equality clause, correcting any contract with less favourable terms. It covers basic pay, bonuses, overtime, performance</w:t>
      </w:r>
      <w:r>
        <w:rPr>
          <w:rFonts w:ascii="Cambria Math" w:hAnsi="Cambria Math" w:cs="Cambria Math"/>
        </w:rPr>
        <w:t>‑</w:t>
      </w:r>
      <w:r>
        <w:t>related pay, redundancy payments, pensions, sick pay, travel allowances, company cars and benefits in kind. These protections apply to employees, workers, apprentices and self</w:t>
      </w:r>
      <w:r>
        <w:rPr>
          <w:rFonts w:ascii="Cambria Math" w:hAnsi="Cambria Math" w:cs="Cambria Math"/>
        </w:rPr>
        <w:t>‑</w:t>
      </w:r>
      <w:r>
        <w:t>employed individuals who personally carry out the work, whether full</w:t>
      </w:r>
      <w:r w:rsidR="00106F70">
        <w:t>. P</w:t>
      </w:r>
      <w:r>
        <w:t>art</w:t>
      </w:r>
      <w:r w:rsidR="00106F70">
        <w:rPr>
          <w:rFonts w:ascii="Cambria Math" w:hAnsi="Cambria Math" w:cs="Cambria Math"/>
        </w:rPr>
        <w:t xml:space="preserve"> </w:t>
      </w:r>
      <w:r>
        <w:t>time or temporary (CIPD, 2025).</w:t>
      </w:r>
    </w:p>
    <w:p w14:paraId="22D4EB82" w14:textId="77777777" w:rsidR="002E7B34" w:rsidRDefault="002E7B34" w:rsidP="002E7B34">
      <w:r>
        <w:t>If we uplift the two male HCAs, the predominantly female workforce could identify them as legitimate comparators. A comparator must be a real person of the opposite sex receiving more favourable contractual terms for equal work (EHRC, 2021). With 80% of HCAs being women, the likelihood is high.</w:t>
      </w:r>
    </w:p>
    <w:p w14:paraId="5D5BA66D" w14:textId="77777777" w:rsidR="002E7B34" w:rsidRDefault="002E7B34" w:rsidP="002E7B34">
      <w:r>
        <w:t>Equal work is assessed through like work, work rated as equivalent, and work of equal value (CIPD, 2025). Like work involves broadly similar duties, as in Capper Pass v Lawton (1977). Work rated as equivalent applies where a valid analytical job evaluation scheme exists, as in Springboard Sunderland Trust v Robson (1992). Work of equal value applies where roles differ but require similar skill, effort and responsibility. Asda Stores Ltd v Brierley (2021) confirmed comparators may come from different locations (Daniels, 2025). Following the 2024 Amendments, comparators may also come from different organisations where pay is attributable to a single source (CIPD, 2025).</w:t>
      </w:r>
    </w:p>
    <w:p w14:paraId="200C9963" w14:textId="77777777" w:rsidR="002E7B34" w:rsidRDefault="002E7B34" w:rsidP="002E7B34">
      <w:r>
        <w:t>Within NHS Wales, all roles must be evaluated using the NHS Wales Job Evaluation and Equal Pay Policies with nationally agreed scoring (NHS Wales, 2025). Any uplift must therefore be supported by clear evidence that duties align with Band B requirements. We must also comply with the Public Sector Equality Duty to avoid reinforcing gender inequality (Daniels, 2025).</w:t>
      </w:r>
    </w:p>
    <w:p w14:paraId="1E653320" w14:textId="77777777" w:rsidR="002E7B34" w:rsidRDefault="002E7B34" w:rsidP="002E7B34">
      <w:r>
        <w:t>Although separate from equal pay, uplifting male staff in an 80% female workforce could widen the gender pay gap and undermine fairness (CIPD, 2025). The Dagenham Ford sewing machinists’ strike shows how unfair grading disadvantages women; their 1968 action led to the Equal Pay Act 1970 and highlights the need for transparent, fair pay structures (TUC, 2025).</w:t>
      </w:r>
    </w:p>
    <w:p w14:paraId="20568285" w14:textId="2B670308" w:rsidR="002E7B34" w:rsidRDefault="002E7B34" w:rsidP="002E7B34">
      <w:r>
        <w:t>If we were to lose an equal pay claim, a tribunal could order up to six years’ back pay plus interest and require a published equal pay audit (EHRC, 2021). I cannot approve the uplift without robust evidence that the two male HCAs are performing Band B duties in line with the Equality Act 2010 and NHS Wales policies.</w:t>
      </w:r>
    </w:p>
    <w:p w14:paraId="516F8141" w14:textId="2F5B0773" w:rsidR="00E8626F" w:rsidRDefault="00FC76A0" w:rsidP="00684AA9">
      <w:r>
        <w:t>3.1</w:t>
      </w:r>
      <w:r w:rsidR="003C4931">
        <w:t xml:space="preserve">  </w:t>
      </w:r>
      <w:r w:rsidR="0093005B">
        <w:t xml:space="preserve">- </w:t>
      </w:r>
      <w:r w:rsidR="00C0422A">
        <w:t>4</w:t>
      </w:r>
      <w:r w:rsidR="00BF2799">
        <w:t>3</w:t>
      </w:r>
      <w:r w:rsidR="000D3ECB">
        <w:t>4</w:t>
      </w:r>
    </w:p>
    <w:p w14:paraId="13F6B5E8" w14:textId="77777777" w:rsidR="00BF2799" w:rsidRDefault="00BF2799" w:rsidP="00BF2799">
      <w:r>
        <w:t>Section 95(1)(c) of the Employment Rights Act 1996 defines constructive dismissal as a situation where an employee resigns because of their employer’s conduct, in circumstances where they are entitled to leave without notice (legislation.gov.uk). It arises where an employer commits a repudiatory breach of contract so serious that the employee cannot reasonably be expected to continue working (CIPD, 2026). Daniels (2025) notes this may involve breaching an express contractual term, such as working hours, or undermining the implied duty of mutual trust and confidence, as in Western Excavating (ECC) Ltd v Sharp (1978).</w:t>
      </w:r>
    </w:p>
    <w:p w14:paraId="7AAD4617" w14:textId="3663869C" w:rsidR="00BF2799" w:rsidRDefault="00BF2799" w:rsidP="00BF2799">
      <w:r>
        <w:t>Daniels identifies three elements</w:t>
      </w:r>
      <w:r w:rsidR="00733E41">
        <w:t xml:space="preserve">, </w:t>
      </w:r>
      <w:r>
        <w:t>a fundamental breach, resignation because of that breach, and resignation without undue delay. Even where an employer has a legitimate business reason for altering a contractual term, they cannot impose the change unilaterally. If they do and the employee resigns, this may amount to constructive dismissal, as in Hepworth Heating Ltd v Akers (2023), where imposed changes to working arrangements without agreement were held to be a contractual breach. Mruke v Khan (2018) confirms the breach must be the reason, or a significant part of the reason, for the resignation.</w:t>
      </w:r>
    </w:p>
    <w:p w14:paraId="6466E520" w14:textId="16052E08" w:rsidR="00BF2799" w:rsidRDefault="00BF2799" w:rsidP="00BF2799">
      <w:r>
        <w:t>The radiographer can bring a claim if they have two years’ service and employee status, although this may be lower where exclusions apply, such as asserting rights under the Working Time Regulations</w:t>
      </w:r>
      <w:r w:rsidR="00142F9C">
        <w:t xml:space="preserve"> 1998</w:t>
      </w:r>
      <w:r>
        <w:t>. They must contact Acas and have three months minus one day from resignation to bring a claim, with Early Conciliation pausing the time limit. They must also leave promptly following the breach to avoid</w:t>
      </w:r>
      <w:r w:rsidR="00EA4884">
        <w:t xml:space="preserve"> agreeing</w:t>
      </w:r>
      <w:r>
        <w:t xml:space="preserve"> the new terms and should explain their reasons for resigning (Acas, 2026).</w:t>
      </w:r>
    </w:p>
    <w:p w14:paraId="5A70F7BB" w14:textId="5FC3A659" w:rsidR="00BF2799" w:rsidRDefault="00BF2799" w:rsidP="00BF2799">
      <w:r>
        <w:t>Unilateral changes to contractual terms, including working hours, are a common cause of constructive dismissal claims because they affect worklife balance and pay (People Management, 2024). The Trust cannot change hours without agreement unless a justifiable flexibility clause exists (CIPD, 2025), and even then Acas stresses meaningful consultation, explaining reasons, listening to concerns and exploring alternatives (Acas, 2026). Imposing new hours without consultation or presenting the change as non</w:t>
      </w:r>
      <w:r>
        <w:rPr>
          <w:rFonts w:ascii="Cambria Math" w:hAnsi="Cambria Math" w:cs="Cambria Math"/>
        </w:rPr>
        <w:t>‑</w:t>
      </w:r>
      <w:r>
        <w:t>negotiable could amount to a repudiatory breach.</w:t>
      </w:r>
    </w:p>
    <w:p w14:paraId="44763401" w14:textId="137D8EDB" w:rsidR="00005987" w:rsidRDefault="00A42924" w:rsidP="00BF2799">
      <w:r>
        <w:t>F</w:t>
      </w:r>
      <w:r w:rsidR="00BF2799">
        <w:t>lexibility clause does not remove the requirement to act fairly, and employees must be informed beforehand, as</w:t>
      </w:r>
      <w:r w:rsidR="000D3ECB">
        <w:t xml:space="preserve"> the case</w:t>
      </w:r>
      <w:r w:rsidR="00BF2799">
        <w:t xml:space="preserve"> in United Bank Ltd v Akhtar (1989). Constructive dismissal may also arise from a series of incidents, such as rota issues or expectations to stay late, which cumulatively justify resignation, as in Lewis v Motorworld Garages Ltd (1986) (Daniels, 2025). Reviewing the contract, documentation and consultation process is essential, and early communication helps prevent similar issues, even where collective consultation is not required under the Trade Union and Labour Relations (Consolidation) Act 1992.</w:t>
      </w:r>
    </w:p>
    <w:p w14:paraId="2EAFC8AD" w14:textId="57E72797" w:rsidR="00005987" w:rsidRDefault="00310C09" w:rsidP="00E8626F">
      <w:r>
        <w:t>3.2 4</w:t>
      </w:r>
      <w:r w:rsidR="00E53DD7">
        <w:t xml:space="preserve">37 </w:t>
      </w:r>
    </w:p>
    <w:p w14:paraId="22C25A69" w14:textId="77777777" w:rsidR="002020CF" w:rsidRDefault="002020CF" w:rsidP="002020CF">
      <w:r>
        <w:t>50 posts are to be lost, amounting to collective redundancy consultation with recognised trade unions or elected representatives under s.188 TULRCA 1992. As more than 20 but fewer than 100 roles are affected within a 90</w:t>
      </w:r>
      <w:r>
        <w:rPr>
          <w:rFonts w:ascii="Cambria Math" w:hAnsi="Cambria Math" w:cs="Cambria Math"/>
        </w:rPr>
        <w:t>‑</w:t>
      </w:r>
      <w:r>
        <w:t>day period, consultation must begin at least 30 days before the first dismissal (Daniels, 2025). It must be meaningful, early enough for staff to influence proposals, and completed before decisions are finalised (Acas, 2024).</w:t>
      </w:r>
    </w:p>
    <w:p w14:paraId="15134284" w14:textId="05AFF356" w:rsidR="002020CF" w:rsidRDefault="002020CF" w:rsidP="002020CF">
      <w:r>
        <w:t>We must give TUs written information on the reasons for the proposals, numbers affected, total employees of that description, proposed selection methods, the method and timing of dismissals, and how redundancy pay will be calculated. Details of agency worker</w:t>
      </w:r>
      <w:r w:rsidR="007477C8">
        <w:t xml:space="preserve">, </w:t>
      </w:r>
      <w:r>
        <w:t>numbers engaged, duties and location</w:t>
      </w:r>
      <w:r w:rsidR="007477C8">
        <w:t xml:space="preserve">s </w:t>
      </w:r>
      <w:r>
        <w:t>must also be provided (Daniels, 2025). UNISON (2026) notes that early, clear engagement reduces legal risk.</w:t>
      </w:r>
    </w:p>
    <w:p w14:paraId="1EEB89A9" w14:textId="77777777" w:rsidR="002020CF" w:rsidRDefault="002020CF" w:rsidP="002020CF">
      <w:r>
        <w:t>Redundancies must be genuine. The three</w:t>
      </w:r>
      <w:r>
        <w:rPr>
          <w:rFonts w:ascii="Cambria Math" w:hAnsi="Cambria Math" w:cs="Cambria Math"/>
        </w:rPr>
        <w:t>‑</w:t>
      </w:r>
      <w:r>
        <w:t>stage test from Safeway Stores v Burrell (1997) may assist (Daniels, 2025). Under s.139(1) ERA 1996, redundancy applies where the need for employees to carry out work of a particular kind has ceased or diminished. The CIPD (2026) highlights alternatives such as voluntary redundancy, redeployment, vacancy freezes and reducing agency usage.</w:t>
      </w:r>
    </w:p>
    <w:p w14:paraId="4D0CEBB7" w14:textId="2D67AE44" w:rsidR="002020CF" w:rsidRDefault="002020CF" w:rsidP="002020CF">
      <w:r>
        <w:t>Selection must be fair and based on an appropriate pool. Williams v Compair Maxam (1982) emphasises objective criteria</w:t>
      </w:r>
      <w:r w:rsidR="00D01668">
        <w:t xml:space="preserve">, </w:t>
      </w:r>
      <w:r>
        <w:t xml:space="preserve">Hendy Banks City Print v Fairbrother (2007) warns against narrow pools; and Mogane v Bradford Teaching Hospitals (2022) </w:t>
      </w:r>
      <w:r w:rsidR="004F61C9">
        <w:t xml:space="preserve">established </w:t>
      </w:r>
      <w:r>
        <w:t>that a pool of one requires strong justification. The ET assesses whether a fair process was followed (Daniels, 2025). Bumping should also be considered (Acas, 2024).</w:t>
      </w:r>
    </w:p>
    <w:p w14:paraId="03BBA4B9" w14:textId="7E359A14" w:rsidR="002020CF" w:rsidRDefault="002020CF" w:rsidP="002020CF">
      <w:r>
        <w:t>Criteria must be objective and no</w:t>
      </w:r>
      <w:r w:rsidR="004F61C9">
        <w:t xml:space="preserve">t </w:t>
      </w:r>
      <w:r>
        <w:t>discriminatory, focusing on skills, qualifications, performance and accurate attendance data excluding disability</w:t>
      </w:r>
      <w:r w:rsidR="00E53DD7">
        <w:rPr>
          <w:rFonts w:ascii="Cambria Math" w:hAnsi="Cambria Math" w:cs="Cambria Math"/>
        </w:rPr>
        <w:t xml:space="preserve"> </w:t>
      </w:r>
      <w:r>
        <w:t>related absences (CIPD, 2026). Poorly evidenced or discriminatory decisions heighten risk, as in Cook v Gentoo Group (2023) (GOV.UK, 2023). Pregnant employees and those on maternity leave require additional protection, as highlighted in De Bein v Eversheds (2021) (Daniels, 2025).</w:t>
      </w:r>
    </w:p>
    <w:p w14:paraId="50AB0D7F" w14:textId="77777777" w:rsidR="002020CF" w:rsidRDefault="002020CF" w:rsidP="002020CF">
      <w:r>
        <w:t>Employees with two or more years’ service are entitled to statutory redundancy pay: 1.5 weeks’ pay per year between ages 41–64, 1 week per year between 22–40, and 0.5 week per year under 22 (Acas, 2024). Weekly pay includes guaranteed overtime and contractual bonuses or commission. Statutory notice is one week per year of service, up to 12 weeks.</w:t>
      </w:r>
    </w:p>
    <w:p w14:paraId="6BD5972A" w14:textId="4D319521" w:rsidR="002020CF" w:rsidRDefault="002020CF" w:rsidP="002020CF">
      <w:r>
        <w:t>Alongside collective consultation, each affected employee must receive individual consultation and may be accompanied by a TU representative or colleague. Suitable alternative roles must be explored, and eligible employees are entitled to reasonable paid time off to seek new work (GOV.UK, 2025). Failure to consult properly may result in a protective award of up to 90 days’ pay. Rushing the process or relying solely on poor performance increases legal risk.</w:t>
      </w:r>
    </w:p>
    <w:p w14:paraId="7112867B" w14:textId="5CF5D3A4" w:rsidR="009F7C3B" w:rsidRDefault="006833D1" w:rsidP="006833D1">
      <w:pPr>
        <w:rPr>
          <w:b/>
          <w:bCs/>
        </w:rPr>
      </w:pPr>
      <w:r w:rsidRPr="006833D1">
        <w:rPr>
          <w:b/>
          <w:bCs/>
        </w:rPr>
        <w:t>.</w:t>
      </w:r>
      <w:r w:rsidR="00117AC9">
        <w:rPr>
          <w:b/>
          <w:bCs/>
        </w:rPr>
        <w:t>3.3</w:t>
      </w:r>
      <w:r w:rsidR="00077FFB">
        <w:rPr>
          <w:b/>
          <w:bCs/>
        </w:rPr>
        <w:t xml:space="preserve">  </w:t>
      </w:r>
      <w:r w:rsidR="00422830">
        <w:rPr>
          <w:b/>
          <w:bCs/>
        </w:rPr>
        <w:t>4</w:t>
      </w:r>
      <w:r w:rsidR="005549A5">
        <w:rPr>
          <w:b/>
          <w:bCs/>
        </w:rPr>
        <w:t>00</w:t>
      </w:r>
    </w:p>
    <w:p w14:paraId="0550C2B7" w14:textId="5EDB177E" w:rsidR="007C14B0" w:rsidRPr="007C14B0" w:rsidRDefault="00852D8C" w:rsidP="007C14B0">
      <w:pPr>
        <w:rPr>
          <w:b/>
          <w:bCs/>
        </w:rPr>
      </w:pPr>
      <w:r>
        <w:rPr>
          <w:b/>
          <w:bCs/>
        </w:rPr>
        <w:t>T</w:t>
      </w:r>
      <w:r w:rsidR="007C14B0" w:rsidRPr="007C14B0">
        <w:rPr>
          <w:b/>
          <w:bCs/>
        </w:rPr>
        <w:t>ransfer of Undertakings (Protection of Employment) Regulations 2006 (TUPE) apply across the UK and are compulsory (CIPD, 2025). TUPE covers two types of transfer</w:t>
      </w:r>
      <w:r>
        <w:rPr>
          <w:b/>
          <w:bCs/>
        </w:rPr>
        <w:t xml:space="preserve">, </w:t>
      </w:r>
      <w:r w:rsidR="007C14B0" w:rsidRPr="007C14B0">
        <w:rPr>
          <w:b/>
          <w:bCs/>
        </w:rPr>
        <w:t xml:space="preserve"> a business transfer, where an undertaking moves to a new employer, and a service provision change, where service delivery shifts between providers (Acas, 2026).</w:t>
      </w:r>
    </w:p>
    <w:p w14:paraId="064A8821" w14:textId="77777777" w:rsidR="007C14B0" w:rsidRPr="007C14B0" w:rsidRDefault="007C14B0" w:rsidP="007C14B0">
      <w:pPr>
        <w:rPr>
          <w:b/>
          <w:bCs/>
        </w:rPr>
      </w:pPr>
      <w:r w:rsidRPr="007C14B0">
        <w:rPr>
          <w:b/>
          <w:bCs/>
        </w:rPr>
        <w:t>The merger of the neighbouring Trust’s pharmacy service into a centralised unit within our Trust is a business transfer. The employer changes, but the service continues with the same staff and structure, so TUPE applies. The neighbouring Trust is the transferor and our Trust the transferee (CIPD, 2025).</w:t>
      </w:r>
    </w:p>
    <w:p w14:paraId="7454FC74" w14:textId="064827D5" w:rsidR="007C14B0" w:rsidRPr="007C14B0" w:rsidRDefault="007C14B0" w:rsidP="007C14B0">
      <w:pPr>
        <w:rPr>
          <w:b/>
          <w:bCs/>
        </w:rPr>
      </w:pPr>
      <w:r w:rsidRPr="007C14B0">
        <w:rPr>
          <w:b/>
          <w:bCs/>
        </w:rPr>
        <w:t>All assigned employees automatically transfer on existing terms. Continuity of service, contracts, trade union recognition, collective agreements and contractual right</w:t>
      </w:r>
      <w:r w:rsidR="00742724">
        <w:rPr>
          <w:b/>
          <w:bCs/>
        </w:rPr>
        <w:t xml:space="preserve">, </w:t>
      </w:r>
      <w:r w:rsidRPr="007C14B0">
        <w:rPr>
          <w:b/>
          <w:bCs/>
        </w:rPr>
        <w:t>including pay, hours, leave and enhancements</w:t>
      </w:r>
      <w:r w:rsidR="00742724">
        <w:rPr>
          <w:b/>
          <w:bCs/>
        </w:rPr>
        <w:t xml:space="preserve"> </w:t>
      </w:r>
      <w:r w:rsidRPr="007C14B0">
        <w:rPr>
          <w:b/>
          <w:bCs/>
        </w:rPr>
        <w:t xml:space="preserve">remain unchanged (Daniels, 2025). The Royal College of Nursing (2024) stresses that NHS staff must not suffer detriment during organisational change. TUPE also protects employees from dismissal where the main reason is the transfer; Taylor v Connex South Eastern Ltd (2000) </w:t>
      </w:r>
      <w:r w:rsidR="00E45514">
        <w:rPr>
          <w:b/>
          <w:bCs/>
        </w:rPr>
        <w:t>establishes</w:t>
      </w:r>
      <w:r w:rsidRPr="007C14B0">
        <w:rPr>
          <w:b/>
          <w:bCs/>
        </w:rPr>
        <w:t xml:space="preserve"> such dismissals are automatically unfair unless justified by a genuine economic, technical or organisational (ETO) reason (Daniels, 2025).</w:t>
      </w:r>
    </w:p>
    <w:p w14:paraId="7B65DD42" w14:textId="33A09A78" w:rsidR="007C14B0" w:rsidRPr="007C14B0" w:rsidRDefault="007C14B0" w:rsidP="007C14B0">
      <w:pPr>
        <w:rPr>
          <w:b/>
          <w:bCs/>
        </w:rPr>
      </w:pPr>
      <w:r w:rsidRPr="007C14B0">
        <w:rPr>
          <w:b/>
          <w:bCs/>
        </w:rPr>
        <w:t xml:space="preserve">TUPE significantly restricts harmonising terms. Changes cannot be made simply for consistency, employees </w:t>
      </w:r>
      <w:r w:rsidR="001D640D">
        <w:rPr>
          <w:b/>
          <w:bCs/>
        </w:rPr>
        <w:t xml:space="preserve">can </w:t>
      </w:r>
      <w:r w:rsidRPr="007C14B0">
        <w:rPr>
          <w:b/>
          <w:bCs/>
        </w:rPr>
        <w:t>revert to original terms. Any variation requires a genuine ETO reason involving workforce changes and employee agreement. Berriman v Delabole Slate Ltd (1985) held that an ETO reason must involve real workforce change, and Lewis v Dow Silicones UK Ltd (2024) shows employers must evidence this. Location changes may constitute an organisational ETO reason (CIPD, 2025).</w:t>
      </w:r>
    </w:p>
    <w:p w14:paraId="0DE61535" w14:textId="3F641EF9" w:rsidR="007C14B0" w:rsidRPr="007C14B0" w:rsidRDefault="007C14B0" w:rsidP="007C14B0">
      <w:pPr>
        <w:rPr>
          <w:b/>
          <w:bCs/>
        </w:rPr>
      </w:pPr>
      <w:r w:rsidRPr="007C14B0">
        <w:rPr>
          <w:b/>
          <w:bCs/>
        </w:rPr>
        <w:t xml:space="preserve">Employees may refuse to transfer, but this is treated as resignation and usually does not </w:t>
      </w:r>
      <w:r w:rsidR="00B34171">
        <w:rPr>
          <w:b/>
          <w:bCs/>
        </w:rPr>
        <w:t xml:space="preserve">warrant </w:t>
      </w:r>
      <w:r w:rsidRPr="007C14B0">
        <w:rPr>
          <w:b/>
          <w:bCs/>
        </w:rPr>
        <w:t>redundancy pay. If the transfer results in material detriment, employees may claim constructive dismissal, requiring two years’ service (Acas, 2026).</w:t>
      </w:r>
    </w:p>
    <w:p w14:paraId="4EC838D7" w14:textId="77777777" w:rsidR="007C14B0" w:rsidRPr="007C14B0" w:rsidRDefault="007C14B0" w:rsidP="007C14B0">
      <w:pPr>
        <w:rPr>
          <w:b/>
          <w:bCs/>
        </w:rPr>
      </w:pPr>
      <w:r w:rsidRPr="007C14B0">
        <w:rPr>
          <w:b/>
          <w:bCs/>
        </w:rPr>
        <w:t>The transferor must provide Employee Liability Information at least 28 days before transfer, including employment particulars, collective agreements and disciplinary or legal cases from the previous two years. Failure can lead to financial penalties, as in Born London Ltd v Spire Production Services Ltd (2017) (Daniels, 2025; Acas, 2026).</w:t>
      </w:r>
    </w:p>
    <w:p w14:paraId="419E18CB" w14:textId="72397ED9" w:rsidR="007C14B0" w:rsidRDefault="007C14B0" w:rsidP="007C14B0">
      <w:pPr>
        <w:rPr>
          <w:b/>
          <w:bCs/>
        </w:rPr>
      </w:pPr>
      <w:r w:rsidRPr="007C14B0">
        <w:rPr>
          <w:b/>
          <w:bCs/>
        </w:rPr>
        <w:t>Both Trusts must inform and consult recognised unions or representatives on the transfer, timing, implications and proposed measures. Failure can result in protective awards of up to 13 weeks’ pay (CIPD, 2025). The Social Partnership Forum (2023) emphasises early, transparent engagement. For this merger, effective planning, due diligence, workforce mapping and strong partnership working—supported by Legal Services—will be essential (Acas, 2026).</w:t>
      </w:r>
    </w:p>
    <w:p w14:paraId="4140AC10" w14:textId="6111A602" w:rsidR="00EC5676" w:rsidRDefault="0050779E" w:rsidP="00D26E4B">
      <w:pPr>
        <w:rPr>
          <w:b/>
          <w:bCs/>
        </w:rPr>
      </w:pPr>
      <w:r>
        <w:rPr>
          <w:b/>
          <w:bCs/>
        </w:rPr>
        <w:t xml:space="preserve">4.1 </w:t>
      </w:r>
      <w:r w:rsidR="00ED7D83">
        <w:rPr>
          <w:b/>
          <w:bCs/>
        </w:rPr>
        <w:t>418</w:t>
      </w:r>
    </w:p>
    <w:p w14:paraId="2B9E0982" w14:textId="77777777" w:rsidR="00855077" w:rsidRPr="00855077" w:rsidRDefault="00855077" w:rsidP="00855077">
      <w:pPr>
        <w:rPr>
          <w:b/>
          <w:bCs/>
        </w:rPr>
      </w:pPr>
      <w:r w:rsidRPr="00855077">
        <w:rPr>
          <w:b/>
          <w:bCs/>
        </w:rPr>
        <w:t>Bank nursing staff are classed as workers. Section 230(3) of the ERA 1996 defines a worker as someone who undertakes work personally but is not working as part of their own business (Daniels, 2025). Acas notes that workers usually have irregular or non</w:t>
      </w:r>
      <w:r w:rsidRPr="00855077">
        <w:rPr>
          <w:rFonts w:ascii="Cambria Math" w:hAnsi="Cambria Math" w:cs="Cambria Math"/>
          <w:b/>
          <w:bCs/>
        </w:rPr>
        <w:t>‑</w:t>
      </w:r>
      <w:r w:rsidRPr="00855077">
        <w:rPr>
          <w:b/>
          <w:bCs/>
        </w:rPr>
        <w:t>guaranteed hours and only carry out work they agree to (Acas, 2024). This reflects NHS bank staff, who pick up shifts as needed with no obligation to accept work. Their worker status gives them statutory paid annual leave and determines how holiday pay must be calculated. The CIPD confirms that all workers must receive paid annual leave and holiday pay based on normal earnings (CIPD, 2026).</w:t>
      </w:r>
    </w:p>
    <w:p w14:paraId="68DF9784" w14:textId="3107B077" w:rsidR="00855077" w:rsidRPr="00855077" w:rsidRDefault="00855077" w:rsidP="00855077">
      <w:pPr>
        <w:rPr>
          <w:b/>
          <w:bCs/>
        </w:rPr>
      </w:pPr>
      <w:r w:rsidRPr="00855077">
        <w:rPr>
          <w:b/>
          <w:bCs/>
        </w:rPr>
        <w:t xml:space="preserve">Under the Working Time Regulations 1998, workers are entitled to 5.6 weeks’ paid annual leave. </w:t>
      </w:r>
      <w:r w:rsidR="00454A19">
        <w:rPr>
          <w:b/>
          <w:bCs/>
        </w:rPr>
        <w:t xml:space="preserve">Under </w:t>
      </w:r>
      <w:r w:rsidR="00652889">
        <w:rPr>
          <w:b/>
          <w:bCs/>
        </w:rPr>
        <w:t xml:space="preserve">2024 reforms, </w:t>
      </w:r>
      <w:r w:rsidR="00454A19" w:rsidRPr="00454A19">
        <w:rPr>
          <w:b/>
          <w:bCs/>
        </w:rPr>
        <w:t>law now formally recognises workers whose paid hours change each pay period, and bank nurses fall into this group because their shifts are ad hoc and not guaranteed.</w:t>
      </w:r>
      <w:r w:rsidRPr="00855077">
        <w:rPr>
          <w:b/>
          <w:bCs/>
        </w:rPr>
        <w:t>. From 1 April 2024, irregular hours workers accrue leave at 12.07% of hours worked in each pay period (GOV.UK, 2024).</w:t>
      </w:r>
    </w:p>
    <w:p w14:paraId="64C4943E" w14:textId="060F9BB8" w:rsidR="00855077" w:rsidRPr="00855077" w:rsidRDefault="00855077" w:rsidP="00855077">
      <w:pPr>
        <w:rPr>
          <w:b/>
          <w:bCs/>
        </w:rPr>
      </w:pPr>
      <w:r w:rsidRPr="00855077">
        <w:rPr>
          <w:b/>
          <w:bCs/>
        </w:rPr>
        <w:t>For irregular hours and part</w:t>
      </w:r>
      <w:r w:rsidRPr="00855077">
        <w:rPr>
          <w:rFonts w:ascii="Cambria Math" w:hAnsi="Cambria Math" w:cs="Cambria Math"/>
          <w:b/>
          <w:bCs/>
        </w:rPr>
        <w:t>‑</w:t>
      </w:r>
      <w:r w:rsidRPr="00855077">
        <w:rPr>
          <w:b/>
          <w:bCs/>
        </w:rPr>
        <w:t>year workers, employers now have two lawful methods for calculating holiday pay. The first is the 52</w:t>
      </w:r>
      <w:r w:rsidRPr="00855077">
        <w:rPr>
          <w:rFonts w:ascii="Cambria Math" w:hAnsi="Cambria Math" w:cs="Cambria Math"/>
          <w:b/>
          <w:bCs/>
        </w:rPr>
        <w:t>‑</w:t>
      </w:r>
      <w:r w:rsidRPr="00855077">
        <w:rPr>
          <w:b/>
          <w:bCs/>
        </w:rPr>
        <w:t>week reference period, requiring employers to look back over paid weeks to calculate average weekly pay. A week normally runs Sunday to Saturday, and the last full paid week before leave must be used (Acas, 2024). Only paid weeks count, and employers may look back up to 104 weeks to identify 52 paid weeks. Holiday pay must include payments forming part of normal remuneration, such as contractual ta</w:t>
      </w:r>
      <w:r w:rsidR="00712C48">
        <w:rPr>
          <w:b/>
          <w:bCs/>
        </w:rPr>
        <w:t xml:space="preserve">sk </w:t>
      </w:r>
      <w:r w:rsidRPr="00855077">
        <w:rPr>
          <w:b/>
          <w:bCs/>
        </w:rPr>
        <w:t>related payments, payments linked to status</w:t>
      </w:r>
      <w:r w:rsidR="00712C48">
        <w:rPr>
          <w:b/>
          <w:bCs/>
        </w:rPr>
        <w:t xml:space="preserve"> like </w:t>
      </w:r>
      <w:r w:rsidRPr="00855077">
        <w:rPr>
          <w:b/>
          <w:bCs/>
        </w:rPr>
        <w:t>length of service or qualification, and other regular payments including overtime (Acas, 2024; CIPD, 2026).</w:t>
      </w:r>
    </w:p>
    <w:p w14:paraId="647800F0" w14:textId="77777777" w:rsidR="00855077" w:rsidRPr="00855077" w:rsidRDefault="00855077" w:rsidP="00855077">
      <w:pPr>
        <w:rPr>
          <w:b/>
          <w:bCs/>
        </w:rPr>
      </w:pPr>
      <w:r w:rsidRPr="00855077">
        <w:rPr>
          <w:b/>
          <w:bCs/>
        </w:rPr>
        <w:t>The second method is rolled</w:t>
      </w:r>
      <w:r w:rsidRPr="00855077">
        <w:rPr>
          <w:rFonts w:ascii="Cambria Math" w:hAnsi="Cambria Math" w:cs="Cambria Math"/>
          <w:b/>
          <w:bCs/>
        </w:rPr>
        <w:t>‑</w:t>
      </w:r>
      <w:r w:rsidRPr="00855077">
        <w:rPr>
          <w:b/>
          <w:bCs/>
        </w:rPr>
        <w:t>up holiday pay. Following the Employment Rights (Amendment, Revocation and Transitional Provision) Regulations 2023, rolled</w:t>
      </w:r>
      <w:r w:rsidRPr="00855077">
        <w:rPr>
          <w:rFonts w:ascii="Cambria Math" w:hAnsi="Cambria Math" w:cs="Cambria Math"/>
          <w:b/>
          <w:bCs/>
        </w:rPr>
        <w:t>‑</w:t>
      </w:r>
      <w:r w:rsidRPr="00855077">
        <w:rPr>
          <w:b/>
          <w:bCs/>
        </w:rPr>
        <w:t>up holiday pay is lawful for irregular hours and part</w:t>
      </w:r>
      <w:r w:rsidRPr="00855077">
        <w:rPr>
          <w:rFonts w:ascii="Cambria Math" w:hAnsi="Cambria Math" w:cs="Cambria Math"/>
          <w:b/>
          <w:bCs/>
        </w:rPr>
        <w:t>‑</w:t>
      </w:r>
      <w:r w:rsidRPr="00855077">
        <w:rPr>
          <w:b/>
          <w:bCs/>
        </w:rPr>
        <w:t>year workers for leave years beginning on or after 1 April 2024 (PeopleHR, 2024). It is paid as a 12.07% uplift on pay for work done and must appear separately on the payslip (Acas, 2024). If contractual leave exceeds 5.6 weeks, the percentage must be adjusted (PeopleHR, 2024). Employers must still ensure workers take statutory leave, and rolled</w:t>
      </w:r>
      <w:r w:rsidRPr="00855077">
        <w:rPr>
          <w:rFonts w:ascii="Cambria Math" w:hAnsi="Cambria Math" w:cs="Cambria Math"/>
          <w:b/>
          <w:bCs/>
        </w:rPr>
        <w:t>‑</w:t>
      </w:r>
      <w:r w:rsidRPr="00855077">
        <w:rPr>
          <w:b/>
          <w:bCs/>
        </w:rPr>
        <w:t>up holiday pay remains unlawful for workers outside these categories.</w:t>
      </w:r>
    </w:p>
    <w:p w14:paraId="38B1EA85" w14:textId="6AC8DF09" w:rsidR="00E569D2" w:rsidRDefault="00855077" w:rsidP="00855077">
      <w:pPr>
        <w:rPr>
          <w:b/>
          <w:bCs/>
        </w:rPr>
      </w:pPr>
      <w:r w:rsidRPr="00855077">
        <w:rPr>
          <w:b/>
          <w:bCs/>
        </w:rPr>
        <w:t>The RCN highlights that bank nurses do not receive contractual benefits such as Agenda for Change leave, occupational sick pay or pension contributions (RCN, 2025). This makes accurate application of statutory holiday pay rules essential to ensure fair treatment.</w:t>
      </w:r>
    </w:p>
    <w:p w14:paraId="2244A5EB" w14:textId="56F9C404" w:rsidR="00B2723E" w:rsidRDefault="00585E11" w:rsidP="0040789C">
      <w:pPr>
        <w:rPr>
          <w:b/>
          <w:bCs/>
        </w:rPr>
      </w:pPr>
      <w:r>
        <w:rPr>
          <w:b/>
          <w:bCs/>
        </w:rPr>
        <w:t>4.</w:t>
      </w:r>
      <w:r w:rsidR="00077FFB">
        <w:rPr>
          <w:b/>
          <w:bCs/>
        </w:rPr>
        <w:t xml:space="preserve">2 </w:t>
      </w:r>
      <w:r w:rsidR="000A4417">
        <w:rPr>
          <w:b/>
          <w:bCs/>
        </w:rPr>
        <w:t>4</w:t>
      </w:r>
      <w:r w:rsidR="00A06EA5">
        <w:rPr>
          <w:b/>
          <w:bCs/>
        </w:rPr>
        <w:t>27</w:t>
      </w:r>
    </w:p>
    <w:p w14:paraId="578DC26B" w14:textId="77777777" w:rsidR="00901500" w:rsidRPr="00901500" w:rsidRDefault="00901500" w:rsidP="00901500">
      <w:pPr>
        <w:rPr>
          <w:b/>
          <w:bCs/>
        </w:rPr>
      </w:pPr>
      <w:r w:rsidRPr="00901500">
        <w:rPr>
          <w:b/>
          <w:bCs/>
        </w:rPr>
        <w:t>Pregnancy provides strong legal protection covering antenatal care, workplace rights and maternity leave (ML). ML consists of Compulsory Maternity Leave, Ordinary Maternity Leave (OML) and Additional Maternity Leave (AML) (Daniels, 2025). All pregnant employees can take 52 weeks’ statutory maternity leave regardless of service but must notify their employer by the 15th week before the Expected Week of Childbirth (EWC), confirming the EWC and intended OML start date, which cannot be earlier than the 11th week before the EWC. A MATB1 certificate is required around the 20th week (Daniels, 2025).</w:t>
      </w:r>
    </w:p>
    <w:p w14:paraId="74685A9C" w14:textId="5BB12EC3" w:rsidR="00901500" w:rsidRPr="00901500" w:rsidRDefault="00901500" w:rsidP="00901500">
      <w:pPr>
        <w:rPr>
          <w:b/>
          <w:bCs/>
        </w:rPr>
      </w:pPr>
      <w:r w:rsidRPr="00901500">
        <w:rPr>
          <w:b/>
          <w:bCs/>
        </w:rPr>
        <w:t>OML covers the first 26 weeks, with the right to return to the same job and continuation of all contractual benefits, including annual leave, pension contributions and pay rises (ACAS, 2024). AML covers the second 26 weeks. If returning after AML and the same job is not “reasonably practicable,” a suitable alternative role must be offered on no less favourable terms (Daniels, 2025). ML includes a compulsory two</w:t>
      </w:r>
      <w:r w:rsidR="007D7B84">
        <w:rPr>
          <w:rFonts w:ascii="Cambria Math" w:hAnsi="Cambria Math" w:cs="Cambria Math"/>
          <w:b/>
          <w:bCs/>
        </w:rPr>
        <w:t xml:space="preserve"> </w:t>
      </w:r>
      <w:r w:rsidRPr="00901500">
        <w:rPr>
          <w:b/>
          <w:bCs/>
        </w:rPr>
        <w:t>week period after childbirth, or four weeks for factory workers (GOV.UK, 2024). Employees are also entitled to paid time off for antenatal appointments from day one (ACAS, 2024).</w:t>
      </w:r>
    </w:p>
    <w:p w14:paraId="62690769" w14:textId="77777777" w:rsidR="00901500" w:rsidRPr="00901500" w:rsidRDefault="00901500" w:rsidP="00901500">
      <w:pPr>
        <w:rPr>
          <w:b/>
          <w:bCs/>
        </w:rPr>
      </w:pPr>
      <w:r w:rsidRPr="00901500">
        <w:rPr>
          <w:b/>
          <w:bCs/>
        </w:rPr>
        <w:t>To qualify for Statutory Maternity Pay (SMP), employees need 26 weeks’ continuous service by the end of the 15th week before the EWC and earnings at least at the lower earnings limit (GOV.UK, 2024). From April 2025–26, SMP is 90% of average weekly earnings for six weeks, then £187.18 or 90% of earnings if lower for 33 weeks (CIPD, 2025). Up to 10 Keeping in Touch (KIT) days may be worked (Daniels, 2025). ML supports recovery, provides stability and offers enhanced redundancy protection (GOV.UK, 2024).</w:t>
      </w:r>
    </w:p>
    <w:p w14:paraId="724E20FB" w14:textId="1AD6CE25" w:rsidR="00901500" w:rsidRPr="00901500" w:rsidRDefault="00901500" w:rsidP="00901500">
      <w:pPr>
        <w:rPr>
          <w:b/>
          <w:bCs/>
        </w:rPr>
      </w:pPr>
      <w:r w:rsidRPr="00901500">
        <w:rPr>
          <w:b/>
          <w:bCs/>
        </w:rPr>
        <w:t>Shared Parental Leave (SPL), under the Shared Parental Leave Regulations 2014, allows parents to share up to 50 weeks’ leave and 37 weeks’ pay. Maternity leave must be curtailed to use SPL (Daniels, 2025). Both parents must meet eligibility criteria, including 26 weeks’ employment by the 15th week before the due date and remaining employed until SPL begins. Workers cannot take SPL but may qualify for Shared Parental Pay (ShPP) (ACAS, 2024). Parents must also meet the “employment and earnings test,” having worked 26 of the 66 weeks before the due date and earned £390 across 13 of those weeks. ShPP is £187.18 or 90% of earnings if lower (CIPD, 2025). SPL may be taken continuousl</w:t>
      </w:r>
      <w:r w:rsidR="000901AA">
        <w:rPr>
          <w:b/>
          <w:bCs/>
        </w:rPr>
        <w:t xml:space="preserve">, accepted by us </w:t>
      </w:r>
      <w:r w:rsidRPr="00901500">
        <w:rPr>
          <w:b/>
          <w:bCs/>
        </w:rPr>
        <w:t>or discontinuously</w:t>
      </w:r>
      <w:r w:rsidR="000901AA">
        <w:rPr>
          <w:b/>
          <w:bCs/>
        </w:rPr>
        <w:t xml:space="preserve">, </w:t>
      </w:r>
      <w:r w:rsidR="005D4E8C">
        <w:rPr>
          <w:b/>
          <w:bCs/>
        </w:rPr>
        <w:t xml:space="preserve">requiring agreement by us </w:t>
      </w:r>
      <w:r w:rsidRPr="00901500">
        <w:rPr>
          <w:b/>
          <w:bCs/>
        </w:rPr>
        <w:t>and includes up to 20 SPLIT days (ACAS, 2024).</w:t>
      </w:r>
    </w:p>
    <w:p w14:paraId="3ECF1606" w14:textId="67210DD5" w:rsidR="00C20353" w:rsidRDefault="00901500" w:rsidP="00901500">
      <w:pPr>
        <w:rPr>
          <w:b/>
          <w:bCs/>
        </w:rPr>
      </w:pPr>
      <w:r w:rsidRPr="00901500">
        <w:rPr>
          <w:b/>
          <w:bCs/>
        </w:rPr>
        <w:t xml:space="preserve">ML offers clearer processes and stronger financial stability, while SPL provides flexibility but lower pay and more </w:t>
      </w:r>
      <w:r w:rsidR="00091E0E">
        <w:rPr>
          <w:b/>
          <w:bCs/>
        </w:rPr>
        <w:t>admin processes more complex.</w:t>
      </w:r>
    </w:p>
    <w:p w14:paraId="6D9C666A" w14:textId="6018CC13" w:rsidR="00D52074" w:rsidRDefault="00F120E7" w:rsidP="00CD590D">
      <w:pPr>
        <w:rPr>
          <w:b/>
          <w:bCs/>
        </w:rPr>
      </w:pPr>
      <w:r>
        <w:rPr>
          <w:b/>
          <w:bCs/>
        </w:rPr>
        <w:t xml:space="preserve"> </w:t>
      </w:r>
      <w:r w:rsidR="00152CD7">
        <w:rPr>
          <w:b/>
          <w:bCs/>
        </w:rPr>
        <w:t xml:space="preserve"> </w:t>
      </w:r>
      <w:r w:rsidR="00CB754D">
        <w:rPr>
          <w:b/>
          <w:bCs/>
        </w:rPr>
        <w:t>4.3</w:t>
      </w:r>
      <w:r w:rsidR="00004C38">
        <w:rPr>
          <w:b/>
          <w:bCs/>
        </w:rPr>
        <w:t xml:space="preserve">  </w:t>
      </w:r>
      <w:r w:rsidR="00D07F1C">
        <w:rPr>
          <w:b/>
          <w:bCs/>
        </w:rPr>
        <w:t>450</w:t>
      </w:r>
    </w:p>
    <w:p w14:paraId="0990639C" w14:textId="34D046CE" w:rsidR="00314C71" w:rsidRDefault="00314C71" w:rsidP="00314C71">
      <w:r>
        <w:t>As she is submitting a formal statutory request, the flexible working legislation applies. Earlier regulations from 2003/2007</w:t>
      </w:r>
      <w:r w:rsidR="00701BF0">
        <w:t xml:space="preserve">  </w:t>
      </w:r>
      <w:r>
        <w:t>/2009/2014 have been updated, removing the 26</w:t>
      </w:r>
      <w:r>
        <w:rPr>
          <w:rFonts w:ascii="Cambria Math" w:hAnsi="Cambria Math" w:cs="Cambria Math"/>
        </w:rPr>
        <w:t xml:space="preserve"> </w:t>
      </w:r>
      <w:r>
        <w:t>week qualifying period. The Employment Relations (Flexible Working) Act 2023 and the Flexible Working (Amendment) Regulations 2023 amend the Employment Rights Act (ERA) 1996, giving employees a day</w:t>
      </w:r>
      <w:r>
        <w:rPr>
          <w:rFonts w:ascii="Cambria Math" w:hAnsi="Cambria Math" w:cs="Cambria Math"/>
        </w:rPr>
        <w:t xml:space="preserve"> </w:t>
      </w:r>
      <w:r>
        <w:t>one right to request flexible working. This includes changes to hours, times and location, including home or hybrid working, with two requests permitted in any 12</w:t>
      </w:r>
      <w:r>
        <w:rPr>
          <w:rFonts w:ascii="Cambria Math" w:hAnsi="Cambria Math" w:cs="Cambria Math"/>
        </w:rPr>
        <w:t xml:space="preserve"> </w:t>
      </w:r>
      <w:r>
        <w:t>month period (Daniels, 2025). Her right to apply is set out in ERA 1996, s.80F (Legislation.gov, 2025).</w:t>
      </w:r>
    </w:p>
    <w:p w14:paraId="034A1258" w14:textId="718BFC8D" w:rsidR="00314C71" w:rsidRDefault="00314C71" w:rsidP="00314C71">
      <w:r>
        <w:t xml:space="preserve">A statutory request must state the change sought she want, the date, the proposed start date and details of previous applications (CIPD, 2025). A  form is available on our intranet (NHS.UK, 2024). Under ERA 1996, s.80G, we must handle the request </w:t>
      </w:r>
      <w:r w:rsidR="00EB0F81">
        <w:t>reasonably, meeting</w:t>
      </w:r>
      <w:r>
        <w:t xml:space="preserve"> with her, considering alternatives and giving a written outcome within two months unless both parties agree to extend. Any refusal must rely on one of the eight statutory business reasons, such as additional costs, negative impact on quality or performance, service delivery issues, difficulties reorganising work, challenges recruiting staff, insufficient work during proposed hours or planned structural changes. She no longer needs to explain the impact of her request (Acas, 2024; Daniels, 2025). In Commotion Ltd v Rutty (2026), the ET held the employer had not given reasonable grounds for refusal (CIPD, 2025).</w:t>
      </w:r>
    </w:p>
    <w:p w14:paraId="4BAE7610" w14:textId="77777777" w:rsidR="00314C71" w:rsidRDefault="00314C71" w:rsidP="00314C71">
      <w:r>
        <w:t>Concerns that agreeing to her request may encourage others to ask to WFH is not a lawful reason for refusal and is not one of the statutory reason, this must be based on evidence, not assumptions (Acas, 2024).</w:t>
      </w:r>
    </w:p>
    <w:p w14:paraId="7EF41136" w14:textId="77777777" w:rsidR="00314C71" w:rsidRDefault="00314C71" w:rsidP="00314C71">
      <w:r>
        <w:t>Refusing her request, she must then undertake Acas Early Conciliation. An ET would then assess whether the refusal was legally permitted and whether we acted reasonably (Daniels, 2025). She may claim Procedural Failings under ERA 1996, s.80H(1). If successful, the ET can order reconsideration or award up to eight weeks’ pay, capped at the statutory maximum (YourRights.org.uk, 2024). She could also claim Unlawful Detriment under ERA 1996, s.47E, or Automatic Unfair Dismissal under ERA 1996, s.104C if dismissed for exercising her rights, remedies include reinstatement, reengagement or compensation (Gov.UK, 2026). A discrimination claim may arise under the Equality Act 2010, as in Seville v Flybe plc (2016), where refusing flexible working amounted to sex discrimination affecting women with childcare responsibilities (CIPD, 2025).</w:t>
      </w:r>
    </w:p>
    <w:p w14:paraId="74454DCF" w14:textId="77777777" w:rsidR="00314C71" w:rsidRDefault="00314C71" w:rsidP="00314C71">
      <w:r>
        <w:t>Supporting her request could benefit us, as FW improves wellbeing, reduces absence and strengthens retention, recruitment and workforce diversity (Acas, 2024)., I would meet with her before, explore hybrid options or a trial period, and assess how this can work in her role, ensuring the decision is fair, legally compliant and aligned with our All</w:t>
      </w:r>
      <w:r>
        <w:rPr>
          <w:rFonts w:ascii="Cambria Math" w:hAnsi="Cambria Math" w:cs="Cambria Math"/>
        </w:rPr>
        <w:t>‑</w:t>
      </w:r>
      <w:r>
        <w:t>Wales Flexible Working Policy (HDUHB, 2025).</w:t>
      </w:r>
    </w:p>
    <w:p w14:paraId="555391D9" w14:textId="78810B03" w:rsidR="00CD590D" w:rsidRPr="00D62B93" w:rsidRDefault="00967BBC" w:rsidP="00967BBC">
      <w:r>
        <w:t>.</w:t>
      </w:r>
    </w:p>
    <w:p w14:paraId="3B0265A4" w14:textId="020F1112" w:rsidR="00AD41CA" w:rsidRDefault="00AD41CA" w:rsidP="00DC3689">
      <w:pPr>
        <w:rPr>
          <w:b/>
          <w:bCs/>
        </w:rPr>
      </w:pPr>
    </w:p>
    <w:sectPr w:rsidR="00AD41CA" w:rsidSect="00972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7F"/>
    <w:rsid w:val="00003250"/>
    <w:rsid w:val="00004C38"/>
    <w:rsid w:val="00005987"/>
    <w:rsid w:val="000252AD"/>
    <w:rsid w:val="00036B16"/>
    <w:rsid w:val="00062564"/>
    <w:rsid w:val="00077FFB"/>
    <w:rsid w:val="00081A24"/>
    <w:rsid w:val="00087949"/>
    <w:rsid w:val="000901AA"/>
    <w:rsid w:val="00091E0E"/>
    <w:rsid w:val="00093162"/>
    <w:rsid w:val="000A01A0"/>
    <w:rsid w:val="000A0499"/>
    <w:rsid w:val="000A4417"/>
    <w:rsid w:val="000B3797"/>
    <w:rsid w:val="000C155E"/>
    <w:rsid w:val="000C21F9"/>
    <w:rsid w:val="000D3ECB"/>
    <w:rsid w:val="000D68C6"/>
    <w:rsid w:val="000E1D1D"/>
    <w:rsid w:val="000E3676"/>
    <w:rsid w:val="000E5C68"/>
    <w:rsid w:val="00105C8C"/>
    <w:rsid w:val="00106F70"/>
    <w:rsid w:val="00115F70"/>
    <w:rsid w:val="00117AC9"/>
    <w:rsid w:val="00117DDA"/>
    <w:rsid w:val="00120DAF"/>
    <w:rsid w:val="0012680A"/>
    <w:rsid w:val="00142F9C"/>
    <w:rsid w:val="0014440E"/>
    <w:rsid w:val="00152CD7"/>
    <w:rsid w:val="00170653"/>
    <w:rsid w:val="0017112C"/>
    <w:rsid w:val="00174E3E"/>
    <w:rsid w:val="00184EF3"/>
    <w:rsid w:val="001A1AC5"/>
    <w:rsid w:val="001A1CFF"/>
    <w:rsid w:val="001A3B94"/>
    <w:rsid w:val="001A569E"/>
    <w:rsid w:val="001A6D74"/>
    <w:rsid w:val="001A7127"/>
    <w:rsid w:val="001B34C2"/>
    <w:rsid w:val="001D2EC5"/>
    <w:rsid w:val="001D640D"/>
    <w:rsid w:val="001D6837"/>
    <w:rsid w:val="001E5ADF"/>
    <w:rsid w:val="001E63BD"/>
    <w:rsid w:val="001E7C00"/>
    <w:rsid w:val="001F5BA2"/>
    <w:rsid w:val="002020CF"/>
    <w:rsid w:val="0022139B"/>
    <w:rsid w:val="0022365A"/>
    <w:rsid w:val="00226A2C"/>
    <w:rsid w:val="00235AB9"/>
    <w:rsid w:val="002503DB"/>
    <w:rsid w:val="00255D94"/>
    <w:rsid w:val="00262017"/>
    <w:rsid w:val="0027245F"/>
    <w:rsid w:val="00291C76"/>
    <w:rsid w:val="002A7073"/>
    <w:rsid w:val="002C13D1"/>
    <w:rsid w:val="002C7819"/>
    <w:rsid w:val="002D4001"/>
    <w:rsid w:val="002E4EA1"/>
    <w:rsid w:val="002E72E4"/>
    <w:rsid w:val="002E7B34"/>
    <w:rsid w:val="002F059A"/>
    <w:rsid w:val="002F240A"/>
    <w:rsid w:val="002F5D53"/>
    <w:rsid w:val="00310C09"/>
    <w:rsid w:val="00314C71"/>
    <w:rsid w:val="003210A7"/>
    <w:rsid w:val="00335521"/>
    <w:rsid w:val="00335CFC"/>
    <w:rsid w:val="00346597"/>
    <w:rsid w:val="003506D4"/>
    <w:rsid w:val="00351960"/>
    <w:rsid w:val="00351D81"/>
    <w:rsid w:val="00362E7D"/>
    <w:rsid w:val="00365367"/>
    <w:rsid w:val="003711AA"/>
    <w:rsid w:val="0038515A"/>
    <w:rsid w:val="00387CA0"/>
    <w:rsid w:val="00397407"/>
    <w:rsid w:val="003A39DB"/>
    <w:rsid w:val="003A6FCF"/>
    <w:rsid w:val="003B71E7"/>
    <w:rsid w:val="003C39D2"/>
    <w:rsid w:val="003C4931"/>
    <w:rsid w:val="003C54DC"/>
    <w:rsid w:val="003D4E3A"/>
    <w:rsid w:val="003F58D5"/>
    <w:rsid w:val="003F5D46"/>
    <w:rsid w:val="003F6FD2"/>
    <w:rsid w:val="0040678F"/>
    <w:rsid w:val="0040789C"/>
    <w:rsid w:val="0041232B"/>
    <w:rsid w:val="00414367"/>
    <w:rsid w:val="00415A3F"/>
    <w:rsid w:val="00416F25"/>
    <w:rsid w:val="00422830"/>
    <w:rsid w:val="00423BFC"/>
    <w:rsid w:val="00425D65"/>
    <w:rsid w:val="00432E39"/>
    <w:rsid w:val="00436D6C"/>
    <w:rsid w:val="00442571"/>
    <w:rsid w:val="004438B2"/>
    <w:rsid w:val="00450E3B"/>
    <w:rsid w:val="00453D40"/>
    <w:rsid w:val="00454A19"/>
    <w:rsid w:val="00455BF8"/>
    <w:rsid w:val="00457022"/>
    <w:rsid w:val="00462E68"/>
    <w:rsid w:val="00463228"/>
    <w:rsid w:val="00472CC1"/>
    <w:rsid w:val="00487CBF"/>
    <w:rsid w:val="004925D0"/>
    <w:rsid w:val="0049361F"/>
    <w:rsid w:val="00496EB8"/>
    <w:rsid w:val="004A4830"/>
    <w:rsid w:val="004C7B85"/>
    <w:rsid w:val="004F61C9"/>
    <w:rsid w:val="0050779E"/>
    <w:rsid w:val="005417C1"/>
    <w:rsid w:val="00553F69"/>
    <w:rsid w:val="005549A5"/>
    <w:rsid w:val="00564315"/>
    <w:rsid w:val="005704DF"/>
    <w:rsid w:val="0058291D"/>
    <w:rsid w:val="00585E11"/>
    <w:rsid w:val="00596398"/>
    <w:rsid w:val="005A1023"/>
    <w:rsid w:val="005B0C3B"/>
    <w:rsid w:val="005B761F"/>
    <w:rsid w:val="005B7636"/>
    <w:rsid w:val="005D0E10"/>
    <w:rsid w:val="005D174A"/>
    <w:rsid w:val="005D4E8C"/>
    <w:rsid w:val="005D59C8"/>
    <w:rsid w:val="005D6A3A"/>
    <w:rsid w:val="005F15D9"/>
    <w:rsid w:val="00607E21"/>
    <w:rsid w:val="00617616"/>
    <w:rsid w:val="006217E0"/>
    <w:rsid w:val="00624A4A"/>
    <w:rsid w:val="00630FC5"/>
    <w:rsid w:val="00636B9D"/>
    <w:rsid w:val="00643360"/>
    <w:rsid w:val="006468AB"/>
    <w:rsid w:val="006516FB"/>
    <w:rsid w:val="00652889"/>
    <w:rsid w:val="00656DEA"/>
    <w:rsid w:val="006574E2"/>
    <w:rsid w:val="0066009E"/>
    <w:rsid w:val="0067626B"/>
    <w:rsid w:val="00677FDE"/>
    <w:rsid w:val="006833D1"/>
    <w:rsid w:val="00684AA9"/>
    <w:rsid w:val="00687482"/>
    <w:rsid w:val="00692A15"/>
    <w:rsid w:val="006A04D6"/>
    <w:rsid w:val="006A1941"/>
    <w:rsid w:val="006A43B4"/>
    <w:rsid w:val="006A6096"/>
    <w:rsid w:val="006A7850"/>
    <w:rsid w:val="006C110E"/>
    <w:rsid w:val="006C1371"/>
    <w:rsid w:val="006C2DED"/>
    <w:rsid w:val="006D20AB"/>
    <w:rsid w:val="006D7CFB"/>
    <w:rsid w:val="006F097D"/>
    <w:rsid w:val="006F3AA8"/>
    <w:rsid w:val="006F57EC"/>
    <w:rsid w:val="00700E27"/>
    <w:rsid w:val="0070100A"/>
    <w:rsid w:val="00701BF0"/>
    <w:rsid w:val="00712150"/>
    <w:rsid w:val="0071250C"/>
    <w:rsid w:val="00712BE8"/>
    <w:rsid w:val="00712C48"/>
    <w:rsid w:val="007149A2"/>
    <w:rsid w:val="00715746"/>
    <w:rsid w:val="00730AFF"/>
    <w:rsid w:val="00733E41"/>
    <w:rsid w:val="00742724"/>
    <w:rsid w:val="007429F6"/>
    <w:rsid w:val="00745686"/>
    <w:rsid w:val="007477C8"/>
    <w:rsid w:val="00750C4B"/>
    <w:rsid w:val="00771839"/>
    <w:rsid w:val="00772283"/>
    <w:rsid w:val="00773EC6"/>
    <w:rsid w:val="00782595"/>
    <w:rsid w:val="007A728B"/>
    <w:rsid w:val="007B3217"/>
    <w:rsid w:val="007B3468"/>
    <w:rsid w:val="007B69AC"/>
    <w:rsid w:val="007C14B0"/>
    <w:rsid w:val="007C56A6"/>
    <w:rsid w:val="007D18EB"/>
    <w:rsid w:val="007D30AC"/>
    <w:rsid w:val="007D7B84"/>
    <w:rsid w:val="007E088D"/>
    <w:rsid w:val="007E621D"/>
    <w:rsid w:val="00801C61"/>
    <w:rsid w:val="008041A0"/>
    <w:rsid w:val="008056A7"/>
    <w:rsid w:val="00807E3D"/>
    <w:rsid w:val="00810BBA"/>
    <w:rsid w:val="008123A9"/>
    <w:rsid w:val="008254F1"/>
    <w:rsid w:val="00840848"/>
    <w:rsid w:val="00841E52"/>
    <w:rsid w:val="00844C15"/>
    <w:rsid w:val="00845391"/>
    <w:rsid w:val="0085091F"/>
    <w:rsid w:val="008509D5"/>
    <w:rsid w:val="00852D8C"/>
    <w:rsid w:val="00852E29"/>
    <w:rsid w:val="00855077"/>
    <w:rsid w:val="00862F26"/>
    <w:rsid w:val="00864C65"/>
    <w:rsid w:val="00871FB5"/>
    <w:rsid w:val="008727C7"/>
    <w:rsid w:val="00885473"/>
    <w:rsid w:val="0089637E"/>
    <w:rsid w:val="008A0AF8"/>
    <w:rsid w:val="008B1B5C"/>
    <w:rsid w:val="008B1F0B"/>
    <w:rsid w:val="008B343B"/>
    <w:rsid w:val="008B787A"/>
    <w:rsid w:val="008C78FB"/>
    <w:rsid w:val="008D2181"/>
    <w:rsid w:val="008D5CC1"/>
    <w:rsid w:val="008E40F6"/>
    <w:rsid w:val="00901500"/>
    <w:rsid w:val="009058FE"/>
    <w:rsid w:val="009059B3"/>
    <w:rsid w:val="00910997"/>
    <w:rsid w:val="00912D9A"/>
    <w:rsid w:val="009251A0"/>
    <w:rsid w:val="0093005B"/>
    <w:rsid w:val="00957481"/>
    <w:rsid w:val="00957AF2"/>
    <w:rsid w:val="00967BBC"/>
    <w:rsid w:val="0097247F"/>
    <w:rsid w:val="0097301A"/>
    <w:rsid w:val="00976DC6"/>
    <w:rsid w:val="00993754"/>
    <w:rsid w:val="00994285"/>
    <w:rsid w:val="00995E39"/>
    <w:rsid w:val="00996F0A"/>
    <w:rsid w:val="009A248A"/>
    <w:rsid w:val="009B3573"/>
    <w:rsid w:val="009C557B"/>
    <w:rsid w:val="009D012A"/>
    <w:rsid w:val="009D327F"/>
    <w:rsid w:val="009F2A4B"/>
    <w:rsid w:val="009F622A"/>
    <w:rsid w:val="009F7C3B"/>
    <w:rsid w:val="009F7FE7"/>
    <w:rsid w:val="00A0103E"/>
    <w:rsid w:val="00A01DEE"/>
    <w:rsid w:val="00A06EA5"/>
    <w:rsid w:val="00A13D21"/>
    <w:rsid w:val="00A2186A"/>
    <w:rsid w:val="00A27292"/>
    <w:rsid w:val="00A27A19"/>
    <w:rsid w:val="00A31DC5"/>
    <w:rsid w:val="00A3255A"/>
    <w:rsid w:val="00A42924"/>
    <w:rsid w:val="00A432C1"/>
    <w:rsid w:val="00A601A8"/>
    <w:rsid w:val="00A660C9"/>
    <w:rsid w:val="00A7256A"/>
    <w:rsid w:val="00A77A7C"/>
    <w:rsid w:val="00AB01E3"/>
    <w:rsid w:val="00AB6FD8"/>
    <w:rsid w:val="00AB74CF"/>
    <w:rsid w:val="00AD0C0D"/>
    <w:rsid w:val="00AD11B6"/>
    <w:rsid w:val="00AD41CA"/>
    <w:rsid w:val="00AD4B63"/>
    <w:rsid w:val="00AD53DF"/>
    <w:rsid w:val="00AE2FCF"/>
    <w:rsid w:val="00AE5000"/>
    <w:rsid w:val="00AF0FDE"/>
    <w:rsid w:val="00AF4803"/>
    <w:rsid w:val="00B06719"/>
    <w:rsid w:val="00B24DA1"/>
    <w:rsid w:val="00B2723E"/>
    <w:rsid w:val="00B34171"/>
    <w:rsid w:val="00B36D61"/>
    <w:rsid w:val="00B43E26"/>
    <w:rsid w:val="00B60D23"/>
    <w:rsid w:val="00B6581C"/>
    <w:rsid w:val="00B70E3B"/>
    <w:rsid w:val="00BA466B"/>
    <w:rsid w:val="00BA5140"/>
    <w:rsid w:val="00BB3CC4"/>
    <w:rsid w:val="00BB5C1A"/>
    <w:rsid w:val="00BD7E82"/>
    <w:rsid w:val="00BF2799"/>
    <w:rsid w:val="00BF53BB"/>
    <w:rsid w:val="00C01A59"/>
    <w:rsid w:val="00C023DC"/>
    <w:rsid w:val="00C0422A"/>
    <w:rsid w:val="00C05E99"/>
    <w:rsid w:val="00C11413"/>
    <w:rsid w:val="00C14912"/>
    <w:rsid w:val="00C20353"/>
    <w:rsid w:val="00C20EB7"/>
    <w:rsid w:val="00C340EC"/>
    <w:rsid w:val="00C343C0"/>
    <w:rsid w:val="00C512E9"/>
    <w:rsid w:val="00C53D40"/>
    <w:rsid w:val="00C70174"/>
    <w:rsid w:val="00C85A5D"/>
    <w:rsid w:val="00C94E43"/>
    <w:rsid w:val="00C97B88"/>
    <w:rsid w:val="00CA2E1B"/>
    <w:rsid w:val="00CA7108"/>
    <w:rsid w:val="00CB2B17"/>
    <w:rsid w:val="00CB516E"/>
    <w:rsid w:val="00CB754D"/>
    <w:rsid w:val="00CC51F6"/>
    <w:rsid w:val="00CC5FB6"/>
    <w:rsid w:val="00CD53F2"/>
    <w:rsid w:val="00CD590D"/>
    <w:rsid w:val="00CE133F"/>
    <w:rsid w:val="00CE5308"/>
    <w:rsid w:val="00D01668"/>
    <w:rsid w:val="00D04886"/>
    <w:rsid w:val="00D07F1C"/>
    <w:rsid w:val="00D2042D"/>
    <w:rsid w:val="00D26E4B"/>
    <w:rsid w:val="00D307AF"/>
    <w:rsid w:val="00D31812"/>
    <w:rsid w:val="00D52074"/>
    <w:rsid w:val="00D5268C"/>
    <w:rsid w:val="00D532A5"/>
    <w:rsid w:val="00D57A3D"/>
    <w:rsid w:val="00D57C99"/>
    <w:rsid w:val="00D86E8B"/>
    <w:rsid w:val="00D958E1"/>
    <w:rsid w:val="00DA3DE9"/>
    <w:rsid w:val="00DB06B7"/>
    <w:rsid w:val="00DB6ECC"/>
    <w:rsid w:val="00DC3689"/>
    <w:rsid w:val="00DE2CEE"/>
    <w:rsid w:val="00DF3E8B"/>
    <w:rsid w:val="00E114CA"/>
    <w:rsid w:val="00E27516"/>
    <w:rsid w:val="00E41027"/>
    <w:rsid w:val="00E4259E"/>
    <w:rsid w:val="00E45514"/>
    <w:rsid w:val="00E46815"/>
    <w:rsid w:val="00E53DD7"/>
    <w:rsid w:val="00E569D2"/>
    <w:rsid w:val="00E6649D"/>
    <w:rsid w:val="00E7509A"/>
    <w:rsid w:val="00E76792"/>
    <w:rsid w:val="00E83F30"/>
    <w:rsid w:val="00E8626F"/>
    <w:rsid w:val="00E93336"/>
    <w:rsid w:val="00E970BD"/>
    <w:rsid w:val="00EA4884"/>
    <w:rsid w:val="00EB0F81"/>
    <w:rsid w:val="00EB1B10"/>
    <w:rsid w:val="00EB3F36"/>
    <w:rsid w:val="00EB5585"/>
    <w:rsid w:val="00EB72E6"/>
    <w:rsid w:val="00EC5676"/>
    <w:rsid w:val="00ED15B0"/>
    <w:rsid w:val="00ED3283"/>
    <w:rsid w:val="00ED64FB"/>
    <w:rsid w:val="00ED7D83"/>
    <w:rsid w:val="00EE5EED"/>
    <w:rsid w:val="00F039D0"/>
    <w:rsid w:val="00F10B95"/>
    <w:rsid w:val="00F120E7"/>
    <w:rsid w:val="00F2350F"/>
    <w:rsid w:val="00F30B4F"/>
    <w:rsid w:val="00F351C0"/>
    <w:rsid w:val="00F35778"/>
    <w:rsid w:val="00F5743A"/>
    <w:rsid w:val="00F604E2"/>
    <w:rsid w:val="00F66FEC"/>
    <w:rsid w:val="00F7132D"/>
    <w:rsid w:val="00F8021D"/>
    <w:rsid w:val="00F81179"/>
    <w:rsid w:val="00F93026"/>
    <w:rsid w:val="00FA74D5"/>
    <w:rsid w:val="00FC0404"/>
    <w:rsid w:val="00FC06D4"/>
    <w:rsid w:val="00FC69CD"/>
    <w:rsid w:val="00FC76A0"/>
    <w:rsid w:val="00FD2F6B"/>
    <w:rsid w:val="00FD7338"/>
    <w:rsid w:val="00FE183A"/>
    <w:rsid w:val="00FE7F89"/>
    <w:rsid w:val="00FF30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553350"/>
  <w15:chartTrackingRefBased/>
  <w15:docId w15:val="{40CEE84B-77B3-4D57-9D47-423EBA66C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47F"/>
    <w:pPr>
      <w:spacing w:line="259" w:lineRule="auto"/>
    </w:pPr>
    <w:rPr>
      <w:sz w:val="22"/>
      <w:szCs w:val="22"/>
    </w:rPr>
  </w:style>
  <w:style w:type="paragraph" w:styleId="Heading1">
    <w:name w:val="heading 1"/>
    <w:basedOn w:val="Normal"/>
    <w:next w:val="Normal"/>
    <w:link w:val="Heading1Char"/>
    <w:uiPriority w:val="9"/>
    <w:qFormat/>
    <w:rsid w:val="0097247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247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47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47F"/>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7247F"/>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7247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7247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7247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7247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2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47F"/>
    <w:rPr>
      <w:rFonts w:eastAsiaTheme="majorEastAsia" w:cstheme="majorBidi"/>
      <w:color w:val="272727" w:themeColor="text1" w:themeTint="D8"/>
    </w:rPr>
  </w:style>
  <w:style w:type="paragraph" w:styleId="Title">
    <w:name w:val="Title"/>
    <w:basedOn w:val="Normal"/>
    <w:next w:val="Normal"/>
    <w:link w:val="TitleChar"/>
    <w:uiPriority w:val="10"/>
    <w:qFormat/>
    <w:rsid w:val="00972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47F"/>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47F"/>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7247F"/>
    <w:rPr>
      <w:i/>
      <w:iCs/>
      <w:color w:val="404040" w:themeColor="text1" w:themeTint="BF"/>
    </w:rPr>
  </w:style>
  <w:style w:type="paragraph" w:styleId="ListParagraph">
    <w:name w:val="List Paragraph"/>
    <w:basedOn w:val="Normal"/>
    <w:uiPriority w:val="34"/>
    <w:qFormat/>
    <w:rsid w:val="0097247F"/>
    <w:pPr>
      <w:spacing w:line="278" w:lineRule="auto"/>
      <w:ind w:left="720"/>
      <w:contextualSpacing/>
    </w:pPr>
    <w:rPr>
      <w:sz w:val="24"/>
      <w:szCs w:val="24"/>
    </w:rPr>
  </w:style>
  <w:style w:type="character" w:styleId="IntenseEmphasis">
    <w:name w:val="Intense Emphasis"/>
    <w:basedOn w:val="DefaultParagraphFont"/>
    <w:uiPriority w:val="21"/>
    <w:qFormat/>
    <w:rsid w:val="0097247F"/>
    <w:rPr>
      <w:i/>
      <w:iCs/>
      <w:color w:val="0F4761" w:themeColor="accent1" w:themeShade="BF"/>
    </w:rPr>
  </w:style>
  <w:style w:type="paragraph" w:styleId="IntenseQuote">
    <w:name w:val="Intense Quote"/>
    <w:basedOn w:val="Normal"/>
    <w:next w:val="Normal"/>
    <w:link w:val="IntenseQuoteChar"/>
    <w:uiPriority w:val="30"/>
    <w:qFormat/>
    <w:rsid w:val="0097247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7247F"/>
    <w:rPr>
      <w:i/>
      <w:iCs/>
      <w:color w:val="0F4761" w:themeColor="accent1" w:themeShade="BF"/>
    </w:rPr>
  </w:style>
  <w:style w:type="character" w:styleId="IntenseReference">
    <w:name w:val="Intense Reference"/>
    <w:basedOn w:val="DefaultParagraphFont"/>
    <w:uiPriority w:val="32"/>
    <w:qFormat/>
    <w:rsid w:val="0097247F"/>
    <w:rPr>
      <w:b/>
      <w:bCs/>
      <w:smallCaps/>
      <w:color w:val="0F4761" w:themeColor="accent1" w:themeShade="BF"/>
      <w:spacing w:val="5"/>
    </w:rPr>
  </w:style>
  <w:style w:type="character" w:styleId="Hyperlink">
    <w:name w:val="Hyperlink"/>
    <w:basedOn w:val="DefaultParagraphFont"/>
    <w:uiPriority w:val="99"/>
    <w:unhideWhenUsed/>
    <w:rsid w:val="00C85A5D"/>
    <w:rPr>
      <w:color w:val="467886" w:themeColor="hyperlink"/>
      <w:u w:val="single"/>
    </w:rPr>
  </w:style>
  <w:style w:type="character" w:styleId="UnresolvedMention">
    <w:name w:val="Unresolved Mention"/>
    <w:basedOn w:val="DefaultParagraphFont"/>
    <w:uiPriority w:val="99"/>
    <w:semiHidden/>
    <w:unhideWhenUsed/>
    <w:rsid w:val="00FE1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qualityhumanrights.com/our-work/our-legal-work/our-legal-powers/our-litigation-and-enforcement-policy/our-enforcement-powers?return-url=https%3A%2F%2Fwww.equalityhumanrights.com%2Fsearch%3Fkeys%3DThe%2BEquality%2Band%2BHuman%2BRights%2BCommission%2Bprovides%2Bstatutory%2BCodes%2Bof%2BPractice%2Band%2Bhas%2Benforcement%2Bpowers%2Bfor%2Bserious%2Bbreaches%2B%25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Phillips</dc:creator>
  <cp:keywords/>
  <dc:description/>
  <cp:lastModifiedBy>Michelle Phillips</cp:lastModifiedBy>
  <cp:revision>399</cp:revision>
  <dcterms:created xsi:type="dcterms:W3CDTF">2026-04-07T04:51:00Z</dcterms:created>
  <dcterms:modified xsi:type="dcterms:W3CDTF">2026-04-12T23:23:00Z</dcterms:modified>
</cp:coreProperties>
</file>