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A1CEF" w14:textId="62688927" w:rsidR="00147832" w:rsidRPr="00C07899" w:rsidRDefault="00150B7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</w:t>
      </w:r>
      <w:r w:rsidR="00285952">
        <w:rPr>
          <w:rFonts w:ascii="Arial" w:hAnsi="Arial" w:cs="Arial"/>
          <w:sz w:val="40"/>
          <w:szCs w:val="40"/>
        </w:rPr>
        <w:t xml:space="preserve">BSc Health And Social Care </w:t>
      </w:r>
    </w:p>
    <w:p w14:paraId="7DE29731" w14:textId="77777777" w:rsidR="00C07899" w:rsidRPr="00C07899" w:rsidRDefault="00C07899">
      <w:pPr>
        <w:rPr>
          <w:rFonts w:ascii="Arial" w:hAnsi="Arial" w:cs="Arial"/>
          <w:b/>
          <w:bCs/>
          <w:spacing w:val="-2"/>
          <w:sz w:val="40"/>
          <w:szCs w:val="40"/>
        </w:rPr>
      </w:pPr>
    </w:p>
    <w:p w14:paraId="64B9B05D" w14:textId="4E74C0E8" w:rsidR="00C07899" w:rsidRDefault="00B46FBC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        </w:t>
      </w:r>
      <w:r w:rsidR="00363D5B">
        <w:rPr>
          <w:rFonts w:ascii="Arial" w:hAnsi="Arial" w:cs="Arial"/>
          <w:b/>
          <w:bCs/>
          <w:sz w:val="40"/>
          <w:szCs w:val="40"/>
        </w:rPr>
        <w:t>BMHP5021</w:t>
      </w:r>
      <w:r w:rsidR="00A93A25">
        <w:rPr>
          <w:rFonts w:ascii="Arial" w:hAnsi="Arial" w:cs="Arial"/>
          <w:b/>
          <w:bCs/>
          <w:sz w:val="40"/>
          <w:szCs w:val="40"/>
        </w:rPr>
        <w:t>:</w:t>
      </w:r>
      <w:r w:rsidR="008428C7">
        <w:rPr>
          <w:rFonts w:ascii="Arial" w:hAnsi="Arial" w:cs="Arial"/>
          <w:b/>
          <w:bCs/>
          <w:sz w:val="40"/>
          <w:szCs w:val="40"/>
        </w:rPr>
        <w:t xml:space="preserve"> Protecting </w:t>
      </w:r>
      <w:r>
        <w:rPr>
          <w:rFonts w:ascii="Arial" w:hAnsi="Arial" w:cs="Arial"/>
          <w:b/>
          <w:bCs/>
          <w:sz w:val="40"/>
          <w:szCs w:val="40"/>
        </w:rPr>
        <w:t>and</w:t>
      </w:r>
      <w:r w:rsidR="008428C7">
        <w:rPr>
          <w:rFonts w:ascii="Arial" w:hAnsi="Arial" w:cs="Arial"/>
          <w:b/>
          <w:bCs/>
          <w:sz w:val="40"/>
          <w:szCs w:val="40"/>
        </w:rPr>
        <w:t xml:space="preserve"> Supporting </w:t>
      </w:r>
      <w:r>
        <w:rPr>
          <w:rFonts w:ascii="Arial" w:hAnsi="Arial" w:cs="Arial"/>
          <w:b/>
          <w:bCs/>
          <w:sz w:val="40"/>
          <w:szCs w:val="40"/>
        </w:rPr>
        <w:t xml:space="preserve">    </w:t>
      </w:r>
      <w:r w:rsidR="008428C7">
        <w:rPr>
          <w:rFonts w:ascii="Arial" w:hAnsi="Arial" w:cs="Arial"/>
          <w:b/>
          <w:bCs/>
          <w:sz w:val="40"/>
          <w:szCs w:val="40"/>
        </w:rPr>
        <w:t xml:space="preserve">Families </w:t>
      </w:r>
      <w:r>
        <w:rPr>
          <w:rFonts w:ascii="Arial" w:hAnsi="Arial" w:cs="Arial"/>
          <w:b/>
          <w:bCs/>
          <w:sz w:val="40"/>
          <w:szCs w:val="40"/>
        </w:rPr>
        <w:t>in</w:t>
      </w:r>
      <w:r w:rsidR="008428C7">
        <w:rPr>
          <w:rFonts w:ascii="Arial" w:hAnsi="Arial" w:cs="Arial"/>
          <w:b/>
          <w:bCs/>
          <w:sz w:val="40"/>
          <w:szCs w:val="40"/>
        </w:rPr>
        <w:t xml:space="preserve"> Health </w:t>
      </w:r>
      <w:r>
        <w:rPr>
          <w:rFonts w:ascii="Arial" w:hAnsi="Arial" w:cs="Arial"/>
          <w:b/>
          <w:bCs/>
          <w:sz w:val="40"/>
          <w:szCs w:val="40"/>
        </w:rPr>
        <w:t>and</w:t>
      </w:r>
      <w:r w:rsidR="008428C7">
        <w:rPr>
          <w:rFonts w:ascii="Arial" w:hAnsi="Arial" w:cs="Arial"/>
          <w:b/>
          <w:bCs/>
          <w:sz w:val="40"/>
          <w:szCs w:val="40"/>
        </w:rPr>
        <w:t xml:space="preserve"> So</w:t>
      </w:r>
      <w:r>
        <w:rPr>
          <w:rFonts w:ascii="Arial" w:hAnsi="Arial" w:cs="Arial"/>
          <w:b/>
          <w:bCs/>
          <w:sz w:val="40"/>
          <w:szCs w:val="40"/>
        </w:rPr>
        <w:t>cial Care.</w:t>
      </w:r>
    </w:p>
    <w:p w14:paraId="69FF0C5D" w14:textId="77777777" w:rsidR="00B46FBC" w:rsidRPr="00C07899" w:rsidRDefault="00B46FBC">
      <w:pPr>
        <w:rPr>
          <w:rFonts w:ascii="Arial" w:hAnsi="Arial" w:cs="Arial"/>
          <w:b/>
          <w:bCs/>
          <w:sz w:val="40"/>
          <w:szCs w:val="40"/>
        </w:rPr>
      </w:pPr>
    </w:p>
    <w:p w14:paraId="6FD4C2B8" w14:textId="67CB29D6" w:rsidR="00C07899" w:rsidRPr="00C07899" w:rsidRDefault="00C07899">
      <w:pPr>
        <w:rPr>
          <w:rFonts w:ascii="Arial" w:hAnsi="Arial" w:cs="Arial"/>
          <w:b/>
          <w:bCs/>
          <w:sz w:val="40"/>
          <w:szCs w:val="40"/>
        </w:rPr>
      </w:pPr>
      <w:r w:rsidRPr="00C07899">
        <w:rPr>
          <w:rFonts w:ascii="Arial" w:hAnsi="Arial" w:cs="Arial"/>
          <w:b/>
          <w:bCs/>
          <w:sz w:val="40"/>
          <w:szCs w:val="40"/>
        </w:rPr>
        <w:t>Student</w:t>
      </w:r>
      <w:r w:rsidR="00CD3339">
        <w:rPr>
          <w:rFonts w:ascii="Arial" w:hAnsi="Arial" w:cs="Arial"/>
          <w:b/>
          <w:bCs/>
          <w:sz w:val="40"/>
          <w:szCs w:val="40"/>
        </w:rPr>
        <w:t>:</w:t>
      </w:r>
      <w:r w:rsidRPr="00C07899">
        <w:rPr>
          <w:rFonts w:ascii="Arial" w:hAnsi="Arial" w:cs="Arial"/>
          <w:b/>
          <w:bCs/>
          <w:sz w:val="40"/>
          <w:szCs w:val="40"/>
        </w:rPr>
        <w:t xml:space="preserve"> Number</w:t>
      </w:r>
      <w:r>
        <w:rPr>
          <w:rFonts w:ascii="Arial" w:hAnsi="Arial" w:cs="Arial"/>
          <w:b/>
          <w:bCs/>
          <w:sz w:val="40"/>
          <w:szCs w:val="40"/>
        </w:rPr>
        <w:t xml:space="preserve">: </w:t>
      </w:r>
      <w:r w:rsidR="004D6335">
        <w:rPr>
          <w:rFonts w:ascii="Arial" w:hAnsi="Arial" w:cs="Arial"/>
          <w:b/>
          <w:bCs/>
          <w:sz w:val="40"/>
          <w:szCs w:val="40"/>
        </w:rPr>
        <w:t xml:space="preserve"> </w:t>
      </w:r>
      <w:r w:rsidR="004D6335" w:rsidRPr="00173399">
        <w:rPr>
          <w:rFonts w:ascii="Arial" w:hAnsi="Arial" w:cs="Arial"/>
        </w:rPr>
        <w:t>2410084</w:t>
      </w:r>
    </w:p>
    <w:p w14:paraId="31F893BC" w14:textId="7810DFDD" w:rsidR="00C07899" w:rsidRPr="00C07899" w:rsidRDefault="00C07899">
      <w:pPr>
        <w:rPr>
          <w:rFonts w:ascii="Arial" w:hAnsi="Arial" w:cs="Arial"/>
          <w:b/>
          <w:bCs/>
          <w:sz w:val="40"/>
          <w:szCs w:val="40"/>
        </w:rPr>
      </w:pPr>
      <w:r w:rsidRPr="00C07899">
        <w:rPr>
          <w:rFonts w:ascii="Arial" w:hAnsi="Arial" w:cs="Arial"/>
          <w:b/>
          <w:bCs/>
          <w:sz w:val="40"/>
          <w:szCs w:val="40"/>
        </w:rPr>
        <w:t>Student</w:t>
      </w:r>
      <w:r w:rsidR="00CD3339">
        <w:rPr>
          <w:rFonts w:ascii="Arial" w:hAnsi="Arial" w:cs="Arial"/>
          <w:b/>
          <w:bCs/>
          <w:sz w:val="40"/>
          <w:szCs w:val="40"/>
        </w:rPr>
        <w:t>:</w:t>
      </w:r>
      <w:r w:rsidRPr="00C07899">
        <w:rPr>
          <w:rFonts w:ascii="Arial" w:hAnsi="Arial" w:cs="Arial"/>
          <w:b/>
          <w:bCs/>
          <w:sz w:val="40"/>
          <w:szCs w:val="40"/>
        </w:rPr>
        <w:t xml:space="preserve"> Name</w:t>
      </w:r>
      <w:r>
        <w:rPr>
          <w:rFonts w:ascii="Arial" w:hAnsi="Arial" w:cs="Arial"/>
          <w:b/>
          <w:bCs/>
          <w:sz w:val="40"/>
          <w:szCs w:val="40"/>
        </w:rPr>
        <w:t xml:space="preserve">: </w:t>
      </w:r>
      <w:r w:rsidR="004D6335" w:rsidRPr="00173399">
        <w:rPr>
          <w:rFonts w:ascii="Arial" w:hAnsi="Arial" w:cs="Arial"/>
        </w:rPr>
        <w:t>Kiera Handley</w:t>
      </w:r>
    </w:p>
    <w:p w14:paraId="1B0F9169" w14:textId="77777777" w:rsidR="00C07899" w:rsidRPr="00C07899" w:rsidRDefault="00C07899">
      <w:pPr>
        <w:rPr>
          <w:rFonts w:ascii="Arial" w:hAnsi="Arial" w:cs="Arial"/>
          <w:b/>
          <w:bCs/>
          <w:sz w:val="40"/>
          <w:szCs w:val="40"/>
        </w:rPr>
      </w:pPr>
    </w:p>
    <w:p w14:paraId="1AD0FF12" w14:textId="5571FAAC" w:rsidR="00C07899" w:rsidRPr="00C07899" w:rsidRDefault="00C07899">
      <w:pPr>
        <w:rPr>
          <w:rFonts w:ascii="Arial" w:hAnsi="Arial" w:cs="Arial"/>
          <w:b/>
          <w:bCs/>
          <w:sz w:val="40"/>
          <w:szCs w:val="40"/>
        </w:rPr>
      </w:pPr>
      <w:r w:rsidRPr="00C07899">
        <w:rPr>
          <w:rFonts w:ascii="Arial" w:hAnsi="Arial" w:cs="Arial"/>
          <w:b/>
          <w:bCs/>
          <w:sz w:val="40"/>
          <w:szCs w:val="40"/>
        </w:rPr>
        <w:t>Tutors Details</w:t>
      </w:r>
      <w:r>
        <w:rPr>
          <w:rFonts w:ascii="Arial" w:hAnsi="Arial" w:cs="Arial"/>
          <w:b/>
          <w:bCs/>
          <w:sz w:val="40"/>
          <w:szCs w:val="40"/>
        </w:rPr>
        <w:t xml:space="preserve">: </w:t>
      </w:r>
      <w:r w:rsidR="0022713C" w:rsidRPr="00173399">
        <w:rPr>
          <w:rFonts w:ascii="Arial" w:hAnsi="Arial" w:cs="Arial"/>
        </w:rPr>
        <w:t xml:space="preserve">Mumtaz </w:t>
      </w:r>
      <w:proofErr w:type="spellStart"/>
      <w:r w:rsidR="0022713C" w:rsidRPr="00173399">
        <w:rPr>
          <w:rFonts w:ascii="Arial" w:hAnsi="Arial" w:cs="Arial"/>
        </w:rPr>
        <w:t>Godam</w:t>
      </w:r>
      <w:proofErr w:type="spellEnd"/>
    </w:p>
    <w:p w14:paraId="7F4C6C7B" w14:textId="77777777" w:rsidR="0069154F" w:rsidRDefault="0069154F">
      <w:pPr>
        <w:rPr>
          <w:rFonts w:ascii="Arial" w:hAnsi="Arial" w:cs="Arial"/>
          <w:b/>
          <w:bCs/>
          <w:sz w:val="40"/>
          <w:szCs w:val="40"/>
        </w:rPr>
      </w:pPr>
    </w:p>
    <w:p w14:paraId="74762384" w14:textId="5889FF75" w:rsidR="00C07899" w:rsidRPr="00173399" w:rsidRDefault="00C07899">
      <w:pPr>
        <w:rPr>
          <w:rFonts w:ascii="Arial" w:hAnsi="Arial" w:cs="Arial"/>
        </w:rPr>
      </w:pPr>
      <w:r w:rsidRPr="00C07899">
        <w:rPr>
          <w:rFonts w:ascii="Arial" w:hAnsi="Arial" w:cs="Arial"/>
          <w:b/>
          <w:bCs/>
          <w:sz w:val="40"/>
          <w:szCs w:val="40"/>
        </w:rPr>
        <w:t>Module Leader</w:t>
      </w:r>
      <w:r>
        <w:rPr>
          <w:rFonts w:ascii="Arial" w:hAnsi="Arial" w:cs="Arial"/>
          <w:b/>
          <w:bCs/>
          <w:sz w:val="40"/>
          <w:szCs w:val="40"/>
        </w:rPr>
        <w:t xml:space="preserve">: </w:t>
      </w:r>
      <w:r w:rsidR="00BF1160" w:rsidRPr="00173399">
        <w:rPr>
          <w:rFonts w:ascii="Arial" w:hAnsi="Arial" w:cs="Arial"/>
        </w:rPr>
        <w:t>Gillian Weaver</w:t>
      </w:r>
    </w:p>
    <w:p w14:paraId="087371A9" w14:textId="77777777" w:rsidR="00C07899" w:rsidRPr="00C07899" w:rsidRDefault="00C07899">
      <w:pPr>
        <w:rPr>
          <w:rFonts w:ascii="Arial" w:hAnsi="Arial" w:cs="Arial"/>
          <w:b/>
          <w:bCs/>
          <w:sz w:val="40"/>
          <w:szCs w:val="40"/>
        </w:rPr>
      </w:pPr>
    </w:p>
    <w:p w14:paraId="2ED7394A" w14:textId="04133E29" w:rsidR="00F6486A" w:rsidRPr="00753A0B" w:rsidRDefault="0022713C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40"/>
          <w:szCs w:val="40"/>
        </w:rPr>
        <w:t>Com</w:t>
      </w:r>
      <w:r w:rsidR="00F6486A">
        <w:rPr>
          <w:rFonts w:ascii="Arial" w:hAnsi="Arial" w:cs="Arial"/>
          <w:b/>
          <w:bCs/>
          <w:sz w:val="40"/>
          <w:szCs w:val="40"/>
        </w:rPr>
        <w:t xml:space="preserve">ponent 1: </w:t>
      </w:r>
      <w:r w:rsidR="00F6486A" w:rsidRPr="00753A0B">
        <w:rPr>
          <w:rFonts w:ascii="Arial" w:hAnsi="Arial" w:cs="Arial"/>
        </w:rPr>
        <w:t xml:space="preserve">Presentation </w:t>
      </w:r>
      <w:r w:rsidR="00CD3339" w:rsidRPr="00753A0B">
        <w:rPr>
          <w:rFonts w:ascii="Arial" w:hAnsi="Arial" w:cs="Arial"/>
        </w:rPr>
        <w:t>(Round the table Discussion)</w:t>
      </w:r>
    </w:p>
    <w:p w14:paraId="7A39EB96" w14:textId="0A3037FC" w:rsidR="00C07899" w:rsidRDefault="00C07899">
      <w:pPr>
        <w:rPr>
          <w:rFonts w:ascii="Arial" w:hAnsi="Arial" w:cs="Arial"/>
          <w:b/>
          <w:bCs/>
          <w:sz w:val="40"/>
          <w:szCs w:val="40"/>
        </w:rPr>
      </w:pPr>
      <w:r w:rsidRPr="00C07899">
        <w:rPr>
          <w:rFonts w:ascii="Arial" w:hAnsi="Arial" w:cs="Arial"/>
          <w:b/>
          <w:bCs/>
          <w:sz w:val="40"/>
          <w:szCs w:val="40"/>
        </w:rPr>
        <w:t>Submission</w:t>
      </w:r>
      <w:r w:rsidR="00A93A25">
        <w:rPr>
          <w:rFonts w:ascii="Arial" w:hAnsi="Arial" w:cs="Arial"/>
          <w:b/>
          <w:bCs/>
          <w:sz w:val="40"/>
          <w:szCs w:val="40"/>
        </w:rPr>
        <w:t xml:space="preserve"> Date: </w:t>
      </w:r>
      <w:r w:rsidR="00A93A25" w:rsidRPr="00753A0B">
        <w:rPr>
          <w:rFonts w:ascii="Arial" w:hAnsi="Arial" w:cs="Arial"/>
        </w:rPr>
        <w:t>Monday 22</w:t>
      </w:r>
      <w:r w:rsidR="00A93A25" w:rsidRPr="00753A0B">
        <w:rPr>
          <w:rFonts w:ascii="Arial" w:hAnsi="Arial" w:cs="Arial"/>
          <w:vertAlign w:val="superscript"/>
        </w:rPr>
        <w:t>nd</w:t>
      </w:r>
      <w:r w:rsidR="00A93A25" w:rsidRPr="00753A0B">
        <w:rPr>
          <w:rFonts w:ascii="Arial" w:hAnsi="Arial" w:cs="Arial"/>
        </w:rPr>
        <w:t xml:space="preserve"> June 2026</w:t>
      </w:r>
    </w:p>
    <w:p w14:paraId="49F5D2A8" w14:textId="77777777" w:rsidR="00C07899" w:rsidRDefault="00C07899">
      <w:pPr>
        <w:rPr>
          <w:rFonts w:ascii="Arial" w:hAnsi="Arial" w:cs="Arial"/>
          <w:b/>
          <w:bCs/>
          <w:sz w:val="40"/>
          <w:szCs w:val="40"/>
        </w:rPr>
      </w:pPr>
    </w:p>
    <w:p w14:paraId="5B1633DA" w14:textId="77777777" w:rsidR="00C07899" w:rsidRDefault="00C07899">
      <w:pPr>
        <w:rPr>
          <w:rFonts w:ascii="Arial" w:hAnsi="Arial" w:cs="Arial"/>
          <w:b/>
          <w:bCs/>
          <w:sz w:val="40"/>
          <w:szCs w:val="40"/>
        </w:rPr>
      </w:pPr>
    </w:p>
    <w:p w14:paraId="3386EEA1" w14:textId="77777777" w:rsidR="00C07899" w:rsidRDefault="00C07899">
      <w:pPr>
        <w:rPr>
          <w:rFonts w:ascii="Arial" w:hAnsi="Arial" w:cs="Arial"/>
          <w:b/>
          <w:bCs/>
          <w:sz w:val="40"/>
          <w:szCs w:val="40"/>
        </w:rPr>
      </w:pPr>
    </w:p>
    <w:p w14:paraId="182025A4" w14:textId="77777777" w:rsidR="00C07899" w:rsidRDefault="00C07899">
      <w:pPr>
        <w:rPr>
          <w:rFonts w:ascii="Arial" w:hAnsi="Arial" w:cs="Arial"/>
          <w:b/>
          <w:bCs/>
          <w:sz w:val="40"/>
          <w:szCs w:val="40"/>
        </w:rPr>
      </w:pPr>
    </w:p>
    <w:p w14:paraId="32EB9705" w14:textId="344DF49F" w:rsidR="00B27280" w:rsidRDefault="00A93A25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Reference list</w:t>
      </w:r>
    </w:p>
    <w:p w14:paraId="21BE4AF1" w14:textId="77777777" w:rsidR="00BF1160" w:rsidRDefault="00BF1160">
      <w:pPr>
        <w:rPr>
          <w:rFonts w:ascii="Arial" w:hAnsi="Arial" w:cs="Arial"/>
          <w:b/>
          <w:bCs/>
          <w:sz w:val="40"/>
          <w:szCs w:val="40"/>
        </w:rPr>
      </w:pPr>
    </w:p>
    <w:p w14:paraId="6BE84491" w14:textId="3C0378F0" w:rsidR="00BF1160" w:rsidRDefault="00A83366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 xml:space="preserve">Reference list </w:t>
      </w:r>
    </w:p>
    <w:p w14:paraId="4F114234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Birmingham Safeguarding Children Partnership (2023) </w:t>
      </w:r>
      <w:r w:rsidRPr="00C4147F">
        <w:rPr>
          <w:rFonts w:ascii="Arial" w:hAnsi="Arial" w:cs="Arial"/>
          <w:i/>
          <w:iCs/>
        </w:rPr>
        <w:t>Child Safeguarding Practice Review: Adult A and Child A (2020/21</w:t>
      </w:r>
      <w:r w:rsidRPr="00C4147F">
        <w:rPr>
          <w:rFonts w:ascii="Arial" w:hAnsi="Arial" w:cs="Arial"/>
          <w:i/>
          <w:iCs/>
        </w:rPr>
        <w:noBreakHyphen/>
        <w:t>02)</w:t>
      </w:r>
      <w:r w:rsidRPr="00C4147F">
        <w:rPr>
          <w:rFonts w:ascii="Arial" w:hAnsi="Arial" w:cs="Arial"/>
        </w:rPr>
        <w:t>. Birmingham: BSCP.</w:t>
      </w:r>
    </w:p>
    <w:p w14:paraId="6425997C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College of Policing (2022) </w:t>
      </w:r>
      <w:r w:rsidRPr="00C4147F">
        <w:rPr>
          <w:rFonts w:ascii="Arial" w:hAnsi="Arial" w:cs="Arial"/>
          <w:i/>
          <w:iCs/>
        </w:rPr>
        <w:t>Vulnerability and Risk</w:t>
      </w:r>
      <w:r w:rsidRPr="00C4147F">
        <w:rPr>
          <w:rFonts w:ascii="Arial" w:hAnsi="Arial" w:cs="Arial"/>
        </w:rPr>
        <w:t xml:space="preserve">. Available at: </w:t>
      </w:r>
      <w:hyperlink r:id="rId10" w:tgtFrame="_blank" w:tooltip="www.college.police.uk" w:history="1">
        <w:r w:rsidRPr="00C4147F">
          <w:rPr>
            <w:rStyle w:val="Hyperlink"/>
            <w:rFonts w:ascii="Arial" w:hAnsi="Arial" w:cs="Arial"/>
          </w:rPr>
          <w:t>https://www.college.police.uk</w:t>
        </w:r>
      </w:hyperlink>
      <w:r w:rsidRPr="00C4147F">
        <w:rPr>
          <w:rFonts w:ascii="Arial" w:hAnsi="Arial" w:cs="Arial"/>
        </w:rPr>
        <w:t xml:space="preserve"> (Accessed: 22 June 2026).</w:t>
      </w:r>
    </w:p>
    <w:p w14:paraId="117E06A9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College of Policing (2023) </w:t>
      </w:r>
      <w:r w:rsidRPr="00C4147F">
        <w:rPr>
          <w:rFonts w:ascii="Arial" w:hAnsi="Arial" w:cs="Arial"/>
          <w:i/>
          <w:iCs/>
        </w:rPr>
        <w:t>Authorised Professional Practice: Child Abuse</w:t>
      </w:r>
      <w:r w:rsidRPr="00C4147F">
        <w:rPr>
          <w:rFonts w:ascii="Arial" w:hAnsi="Arial" w:cs="Arial"/>
        </w:rPr>
        <w:t xml:space="preserve">. Available at: </w:t>
      </w:r>
      <w:hyperlink r:id="rId11" w:tgtFrame="_blank" w:tooltip="www.college.police.uk" w:history="1">
        <w:r w:rsidRPr="00C4147F">
          <w:rPr>
            <w:rStyle w:val="Hyperlink"/>
            <w:rFonts w:ascii="Arial" w:hAnsi="Arial" w:cs="Arial"/>
          </w:rPr>
          <w:t>https://www.college.police.uk</w:t>
        </w:r>
      </w:hyperlink>
      <w:r w:rsidRPr="00C4147F">
        <w:rPr>
          <w:rFonts w:ascii="Arial" w:hAnsi="Arial" w:cs="Arial"/>
        </w:rPr>
        <w:t xml:space="preserve"> (Accessed: 22 June 2026).</w:t>
      </w:r>
    </w:p>
    <w:p w14:paraId="2AD2485A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Early Intervention Foundation (2018) </w:t>
      </w:r>
      <w:r w:rsidRPr="00C4147F">
        <w:rPr>
          <w:rFonts w:ascii="Arial" w:hAnsi="Arial" w:cs="Arial"/>
          <w:i/>
          <w:iCs/>
        </w:rPr>
        <w:t>Adverse Childhood Experiences: What We Know, What We Don’t Know, and What Should Happen Next</w:t>
      </w:r>
      <w:r w:rsidRPr="00C4147F">
        <w:rPr>
          <w:rFonts w:ascii="Arial" w:hAnsi="Arial" w:cs="Arial"/>
        </w:rPr>
        <w:t>. London: EIF.</w:t>
      </w:r>
    </w:p>
    <w:p w14:paraId="602E7F0F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Her Majesty’s Inspectorate of Constabulary and Fire &amp; Rescue Services (2020) </w:t>
      </w:r>
      <w:r w:rsidRPr="00C4147F">
        <w:rPr>
          <w:rFonts w:ascii="Arial" w:hAnsi="Arial" w:cs="Arial"/>
          <w:i/>
          <w:iCs/>
        </w:rPr>
        <w:t>The Police Response to Vulnerability</w:t>
      </w:r>
      <w:r w:rsidRPr="00C4147F">
        <w:rPr>
          <w:rFonts w:ascii="Arial" w:hAnsi="Arial" w:cs="Arial"/>
        </w:rPr>
        <w:t>. London: HMICFRS.</w:t>
      </w:r>
    </w:p>
    <w:p w14:paraId="72CD3E89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Her Majesty’s Inspectorate of Constabulary and Fire &amp; Rescue Services (2021) </w:t>
      </w:r>
      <w:r w:rsidRPr="00C4147F">
        <w:rPr>
          <w:rFonts w:ascii="Arial" w:hAnsi="Arial" w:cs="Arial"/>
          <w:i/>
          <w:iCs/>
        </w:rPr>
        <w:t>The Police Response to Domestic Abuse: An Update Report</w:t>
      </w:r>
      <w:r w:rsidRPr="00C4147F">
        <w:rPr>
          <w:rFonts w:ascii="Arial" w:hAnsi="Arial" w:cs="Arial"/>
        </w:rPr>
        <w:t>. London: HMICFRS.</w:t>
      </w:r>
    </w:p>
    <w:p w14:paraId="46E4F0AD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HM Government (2023) </w:t>
      </w:r>
      <w:r w:rsidRPr="00C4147F">
        <w:rPr>
          <w:rFonts w:ascii="Arial" w:hAnsi="Arial" w:cs="Arial"/>
          <w:i/>
          <w:iCs/>
        </w:rPr>
        <w:t>Working Together to Safeguard Children</w:t>
      </w:r>
      <w:r w:rsidRPr="00C4147F">
        <w:rPr>
          <w:rFonts w:ascii="Arial" w:hAnsi="Arial" w:cs="Arial"/>
        </w:rPr>
        <w:t>. London: Department for Education.</w:t>
      </w:r>
    </w:p>
    <w:p w14:paraId="57F1EDB2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Hughes, K., Bellis, M.A., Hardcastle, K.A., Sethi, D., Butchart, A., </w:t>
      </w:r>
      <w:proofErr w:type="spellStart"/>
      <w:r w:rsidRPr="00C4147F">
        <w:rPr>
          <w:rFonts w:ascii="Arial" w:hAnsi="Arial" w:cs="Arial"/>
        </w:rPr>
        <w:t>Mikton</w:t>
      </w:r>
      <w:proofErr w:type="spellEnd"/>
      <w:r w:rsidRPr="00C4147F">
        <w:rPr>
          <w:rFonts w:ascii="Arial" w:hAnsi="Arial" w:cs="Arial"/>
        </w:rPr>
        <w:t xml:space="preserve">, C., Jones, L. and Dunne, M.P. (2017) ‘The effect of multiple adverse childhood experiences on health: a systematic review and meta-analysis’, </w:t>
      </w:r>
      <w:r w:rsidRPr="00C4147F">
        <w:rPr>
          <w:rFonts w:ascii="Arial" w:hAnsi="Arial" w:cs="Arial"/>
          <w:i/>
          <w:iCs/>
        </w:rPr>
        <w:t>The Lancet Public Health</w:t>
      </w:r>
      <w:r w:rsidRPr="00C4147F">
        <w:rPr>
          <w:rFonts w:ascii="Arial" w:hAnsi="Arial" w:cs="Arial"/>
        </w:rPr>
        <w:t>, 2(8), pp. e356–e366.</w:t>
      </w:r>
    </w:p>
    <w:p w14:paraId="77389F20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Munro, E. (2011) </w:t>
      </w:r>
      <w:r w:rsidRPr="00C4147F">
        <w:rPr>
          <w:rFonts w:ascii="Arial" w:hAnsi="Arial" w:cs="Arial"/>
          <w:i/>
          <w:iCs/>
        </w:rPr>
        <w:t>The Munro Review of Child Protection: Final Report – A Child</w:t>
      </w:r>
      <w:r w:rsidRPr="00C4147F">
        <w:rPr>
          <w:rFonts w:ascii="Arial" w:hAnsi="Arial" w:cs="Arial"/>
          <w:i/>
          <w:iCs/>
        </w:rPr>
        <w:noBreakHyphen/>
        <w:t>Centred System</w:t>
      </w:r>
      <w:r w:rsidRPr="00C4147F">
        <w:rPr>
          <w:rFonts w:ascii="Arial" w:hAnsi="Arial" w:cs="Arial"/>
        </w:rPr>
        <w:t>. London: Department for Education.</w:t>
      </w:r>
    </w:p>
    <w:p w14:paraId="523D8A2E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NSPCC (2023) </w:t>
      </w:r>
      <w:r w:rsidRPr="00C4147F">
        <w:rPr>
          <w:rFonts w:ascii="Arial" w:hAnsi="Arial" w:cs="Arial"/>
          <w:i/>
          <w:iCs/>
        </w:rPr>
        <w:t>Learning from Case Reviews: Key Issues and Themes</w:t>
      </w:r>
      <w:r w:rsidRPr="00C4147F">
        <w:rPr>
          <w:rFonts w:ascii="Arial" w:hAnsi="Arial" w:cs="Arial"/>
        </w:rPr>
        <w:t>. London: NSPCC.</w:t>
      </w:r>
    </w:p>
    <w:p w14:paraId="1DEAF4C8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Sidebotham, P., Brandon, M., Bailey, S., </w:t>
      </w:r>
      <w:proofErr w:type="spellStart"/>
      <w:r w:rsidRPr="00C4147F">
        <w:rPr>
          <w:rFonts w:ascii="Arial" w:hAnsi="Arial" w:cs="Arial"/>
        </w:rPr>
        <w:t>Belderson</w:t>
      </w:r>
      <w:proofErr w:type="spellEnd"/>
      <w:r w:rsidRPr="00C4147F">
        <w:rPr>
          <w:rFonts w:ascii="Arial" w:hAnsi="Arial" w:cs="Arial"/>
        </w:rPr>
        <w:t xml:space="preserve">, P., Dodsworth, J. and Garstang, J. (2016) </w:t>
      </w:r>
      <w:r w:rsidRPr="00C4147F">
        <w:rPr>
          <w:rFonts w:ascii="Arial" w:hAnsi="Arial" w:cs="Arial"/>
          <w:i/>
          <w:iCs/>
        </w:rPr>
        <w:t>Pathways to Harm, Pathways to Protection: A Triennial Analysis of Serious Case Reviews 2011–2014</w:t>
      </w:r>
      <w:r w:rsidRPr="00C4147F">
        <w:rPr>
          <w:rFonts w:ascii="Arial" w:hAnsi="Arial" w:cs="Arial"/>
        </w:rPr>
        <w:t>. London: Department for Education.</w:t>
      </w:r>
    </w:p>
    <w:p w14:paraId="59BD6FFA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UK Government (1989) </w:t>
      </w:r>
      <w:r w:rsidRPr="00C4147F">
        <w:rPr>
          <w:rFonts w:ascii="Arial" w:hAnsi="Arial" w:cs="Arial"/>
          <w:i/>
          <w:iCs/>
        </w:rPr>
        <w:t>Children Act 1989</w:t>
      </w:r>
      <w:r w:rsidRPr="00C4147F">
        <w:rPr>
          <w:rFonts w:ascii="Arial" w:hAnsi="Arial" w:cs="Arial"/>
        </w:rPr>
        <w:t>. London: HMSO.</w:t>
      </w:r>
    </w:p>
    <w:p w14:paraId="537DA30F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UK Government (2004) </w:t>
      </w:r>
      <w:r w:rsidRPr="00C4147F">
        <w:rPr>
          <w:rFonts w:ascii="Arial" w:hAnsi="Arial" w:cs="Arial"/>
          <w:i/>
          <w:iCs/>
        </w:rPr>
        <w:t>Children Act 2004</w:t>
      </w:r>
      <w:r w:rsidRPr="00C4147F">
        <w:rPr>
          <w:rFonts w:ascii="Arial" w:hAnsi="Arial" w:cs="Arial"/>
        </w:rPr>
        <w:t>. London: HMSO.</w:t>
      </w:r>
    </w:p>
    <w:p w14:paraId="15E55D1B" w14:textId="77777777" w:rsidR="00AE43A7" w:rsidRPr="00C4147F" w:rsidRDefault="00AE43A7" w:rsidP="00470B8A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C4147F">
        <w:rPr>
          <w:rFonts w:ascii="Arial" w:hAnsi="Arial" w:cs="Arial"/>
        </w:rPr>
        <w:t xml:space="preserve">UK Government (2021) </w:t>
      </w:r>
      <w:r w:rsidRPr="00C4147F">
        <w:rPr>
          <w:rFonts w:ascii="Arial" w:hAnsi="Arial" w:cs="Arial"/>
          <w:i/>
          <w:iCs/>
        </w:rPr>
        <w:t>Domestic Abuse Act 2021</w:t>
      </w:r>
      <w:r w:rsidRPr="00C4147F">
        <w:rPr>
          <w:rFonts w:ascii="Arial" w:hAnsi="Arial" w:cs="Arial"/>
        </w:rPr>
        <w:t>. London: HMSO.</w:t>
      </w:r>
    </w:p>
    <w:p w14:paraId="261B6689" w14:textId="77777777" w:rsidR="00AE43A7" w:rsidRDefault="00AE43A7">
      <w:pPr>
        <w:rPr>
          <w:rFonts w:ascii="Arial" w:hAnsi="Arial" w:cs="Arial"/>
          <w:b/>
          <w:bCs/>
          <w:sz w:val="40"/>
          <w:szCs w:val="40"/>
        </w:rPr>
      </w:pPr>
    </w:p>
    <w:p w14:paraId="2AD670BC" w14:textId="77777777" w:rsidR="00F82CD9" w:rsidRDefault="00F82CD9">
      <w:pPr>
        <w:rPr>
          <w:rFonts w:ascii="Arial" w:hAnsi="Arial" w:cs="Arial"/>
          <w:b/>
          <w:bCs/>
          <w:sz w:val="40"/>
          <w:szCs w:val="40"/>
        </w:rPr>
      </w:pPr>
    </w:p>
    <w:p w14:paraId="2FE998F9" w14:textId="48236814" w:rsidR="00B27280" w:rsidRPr="00B27280" w:rsidRDefault="00B27280">
      <w:pPr>
        <w:rPr>
          <w:rFonts w:ascii="Arial" w:hAnsi="Arial" w:cs="Arial"/>
          <w:b/>
          <w:bCs/>
          <w:color w:val="FF0000"/>
          <w:sz w:val="40"/>
          <w:szCs w:val="40"/>
        </w:rPr>
      </w:pPr>
      <w:r w:rsidRPr="00B27280">
        <w:rPr>
          <w:rFonts w:ascii="Arial" w:hAnsi="Arial" w:cs="Arial"/>
          <w:b/>
          <w:bCs/>
          <w:color w:val="FF0000"/>
          <w:sz w:val="40"/>
          <w:szCs w:val="40"/>
        </w:rPr>
        <w:lastRenderedPageBreak/>
        <w:t xml:space="preserve"> </w:t>
      </w:r>
    </w:p>
    <w:sectPr w:rsidR="00B27280" w:rsidRPr="00B27280" w:rsidSect="00B27280">
      <w:footerReference w:type="default" r:id="rId12"/>
      <w:pgSz w:w="11906" w:h="16838"/>
      <w:pgMar w:top="198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982C6" w14:textId="77777777" w:rsidR="00324328" w:rsidRDefault="00324328" w:rsidP="00124276">
      <w:pPr>
        <w:spacing w:after="0" w:line="240" w:lineRule="auto"/>
      </w:pPr>
      <w:r>
        <w:separator/>
      </w:r>
    </w:p>
  </w:endnote>
  <w:endnote w:type="continuationSeparator" w:id="0">
    <w:p w14:paraId="44E26856" w14:textId="77777777" w:rsidR="00324328" w:rsidRDefault="00324328" w:rsidP="00124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inorEastAsia" w:cs="Times New Roman"/>
      </w:rPr>
      <w:id w:val="-572502570"/>
      <w:docPartObj>
        <w:docPartGallery w:val="Page Numbers (Bottom of Page)"/>
        <w:docPartUnique/>
      </w:docPartObj>
    </w:sdtPr>
    <w:sdtEndPr>
      <w:rPr>
        <w:rFonts w:asciiTheme="majorHAnsi" w:eastAsiaTheme="majorEastAsia" w:hAnsiTheme="majorHAnsi" w:cstheme="majorBidi"/>
        <w:noProof/>
        <w:color w:val="4472C4" w:themeColor="accent1"/>
        <w:sz w:val="40"/>
        <w:szCs w:val="40"/>
      </w:rPr>
    </w:sdtEndPr>
    <w:sdtContent>
      <w:p w14:paraId="3BAE19A3" w14:textId="0CA3473E" w:rsidR="00124276" w:rsidRDefault="00124276">
        <w:pPr>
          <w:pStyle w:val="Footer"/>
          <w:jc w:val="right"/>
          <w:rPr>
            <w:rFonts w:asciiTheme="majorHAnsi" w:eastAsiaTheme="majorEastAsia" w:hAnsiTheme="majorHAnsi" w:cstheme="majorBidi"/>
            <w:color w:val="4472C4" w:themeColor="accent1"/>
            <w:sz w:val="40"/>
            <w:szCs w:val="40"/>
          </w:rPr>
        </w:pPr>
        <w:r>
          <w:rPr>
            <w:rFonts w:eastAsiaTheme="minorEastAsia" w:cs="Times New Roman"/>
          </w:rPr>
          <w:fldChar w:fldCharType="begin"/>
        </w:r>
        <w:r>
          <w:instrText xml:space="preserve"> PAGE   \* MERGEFORMAT 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noProof/>
            <w:color w:val="4472C4" w:themeColor="accent1"/>
            <w:sz w:val="40"/>
            <w:szCs w:val="40"/>
          </w:rPr>
          <w:t>2</w:t>
        </w:r>
        <w:r>
          <w:rPr>
            <w:rFonts w:asciiTheme="majorHAnsi" w:eastAsiaTheme="majorEastAsia" w:hAnsiTheme="majorHAnsi" w:cstheme="majorBidi"/>
            <w:noProof/>
            <w:color w:val="4472C4" w:themeColor="accent1"/>
            <w:sz w:val="40"/>
            <w:szCs w:val="40"/>
          </w:rPr>
          <w:fldChar w:fldCharType="end"/>
        </w:r>
      </w:p>
    </w:sdtContent>
  </w:sdt>
  <w:p w14:paraId="5F778A5A" w14:textId="77777777" w:rsidR="00124276" w:rsidRDefault="001242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878B1" w14:textId="77777777" w:rsidR="00324328" w:rsidRDefault="00324328" w:rsidP="00124276">
      <w:pPr>
        <w:spacing w:after="0" w:line="240" w:lineRule="auto"/>
      </w:pPr>
      <w:r>
        <w:separator/>
      </w:r>
    </w:p>
  </w:footnote>
  <w:footnote w:type="continuationSeparator" w:id="0">
    <w:p w14:paraId="1C47ACF5" w14:textId="77777777" w:rsidR="00324328" w:rsidRDefault="00324328" w:rsidP="001242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E2A26"/>
    <w:multiLevelType w:val="hybridMultilevel"/>
    <w:tmpl w:val="632AC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C5A10"/>
    <w:multiLevelType w:val="hybridMultilevel"/>
    <w:tmpl w:val="C0A644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136095">
    <w:abstractNumId w:val="0"/>
  </w:num>
  <w:num w:numId="2" w16cid:durableId="2133740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formsDesign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99"/>
    <w:rsid w:val="000B2A43"/>
    <w:rsid w:val="000F465B"/>
    <w:rsid w:val="00124276"/>
    <w:rsid w:val="00147832"/>
    <w:rsid w:val="00150B7D"/>
    <w:rsid w:val="0016350C"/>
    <w:rsid w:val="00173399"/>
    <w:rsid w:val="00184DCA"/>
    <w:rsid w:val="001B31FC"/>
    <w:rsid w:val="0022713C"/>
    <w:rsid w:val="00285952"/>
    <w:rsid w:val="00324328"/>
    <w:rsid w:val="00363D5B"/>
    <w:rsid w:val="003A42F5"/>
    <w:rsid w:val="00404096"/>
    <w:rsid w:val="004651BC"/>
    <w:rsid w:val="00470B8A"/>
    <w:rsid w:val="004D6335"/>
    <w:rsid w:val="005F3FAB"/>
    <w:rsid w:val="00656EBC"/>
    <w:rsid w:val="0069154F"/>
    <w:rsid w:val="00753A0B"/>
    <w:rsid w:val="008428C7"/>
    <w:rsid w:val="00A83366"/>
    <w:rsid w:val="00A84173"/>
    <w:rsid w:val="00A93A25"/>
    <w:rsid w:val="00AE43A7"/>
    <w:rsid w:val="00B27280"/>
    <w:rsid w:val="00B46FBC"/>
    <w:rsid w:val="00BC260C"/>
    <w:rsid w:val="00BF1160"/>
    <w:rsid w:val="00C07899"/>
    <w:rsid w:val="00C4147F"/>
    <w:rsid w:val="00CD3339"/>
    <w:rsid w:val="00DC2735"/>
    <w:rsid w:val="00E619F1"/>
    <w:rsid w:val="00F414BD"/>
    <w:rsid w:val="00F43C59"/>
    <w:rsid w:val="00F6486A"/>
    <w:rsid w:val="00F82CD9"/>
    <w:rsid w:val="00FD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5F7780"/>
  <w15:chartTrackingRefBased/>
  <w15:docId w15:val="{CE8BCF3F-D230-4116-9EA4-821C0AE3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78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78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8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78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78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78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78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78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78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78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78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8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78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78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78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78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78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78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78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78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78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78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78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78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78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78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78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78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789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42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276"/>
  </w:style>
  <w:style w:type="paragraph" w:styleId="Footer">
    <w:name w:val="footer"/>
    <w:basedOn w:val="Normal"/>
    <w:link w:val="FooterChar"/>
    <w:uiPriority w:val="99"/>
    <w:unhideWhenUsed/>
    <w:rsid w:val="001242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276"/>
  </w:style>
  <w:style w:type="character" w:styleId="Hyperlink">
    <w:name w:val="Hyperlink"/>
    <w:basedOn w:val="DefaultParagraphFont"/>
    <w:uiPriority w:val="99"/>
    <w:unhideWhenUsed/>
    <w:rsid w:val="00AE43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43A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35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llege.police.uk/?utm_source=copilot.com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college.police.uk/?utm_source=copilot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3437e012cfffe157f9008f4734e01bc7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09e9a74cb6e19615303db57e29b2a60c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C8E1CB-E954-4875-A7FD-3BEE6F7D4EBE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2AD4FEFC-664C-46F2-8288-5F9CCEC104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9BDAE3-4ABA-439F-9B15-D7AB4ABA8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Azora Hurd</dc:creator>
  <cp:keywords/>
  <dc:description/>
  <cp:lastModifiedBy>Kiera Leanne Handley (2410084)</cp:lastModifiedBy>
  <cp:revision>27</cp:revision>
  <dcterms:created xsi:type="dcterms:W3CDTF">2025-03-03T12:24:00Z</dcterms:created>
  <dcterms:modified xsi:type="dcterms:W3CDTF">2026-06-22T11:12:00Z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