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AC816" w14:textId="77777777" w:rsidR="00E40B8B" w:rsidRPr="00E40B8B" w:rsidRDefault="00E40B8B" w:rsidP="00E40B8B">
      <w:pPr>
        <w:spacing w:line="360" w:lineRule="auto"/>
        <w:rPr>
          <w:rFonts w:ascii="Calibri" w:hAnsi="Calibri" w:cs="Calibri"/>
          <w:b/>
          <w:bCs/>
          <w:u w:val="single"/>
          <w:lang w:val="cy-GB"/>
        </w:rPr>
      </w:pPr>
      <w:r w:rsidRPr="00E40B8B">
        <w:rPr>
          <w:rFonts w:ascii="Calibri" w:hAnsi="Calibri" w:cs="Calibri"/>
          <w:b/>
          <w:bCs/>
          <w:u w:val="single"/>
          <w:lang w:val="cy-GB"/>
        </w:rPr>
        <w:t>Effaith Trawma ar Iechyd a Datblygiad Plentyn Ar Draws Oes a Dadansoddi Effeithiolrwydd Ymyriadau Sydd Ar Gael</w:t>
      </w:r>
    </w:p>
    <w:p w14:paraId="649AB866" w14:textId="77777777" w:rsidR="00E40B8B" w:rsidRPr="00E40B8B" w:rsidRDefault="00E40B8B" w:rsidP="00E40B8B">
      <w:pPr>
        <w:spacing w:line="360" w:lineRule="auto"/>
        <w:rPr>
          <w:rFonts w:ascii="Calibri" w:hAnsi="Calibri" w:cs="Calibri"/>
          <w:b/>
          <w:bCs/>
          <w:u w:val="single"/>
          <w:lang w:val="cy-GB"/>
        </w:rPr>
      </w:pPr>
      <w:r w:rsidRPr="00E40B8B">
        <w:rPr>
          <w:rFonts w:ascii="Calibri" w:hAnsi="Calibri" w:cs="Calibri"/>
          <w:b/>
          <w:bCs/>
          <w:u w:val="single"/>
          <w:lang w:val="cy-GB"/>
        </w:rPr>
        <w:t>Crynodeb</w:t>
      </w:r>
    </w:p>
    <w:p w14:paraId="1EA11B0A"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Mae’r traethawd hwn yn archwilio effaith amlochrog trawma ar iechyd a datblygiad plentyn ar hyd ei oes. Mae’n archwilio canlyniadau uniongyrchol a hirdymor trawma ar les seicolegol, corfforol a chymdeithasol. Mae'r papur yn dadansoddi'n feirniadol effeithiolrwydd ymyriadau cyfredol, gan gynnwys dulliau therapiwtig, addysgol a pholisi, ac yn gwerthuso rôl y llywodraeth, gofal iechyd a sefydliadau addysgol mewn adferiad trawma. Mae’r drafodaeth wedi’i seilio ar fframweithiau damcaniaethol allweddol megis Damcaniaeth Ymlyniad Bowlby a Theori Systemau Ecolegol Bronfenbrenner. Yn ogystal, mae'r papur yn gwerthuso ffactorau diwylliannol ac economaidd-gymdeithasol sy'n dylanwadu ar ymateb trawma ac effeithiolrwydd ymyrraeth. Mae’r casgliad yn amlygu’r ymyriadau mwyaf effeithiol ac yn awgrymu gwelliannau ar gyfer mecanweithiau cymorth yn y dyfodol, gan bwysleisio’n arbennig yr angen am gydweithio amlasiantaethol a diwygio polisi i sicrhau cymorth hirdymor i unigolion yr effeithir arnynt gan drawma.</w:t>
      </w:r>
    </w:p>
    <w:p w14:paraId="25971D62" w14:textId="77777777" w:rsidR="00E40B8B" w:rsidRPr="00E40B8B" w:rsidRDefault="00E40B8B" w:rsidP="00E40B8B">
      <w:pPr>
        <w:spacing w:line="360" w:lineRule="auto"/>
        <w:rPr>
          <w:rFonts w:ascii="Calibri" w:hAnsi="Calibri" w:cs="Calibri"/>
          <w:lang w:val="cy-GB"/>
        </w:rPr>
      </w:pPr>
    </w:p>
    <w:p w14:paraId="314F0EC5" w14:textId="77777777" w:rsidR="00E40B8B" w:rsidRPr="00E40B8B" w:rsidRDefault="00E40B8B" w:rsidP="00E40B8B">
      <w:pPr>
        <w:spacing w:line="360" w:lineRule="auto"/>
        <w:rPr>
          <w:rFonts w:ascii="Calibri" w:hAnsi="Calibri" w:cs="Calibri"/>
          <w:b/>
          <w:bCs/>
          <w:u w:val="single"/>
          <w:lang w:val="cy-GB"/>
        </w:rPr>
      </w:pPr>
      <w:r w:rsidRPr="00E40B8B">
        <w:rPr>
          <w:rFonts w:ascii="Calibri" w:hAnsi="Calibri" w:cs="Calibri"/>
          <w:b/>
          <w:bCs/>
          <w:u w:val="single"/>
          <w:lang w:val="cy-GB"/>
        </w:rPr>
        <w:t>Cyflwyniad</w:t>
      </w:r>
    </w:p>
    <w:p w14:paraId="40F6710F"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Mae trawma plentyndod yn fater iechyd cyhoeddus sylweddol, gydag effeithiau parhaol ar les seicolegol, corfforol a chymdeithasol unigolyn. Gall trawma ddeillio o brofiadau niweidiol amrywiol, gan gynnwys cam-drin corfforol, emosiynol neu rywiol, esgeulustod, neu amlygiad i drais (Felitti et al., 1998). Mae ymchwil yn dangos bod trawma cynnar yn tarfu ar lwybrau datblygiadol arferol, gan newid strwythur a gweithrediad yr ymennydd, gan gynyddu'r risg o anhwylderau iechyd meddwl fel iselder, pryder, ac anhwylder straen wedi trawma (PTSD) (Van der Kolk, 2015). Yn ogystal, mae trawma plentyndod wedi’i gysylltu â thebygolrwydd cynyddol o ymgymryd ag ymddygiadau risg uchel, megis cam-drin sylweddau, hunan-niweidio, a thramgwyddoldeb (Anda et al., 2006). Mae natur gronnus trawma yn awgrymu bod profiadau niweidiol lluosog yn gwaethygu heriau datblygiadol ac iechyd, gan danlinellu’r angen am ymyrraeth gynnar (Shonkoff et al., 2012).</w:t>
      </w:r>
    </w:p>
    <w:p w14:paraId="495C2FF4" w14:textId="77777777" w:rsidR="00E40B8B" w:rsidRPr="00E40B8B" w:rsidRDefault="00E40B8B" w:rsidP="00E40B8B">
      <w:pPr>
        <w:spacing w:line="360" w:lineRule="auto"/>
        <w:rPr>
          <w:rFonts w:ascii="Calibri" w:hAnsi="Calibri" w:cs="Calibri"/>
          <w:lang w:val="cy-GB"/>
        </w:rPr>
      </w:pPr>
    </w:p>
    <w:p w14:paraId="70A885DE"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 xml:space="preserve">Mae effaith trawma yn ymestyn y tu hwnt i effeithiau seicolegol unigol i gynnwys canlyniadau corfforol a chymdeithasol sylweddol. Mae astudiaethau wedi dangos bod unigolion sy'n profi trawma plentyndod yn fwy tebygol o ddatblygu salwch cronig, megis </w:t>
      </w:r>
      <w:r w:rsidRPr="00E40B8B">
        <w:rPr>
          <w:rFonts w:ascii="Calibri" w:hAnsi="Calibri" w:cs="Calibri"/>
          <w:lang w:val="cy-GB"/>
        </w:rPr>
        <w:lastRenderedPageBreak/>
        <w:t>clefyd cardiofasgwlaidd a diabetes, oherwydd amlygiad hirfaith i straen gwenwynig (Perry a Pollard, 1998). Yn gymdeithasol, mae plant sydd wedi’u heffeithio gan drawma yn aml yn ei chael hi’n anodd ffurfio ymlyniadau diogel, yn wynebu anawsterau mewn lleoliadau academaidd, ac yn arddangos problemau ymddygiad a all barhau i fod yn oedolion (Bowlby, 1988). O ystyried yr effeithiau dwys hyn, mae deall cwmpas llawn effaith trawma ac effeithiolrwydd ymyriadau yn hanfodol ar gyfer hyrwyddo gwydnwch ac adferiad.</w:t>
      </w:r>
    </w:p>
    <w:p w14:paraId="0C249AE0" w14:textId="77777777" w:rsidR="00E40B8B" w:rsidRPr="00E40B8B" w:rsidRDefault="00E40B8B" w:rsidP="00E40B8B">
      <w:pPr>
        <w:spacing w:line="360" w:lineRule="auto"/>
        <w:rPr>
          <w:rFonts w:ascii="Calibri" w:hAnsi="Calibri" w:cs="Calibri"/>
          <w:lang w:val="cy-GB"/>
        </w:rPr>
      </w:pPr>
    </w:p>
    <w:p w14:paraId="73563533"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Mae’r traethawd hwn yn archwilio’n feirniadol effaith trawma ar ddatblygiad plentyn ar draws oes ac yn gwerthuso effeithiolrwydd yr ymyriadau sydd ar gael. Drwy integreiddio safbwyntiau damcaniaethol a thystiolaeth empirig, mae’r papur yn nodi’r ymyriadau mwyaf priodol ac yn amlygu bylchau posibl yn y systemau cymorth presennol. Ar ben hynny, mae'n archwilio rôl canfyddiadau diwylliannol, statws economaidd-gymdeithasol, a pholisïau'r llywodraeth wrth lunio ymateb trawma a mynediad ymyrraeth. Mae gwahaniaethau mewn mynediad at ofal wedi’i lywio gan drawma, yn enwedig ymhlith poblogaethau ymylol, yn amlygu’r angen am ddulliau mwy cynhwysol a diwylliannol gymwys (Betancourt et al., 2013). Bydd y drafodaeth hefyd yn archwilio strategaethau ymyrryd sy'n dod i'r amlwg, gan gynnwys dulliau digidol a rhai a yrrir gan y gymuned, sy'n ceisio mynd i'r afael â bylchau mewn strwythurau cymorth traddodiadol. Gyda thwf llwyfannau teleiechyd ac iechyd meddwl ar-lein, mae ymyriadau arloesol yn dod yn fwy poblogaidd fel dewisiadau amgen hygyrch i therapi traddodiadol (Shonkoff et al., 2012).</w:t>
      </w:r>
    </w:p>
    <w:p w14:paraId="4D43DDB6" w14:textId="77777777" w:rsidR="00E40B8B" w:rsidRPr="00E40B8B" w:rsidRDefault="00E40B8B" w:rsidP="00E40B8B">
      <w:pPr>
        <w:spacing w:line="360" w:lineRule="auto"/>
        <w:rPr>
          <w:rFonts w:ascii="Calibri" w:hAnsi="Calibri" w:cs="Calibri"/>
          <w:lang w:val="cy-GB"/>
        </w:rPr>
      </w:pPr>
    </w:p>
    <w:p w14:paraId="3F9D7672"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Drwy ddarparu dadansoddiad cynhwysfawr o effaith trawma ac effeithiolrwydd ymyriadau, nod y papur hwn yw cyfrannu at y drafodaeth barhaus ar les plant ac iechyd meddwl. Mae’n eiriol dros bolisïau sy’n seiliedig ar dystiolaeth a chydweithio amlasiantaethol i sicrhau bod pob plentyn sydd wedi’i effeithio gan drawma yn cael y cymorth sydd ei angen arnynt i fyw bywydau iach a boddhaus.</w:t>
      </w:r>
    </w:p>
    <w:p w14:paraId="16D5B966" w14:textId="77777777" w:rsidR="00E40B8B" w:rsidRPr="00E40B8B" w:rsidRDefault="00E40B8B" w:rsidP="00E40B8B">
      <w:pPr>
        <w:spacing w:line="360" w:lineRule="auto"/>
        <w:rPr>
          <w:rFonts w:ascii="Calibri" w:hAnsi="Calibri" w:cs="Calibri"/>
          <w:lang w:val="cy-GB"/>
        </w:rPr>
      </w:pPr>
    </w:p>
    <w:p w14:paraId="20364A8F" w14:textId="77777777" w:rsidR="00E40B8B" w:rsidRPr="00E40B8B" w:rsidRDefault="00E40B8B" w:rsidP="00E40B8B">
      <w:pPr>
        <w:spacing w:line="360" w:lineRule="auto"/>
        <w:rPr>
          <w:rFonts w:ascii="Calibri" w:hAnsi="Calibri" w:cs="Calibri"/>
          <w:b/>
          <w:bCs/>
          <w:u w:val="single"/>
          <w:lang w:val="cy-GB"/>
        </w:rPr>
      </w:pPr>
      <w:r w:rsidRPr="00E40B8B">
        <w:rPr>
          <w:rFonts w:ascii="Calibri" w:hAnsi="Calibri" w:cs="Calibri"/>
          <w:b/>
          <w:bCs/>
          <w:u w:val="single"/>
          <w:lang w:val="cy-GB"/>
        </w:rPr>
        <w:t>Effaith ar Iechyd a Datblygiad Gydol Oes</w:t>
      </w:r>
    </w:p>
    <w:p w14:paraId="5DD714E2" w14:textId="77777777" w:rsidR="00E40B8B" w:rsidRPr="00E40B8B" w:rsidRDefault="00E40B8B" w:rsidP="00E40B8B">
      <w:pPr>
        <w:spacing w:line="360" w:lineRule="auto"/>
        <w:rPr>
          <w:rFonts w:ascii="Calibri" w:hAnsi="Calibri" w:cs="Calibri"/>
          <w:color w:val="000000"/>
          <w:lang w:val="cy-GB"/>
        </w:rPr>
      </w:pPr>
      <w:r w:rsidRPr="00E40B8B">
        <w:rPr>
          <w:rFonts w:ascii="Calibri" w:hAnsi="Calibri" w:cs="Calibri"/>
          <w:lang w:val="cy-GB"/>
        </w:rPr>
        <w:t xml:space="preserve">Mae plant sy'n profi amodau anffafriol yn gynnar mewn bywyd yn aml yn arddangos canlyniadau seicolegol, corfforol a chymdeithasol uniongyrchol. Gall dod i gysylltiad â thrawma, esgeulustod neu gamdriniaeth arwain at lefelau uwch o bryder, iselder, ac anhwylder straen wedi trawma (PTSD). </w:t>
      </w:r>
      <w:r w:rsidRPr="00E40B8B">
        <w:rPr>
          <w:rFonts w:ascii="Calibri" w:hAnsi="Calibri" w:cs="Calibri"/>
          <w:color w:val="000000"/>
          <w:lang w:val="cy-GB"/>
        </w:rPr>
        <w:t xml:space="preserve">Yn ôl Gould et al. (2012), gall dod i gysylltiad cynnar </w:t>
      </w:r>
      <w:r w:rsidRPr="00E40B8B">
        <w:rPr>
          <w:rFonts w:ascii="Calibri" w:hAnsi="Calibri" w:cs="Calibri"/>
          <w:color w:val="000000"/>
          <w:lang w:val="cy-GB"/>
        </w:rPr>
        <w:lastRenderedPageBreak/>
        <w:t>â straenwyr ddadreoleiddio system ymateb straen plentyn, gan arwain at or-arwsus a dadreoleiddio emosiynol parhaus. Gall yr heriau seicolegol hyn hefyd gyfrannu at anawsterau mewn mynegiant emosiynol a hunan-barch, gan gymhlethu ymhellach eu rhyngweithio cymdeithasol a'u hymgysylltiad academaidd. Yn ogystal, mae ymchwil yn awgrymu y gall dod i gysylltiad â straen cronig yn ifanc arwain at fferdod emosiynol, gan ei gwneud hi'n anodd i blant ffurfio perthynas ymddiriedus ag eraill neu fynegi eu hemosiynau mewn modd iach.</w:t>
      </w:r>
    </w:p>
    <w:p w14:paraId="1F490024" w14:textId="77777777" w:rsidR="00E40B8B" w:rsidRPr="00E40B8B" w:rsidRDefault="00E40B8B" w:rsidP="00E40B8B">
      <w:pPr>
        <w:spacing w:line="360" w:lineRule="auto"/>
        <w:rPr>
          <w:rFonts w:ascii="Calibri" w:hAnsi="Calibri" w:cs="Calibri"/>
          <w:lang w:val="cy-GB"/>
        </w:rPr>
      </w:pPr>
    </w:p>
    <w:p w14:paraId="4E9716FB"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Yn gorfforol, gall plant dan straen cronig brofi salwch sy'n gysylltiedig â straen, megis cur pen, problemau gastroberfeddol, ac ymatebion imiwnedd gwan (Shonkoff et al., 2012). Gall gwreiddio straen yn fiolegol trwy weithrediad echelin hypothalamig-bitwidol-adrenal (HPA) gorweithgar ragdueddiad plant i glefydau cronig yn ddiweddarach mewn bywyd. At hynny, gall straen plentyndod newid patrymau cysgu ac ymddygiad bwyta, gan arwain at ordewdra neu ddiffyg maeth, sy'n gwaethygu risgiau iechyd hirdymor ymhellach. Mae ansawdd cwsg gwael, yn arbennig, wedi'i gysylltu â diffygion gwybyddol, llai o ganolbwyntio, a phroblemau ymddygiad sy'n effeithio'n negyddol ar berfformiad academaidd a rhyngweithio cymdeithasol.</w:t>
      </w:r>
    </w:p>
    <w:p w14:paraId="155973FA" w14:textId="77777777" w:rsidR="00E40B8B" w:rsidRPr="00E40B8B" w:rsidRDefault="00E40B8B" w:rsidP="00E40B8B">
      <w:pPr>
        <w:spacing w:line="360" w:lineRule="auto"/>
        <w:rPr>
          <w:rFonts w:ascii="Calibri" w:hAnsi="Calibri" w:cs="Calibri"/>
          <w:lang w:val="cy-GB"/>
        </w:rPr>
      </w:pPr>
    </w:p>
    <w:p w14:paraId="23C2FAAA"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Mae canlyniadau cymdeithasol ac ymddygiadol hefyd yn gyffredin. Gall plant sy'n agored i amodau anffafriol arddangos enciliad, ymosodedd, neu anawsterau mewn lleoliadau academaidd. Mae ymchwil yn awgrymu bod adfyd cynnar yn gysylltiedig â gweithrediad gweithredol gwael, gan arwain at anableddau dysgu a chyflawniadau academaidd is (Evans a Kim, 2013). Yn ogystal, gall problemau ymddygiadol fel gorfywiogrwydd neu anhwylderau ymddygiad godi, gan ei gwneud yn heriol i blant yr effeithir arnynt ffurfio perthnasoedd cadarnhaol â chyfoedion (Cicchetti a Toth, 2016). Gall yr heriau cymdeithasol hyn hefyd ddod i'r amlwg fel anhawster i ffurfio ymlyniadau sicr gyda rhoddwyr gofal neu ffigurau awdurdod, gan gynyddu'r risg o dramgwyddoldeb ac ymddygiad gwrthgymdeithasol yn y glasoed. Dros amser, gall yr anawsterau hyn gyfrannu at ymdeimlad o arwahanrwydd cymdeithasol a gwrthodiad, gan atgyfnerthu effeithiau seicolegol ac emosiynol negyddol adfyd cynnar.</w:t>
      </w:r>
    </w:p>
    <w:p w14:paraId="0A17121E" w14:textId="77777777" w:rsidR="00E40B8B" w:rsidRPr="00E40B8B" w:rsidRDefault="00E40B8B" w:rsidP="00E40B8B">
      <w:pPr>
        <w:spacing w:line="360" w:lineRule="auto"/>
        <w:rPr>
          <w:rFonts w:ascii="Calibri" w:hAnsi="Calibri" w:cs="Calibri"/>
          <w:lang w:val="cy-GB"/>
        </w:rPr>
      </w:pPr>
    </w:p>
    <w:p w14:paraId="321ED1E1" w14:textId="77777777" w:rsidR="00E40B8B" w:rsidRPr="00E40B8B" w:rsidRDefault="00E40B8B" w:rsidP="00E40B8B">
      <w:pPr>
        <w:spacing w:line="360" w:lineRule="auto"/>
        <w:rPr>
          <w:rFonts w:ascii="Calibri" w:hAnsi="Calibri" w:cs="Calibri"/>
          <w:b/>
          <w:bCs/>
          <w:lang w:val="cy-GB"/>
        </w:rPr>
      </w:pPr>
      <w:r w:rsidRPr="00E40B8B">
        <w:rPr>
          <w:rFonts w:ascii="Calibri" w:hAnsi="Calibri" w:cs="Calibri"/>
          <w:b/>
          <w:bCs/>
          <w:lang w:val="cy-GB"/>
        </w:rPr>
        <w:t>Effeithiau Hirdymor ar Lencyndod ac Oedolyn</w:t>
      </w:r>
    </w:p>
    <w:p w14:paraId="63667B6E"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lastRenderedPageBreak/>
        <w:t>Wrth i blant drosglwyddo i lencyndod ac oedolaeth, daw effaith hirdymor adfyd cynnar yn fwy amlwg. Mae canlyniadau gwybyddol ac addysgol yn aml yn cael eu peryglu, gyda sgorau IQ is, llai o allu cof gweithio, a chyfraddau cwblhau is mewn ysgolion uwchradd neu golegau yn cael eu hadrodd ymhlith unigolion sy'n agored i drawma cynnar (Masten et al., 2005, diffynwyd yn Lerner a Overton,2006). Gall yr anawsterau gwybyddol hyn lesteirio rhagolygon gyrfa a sefydlogrwydd economaidd. At hynny, gall unigolion yr effeithir arnynt gael trafferth gyda sgiliau datrys problemau a gwneud penderfyniadau, gan gyfyngu ar eu gallu i lywio amgylcheddau academaidd a phroffesiynol yn llwyddiannus. Mewn rhai achosion, gall unigolion sydd wedi wynebu adfyd cynnar hefyd ddatblygu meddylfryd sefydlog, gan gredu bod eu galluoedd wedi'u pennu ymlaen llaw ac na allant wella, gan arwain at lai o gymhelliant a hunan-effeithiolrwydd.</w:t>
      </w:r>
    </w:p>
    <w:p w14:paraId="6D9A0ADE" w14:textId="77777777" w:rsidR="00E40B8B" w:rsidRPr="00E40B8B" w:rsidRDefault="00E40B8B" w:rsidP="00E40B8B">
      <w:pPr>
        <w:spacing w:line="360" w:lineRule="auto"/>
        <w:rPr>
          <w:rFonts w:ascii="Calibri" w:hAnsi="Calibri" w:cs="Calibri"/>
          <w:b/>
          <w:bCs/>
          <w:lang w:val="cy-GB"/>
        </w:rPr>
      </w:pPr>
    </w:p>
    <w:p w14:paraId="499FD3AB"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Yn emosiynol, gall effeithiau hirdymor ddod i'r amlwg mewn anawsterau perthynol, gan gynnwys materion ymlyniad ac ymddygiadau cymryd risg. Mae ymchwil yn cefnogi’r syniad bod arddulliau ymlyniad ansicr, yn enwedig ymlyniad osgoi neu anhrefnus, yn gyffredin mewn unigolion â phrofiadau plentyndod andwyol (ACEs) (Bowlby, 1988). Gall yr unigolion hyn gael trafferth gydag ymddiriedaeth, agosatrwydd, a rheoleiddio emosiynol, gan gynyddu’r tebygolrwydd o strategaethau ymdopi â chamaddasiad fel defnyddio sylweddau a hunan-niweidio (Anda et al., 2006). Yn ogystal, efallai eu bod yn fwy agored i anhwylderau iechyd meddwl, gan gynnwys anhwylder personoliaeth ffiniol ac iselder, sy'n cymhlethu eu gweithrediad cymdeithasol a galwedigaethol ymhellach. Gall trallod emosiynol hirdymor hefyd ddod i'r amlwg mewn unigrwydd cronig, anhawster i gynnal perthnasoedd hirdymor, a thebygolrwydd cynyddol o ymddwyn yn fyrbwyll neu'n fyrbwyll.</w:t>
      </w:r>
    </w:p>
    <w:p w14:paraId="13882C0D" w14:textId="77777777" w:rsidR="00E40B8B" w:rsidRPr="00E40B8B" w:rsidRDefault="00E40B8B" w:rsidP="00E40B8B">
      <w:pPr>
        <w:spacing w:line="360" w:lineRule="auto"/>
        <w:rPr>
          <w:rFonts w:ascii="Calibri" w:hAnsi="Calibri" w:cs="Calibri"/>
          <w:lang w:val="cy-GB"/>
        </w:rPr>
      </w:pPr>
    </w:p>
    <w:p w14:paraId="6A0EBBE6"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 xml:space="preserve">Mae risgiau iechyd corfforol hefyd yn parhau pan fyddant yn oedolion. Mae astudiaethau’n dangos cydberthynas gref rhwng ACE a datblygiad salwch cronig fel clefyd cardiofasgwlaidd, gordewdra, a diabetes (Felitti et al., 1998). Yn ogystal, mae unigolion sydd â sgorau ACE uchel yn fwy tebygol o gymryd rhan mewn ymddygiadau iechyd peryglus fel ysmygu, camddefnyddio alcohol, a dibyniaeth ar gyffuriau, gan waethygu cymhlethdodau iechyd ymhellach. Gall amlygiad hirdymor i hormonau straen fel cortisol gyfrannu at lid systemig, sy'n gysylltiedig ag ystod o gyflyrau cronig, gan gynnwys anhwylderau awto-imiwn a syndromau metabolig. Mae straen cronig hefyd yn cael effeithiau sylweddol ar allu'r corff i </w:t>
      </w:r>
      <w:r w:rsidRPr="00E40B8B">
        <w:rPr>
          <w:rFonts w:ascii="Calibri" w:hAnsi="Calibri" w:cs="Calibri"/>
          <w:lang w:val="cy-GB"/>
        </w:rPr>
        <w:lastRenderedPageBreak/>
        <w:t>atgyweirio ei hun, gan arwain at heneiddio cynamserol a mwy o dueddiad i glefydau niwroddargyfeiredd fel Alzheimer's a Parkinson's.</w:t>
      </w:r>
    </w:p>
    <w:p w14:paraId="524B43D7" w14:textId="77777777" w:rsidR="00E40B8B" w:rsidRPr="00E40B8B" w:rsidRDefault="00E40B8B" w:rsidP="00E40B8B">
      <w:pPr>
        <w:spacing w:line="360" w:lineRule="auto"/>
        <w:rPr>
          <w:rFonts w:ascii="Calibri" w:hAnsi="Calibri" w:cs="Calibri"/>
          <w:lang w:val="cy-GB"/>
        </w:rPr>
      </w:pPr>
    </w:p>
    <w:p w14:paraId="2C766E6A"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Effeithir hefyd ar statws economaidd-gymdeithasol a chyflogaeth. Gall effaith gronnol tarfu ar addysg, ansefydlogrwydd emosiynol, ac iechyd corfforol gwael arwain at gyfleoedd gwaith cyfyngedig ac ansicrwydd ariannol. Mae unigolion sy’n profi adfyd yn ystod plentyndod yn fwy tebygol o brofi diweithdra, ansefydlogrwydd swydd, a lefelau incwm is, gan barhau mewn cylchoedd o dlodi ac anfantais (Lund et al., 2010). At hynny, efallai y bydd gan unigolion o gefndiroedd economaidd-gymdeithasol is sy'n wynebu adfyd llai o systemau cymorth cymdeithasol a llai o fynediad at adnoddau iechyd meddwl, gan waethygu eu brwydrau gyda chyflogaeth ac annibyniaeth ariannol. Gall yr ansefydlogrwydd ariannol a wynebir gan lawer o unigolion sydd wedi profi adfyd cynnar gyfrannu hefyd at gylchoedd o galedi economaidd sy’n ymestyn i genedlaethau’r dyfodol, wrth i fynediad cyfyngedig at adnoddau addysg a gofal iechyd barhau i barhau i fod dan anfantais.</w:t>
      </w:r>
    </w:p>
    <w:p w14:paraId="5676B425" w14:textId="77777777" w:rsidR="00E40B8B" w:rsidRPr="00E40B8B" w:rsidRDefault="00E40B8B" w:rsidP="00E40B8B">
      <w:pPr>
        <w:spacing w:line="360" w:lineRule="auto"/>
        <w:rPr>
          <w:rFonts w:ascii="Calibri" w:hAnsi="Calibri" w:cs="Calibri"/>
          <w:lang w:val="cy-GB"/>
        </w:rPr>
      </w:pPr>
    </w:p>
    <w:p w14:paraId="22E9CEE7" w14:textId="77777777" w:rsidR="00E40B8B" w:rsidRPr="00E40B8B" w:rsidRDefault="00E40B8B" w:rsidP="00E40B8B">
      <w:pPr>
        <w:spacing w:line="360" w:lineRule="auto"/>
        <w:rPr>
          <w:rFonts w:ascii="Calibri" w:hAnsi="Calibri" w:cs="Calibri"/>
          <w:b/>
          <w:bCs/>
          <w:lang w:val="cy-GB"/>
        </w:rPr>
      </w:pPr>
      <w:r w:rsidRPr="00E40B8B">
        <w:rPr>
          <w:rFonts w:ascii="Calibri" w:hAnsi="Calibri" w:cs="Calibri"/>
          <w:b/>
          <w:bCs/>
          <w:lang w:val="cy-GB"/>
        </w:rPr>
        <w:t>Safbwyntiau Damcaniaethol</w:t>
      </w:r>
    </w:p>
    <w:p w14:paraId="7EB33720"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Mae nifer o ddamcaniaethau datblygiadol yn rhoi cipolwg ar sut mae adfyd cynnar yn dylanwadu ar iechyd a datblygiad ar hyd oes.</w:t>
      </w:r>
    </w:p>
    <w:p w14:paraId="3C56C435"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Mae Damcaniaeth Ymlyniad Bowlby yn awgrymu bod perthnasoedd cynnar â gofalwyr yn llywio gallu unigolyn i ffurfio bondiau sicr yn ddiweddarach mewn bywyd (Bowlby, 1988). Gall tarfu ar ymlyniad cynnar oherwydd esgeulustod neu drawma arwain at arddulliau ymlyniad ansicr, gan gyfrannu at anawsterau perthynol a dadreoleiddio emosiynol. Gall yr heriau hyn ymestyn i arddulliau magu plant pan fyddant yn oedolion, lle gall unigolion a brofodd ymlyniadau ansicr fel plant ei chael hi’n anodd ffurfio ymlyniadau iach gyda’u hepil eu hunain, gan barhau cylchoedd camweithrediad ar draws cenedlaethau. Mae ymchwil yn awgrymu y gall plant sy’n cael eu magu mewn amgylcheddau lle nad yw eu hanghenion emosiynol yn cael eu diwallu datblygu ofn dwfn o gael eu gadael, gan arwain at anawsterau wrth ffurfio perthnasoedd sefydlog a risg uwch o gyd-ddibyniaeth neu osgoi mewn partneriaethau agos.</w:t>
      </w:r>
    </w:p>
    <w:p w14:paraId="67B1E936" w14:textId="77777777" w:rsidR="00E40B8B" w:rsidRPr="00E40B8B" w:rsidRDefault="00E40B8B" w:rsidP="00E40B8B">
      <w:pPr>
        <w:spacing w:line="360" w:lineRule="auto"/>
        <w:rPr>
          <w:rFonts w:ascii="Calibri" w:hAnsi="Calibri" w:cs="Calibri"/>
          <w:lang w:val="cy-GB"/>
        </w:rPr>
      </w:pPr>
    </w:p>
    <w:p w14:paraId="2F4CB328"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 xml:space="preserve">Mae Damcaniaeth Systemau Ecolegol Bronfenbrenner yn amlygu’r cydadwaith rhwng ffactorau unigol, teuluol, cymunedol a chymdeithasol wrth lunio datblygiad </w:t>
      </w:r>
      <w:r w:rsidRPr="00E40B8B">
        <w:rPr>
          <w:rFonts w:ascii="Calibri" w:hAnsi="Calibri" w:cs="Calibri"/>
          <w:lang w:val="cy-GB"/>
        </w:rPr>
        <w:lastRenderedPageBreak/>
        <w:t>(Bronfenbrenner, 1979). Gall plant sy’n cael eu magu mewn amgylcheddau anffafriol gael eu dylanwadu gan lefelau lluosog o risg, o gamweithrediad teuluol agos i faterion systemig ehangach fel tlodi ac anghydraddoldeb cymdeithasol. Mae’r ddamcaniaeth hon yn tanlinellu pwysigrwydd ymyriadau allanol, megis rhaglenni cymorth cymunedol, mentrau iechyd meddwl mewn ysgolion, a diwygiadau economaidd-gymdeithasol a yrrir gan bolisi, wrth liniaru effeithiau negyddol adfyd cynnar. Drwy fynd i’r afael â’r ffactorau ecolegol ehangach sy’n cyfrannu at adfyd plentyndod, gall ymyriadau fod yn fwy effeithiol wrth greu newid cadarnhaol parhaol i unigolion yr effeithir arnynt.</w:t>
      </w:r>
    </w:p>
    <w:p w14:paraId="2C81C6A5" w14:textId="77777777" w:rsidR="00E40B8B" w:rsidRPr="00E40B8B" w:rsidRDefault="00E40B8B" w:rsidP="00E40B8B">
      <w:pPr>
        <w:spacing w:line="360" w:lineRule="auto"/>
        <w:rPr>
          <w:rFonts w:ascii="Calibri" w:hAnsi="Calibri" w:cs="Calibri"/>
          <w:lang w:val="cy-GB"/>
        </w:rPr>
      </w:pPr>
    </w:p>
    <w:p w14:paraId="09AE7BDD"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Mae Theori Trawma yn pwysleisio effaith barhaol profiadau trawmatig ar weithrediad seicolegol a ffisiolegol. Gall dod i gysylltiad dro ar ôl tro i drawma arwain at newidiadau yn strwythurau’r ymennydd fel yr amygdala a’r cortecs rhagflaenol, gan effeithio ar reoleiddio emosiynol, rheolaeth ysgogiad, a gweithrediad gwybyddol (Perry, 2009). Mae deall sail niwrobiolegol trawma yn helpu i esbonio pam mae adfyd cynnar yn cael effeithiau mor hollbresennol ar draws oes. Mae arferion gofal sy'n seiliedig ar drawma wedi'u mabwysiadu'n gynyddol mewn lleoliadau gofal iechyd ac addysgol i ddarparu amgylcheddau cefnogol i unigolion yr effeithir arnynt sy'n cydnabod eu profiadau ac yn hyrwyddo iachâd. Mae rhaglenni sy’n ymgorffori gofal wedi’i lywio gan drawma yn canolbwyntio ar greu mannau diogel, cefnogol lle mae unigolion yn teimlo eu bod wedi’u dilysu a’u grymuso i fynd i’r afael â’u profiadau heb ofni barn na niwed pellach.</w:t>
      </w:r>
    </w:p>
    <w:p w14:paraId="05D2918C" w14:textId="77777777" w:rsidR="00E40B8B" w:rsidRPr="00E40B8B" w:rsidRDefault="00E40B8B" w:rsidP="00E40B8B">
      <w:pPr>
        <w:spacing w:line="360" w:lineRule="auto"/>
        <w:rPr>
          <w:rFonts w:ascii="Calibri" w:hAnsi="Calibri" w:cs="Calibri"/>
          <w:lang w:val="cy-GB"/>
        </w:rPr>
      </w:pPr>
    </w:p>
    <w:p w14:paraId="7A266D8A"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Mae effaith adfyd cynnar ar iechyd a datblygiad yn ymestyn ar draws oes, gan ddylanwadu ar les seicolegol, iechyd corfforol, canlyniadau gwybyddol, a statws economaidd-gymdeithasol. Mae effeithiau uniongyrchol yn ystod plentyndod, gan gynnwys trallod emosiynol, heriau ymddygiad, a chymhlethdodau iechyd, yn aml yn esblygu i anawsterau hirdymor pan fyddant yn oedolion, megis salwch cronig, ansefydlogrwydd perthynol, ac anfantais economaidd. Mae cronni’r ffactorau hyn nid yn unig yn effeithio ar unigolion ond hefyd yn gallu parhau cylchoedd o adfyd ar draws cenedlaethau.</w:t>
      </w:r>
    </w:p>
    <w:p w14:paraId="2F45447D" w14:textId="77777777" w:rsidR="00E40B8B" w:rsidRPr="00E40B8B" w:rsidRDefault="00E40B8B" w:rsidP="00E40B8B">
      <w:pPr>
        <w:spacing w:line="360" w:lineRule="auto"/>
        <w:rPr>
          <w:rFonts w:ascii="Calibri" w:hAnsi="Calibri" w:cs="Calibri"/>
          <w:lang w:val="cy-GB"/>
        </w:rPr>
      </w:pPr>
    </w:p>
    <w:p w14:paraId="0F6144E8"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 xml:space="preserve">Mae damcaniaethau datblygiadol fel Theori Ymlyniad, Theori Systemau Ecolegol, a Theori Trawma yn darparu fframweithiau ar gyfer deall yr effeithiau hyn, gan bwysleisio pwysigrwydd ymyrraeth gynnar ac amgylcheddau cefnogol. Mae mynd i’r afael ag adfyd yn </w:t>
      </w:r>
      <w:r w:rsidRPr="00E40B8B">
        <w:rPr>
          <w:rFonts w:ascii="Calibri" w:hAnsi="Calibri" w:cs="Calibri"/>
          <w:lang w:val="cy-GB"/>
        </w:rPr>
        <w:lastRenderedPageBreak/>
        <w:t>ystod plentyndod trwy ymyriadau cynnar, gofal wedi’i lywio gan drawma, a mentrau polisi yn hanfodol ar gyfer lliniaru canlyniadau negyddol hirdymor a meithrin gwytnwch mewn unigolion yr effeithir arnynt. Yn ogystal, gall cynyddu ymwybyddiaeth y cyhoedd am ACEs ac integreiddio gwasanaethau iechyd meddwl o fewn ysgolion a chymunedau helpu i dorri’r cylch trawma a hyrwyddo llwybrau datblygiadol iachach.</w:t>
      </w:r>
    </w:p>
    <w:p w14:paraId="219D356D" w14:textId="77777777" w:rsidR="00E40B8B" w:rsidRPr="00E40B8B" w:rsidRDefault="00E40B8B" w:rsidP="00E40B8B">
      <w:pPr>
        <w:spacing w:line="360" w:lineRule="auto"/>
        <w:rPr>
          <w:rFonts w:ascii="Calibri" w:hAnsi="Calibri" w:cs="Calibri"/>
          <w:lang w:val="cy-GB"/>
        </w:rPr>
      </w:pPr>
    </w:p>
    <w:p w14:paraId="27175278" w14:textId="77777777" w:rsidR="00E40B8B" w:rsidRPr="00E40B8B" w:rsidRDefault="00E40B8B" w:rsidP="00E40B8B">
      <w:pPr>
        <w:spacing w:line="360" w:lineRule="auto"/>
        <w:rPr>
          <w:rFonts w:ascii="Calibri" w:hAnsi="Calibri" w:cs="Calibri"/>
          <w:b/>
          <w:bCs/>
          <w:u w:val="single"/>
          <w:lang w:val="cy-GB"/>
        </w:rPr>
      </w:pPr>
      <w:r w:rsidRPr="00E40B8B">
        <w:rPr>
          <w:rFonts w:ascii="Calibri" w:hAnsi="Calibri" w:cs="Calibri"/>
          <w:b/>
          <w:bCs/>
          <w:u w:val="single"/>
          <w:lang w:val="cy-GB"/>
        </w:rPr>
        <w:t>Cefnogaeth ac Ymyriadau</w:t>
      </w:r>
    </w:p>
    <w:p w14:paraId="44C37E17"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Mae cefnogi plant mewn trallod yn gofyn am ddull amlochrog sy'n cynnwys ymyriadau uniongyrchol a hirdymor. Mae’r ymyriadau hyn yn rhychwantu systemau cymorth teulu, ysgol, cymuned a gofal iechyd, gan sicrhau bod plant yn cael y gofal angenrheidiol ar gyfer eu llesiant emosiynol, cymdeithasol a seicolegol. Gall methu â gweithredu ymyriadau priodol arwain at ganlyniadau difrifol, gan gynnwys anhwylderau iechyd meddwl, cam-drin sylweddau, ac ymgysylltu ag ymddygiad troseddol (Felitti et al., 1998). O ystyried cymhlethdod trawma a thrallod plentyndod, mae strategaeth ymyrraeth strwythuredig a chydweithredol yn hanfodol i liniaru effeithiau andwyol a meithrin gwytnwch. Mae’r traethawd hwn yn archwilio’r gwahanol fathau o gymorth sydd ar gael, eu heffeithiolrwydd, a’r risgiau sy’n gysylltiedig â diffyg ymyrraeth.</w:t>
      </w:r>
    </w:p>
    <w:p w14:paraId="1AC9108C" w14:textId="77777777" w:rsidR="00E40B8B" w:rsidRPr="00E40B8B" w:rsidRDefault="00E40B8B" w:rsidP="00E40B8B">
      <w:pPr>
        <w:spacing w:line="360" w:lineRule="auto"/>
        <w:rPr>
          <w:rFonts w:ascii="Calibri" w:hAnsi="Calibri" w:cs="Calibri"/>
          <w:lang w:val="cy-GB"/>
        </w:rPr>
      </w:pPr>
    </w:p>
    <w:p w14:paraId="2E8C9CAF" w14:textId="77777777" w:rsidR="00E40B8B" w:rsidRPr="00E40B8B" w:rsidRDefault="00E40B8B" w:rsidP="00E40B8B">
      <w:pPr>
        <w:spacing w:line="360" w:lineRule="auto"/>
        <w:rPr>
          <w:rFonts w:ascii="Calibri" w:hAnsi="Calibri" w:cs="Calibri"/>
          <w:b/>
          <w:bCs/>
          <w:lang w:val="cy-GB"/>
        </w:rPr>
      </w:pPr>
      <w:r w:rsidRPr="00E40B8B">
        <w:rPr>
          <w:rFonts w:ascii="Calibri" w:hAnsi="Calibri" w:cs="Calibri"/>
          <w:b/>
          <w:bCs/>
          <w:lang w:val="cy-GB"/>
        </w:rPr>
        <w:t>Cefnogaeth ar unwaith i'r Plentyn</w:t>
      </w:r>
    </w:p>
    <w:p w14:paraId="6363A689" w14:textId="77777777" w:rsidR="00E40B8B" w:rsidRPr="00E40B8B" w:rsidRDefault="00E40B8B" w:rsidP="00E40B8B">
      <w:pPr>
        <w:spacing w:line="360" w:lineRule="auto"/>
        <w:rPr>
          <w:rFonts w:ascii="Calibri" w:hAnsi="Calibri" w:cs="Calibri"/>
          <w:b/>
          <w:bCs/>
          <w:lang w:val="cy-GB"/>
        </w:rPr>
      </w:pPr>
    </w:p>
    <w:p w14:paraId="00F8C21F" w14:textId="77777777" w:rsidR="00E40B8B" w:rsidRPr="00E40B8B" w:rsidRDefault="00E40B8B" w:rsidP="00E40B8B">
      <w:pPr>
        <w:spacing w:line="360" w:lineRule="auto"/>
        <w:rPr>
          <w:rFonts w:ascii="Calibri" w:hAnsi="Calibri" w:cs="Calibri"/>
          <w:b/>
          <w:bCs/>
          <w:lang w:val="cy-GB"/>
        </w:rPr>
      </w:pPr>
      <w:r w:rsidRPr="00E40B8B">
        <w:rPr>
          <w:rFonts w:ascii="Calibri" w:hAnsi="Calibri" w:cs="Calibri"/>
          <w:b/>
          <w:bCs/>
          <w:lang w:val="cy-GB"/>
        </w:rPr>
        <w:t>Ymyriadau Teuluol</w:t>
      </w:r>
    </w:p>
    <w:p w14:paraId="623BC566"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Teulu yw'r brif system cymorth i blant, gan wneud ymyriadau teuluol yn hollbwysig. Un dull hanfodol yw rhaglenni cymorth i rieni, sy’n addysgu rhieni ar adnabod arwyddion o drallod emosiynol mewn plant a darparu strategaethau i feithrin atgyfnerthu cadarnhaol a chyfathrebu effeithiol (Sanders et al., 2014). Gall gwasanaethau cwnsela i rieni fod yn fuddiol hefyd, gan eu harfogi â mecanweithiau ymdopi i gynnal eu hunain a'u plant. Mae therapi teuluol yn cryfhau perthnasoedd ymhellach trwy fynd i'r afael â gwrthdaro a gwella rhyngweithio teuluol, gan sicrhau amgylchedd sefydlog a meithringar i'r plentyn.</w:t>
      </w:r>
    </w:p>
    <w:p w14:paraId="2A10C55B" w14:textId="77777777" w:rsidR="00E40B8B" w:rsidRPr="00E40B8B" w:rsidRDefault="00E40B8B" w:rsidP="00E40B8B">
      <w:pPr>
        <w:spacing w:line="360" w:lineRule="auto"/>
        <w:rPr>
          <w:rFonts w:ascii="Calibri" w:hAnsi="Calibri" w:cs="Calibri"/>
          <w:lang w:val="cy-GB"/>
        </w:rPr>
      </w:pPr>
    </w:p>
    <w:p w14:paraId="606FF731"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 xml:space="preserve">At hynny, ni ddylid diystyru rôl aelodau'r teulu estynedig, megis neiniau a theidiau a brodyr a chwiorydd hŷn. Mewn diwylliannau lle mae magu plant yn gymunedol yn cael ei ymarfer, gall aelodau o’r teulu estynedig ddarparu cymorth emosiynol a seicolegol ychwanegol </w:t>
      </w:r>
      <w:r w:rsidRPr="00E40B8B">
        <w:rPr>
          <w:rFonts w:ascii="Calibri" w:hAnsi="Calibri" w:cs="Calibri"/>
          <w:lang w:val="cy-GB"/>
        </w:rPr>
        <w:lastRenderedPageBreak/>
        <w:t>(Bornstein, 2012). Mae rhaglenni sy'n integreiddio cyfranogiad teulu ehangach wedi dangos cyfraddau llwyddiant uwch o ran sefydlogi plant trallodus. Mewn achosion lle mae cymorth rhieni yn annigonol oherwydd ffactorau fel dibyniaeth neu heriau iechyd meddwl, efallai y bydd angen trefniadau gofal amgen, megis gofal gan berthnasau neu leoliadau maeth, er mwyn sicrhau amgylchedd diogel i’r plentyn (Oosterman et al., 2007).</w:t>
      </w:r>
    </w:p>
    <w:p w14:paraId="426B096A" w14:textId="77777777" w:rsidR="00E40B8B" w:rsidRPr="00E40B8B" w:rsidRDefault="00E40B8B" w:rsidP="00E40B8B">
      <w:pPr>
        <w:spacing w:line="360" w:lineRule="auto"/>
        <w:rPr>
          <w:rFonts w:ascii="Calibri" w:hAnsi="Calibri" w:cs="Calibri"/>
          <w:lang w:val="cy-GB"/>
        </w:rPr>
      </w:pPr>
    </w:p>
    <w:p w14:paraId="1F54EF97" w14:textId="77777777" w:rsidR="00E40B8B" w:rsidRPr="00E40B8B" w:rsidRDefault="00E40B8B" w:rsidP="00E40B8B">
      <w:pPr>
        <w:spacing w:line="360" w:lineRule="auto"/>
        <w:rPr>
          <w:rFonts w:ascii="Calibri" w:hAnsi="Calibri" w:cs="Calibri"/>
          <w:b/>
          <w:bCs/>
          <w:lang w:val="cy-GB"/>
        </w:rPr>
      </w:pPr>
      <w:r w:rsidRPr="00E40B8B">
        <w:rPr>
          <w:rFonts w:ascii="Calibri" w:hAnsi="Calibri" w:cs="Calibri"/>
          <w:b/>
          <w:bCs/>
          <w:lang w:val="cy-GB"/>
        </w:rPr>
        <w:t>Ymyriadau yn yr Ysgol</w:t>
      </w:r>
    </w:p>
    <w:p w14:paraId="187843A8"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Gan fod plant yn treulio cryn dipyn o amser yn yr ysgol, mae sefydliadau addysgol yn chwarae rhan sylfaenol wrth ddarparu cymorth. Gall hyfforddi athrawon mewn arferion sy’n seiliedig ar drawma wella eu gallu i nodi anawsterau ymddygiadol ac emosiynol yn gynnar (Brunzell et al., 2015). Mae mynediad at gwnselwyr ysgol yn ymyriad hanfodol arall, gan gynnig lle diogel i blant fynegi emosiynau a datblygu gwytnwch. Yn ogystal, mae rhaglenni cymorth cymheiriaid, fel mentrau mentora a grwpiau a arweinir gan fyfyrwyr, yn cyfrannu at ymdeimlad o berthyn, gan leihau unigedd a hyrwyddo datblygiad cymdeithasol.</w:t>
      </w:r>
    </w:p>
    <w:p w14:paraId="58C848AA" w14:textId="77777777" w:rsidR="00E40B8B" w:rsidRPr="00E40B8B" w:rsidRDefault="00E40B8B" w:rsidP="00E40B8B">
      <w:pPr>
        <w:spacing w:line="360" w:lineRule="auto"/>
        <w:rPr>
          <w:rFonts w:ascii="Calibri" w:hAnsi="Calibri" w:cs="Calibri"/>
          <w:lang w:val="cy-GB"/>
        </w:rPr>
      </w:pPr>
    </w:p>
    <w:p w14:paraId="16988A49"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At hynny, gall gweithredu arferion cyfiawnder adferol mewn ysgolion helpu i liniaru problemau ymddygiad cyn iddynt waethygu i broblemau hirdymor. Mae’r arferion hyn yn annog deialog agored rhwng myfyrwyr ac athrawon, gan feithrin cyd-ddealltwriaeth a lleihau mesurau disgyblu cosbol sy’n aml yn dieithrio plant trallodus (Gregory et al., 2016). Dylai ysgolion hefyd gydweithio ag asiantaethau iechyd meddwl lleol i ddarparu cwnsela ar y safle a gweithdai sy'n canolbwyntio ar reoleiddio emosiynol, sgiliau cymdeithasol a rheoli straen.</w:t>
      </w:r>
    </w:p>
    <w:p w14:paraId="74FDD4E7" w14:textId="77777777" w:rsidR="00E40B8B" w:rsidRPr="00E40B8B" w:rsidRDefault="00E40B8B" w:rsidP="00E40B8B">
      <w:pPr>
        <w:spacing w:line="360" w:lineRule="auto"/>
        <w:rPr>
          <w:rFonts w:ascii="Calibri" w:hAnsi="Calibri" w:cs="Calibri"/>
          <w:lang w:val="cy-GB"/>
        </w:rPr>
      </w:pPr>
    </w:p>
    <w:p w14:paraId="48DD9F93" w14:textId="77777777" w:rsidR="00E40B8B" w:rsidRPr="00E40B8B" w:rsidRDefault="00E40B8B" w:rsidP="00E40B8B">
      <w:pPr>
        <w:spacing w:line="360" w:lineRule="auto"/>
        <w:rPr>
          <w:rFonts w:ascii="Calibri" w:hAnsi="Calibri" w:cs="Calibri"/>
          <w:b/>
          <w:bCs/>
          <w:lang w:val="cy-GB"/>
        </w:rPr>
      </w:pPr>
      <w:r w:rsidRPr="00E40B8B">
        <w:rPr>
          <w:rFonts w:ascii="Calibri" w:hAnsi="Calibri" w:cs="Calibri"/>
          <w:b/>
          <w:bCs/>
          <w:lang w:val="cy-GB"/>
        </w:rPr>
        <w:t>Ymyriadau Cymunedol a Gofal Iechyd</w:t>
      </w:r>
    </w:p>
    <w:p w14:paraId="793F9567"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Y tu hwnt i deulu ac ysgol, mae ymyriadau yn y gymuned a gofal iechyd yn darparu mecanweithiau cymorth hanfodol. Mae therapi cynnar, gan gynnwys therapi lleferydd a galwedigaethol, yn sicrhau bod oedi datblygiadol neu bryderon ymddygiadol yn cael sylw cyn iddynt waethygu (Guralnick, 2011). Mae gwasanaethau cymorth mewn argyfwng, fel llinellau cymorth iechyd meddwl a chwnsela brys, yn hanfodol i blant sy'n profi trallod acíwt. Mae rhaglenni allgymorth cymunedol, a hwylusir gan weithwyr cymdeithasol a sefydliadau anllywodraethol, yn cynnig cymorth pellach trwy greu amgylcheddau diogel lle gall plant gael mynediad at adnoddau a chanllawiau proffesiynol.</w:t>
      </w:r>
    </w:p>
    <w:p w14:paraId="175389CE"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lastRenderedPageBreak/>
        <w:t>Yn ogystal, gall clinigau iechyd symudol a gwasanaethau teleiechyd ymestyn cymorth iechyd meddwl i boblogaethau nad ydynt yn cael eu gwasanaethu’n ddigonol, gan sicrhau nad yw rhwystrau daearyddol yn rhwystro mynediad plentyn at ofal (McGinty et al., 2020). Mae canolfannau cymunedol a sefydliadau ieuenctid yn chwarae rhan hanfodol wrth ddarparu rhaglenni strwythuredig ar ôl ysgol sy'n cynnwys plant mewn gweithgareddau adeiladol, gan leihau'r perygl iddynt ddioddef dylanwadau negyddol.</w:t>
      </w:r>
    </w:p>
    <w:p w14:paraId="7ADA6133" w14:textId="77777777" w:rsidR="00E40B8B" w:rsidRPr="00E40B8B" w:rsidRDefault="00E40B8B" w:rsidP="00E40B8B">
      <w:pPr>
        <w:spacing w:line="360" w:lineRule="auto"/>
        <w:rPr>
          <w:rFonts w:ascii="Calibri" w:hAnsi="Calibri" w:cs="Calibri"/>
          <w:lang w:val="cy-GB"/>
        </w:rPr>
      </w:pPr>
    </w:p>
    <w:p w14:paraId="26CFD8AA" w14:textId="77777777" w:rsidR="00E40B8B" w:rsidRPr="00E40B8B" w:rsidRDefault="00E40B8B" w:rsidP="00E40B8B">
      <w:pPr>
        <w:spacing w:line="360" w:lineRule="auto"/>
        <w:rPr>
          <w:rFonts w:ascii="Calibri" w:hAnsi="Calibri" w:cs="Calibri"/>
          <w:b/>
          <w:bCs/>
          <w:lang w:val="cy-GB"/>
        </w:rPr>
      </w:pPr>
      <w:r w:rsidRPr="00E40B8B">
        <w:rPr>
          <w:rFonts w:ascii="Calibri" w:hAnsi="Calibri" w:cs="Calibri"/>
          <w:b/>
          <w:bCs/>
          <w:lang w:val="cy-GB"/>
        </w:rPr>
        <w:t>Cefnogaeth ac Ymyriadau Hirdymor</w:t>
      </w:r>
    </w:p>
    <w:p w14:paraId="0EB7C442" w14:textId="77777777" w:rsidR="00E40B8B" w:rsidRPr="00E40B8B" w:rsidRDefault="00E40B8B" w:rsidP="00E40B8B">
      <w:pPr>
        <w:spacing w:line="360" w:lineRule="auto"/>
        <w:rPr>
          <w:rFonts w:ascii="Calibri" w:hAnsi="Calibri" w:cs="Calibri"/>
          <w:b/>
          <w:bCs/>
          <w:lang w:val="cy-GB"/>
        </w:rPr>
      </w:pPr>
      <w:r w:rsidRPr="00E40B8B">
        <w:rPr>
          <w:rFonts w:ascii="Calibri" w:hAnsi="Calibri" w:cs="Calibri"/>
          <w:b/>
          <w:bCs/>
          <w:lang w:val="cy-GB"/>
        </w:rPr>
        <w:t>Dulliau Therapiwtig</w:t>
      </w:r>
    </w:p>
    <w:p w14:paraId="3AF0CAEE"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Mae ymyriadau therapiwtig yn chwarae rhan arwyddocaol mewn cymorth hirdymor i blant sy'n wynebu trallod. Mae Therapi Gwybyddol Ymddygiadol (CBT) yn ddull a gydnabyddir yn eang sy’n helpu plant i ddatblygu sgiliau i reoli eu meddyliau, eu hemosiynau a’u hymddygiad yn effeithiol (Beck, 2011). Mae therapi chwarae yn arbennig o fuddiol i blant iau, gan roi cyfrwng di-eiriau iddynt fynegi emosiynau cymhleth (Landreth, 2012). Mae ymyriadau sy’n canolbwyntio ar drawma, fel CBT sy’n Canolbwyntio ar Drawma (TF-CBT), wedi’u cynllunio i helpu plant i brosesu profiadau yn y gorffennol, i liniaru trallod seicolegol, ac i feithrin gwytnwch (Cohen et al., 2017).</w:t>
      </w:r>
    </w:p>
    <w:p w14:paraId="42A5D3B8" w14:textId="77777777" w:rsidR="00E40B8B" w:rsidRPr="00E40B8B" w:rsidRDefault="00E40B8B" w:rsidP="00E40B8B">
      <w:pPr>
        <w:spacing w:line="360" w:lineRule="auto"/>
        <w:rPr>
          <w:rFonts w:ascii="Calibri" w:hAnsi="Calibri" w:cs="Calibri"/>
          <w:lang w:val="cy-GB"/>
        </w:rPr>
      </w:pPr>
    </w:p>
    <w:p w14:paraId="6EB809B7"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Mae therapi celf a cherddoriaeth hefyd wedi bod yn effeithiol wrth helpu plant i fynegi eu hunain a phrosesu emosiynau anodd. Mae’r ymyriadau creadigol hyn yn cynnig cyfle i blant allanoli eu brwydrau mewnol mewn modd anfygythiol (McLaughlin et al., 2019). Yn ogystal, mae ymyriadau sy'n seiliedig ar ymwybyddiaeth ofalgar, fel ioga a myfyrdod, yn cael eu denu wrth gefnogi rheoleiddio emosiynol a rheoli straen plant (Zoogman et al., 2014).</w:t>
      </w:r>
    </w:p>
    <w:p w14:paraId="2559A373" w14:textId="77777777" w:rsidR="00E40B8B" w:rsidRPr="00E40B8B" w:rsidRDefault="00E40B8B" w:rsidP="00E40B8B">
      <w:pPr>
        <w:spacing w:line="360" w:lineRule="auto"/>
        <w:rPr>
          <w:rFonts w:ascii="Calibri" w:hAnsi="Calibri" w:cs="Calibri"/>
          <w:lang w:val="cy-GB"/>
        </w:rPr>
      </w:pPr>
    </w:p>
    <w:p w14:paraId="7AE030E4" w14:textId="77777777" w:rsidR="00E40B8B" w:rsidRPr="00E40B8B" w:rsidRDefault="00E40B8B" w:rsidP="00E40B8B">
      <w:pPr>
        <w:spacing w:line="360" w:lineRule="auto"/>
        <w:rPr>
          <w:rFonts w:ascii="Calibri" w:hAnsi="Calibri" w:cs="Calibri"/>
          <w:b/>
          <w:bCs/>
          <w:lang w:val="cy-GB"/>
        </w:rPr>
      </w:pPr>
      <w:r w:rsidRPr="00E40B8B">
        <w:rPr>
          <w:rFonts w:ascii="Calibri" w:hAnsi="Calibri" w:cs="Calibri"/>
          <w:b/>
          <w:bCs/>
          <w:lang w:val="cy-GB"/>
        </w:rPr>
        <w:t>Polisïau Cymdeithasol ac Addysgol sy'n Cefnogi Plant yr effeithir arnynt</w:t>
      </w:r>
    </w:p>
    <w:p w14:paraId="05C08AED"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 xml:space="preserve">Mae polisïau cymdeithasol ac addysgol yn sylfaen ar gyfer cymorth systemig. Mae polisïau addysg gynhwysol yn hyrwyddo cynlluniau dysgu unigol (CAU) wedi’u teilwra i ddarparu ar gyfer plant ag anghenion penodol, gan sicrhau mynediad cyfartal i addysg (Mitchell, 2014). Mae cyllid iechyd meddwl digonol yn hanfodol i ehangu gwasanaethau iechyd meddwl mewn ysgolion a gwella hygyrchedd i gymorth proffesiynol. Yn ogystal, mae cryfhau cyfreithiau amddiffyn plant yn sicrhau bod plant sy’n agored i niwed yn cael eu hadnabod yn </w:t>
      </w:r>
      <w:r w:rsidRPr="00E40B8B">
        <w:rPr>
          <w:rFonts w:ascii="Calibri" w:hAnsi="Calibri" w:cs="Calibri"/>
          <w:lang w:val="cy-GB"/>
        </w:rPr>
        <w:lastRenderedPageBreak/>
        <w:t>gynnar a’u bod yn cael y gofal angenrheidiol, gan leihau eu risg o adfyd pellach (Gilbert et al., 2009).</w:t>
      </w:r>
    </w:p>
    <w:p w14:paraId="469E4F62" w14:textId="77777777" w:rsidR="00E40B8B" w:rsidRPr="00E40B8B" w:rsidRDefault="00E40B8B" w:rsidP="00E40B8B">
      <w:pPr>
        <w:spacing w:line="360" w:lineRule="auto"/>
        <w:rPr>
          <w:rFonts w:ascii="Calibri" w:hAnsi="Calibri" w:cs="Calibri"/>
          <w:lang w:val="cy-GB"/>
        </w:rPr>
      </w:pPr>
    </w:p>
    <w:p w14:paraId="42583FAA"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Rhaid i lywodraethau a chyrff addysgol hefyd fuddsoddi mewn rhaglenni hyfforddi arbenigol ar gyfer athrawon a staff ysgol i wella eu gallu i gefnogi myfyrwyr sydd mewn perygl. Gall polisïau sy’n integreiddio dysgu cymdeithasol-emosiynol (SEL) i’r cwricwlwm helpu pob myfyriwr i ddatblygu gwytnwch a mecanweithiau ymdopi, gan leihau’r tebygolrwydd y bydd trallod difrifol yn mynd heb i neb sylwi (Durlak et al., 2011).</w:t>
      </w:r>
    </w:p>
    <w:p w14:paraId="4E8F2729" w14:textId="77777777" w:rsidR="00E40B8B" w:rsidRPr="00E40B8B" w:rsidRDefault="00E40B8B" w:rsidP="00E40B8B">
      <w:pPr>
        <w:spacing w:line="360" w:lineRule="auto"/>
        <w:rPr>
          <w:rFonts w:ascii="Calibri" w:hAnsi="Calibri" w:cs="Calibri"/>
          <w:lang w:val="cy-GB"/>
        </w:rPr>
      </w:pPr>
    </w:p>
    <w:p w14:paraId="64DE37E5" w14:textId="77777777" w:rsidR="00E40B8B" w:rsidRPr="00E40B8B" w:rsidRDefault="00E40B8B" w:rsidP="00E40B8B">
      <w:pPr>
        <w:spacing w:line="360" w:lineRule="auto"/>
        <w:rPr>
          <w:rFonts w:ascii="Calibri" w:hAnsi="Calibri" w:cs="Calibri"/>
          <w:b/>
          <w:bCs/>
          <w:lang w:val="cy-GB"/>
        </w:rPr>
      </w:pPr>
      <w:r w:rsidRPr="00E40B8B">
        <w:rPr>
          <w:rFonts w:ascii="Calibri" w:hAnsi="Calibri" w:cs="Calibri"/>
          <w:b/>
          <w:bCs/>
          <w:lang w:val="cy-GB"/>
        </w:rPr>
        <w:t>Rhwydweithiau Cymorth Aml-Asiantaeth</w:t>
      </w:r>
    </w:p>
    <w:p w14:paraId="3C132A87"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Mae cydweithredu rhwng gwahanol systemau cymorth yn gwella effeithiolrwydd ymyriadau. Rhaid i ysgolion, gwasanaethau cymdeithasol a darparwyr gofal iechyd gydweithio i sicrhau ymagwedd gydlynol at les plant. Gall gwasanaethau lles plant weithredu fel cyfryngwyr, gan bontio bylchau rhwng adnoddau addysg ac iechyd meddwl (Davidson et al., 2017). Mae sefydliadau anllywodraethol (NGOs) yn cyfrannu trwy gynnig adnoddau atodol, gan gynnwys tai brys, eiriolaeth gyfreithiol, a gwasanaethau cwnsela ychwanegol. Mae rhwydwaith unedig o asiantaethau yn sicrhau bod plant yn derbyn cymorth parhaus a chynhwysfawr sydd wedi'i deilwra i'w hanghenion penodol.</w:t>
      </w:r>
    </w:p>
    <w:p w14:paraId="46534AD2" w14:textId="77777777" w:rsidR="00E40B8B" w:rsidRPr="00E40B8B" w:rsidRDefault="00E40B8B" w:rsidP="00E40B8B">
      <w:pPr>
        <w:spacing w:line="360" w:lineRule="auto"/>
        <w:rPr>
          <w:rFonts w:ascii="Calibri" w:hAnsi="Calibri" w:cs="Calibri"/>
          <w:lang w:val="cy-GB"/>
        </w:rPr>
      </w:pPr>
    </w:p>
    <w:p w14:paraId="046A2299"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Yn ogystal, mae'n rhaid i asiantaethau gorfodi'r gyfraith a rhaglenni cyfiawnder ieuenctid gael eu hintegreiddio i'r ymagwedd aml-asiantaeth i atal troseddi ieuenctid trallodus. Yn lle mesurau cosbol, dylid defnyddio strategaethau adsefydlu i fynd i’r afael ag achosion sylfaenol problemau ymddygiad (Gatti et al., 2009). Gall cyfarfodydd adolygu achosion rhyngddisgyblaethol rheolaidd wella cyfathrebu rhwng asiantaethau a gwella effeithlonrwydd cynlluniau ymyrryd.</w:t>
      </w:r>
    </w:p>
    <w:p w14:paraId="76BE05EB" w14:textId="77777777" w:rsidR="00E40B8B" w:rsidRPr="00E40B8B" w:rsidRDefault="00E40B8B" w:rsidP="00E40B8B">
      <w:pPr>
        <w:spacing w:line="360" w:lineRule="auto"/>
        <w:rPr>
          <w:rFonts w:ascii="Calibri" w:hAnsi="Calibri" w:cs="Calibri"/>
          <w:lang w:val="cy-GB"/>
        </w:rPr>
      </w:pPr>
    </w:p>
    <w:p w14:paraId="72F60D5E"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Mae system gymorth gynhwysfawr sy'n cwmpasu ymyriadau teuluol, ysgol, cymuned a gofal iechyd yn hanfodol ar gyfer hyrwyddo lles plant mewn trallod. Trwy fynd i’r afael â heriau hygyrchedd, sicrhau cyllid sefydlog, a gwella cydweithio amlasiantaethol, gall cymdeithas sicrhau bod pob plentyn yn cael y gofal angenrheidiol i ffynnu.</w:t>
      </w:r>
    </w:p>
    <w:p w14:paraId="646BB8DF" w14:textId="77777777" w:rsidR="00E40B8B" w:rsidRPr="00E40B8B" w:rsidRDefault="00E40B8B" w:rsidP="00E40B8B">
      <w:pPr>
        <w:spacing w:line="360" w:lineRule="auto"/>
        <w:rPr>
          <w:rFonts w:ascii="Calibri" w:hAnsi="Calibri" w:cs="Calibri"/>
          <w:lang w:val="cy-GB"/>
        </w:rPr>
      </w:pPr>
    </w:p>
    <w:p w14:paraId="13A0283E" w14:textId="77777777" w:rsidR="00E40B8B" w:rsidRPr="00E40B8B" w:rsidRDefault="00E40B8B" w:rsidP="00E40B8B">
      <w:pPr>
        <w:spacing w:line="360" w:lineRule="auto"/>
        <w:rPr>
          <w:rFonts w:ascii="Calibri" w:hAnsi="Calibri" w:cs="Calibri"/>
          <w:b/>
          <w:bCs/>
          <w:u w:val="single"/>
          <w:lang w:val="cy-GB"/>
        </w:rPr>
      </w:pPr>
      <w:r w:rsidRPr="00E40B8B">
        <w:rPr>
          <w:rFonts w:ascii="Calibri" w:hAnsi="Calibri" w:cs="Calibri"/>
          <w:b/>
          <w:bCs/>
          <w:u w:val="single"/>
          <w:lang w:val="cy-GB"/>
        </w:rPr>
        <w:t>Casgliad ac Argymhellion</w:t>
      </w:r>
    </w:p>
    <w:p w14:paraId="02349537" w14:textId="77777777" w:rsidR="00E40B8B" w:rsidRPr="00E40B8B" w:rsidRDefault="00E40B8B" w:rsidP="00E40B8B">
      <w:pPr>
        <w:spacing w:line="360" w:lineRule="auto"/>
        <w:rPr>
          <w:rFonts w:ascii="Calibri" w:hAnsi="Calibri" w:cs="Calibri"/>
          <w:b/>
          <w:bCs/>
          <w:lang w:val="cy-GB"/>
        </w:rPr>
      </w:pPr>
      <w:r w:rsidRPr="00E40B8B">
        <w:rPr>
          <w:rFonts w:ascii="Calibri" w:hAnsi="Calibri" w:cs="Calibri"/>
          <w:b/>
          <w:bCs/>
          <w:lang w:val="cy-GB"/>
        </w:rPr>
        <w:lastRenderedPageBreak/>
        <w:t>Casgliad</w:t>
      </w:r>
    </w:p>
    <w:p w14:paraId="364D056B"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Mae'r traethawd hwn wedi archwilio effaith trawma plentyndod ar ddatblygiad ac wedi asesu effeithiolrwydd ymyriadau amrywiol. Mae’r dystiolaeth yn dangos bod trawma’n effeithio’n sylweddol ar dwf emosiynol, gwybyddol a chymdeithasol, gan arwain yn aml at broblemau iechyd meddwl hirdymor fel pryder, iselder, a PTSD. Yn ogystal, mae canlyniadau ffisiolegol trawma, gan gynnwys bod yn fwy agored i salwch cronig, yn amlygu'r angen am ymyrraeth gynnar ac effeithiol. Heb gymorth amserol, gall unigolion yr effeithir arnynt wynebu anawsterau mewn addysg, perthnasoedd a chyflogaeth, gan atgyfnerthu cylchoedd anfantais.</w:t>
      </w:r>
    </w:p>
    <w:p w14:paraId="43D5BAAE" w14:textId="77777777" w:rsidR="00E40B8B" w:rsidRPr="00E40B8B" w:rsidRDefault="00E40B8B" w:rsidP="00E40B8B">
      <w:pPr>
        <w:spacing w:line="360" w:lineRule="auto"/>
        <w:rPr>
          <w:rFonts w:ascii="Calibri" w:hAnsi="Calibri" w:cs="Calibri"/>
          <w:lang w:val="cy-GB"/>
        </w:rPr>
      </w:pPr>
    </w:p>
    <w:p w14:paraId="796789C3"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Mae’r canfyddiadau’n awgrymu bod cydweithredu aml-asiantaeth, therapi ymddygiad gwybyddol sy’n canolbwyntio ar drawma (TF-CBT), a rhaglenni iechyd meddwl mewn ysgolion ymhlith yr ymyriadau mwyaf effeithiol. Mae’r dulliau hyn yn darparu cymorth cynhwysfawr, gan fynd i’r afael â’r heriau seicolegol ac ymarferol a wynebir gan unigolion sydd wedi’u heffeithio gan drawma. Dangoswyd bod TF-CBT, yn arbennig, yn lleihau symptomau sy'n gysylltiedig â thrawma yn sylweddol trwy helpu unigolion i brosesu eu profiadau mewn amgylchedd strwythuredig a chefnogol. Mae rhaglenni yn yr ysgol, ar y llaw arall, yn cynnig adnabyddiaeth gynnar ac ymyrraeth, gan arfogi plant â mecanweithiau ymdopi sy'n gwella eu gwytnwch emosiynol.</w:t>
      </w:r>
    </w:p>
    <w:p w14:paraId="141CF4E7" w14:textId="77777777" w:rsidR="00E40B8B" w:rsidRPr="00E40B8B" w:rsidRDefault="00E40B8B" w:rsidP="00E40B8B">
      <w:pPr>
        <w:spacing w:line="360" w:lineRule="auto"/>
        <w:rPr>
          <w:rFonts w:ascii="Calibri" w:hAnsi="Calibri" w:cs="Calibri"/>
          <w:lang w:val="cy-GB"/>
        </w:rPr>
      </w:pPr>
    </w:p>
    <w:p w14:paraId="35EC0D86" w14:textId="77777777" w:rsidR="00E40B8B" w:rsidRPr="00E40B8B" w:rsidRDefault="00E40B8B" w:rsidP="00E40B8B">
      <w:pPr>
        <w:spacing w:line="360" w:lineRule="auto"/>
        <w:rPr>
          <w:rFonts w:ascii="Calibri" w:hAnsi="Calibri" w:cs="Calibri"/>
          <w:lang w:val="cy-GB"/>
        </w:rPr>
      </w:pPr>
      <w:r w:rsidRPr="00E40B8B">
        <w:rPr>
          <w:rFonts w:ascii="Calibri" w:hAnsi="Calibri" w:cs="Calibri"/>
          <w:lang w:val="cy-GB"/>
        </w:rPr>
        <w:t>Mae mentrau iechyd meddwl digidol, megis gwasanaethau teleiechyd, hefyd yn dangos addewid o ran gwella hygyrchedd, yn enwedig mewn cymunedau gwledig a chymunedau nad ydynt yn cael eu gwasanaethu'n ddigonol lle mae gwasanaethau iechyd meddwl personol yn brin. Fodd bynnag, er gwaethaf mabwysiadu cynyddol atebion digidol, mae rhwystrau fel cyfyngiadau ariannu, hygyrchedd technolegol, a stigma cymdeithasol yn parhau. Mae diffyg ymwybyddiaeth a sensitifrwydd diwylliannol mewn ymyriadau trawma yn gwaethygu’r broblem ymhellach, gan adael llawer o blant a theuluoedd heb y cymorth angenrheidiol. Mae angen ymdrech ar y cyd gan lunwyr polisi, ymarferwyr ac ymchwilwyr i fynd i'r afael â'r materion hyn.</w:t>
      </w:r>
    </w:p>
    <w:p w14:paraId="3BCF8BB9" w14:textId="77777777" w:rsidR="00E40B8B" w:rsidRPr="00E40B8B" w:rsidRDefault="00E40B8B" w:rsidP="00E40B8B">
      <w:pPr>
        <w:spacing w:line="360" w:lineRule="auto"/>
        <w:rPr>
          <w:rFonts w:ascii="Calibri" w:hAnsi="Calibri" w:cs="Calibri"/>
          <w:lang w:val="cy-GB"/>
        </w:rPr>
      </w:pPr>
    </w:p>
    <w:p w14:paraId="242FFAF8" w14:textId="77777777" w:rsidR="00E40B8B" w:rsidRPr="00E40B8B" w:rsidRDefault="00E40B8B" w:rsidP="00E40B8B">
      <w:pPr>
        <w:spacing w:line="360" w:lineRule="auto"/>
        <w:rPr>
          <w:rFonts w:ascii="Calibri" w:hAnsi="Calibri" w:cs="Calibri"/>
          <w:b/>
          <w:bCs/>
          <w:lang w:val="cy-GB"/>
        </w:rPr>
      </w:pPr>
      <w:r w:rsidRPr="00E40B8B">
        <w:rPr>
          <w:rFonts w:ascii="Calibri" w:hAnsi="Calibri" w:cs="Calibri"/>
          <w:b/>
          <w:bCs/>
          <w:lang w:val="cy-GB"/>
        </w:rPr>
        <w:t>Argymhellion</w:t>
      </w:r>
    </w:p>
    <w:p w14:paraId="5FBBCFDD" w14:textId="77777777" w:rsidR="00E40B8B" w:rsidRPr="00E40B8B" w:rsidRDefault="00E40B8B" w:rsidP="00E40B8B">
      <w:pPr>
        <w:pStyle w:val="NormalWeb"/>
        <w:spacing w:line="360" w:lineRule="auto"/>
        <w:rPr>
          <w:rFonts w:ascii="Calibri" w:hAnsi="Calibri" w:cs="Calibri"/>
          <w:color w:val="000000"/>
          <w:lang w:val="cy-GB"/>
        </w:rPr>
      </w:pPr>
      <w:r w:rsidRPr="00E40B8B">
        <w:rPr>
          <w:rFonts w:ascii="Calibri" w:hAnsi="Calibri" w:cs="Calibri"/>
          <w:color w:val="000000"/>
          <w:lang w:val="cy-GB"/>
        </w:rPr>
        <w:lastRenderedPageBreak/>
        <w:t>Er mwyn gwella strategaethau ymyrraeth trawma, mae’n hanfodol ystyried amrywiaeth o argymhellion allweddol. Un cam pwysig yw gwella cydlyniad rhwng ysgolion, darparwyr gofal iechyd, a gwasanaethau cymdeithasol. Trwy gydweithio’n agosach, gall y sefydliadau hyn greu system gymorth unedig sy’n sicrhau bod plant yn derbyn gofal amserol a chyson. Mae ymagwedd integredig fel hon yn lleihau’r risg o blant yn syrthio drwy’r craciau yn y system, gan sicrhau bod eu hanghenion yn cael eu diwallu’n llawn.</w:t>
      </w:r>
    </w:p>
    <w:p w14:paraId="43222DF9" w14:textId="77777777" w:rsidR="00E40B8B" w:rsidRPr="00E40B8B" w:rsidRDefault="00E40B8B" w:rsidP="00E40B8B">
      <w:pPr>
        <w:pStyle w:val="NormalWeb"/>
        <w:spacing w:line="360" w:lineRule="auto"/>
        <w:rPr>
          <w:rFonts w:ascii="Calibri" w:hAnsi="Calibri" w:cs="Calibri"/>
          <w:color w:val="000000"/>
          <w:lang w:val="cy-GB"/>
        </w:rPr>
      </w:pPr>
      <w:r w:rsidRPr="00E40B8B">
        <w:rPr>
          <w:rFonts w:ascii="Calibri" w:hAnsi="Calibri" w:cs="Calibri"/>
          <w:color w:val="000000"/>
          <w:lang w:val="cy-GB"/>
        </w:rPr>
        <w:t>Yn ogystal, mae cynyddu buddsoddiad mewn rhaglenni ymyrraeth gynnar yn hanfodol er mwyn lleihau effeithiau hirdymor trawma. Mae canfod a thrin problemau’n gynnar yn hanfodol i atal materion seicolegol ac ymddygiadol mwy difrifol rhag datblygu. Felly, mae’n bwysig bod cyllid y llywodraeth a chyllid preifat yn cael eu cyfeirio at ehangu rhaglenni cymunedol sy’n cefnogi plant a theuluoedd. Drwy fuddsoddi yn y meysydd hyn, gall cymdeithas sicrhau bod plant yn derbyn ymyrraeth effeithiol cyn i’w problemau waethygu.</w:t>
      </w:r>
    </w:p>
    <w:p w14:paraId="114A7763" w14:textId="77777777" w:rsidR="00E40B8B" w:rsidRPr="00E40B8B" w:rsidRDefault="00E40B8B" w:rsidP="00E40B8B">
      <w:pPr>
        <w:pStyle w:val="NormalWeb"/>
        <w:spacing w:line="360" w:lineRule="auto"/>
        <w:rPr>
          <w:rFonts w:ascii="Calibri" w:hAnsi="Calibri" w:cs="Calibri"/>
          <w:color w:val="000000"/>
          <w:lang w:val="cy-GB"/>
        </w:rPr>
      </w:pPr>
      <w:r w:rsidRPr="00E40B8B">
        <w:rPr>
          <w:rFonts w:ascii="Calibri" w:hAnsi="Calibri" w:cs="Calibri"/>
          <w:color w:val="000000"/>
          <w:lang w:val="cy-GB"/>
        </w:rPr>
        <w:t>Er mwyn sicrhau bod plant yn derbyn y cymorth iechyd meddwl sydd ei angen arnynt, mae angen ehangu mynediad i wasanaethau iechyd meddwl. Mae datblygu atebion digidol a theleiechyd yn gam pwysig i gyrraedd cymunedau sydd heb wasanaethau digonol. Mae mentrau teleiechyd yn cynnig cyfle i deuluoedd gael gafael ar gymorth seicolegol heb orfod wynebu rhwystrau daearyddol neu economaidd. At hynny, mae rhaglenni allgymorth yn hollbwysig i addysgu teuluoedd am yr adnoddau sydd ar gael iddynt a sut i’w defnyddio. Gall lleihau costau a gwella hygyrchedd rhyngrwyd hefyd chwarae rhan allweddol wrth bontio’r bwlch digidol a sicrhau bod gwasanaethau’n fwy hygyrch i bawb.</w:t>
      </w:r>
    </w:p>
    <w:p w14:paraId="70D2C0D7" w14:textId="77777777" w:rsidR="00E40B8B" w:rsidRPr="00E40B8B" w:rsidRDefault="00E40B8B" w:rsidP="00E40B8B">
      <w:pPr>
        <w:pStyle w:val="NormalWeb"/>
        <w:spacing w:line="360" w:lineRule="auto"/>
        <w:rPr>
          <w:rFonts w:ascii="Calibri" w:hAnsi="Calibri" w:cs="Calibri"/>
          <w:color w:val="000000"/>
          <w:lang w:val="cy-GB"/>
        </w:rPr>
      </w:pPr>
      <w:r w:rsidRPr="00E40B8B">
        <w:rPr>
          <w:rFonts w:ascii="Calibri" w:hAnsi="Calibri" w:cs="Calibri"/>
          <w:color w:val="000000"/>
          <w:lang w:val="cy-GB"/>
        </w:rPr>
        <w:t>Yn ogystal â darparu mynediad at wasanaethau, mae’n hanfodol bod gweithwyr proffesiynol sy’n gweithio gyda phlant yn cael yr hyfforddiant cywir i adnabod ac ymateb i ymddygiadau sy’n gysylltiedig â thrawma. Dylai hyfforddiant seiliedig ar drawma fod yn rhan annatod o ddatblygiad proffesiynol addysgwyr, gweithwyr gofal iechyd, a darparwyr gofal. Mae hyn yn cynnwys ymgorffori dulliau sy’n seiliedig ar drawma yng nghwricwlwm ysgolion a rhaglenni hyfforddi proffesiynol, gan feithrin amgylchedd mwy cefnogol a llawn dealltwriaeth i’r plant yr effeithir arnynt. Trwy wneud hyn, gall gweithwyr proffesiynol chwarae rhan fwy gweithredol wrth gefnogi lles plant a’u hadferiad.</w:t>
      </w:r>
    </w:p>
    <w:p w14:paraId="603CFAEE" w14:textId="77777777" w:rsidR="00E40B8B" w:rsidRPr="00E40B8B" w:rsidRDefault="00E40B8B" w:rsidP="00E40B8B">
      <w:pPr>
        <w:pStyle w:val="NormalWeb"/>
        <w:spacing w:line="360" w:lineRule="auto"/>
        <w:rPr>
          <w:rFonts w:ascii="Calibri" w:hAnsi="Calibri" w:cs="Calibri"/>
          <w:color w:val="000000"/>
        </w:rPr>
      </w:pPr>
      <w:r w:rsidRPr="00E40B8B">
        <w:rPr>
          <w:rFonts w:ascii="Calibri" w:hAnsi="Calibri" w:cs="Calibri"/>
          <w:color w:val="000000"/>
        </w:rPr>
        <w:lastRenderedPageBreak/>
        <w:t xml:space="preserve">Yn </w:t>
      </w:r>
      <w:proofErr w:type="spellStart"/>
      <w:r w:rsidRPr="00E40B8B">
        <w:rPr>
          <w:rFonts w:ascii="Calibri" w:hAnsi="Calibri" w:cs="Calibri"/>
          <w:color w:val="000000"/>
        </w:rPr>
        <w:t>olaf</w:t>
      </w:r>
      <w:proofErr w:type="spellEnd"/>
      <w:r w:rsidRPr="00E40B8B">
        <w:rPr>
          <w:rFonts w:ascii="Calibri" w:hAnsi="Calibri" w:cs="Calibri"/>
          <w:color w:val="000000"/>
        </w:rPr>
        <w:t xml:space="preserve">, er </w:t>
      </w:r>
      <w:proofErr w:type="spellStart"/>
      <w:r w:rsidRPr="00E40B8B">
        <w:rPr>
          <w:rFonts w:ascii="Calibri" w:hAnsi="Calibri" w:cs="Calibri"/>
          <w:color w:val="000000"/>
        </w:rPr>
        <w:t>mwyn</w:t>
      </w:r>
      <w:proofErr w:type="spellEnd"/>
      <w:r w:rsidRPr="00E40B8B">
        <w:rPr>
          <w:rFonts w:ascii="Calibri" w:hAnsi="Calibri" w:cs="Calibri"/>
          <w:color w:val="000000"/>
        </w:rPr>
        <w:t xml:space="preserve"> </w:t>
      </w:r>
      <w:proofErr w:type="spellStart"/>
      <w:r w:rsidRPr="00E40B8B">
        <w:rPr>
          <w:rFonts w:ascii="Calibri" w:hAnsi="Calibri" w:cs="Calibri"/>
          <w:color w:val="000000"/>
        </w:rPr>
        <w:t>datblygu</w:t>
      </w:r>
      <w:proofErr w:type="spellEnd"/>
      <w:r w:rsidRPr="00E40B8B">
        <w:rPr>
          <w:rFonts w:ascii="Calibri" w:hAnsi="Calibri" w:cs="Calibri"/>
          <w:color w:val="000000"/>
        </w:rPr>
        <w:t xml:space="preserve"> </w:t>
      </w:r>
      <w:proofErr w:type="spellStart"/>
      <w:r w:rsidRPr="00E40B8B">
        <w:rPr>
          <w:rFonts w:ascii="Calibri" w:hAnsi="Calibri" w:cs="Calibri"/>
          <w:color w:val="000000"/>
        </w:rPr>
        <w:t>dulliau</w:t>
      </w:r>
      <w:proofErr w:type="spellEnd"/>
      <w:r w:rsidRPr="00E40B8B">
        <w:rPr>
          <w:rFonts w:ascii="Calibri" w:hAnsi="Calibri" w:cs="Calibri"/>
          <w:color w:val="000000"/>
        </w:rPr>
        <w:t xml:space="preserve"> </w:t>
      </w:r>
      <w:proofErr w:type="spellStart"/>
      <w:r w:rsidRPr="00E40B8B">
        <w:rPr>
          <w:rFonts w:ascii="Calibri" w:hAnsi="Calibri" w:cs="Calibri"/>
          <w:color w:val="000000"/>
        </w:rPr>
        <w:t>cymorth</w:t>
      </w:r>
      <w:proofErr w:type="spellEnd"/>
      <w:r w:rsidRPr="00E40B8B">
        <w:rPr>
          <w:rFonts w:ascii="Calibri" w:hAnsi="Calibri" w:cs="Calibri"/>
          <w:color w:val="000000"/>
        </w:rPr>
        <w:t xml:space="preserve"> </w:t>
      </w:r>
      <w:proofErr w:type="spellStart"/>
      <w:r w:rsidRPr="00E40B8B">
        <w:rPr>
          <w:rFonts w:ascii="Calibri" w:hAnsi="Calibri" w:cs="Calibri"/>
          <w:color w:val="000000"/>
        </w:rPr>
        <w:t>mwy</w:t>
      </w:r>
      <w:proofErr w:type="spellEnd"/>
      <w:r w:rsidRPr="00E40B8B">
        <w:rPr>
          <w:rFonts w:ascii="Calibri" w:hAnsi="Calibri" w:cs="Calibri"/>
          <w:color w:val="000000"/>
        </w:rPr>
        <w:t xml:space="preserve"> </w:t>
      </w:r>
      <w:proofErr w:type="spellStart"/>
      <w:r w:rsidRPr="00E40B8B">
        <w:rPr>
          <w:rFonts w:ascii="Calibri" w:hAnsi="Calibri" w:cs="Calibri"/>
          <w:color w:val="000000"/>
        </w:rPr>
        <w:t>effeithiol</w:t>
      </w:r>
      <w:proofErr w:type="spellEnd"/>
      <w:r w:rsidRPr="00E40B8B">
        <w:rPr>
          <w:rFonts w:ascii="Calibri" w:hAnsi="Calibri" w:cs="Calibri"/>
          <w:color w:val="000000"/>
        </w:rPr>
        <w:t xml:space="preserve">, </w:t>
      </w:r>
      <w:proofErr w:type="spellStart"/>
      <w:r w:rsidRPr="00E40B8B">
        <w:rPr>
          <w:rFonts w:ascii="Calibri" w:hAnsi="Calibri" w:cs="Calibri"/>
          <w:color w:val="000000"/>
        </w:rPr>
        <w:t>mae</w:t>
      </w:r>
      <w:proofErr w:type="spellEnd"/>
      <w:r w:rsidRPr="00E40B8B">
        <w:rPr>
          <w:rFonts w:ascii="Calibri" w:hAnsi="Calibri" w:cs="Calibri"/>
          <w:color w:val="000000"/>
        </w:rPr>
        <w:t xml:space="preserve"> </w:t>
      </w:r>
      <w:proofErr w:type="spellStart"/>
      <w:r w:rsidRPr="00E40B8B">
        <w:rPr>
          <w:rFonts w:ascii="Calibri" w:hAnsi="Calibri" w:cs="Calibri"/>
          <w:color w:val="000000"/>
        </w:rPr>
        <w:t>angen</w:t>
      </w:r>
      <w:proofErr w:type="spellEnd"/>
      <w:r w:rsidRPr="00E40B8B">
        <w:rPr>
          <w:rFonts w:ascii="Calibri" w:hAnsi="Calibri" w:cs="Calibri"/>
          <w:color w:val="000000"/>
        </w:rPr>
        <w:t xml:space="preserve"> </w:t>
      </w:r>
      <w:proofErr w:type="spellStart"/>
      <w:r w:rsidRPr="00E40B8B">
        <w:rPr>
          <w:rFonts w:ascii="Calibri" w:hAnsi="Calibri" w:cs="Calibri"/>
          <w:color w:val="000000"/>
        </w:rPr>
        <w:t>annog</w:t>
      </w:r>
      <w:proofErr w:type="spellEnd"/>
      <w:r w:rsidRPr="00E40B8B">
        <w:rPr>
          <w:rFonts w:ascii="Calibri" w:hAnsi="Calibri" w:cs="Calibri"/>
          <w:color w:val="000000"/>
        </w:rPr>
        <w:t xml:space="preserve"> </w:t>
      </w:r>
      <w:proofErr w:type="spellStart"/>
      <w:r w:rsidRPr="00E40B8B">
        <w:rPr>
          <w:rFonts w:ascii="Calibri" w:hAnsi="Calibri" w:cs="Calibri"/>
          <w:color w:val="000000"/>
        </w:rPr>
        <w:t>ymchwil</w:t>
      </w:r>
      <w:proofErr w:type="spellEnd"/>
      <w:r w:rsidRPr="00E40B8B">
        <w:rPr>
          <w:rFonts w:ascii="Calibri" w:hAnsi="Calibri" w:cs="Calibri"/>
          <w:color w:val="000000"/>
        </w:rPr>
        <w:t xml:space="preserve"> </w:t>
      </w:r>
      <w:proofErr w:type="spellStart"/>
      <w:r w:rsidRPr="00E40B8B">
        <w:rPr>
          <w:rFonts w:ascii="Calibri" w:hAnsi="Calibri" w:cs="Calibri"/>
          <w:color w:val="000000"/>
        </w:rPr>
        <w:t>pellach</w:t>
      </w:r>
      <w:proofErr w:type="spellEnd"/>
      <w:r w:rsidRPr="00E40B8B">
        <w:rPr>
          <w:rFonts w:ascii="Calibri" w:hAnsi="Calibri" w:cs="Calibri"/>
          <w:color w:val="000000"/>
        </w:rPr>
        <w:t xml:space="preserve"> </w:t>
      </w:r>
      <w:proofErr w:type="spellStart"/>
      <w:r w:rsidRPr="00E40B8B">
        <w:rPr>
          <w:rFonts w:ascii="Calibri" w:hAnsi="Calibri" w:cs="Calibri"/>
          <w:color w:val="000000"/>
        </w:rPr>
        <w:t>i</w:t>
      </w:r>
      <w:proofErr w:type="spellEnd"/>
      <w:r w:rsidRPr="00E40B8B">
        <w:rPr>
          <w:rFonts w:ascii="Calibri" w:hAnsi="Calibri" w:cs="Calibri"/>
          <w:color w:val="000000"/>
        </w:rPr>
        <w:t xml:space="preserve"> </w:t>
      </w:r>
      <w:proofErr w:type="spellStart"/>
      <w:r w:rsidRPr="00E40B8B">
        <w:rPr>
          <w:rFonts w:ascii="Calibri" w:hAnsi="Calibri" w:cs="Calibri"/>
          <w:color w:val="000000"/>
        </w:rPr>
        <w:t>werthuso</w:t>
      </w:r>
      <w:proofErr w:type="spellEnd"/>
      <w:r w:rsidRPr="00E40B8B">
        <w:rPr>
          <w:rFonts w:ascii="Calibri" w:hAnsi="Calibri" w:cs="Calibri"/>
          <w:color w:val="000000"/>
        </w:rPr>
        <w:t xml:space="preserve"> </w:t>
      </w:r>
      <w:proofErr w:type="spellStart"/>
      <w:r w:rsidRPr="00E40B8B">
        <w:rPr>
          <w:rFonts w:ascii="Calibri" w:hAnsi="Calibri" w:cs="Calibri"/>
          <w:color w:val="000000"/>
        </w:rPr>
        <w:t>gwahanol</w:t>
      </w:r>
      <w:proofErr w:type="spellEnd"/>
      <w:r w:rsidRPr="00E40B8B">
        <w:rPr>
          <w:rFonts w:ascii="Calibri" w:hAnsi="Calibri" w:cs="Calibri"/>
          <w:color w:val="000000"/>
        </w:rPr>
        <w:t xml:space="preserve"> </w:t>
      </w:r>
      <w:proofErr w:type="spellStart"/>
      <w:r w:rsidRPr="00E40B8B">
        <w:rPr>
          <w:rFonts w:ascii="Calibri" w:hAnsi="Calibri" w:cs="Calibri"/>
          <w:color w:val="000000"/>
        </w:rPr>
        <w:t>ymyriadau</w:t>
      </w:r>
      <w:proofErr w:type="spellEnd"/>
      <w:r w:rsidRPr="00E40B8B">
        <w:rPr>
          <w:rFonts w:ascii="Calibri" w:hAnsi="Calibri" w:cs="Calibri"/>
          <w:color w:val="000000"/>
        </w:rPr>
        <w:t xml:space="preserve"> a </w:t>
      </w:r>
      <w:proofErr w:type="spellStart"/>
      <w:r w:rsidRPr="00E40B8B">
        <w:rPr>
          <w:rFonts w:ascii="Calibri" w:hAnsi="Calibri" w:cs="Calibri"/>
          <w:color w:val="000000"/>
        </w:rPr>
        <w:t>darganfod</w:t>
      </w:r>
      <w:proofErr w:type="spellEnd"/>
      <w:r w:rsidRPr="00E40B8B">
        <w:rPr>
          <w:rFonts w:ascii="Calibri" w:hAnsi="Calibri" w:cs="Calibri"/>
          <w:color w:val="000000"/>
        </w:rPr>
        <w:t xml:space="preserve"> </w:t>
      </w:r>
      <w:proofErr w:type="spellStart"/>
      <w:r w:rsidRPr="00E40B8B">
        <w:rPr>
          <w:rFonts w:ascii="Calibri" w:hAnsi="Calibri" w:cs="Calibri"/>
          <w:color w:val="000000"/>
        </w:rPr>
        <w:t>dulliau</w:t>
      </w:r>
      <w:proofErr w:type="spellEnd"/>
      <w:r w:rsidRPr="00E40B8B">
        <w:rPr>
          <w:rFonts w:ascii="Calibri" w:hAnsi="Calibri" w:cs="Calibri"/>
          <w:color w:val="000000"/>
        </w:rPr>
        <w:t xml:space="preserve"> </w:t>
      </w:r>
      <w:proofErr w:type="spellStart"/>
      <w:r w:rsidRPr="00E40B8B">
        <w:rPr>
          <w:rFonts w:ascii="Calibri" w:hAnsi="Calibri" w:cs="Calibri"/>
          <w:color w:val="000000"/>
        </w:rPr>
        <w:t>sensitif</w:t>
      </w:r>
      <w:proofErr w:type="spellEnd"/>
      <w:r w:rsidRPr="00E40B8B">
        <w:rPr>
          <w:rFonts w:ascii="Calibri" w:hAnsi="Calibri" w:cs="Calibri"/>
          <w:color w:val="000000"/>
        </w:rPr>
        <w:t xml:space="preserve"> </w:t>
      </w:r>
      <w:proofErr w:type="spellStart"/>
      <w:r w:rsidRPr="00E40B8B">
        <w:rPr>
          <w:rFonts w:ascii="Calibri" w:hAnsi="Calibri" w:cs="Calibri"/>
          <w:color w:val="000000"/>
        </w:rPr>
        <w:t>yn</w:t>
      </w:r>
      <w:proofErr w:type="spellEnd"/>
      <w:r w:rsidRPr="00E40B8B">
        <w:rPr>
          <w:rFonts w:ascii="Calibri" w:hAnsi="Calibri" w:cs="Calibri"/>
          <w:color w:val="000000"/>
        </w:rPr>
        <w:t xml:space="preserve"> </w:t>
      </w:r>
      <w:proofErr w:type="spellStart"/>
      <w:r w:rsidRPr="00E40B8B">
        <w:rPr>
          <w:rFonts w:ascii="Calibri" w:hAnsi="Calibri" w:cs="Calibri"/>
          <w:color w:val="000000"/>
        </w:rPr>
        <w:t>ddiwylliannol</w:t>
      </w:r>
      <w:proofErr w:type="spellEnd"/>
      <w:r w:rsidRPr="00E40B8B">
        <w:rPr>
          <w:rFonts w:ascii="Calibri" w:hAnsi="Calibri" w:cs="Calibri"/>
          <w:color w:val="000000"/>
        </w:rPr>
        <w:t xml:space="preserve"> o </w:t>
      </w:r>
      <w:proofErr w:type="spellStart"/>
      <w:r w:rsidRPr="00E40B8B">
        <w:rPr>
          <w:rFonts w:ascii="Calibri" w:hAnsi="Calibri" w:cs="Calibri"/>
          <w:color w:val="000000"/>
        </w:rPr>
        <w:t>ymdrin</w:t>
      </w:r>
      <w:proofErr w:type="spellEnd"/>
      <w:r w:rsidRPr="00E40B8B">
        <w:rPr>
          <w:rFonts w:ascii="Calibri" w:hAnsi="Calibri" w:cs="Calibri"/>
          <w:color w:val="000000"/>
        </w:rPr>
        <w:t xml:space="preserve"> â </w:t>
      </w:r>
      <w:proofErr w:type="spellStart"/>
      <w:r w:rsidRPr="00E40B8B">
        <w:rPr>
          <w:rFonts w:ascii="Calibri" w:hAnsi="Calibri" w:cs="Calibri"/>
          <w:color w:val="000000"/>
        </w:rPr>
        <w:t>thrawma</w:t>
      </w:r>
      <w:proofErr w:type="spellEnd"/>
      <w:r w:rsidRPr="00E40B8B">
        <w:rPr>
          <w:rFonts w:ascii="Calibri" w:hAnsi="Calibri" w:cs="Calibri"/>
          <w:color w:val="000000"/>
        </w:rPr>
        <w:t xml:space="preserve">. Mae </w:t>
      </w:r>
      <w:proofErr w:type="spellStart"/>
      <w:r w:rsidRPr="00E40B8B">
        <w:rPr>
          <w:rFonts w:ascii="Calibri" w:hAnsi="Calibri" w:cs="Calibri"/>
          <w:color w:val="000000"/>
        </w:rPr>
        <w:t>ymchwil</w:t>
      </w:r>
      <w:proofErr w:type="spellEnd"/>
      <w:r w:rsidRPr="00E40B8B">
        <w:rPr>
          <w:rFonts w:ascii="Calibri" w:hAnsi="Calibri" w:cs="Calibri"/>
          <w:color w:val="000000"/>
        </w:rPr>
        <w:t xml:space="preserve"> </w:t>
      </w:r>
      <w:proofErr w:type="spellStart"/>
      <w:r w:rsidRPr="00E40B8B">
        <w:rPr>
          <w:rFonts w:ascii="Calibri" w:hAnsi="Calibri" w:cs="Calibri"/>
          <w:color w:val="000000"/>
        </w:rPr>
        <w:t>hirdymor</w:t>
      </w:r>
      <w:proofErr w:type="spellEnd"/>
      <w:r w:rsidRPr="00E40B8B">
        <w:rPr>
          <w:rFonts w:ascii="Calibri" w:hAnsi="Calibri" w:cs="Calibri"/>
          <w:color w:val="000000"/>
        </w:rPr>
        <w:t xml:space="preserve"> </w:t>
      </w:r>
      <w:proofErr w:type="spellStart"/>
      <w:r w:rsidRPr="00E40B8B">
        <w:rPr>
          <w:rFonts w:ascii="Calibri" w:hAnsi="Calibri" w:cs="Calibri"/>
          <w:color w:val="000000"/>
        </w:rPr>
        <w:t>yn</w:t>
      </w:r>
      <w:proofErr w:type="spellEnd"/>
      <w:r w:rsidRPr="00E40B8B">
        <w:rPr>
          <w:rFonts w:ascii="Calibri" w:hAnsi="Calibri" w:cs="Calibri"/>
          <w:color w:val="000000"/>
        </w:rPr>
        <w:t xml:space="preserve"> </w:t>
      </w:r>
      <w:proofErr w:type="spellStart"/>
      <w:r w:rsidRPr="00E40B8B">
        <w:rPr>
          <w:rFonts w:ascii="Calibri" w:hAnsi="Calibri" w:cs="Calibri"/>
          <w:color w:val="000000"/>
        </w:rPr>
        <w:t>hanfodol</w:t>
      </w:r>
      <w:proofErr w:type="spellEnd"/>
      <w:r w:rsidRPr="00E40B8B">
        <w:rPr>
          <w:rFonts w:ascii="Calibri" w:hAnsi="Calibri" w:cs="Calibri"/>
          <w:color w:val="000000"/>
        </w:rPr>
        <w:t xml:space="preserve"> </w:t>
      </w:r>
      <w:proofErr w:type="spellStart"/>
      <w:r w:rsidRPr="00E40B8B">
        <w:rPr>
          <w:rFonts w:ascii="Calibri" w:hAnsi="Calibri" w:cs="Calibri"/>
          <w:color w:val="000000"/>
        </w:rPr>
        <w:t>i</w:t>
      </w:r>
      <w:proofErr w:type="spellEnd"/>
      <w:r w:rsidRPr="00E40B8B">
        <w:rPr>
          <w:rFonts w:ascii="Calibri" w:hAnsi="Calibri" w:cs="Calibri"/>
          <w:color w:val="000000"/>
        </w:rPr>
        <w:t xml:space="preserve"> </w:t>
      </w:r>
      <w:proofErr w:type="spellStart"/>
      <w:r w:rsidRPr="00E40B8B">
        <w:rPr>
          <w:rFonts w:ascii="Calibri" w:hAnsi="Calibri" w:cs="Calibri"/>
          <w:color w:val="000000"/>
        </w:rPr>
        <w:t>ddeall</w:t>
      </w:r>
      <w:proofErr w:type="spellEnd"/>
      <w:r w:rsidRPr="00E40B8B">
        <w:rPr>
          <w:rFonts w:ascii="Calibri" w:hAnsi="Calibri" w:cs="Calibri"/>
          <w:color w:val="000000"/>
        </w:rPr>
        <w:t xml:space="preserve"> </w:t>
      </w:r>
      <w:proofErr w:type="spellStart"/>
      <w:r w:rsidRPr="00E40B8B">
        <w:rPr>
          <w:rFonts w:ascii="Calibri" w:hAnsi="Calibri" w:cs="Calibri"/>
          <w:color w:val="000000"/>
        </w:rPr>
        <w:t>sut</w:t>
      </w:r>
      <w:proofErr w:type="spellEnd"/>
      <w:r w:rsidRPr="00E40B8B">
        <w:rPr>
          <w:rFonts w:ascii="Calibri" w:hAnsi="Calibri" w:cs="Calibri"/>
          <w:color w:val="000000"/>
        </w:rPr>
        <w:t xml:space="preserve"> </w:t>
      </w:r>
      <w:proofErr w:type="spellStart"/>
      <w:r w:rsidRPr="00E40B8B">
        <w:rPr>
          <w:rFonts w:ascii="Calibri" w:hAnsi="Calibri" w:cs="Calibri"/>
          <w:color w:val="000000"/>
        </w:rPr>
        <w:t>mae</w:t>
      </w:r>
      <w:proofErr w:type="spellEnd"/>
      <w:r w:rsidRPr="00E40B8B">
        <w:rPr>
          <w:rFonts w:ascii="Calibri" w:hAnsi="Calibri" w:cs="Calibri"/>
          <w:color w:val="000000"/>
        </w:rPr>
        <w:t xml:space="preserve"> </w:t>
      </w:r>
      <w:proofErr w:type="spellStart"/>
      <w:r w:rsidRPr="00E40B8B">
        <w:rPr>
          <w:rFonts w:ascii="Calibri" w:hAnsi="Calibri" w:cs="Calibri"/>
          <w:color w:val="000000"/>
        </w:rPr>
        <w:t>ffactorau</w:t>
      </w:r>
      <w:proofErr w:type="spellEnd"/>
      <w:r w:rsidRPr="00E40B8B">
        <w:rPr>
          <w:rFonts w:ascii="Calibri" w:hAnsi="Calibri" w:cs="Calibri"/>
          <w:color w:val="000000"/>
        </w:rPr>
        <w:t xml:space="preserve"> </w:t>
      </w:r>
      <w:proofErr w:type="spellStart"/>
      <w:r w:rsidRPr="00E40B8B">
        <w:rPr>
          <w:rFonts w:ascii="Calibri" w:hAnsi="Calibri" w:cs="Calibri"/>
          <w:color w:val="000000"/>
        </w:rPr>
        <w:t>economaidd-gymdeithasol</w:t>
      </w:r>
      <w:proofErr w:type="spellEnd"/>
      <w:r w:rsidRPr="00E40B8B">
        <w:rPr>
          <w:rFonts w:ascii="Calibri" w:hAnsi="Calibri" w:cs="Calibri"/>
          <w:color w:val="000000"/>
        </w:rPr>
        <w:t xml:space="preserve">, </w:t>
      </w:r>
      <w:proofErr w:type="spellStart"/>
      <w:r w:rsidRPr="00E40B8B">
        <w:rPr>
          <w:rFonts w:ascii="Calibri" w:hAnsi="Calibri" w:cs="Calibri"/>
          <w:color w:val="000000"/>
        </w:rPr>
        <w:t>ethnigrwydd</w:t>
      </w:r>
      <w:proofErr w:type="spellEnd"/>
      <w:r w:rsidRPr="00E40B8B">
        <w:rPr>
          <w:rFonts w:ascii="Calibri" w:hAnsi="Calibri" w:cs="Calibri"/>
          <w:color w:val="000000"/>
        </w:rPr>
        <w:t xml:space="preserve">, a </w:t>
      </w:r>
      <w:proofErr w:type="spellStart"/>
      <w:r w:rsidRPr="00E40B8B">
        <w:rPr>
          <w:rFonts w:ascii="Calibri" w:hAnsi="Calibri" w:cs="Calibri"/>
          <w:color w:val="000000"/>
        </w:rPr>
        <w:t>rhyw</w:t>
      </w:r>
      <w:proofErr w:type="spellEnd"/>
      <w:r w:rsidRPr="00E40B8B">
        <w:rPr>
          <w:rFonts w:ascii="Calibri" w:hAnsi="Calibri" w:cs="Calibri"/>
          <w:color w:val="000000"/>
        </w:rPr>
        <w:t xml:space="preserve"> </w:t>
      </w:r>
      <w:proofErr w:type="spellStart"/>
      <w:r w:rsidRPr="00E40B8B">
        <w:rPr>
          <w:rFonts w:ascii="Calibri" w:hAnsi="Calibri" w:cs="Calibri"/>
          <w:color w:val="000000"/>
        </w:rPr>
        <w:t>yn</w:t>
      </w:r>
      <w:proofErr w:type="spellEnd"/>
      <w:r w:rsidRPr="00E40B8B">
        <w:rPr>
          <w:rFonts w:ascii="Calibri" w:hAnsi="Calibri" w:cs="Calibri"/>
          <w:color w:val="000000"/>
        </w:rPr>
        <w:t xml:space="preserve"> </w:t>
      </w:r>
      <w:proofErr w:type="spellStart"/>
      <w:r w:rsidRPr="00E40B8B">
        <w:rPr>
          <w:rFonts w:ascii="Calibri" w:hAnsi="Calibri" w:cs="Calibri"/>
          <w:color w:val="000000"/>
        </w:rPr>
        <w:t>dylanwadu</w:t>
      </w:r>
      <w:proofErr w:type="spellEnd"/>
      <w:r w:rsidRPr="00E40B8B">
        <w:rPr>
          <w:rFonts w:ascii="Calibri" w:hAnsi="Calibri" w:cs="Calibri"/>
          <w:color w:val="000000"/>
        </w:rPr>
        <w:t xml:space="preserve"> </w:t>
      </w:r>
      <w:proofErr w:type="spellStart"/>
      <w:r w:rsidRPr="00E40B8B">
        <w:rPr>
          <w:rFonts w:ascii="Calibri" w:hAnsi="Calibri" w:cs="Calibri"/>
          <w:color w:val="000000"/>
        </w:rPr>
        <w:t>ar</w:t>
      </w:r>
      <w:proofErr w:type="spellEnd"/>
      <w:r w:rsidRPr="00E40B8B">
        <w:rPr>
          <w:rFonts w:ascii="Calibri" w:hAnsi="Calibri" w:cs="Calibri"/>
          <w:color w:val="000000"/>
        </w:rPr>
        <w:t xml:space="preserve"> </w:t>
      </w:r>
      <w:proofErr w:type="spellStart"/>
      <w:r w:rsidRPr="00E40B8B">
        <w:rPr>
          <w:rFonts w:ascii="Calibri" w:hAnsi="Calibri" w:cs="Calibri"/>
          <w:color w:val="000000"/>
        </w:rPr>
        <w:t>adferiad</w:t>
      </w:r>
      <w:proofErr w:type="spellEnd"/>
      <w:r w:rsidRPr="00E40B8B">
        <w:rPr>
          <w:rFonts w:ascii="Calibri" w:hAnsi="Calibri" w:cs="Calibri"/>
          <w:color w:val="000000"/>
        </w:rPr>
        <w:t xml:space="preserve"> a </w:t>
      </w:r>
      <w:proofErr w:type="spellStart"/>
      <w:r w:rsidRPr="00E40B8B">
        <w:rPr>
          <w:rFonts w:ascii="Calibri" w:hAnsi="Calibri" w:cs="Calibri"/>
          <w:color w:val="000000"/>
        </w:rPr>
        <w:t>gwytnwch</w:t>
      </w:r>
      <w:proofErr w:type="spellEnd"/>
      <w:r w:rsidRPr="00E40B8B">
        <w:rPr>
          <w:rFonts w:ascii="Calibri" w:hAnsi="Calibri" w:cs="Calibri"/>
          <w:color w:val="000000"/>
        </w:rPr>
        <w:t xml:space="preserve"> </w:t>
      </w:r>
      <w:proofErr w:type="spellStart"/>
      <w:r w:rsidRPr="00E40B8B">
        <w:rPr>
          <w:rFonts w:ascii="Calibri" w:hAnsi="Calibri" w:cs="Calibri"/>
          <w:color w:val="000000"/>
        </w:rPr>
        <w:t>unigolion</w:t>
      </w:r>
      <w:proofErr w:type="spellEnd"/>
      <w:r w:rsidRPr="00E40B8B">
        <w:rPr>
          <w:rFonts w:ascii="Calibri" w:hAnsi="Calibri" w:cs="Calibri"/>
          <w:color w:val="000000"/>
        </w:rPr>
        <w:t xml:space="preserve">. Yn </w:t>
      </w:r>
      <w:proofErr w:type="spellStart"/>
      <w:r w:rsidRPr="00E40B8B">
        <w:rPr>
          <w:rFonts w:ascii="Calibri" w:hAnsi="Calibri" w:cs="Calibri"/>
          <w:color w:val="000000"/>
        </w:rPr>
        <w:t>ogystal</w:t>
      </w:r>
      <w:proofErr w:type="spellEnd"/>
      <w:r w:rsidRPr="00E40B8B">
        <w:rPr>
          <w:rFonts w:ascii="Calibri" w:hAnsi="Calibri" w:cs="Calibri"/>
          <w:color w:val="000000"/>
        </w:rPr>
        <w:t xml:space="preserve">, gall </w:t>
      </w:r>
      <w:proofErr w:type="spellStart"/>
      <w:r w:rsidRPr="00E40B8B">
        <w:rPr>
          <w:rFonts w:ascii="Calibri" w:hAnsi="Calibri" w:cs="Calibri"/>
          <w:color w:val="000000"/>
        </w:rPr>
        <w:t>astudiaethau</w:t>
      </w:r>
      <w:proofErr w:type="spellEnd"/>
      <w:r w:rsidRPr="00E40B8B">
        <w:rPr>
          <w:rFonts w:ascii="Calibri" w:hAnsi="Calibri" w:cs="Calibri"/>
          <w:color w:val="000000"/>
        </w:rPr>
        <w:t xml:space="preserve"> </w:t>
      </w:r>
      <w:proofErr w:type="spellStart"/>
      <w:r w:rsidRPr="00E40B8B">
        <w:rPr>
          <w:rFonts w:ascii="Calibri" w:hAnsi="Calibri" w:cs="Calibri"/>
          <w:color w:val="000000"/>
        </w:rPr>
        <w:t>yn</w:t>
      </w:r>
      <w:proofErr w:type="spellEnd"/>
      <w:r w:rsidRPr="00E40B8B">
        <w:rPr>
          <w:rFonts w:ascii="Calibri" w:hAnsi="Calibri" w:cs="Calibri"/>
          <w:color w:val="000000"/>
        </w:rPr>
        <w:t xml:space="preserve"> y </w:t>
      </w:r>
      <w:proofErr w:type="spellStart"/>
      <w:r w:rsidRPr="00E40B8B">
        <w:rPr>
          <w:rFonts w:ascii="Calibri" w:hAnsi="Calibri" w:cs="Calibri"/>
          <w:color w:val="000000"/>
        </w:rPr>
        <w:t>dyfodol</w:t>
      </w:r>
      <w:proofErr w:type="spellEnd"/>
      <w:r w:rsidRPr="00E40B8B">
        <w:rPr>
          <w:rFonts w:ascii="Calibri" w:hAnsi="Calibri" w:cs="Calibri"/>
          <w:color w:val="000000"/>
        </w:rPr>
        <w:t xml:space="preserve"> </w:t>
      </w:r>
      <w:proofErr w:type="spellStart"/>
      <w:r w:rsidRPr="00E40B8B">
        <w:rPr>
          <w:rFonts w:ascii="Calibri" w:hAnsi="Calibri" w:cs="Calibri"/>
          <w:color w:val="000000"/>
        </w:rPr>
        <w:t>asesu</w:t>
      </w:r>
      <w:proofErr w:type="spellEnd"/>
      <w:r w:rsidRPr="00E40B8B">
        <w:rPr>
          <w:rFonts w:ascii="Calibri" w:hAnsi="Calibri" w:cs="Calibri"/>
          <w:color w:val="000000"/>
        </w:rPr>
        <w:t xml:space="preserve"> </w:t>
      </w:r>
      <w:proofErr w:type="spellStart"/>
      <w:r w:rsidRPr="00E40B8B">
        <w:rPr>
          <w:rFonts w:ascii="Calibri" w:hAnsi="Calibri" w:cs="Calibri"/>
          <w:color w:val="000000"/>
        </w:rPr>
        <w:t>rôl</w:t>
      </w:r>
      <w:proofErr w:type="spellEnd"/>
      <w:r w:rsidRPr="00E40B8B">
        <w:rPr>
          <w:rFonts w:ascii="Calibri" w:hAnsi="Calibri" w:cs="Calibri"/>
          <w:color w:val="000000"/>
        </w:rPr>
        <w:t xml:space="preserve"> </w:t>
      </w:r>
      <w:proofErr w:type="spellStart"/>
      <w:r w:rsidRPr="00E40B8B">
        <w:rPr>
          <w:rFonts w:ascii="Calibri" w:hAnsi="Calibri" w:cs="Calibri"/>
          <w:color w:val="000000"/>
        </w:rPr>
        <w:t>technolegau</w:t>
      </w:r>
      <w:proofErr w:type="spellEnd"/>
      <w:r w:rsidRPr="00E40B8B">
        <w:rPr>
          <w:rFonts w:ascii="Calibri" w:hAnsi="Calibri" w:cs="Calibri"/>
          <w:color w:val="000000"/>
        </w:rPr>
        <w:t xml:space="preserve"> </w:t>
      </w:r>
      <w:proofErr w:type="spellStart"/>
      <w:r w:rsidRPr="00E40B8B">
        <w:rPr>
          <w:rFonts w:ascii="Calibri" w:hAnsi="Calibri" w:cs="Calibri"/>
          <w:color w:val="000000"/>
        </w:rPr>
        <w:t>newydd</w:t>
      </w:r>
      <w:proofErr w:type="spellEnd"/>
      <w:r w:rsidRPr="00E40B8B">
        <w:rPr>
          <w:rFonts w:ascii="Calibri" w:hAnsi="Calibri" w:cs="Calibri"/>
          <w:color w:val="000000"/>
        </w:rPr>
        <w:t xml:space="preserve">, </w:t>
      </w:r>
      <w:proofErr w:type="spellStart"/>
      <w:r w:rsidRPr="00E40B8B">
        <w:rPr>
          <w:rFonts w:ascii="Calibri" w:hAnsi="Calibri" w:cs="Calibri"/>
          <w:color w:val="000000"/>
        </w:rPr>
        <w:t>megis</w:t>
      </w:r>
      <w:proofErr w:type="spellEnd"/>
      <w:r w:rsidRPr="00E40B8B">
        <w:rPr>
          <w:rFonts w:ascii="Calibri" w:hAnsi="Calibri" w:cs="Calibri"/>
          <w:color w:val="000000"/>
        </w:rPr>
        <w:t xml:space="preserve"> </w:t>
      </w:r>
      <w:proofErr w:type="spellStart"/>
      <w:r w:rsidRPr="00E40B8B">
        <w:rPr>
          <w:rFonts w:ascii="Calibri" w:hAnsi="Calibri" w:cs="Calibri"/>
          <w:color w:val="000000"/>
        </w:rPr>
        <w:t>deallusrwydd</w:t>
      </w:r>
      <w:proofErr w:type="spellEnd"/>
      <w:r w:rsidRPr="00E40B8B">
        <w:rPr>
          <w:rFonts w:ascii="Calibri" w:hAnsi="Calibri" w:cs="Calibri"/>
          <w:color w:val="000000"/>
        </w:rPr>
        <w:t xml:space="preserve"> </w:t>
      </w:r>
      <w:proofErr w:type="spellStart"/>
      <w:r w:rsidRPr="00E40B8B">
        <w:rPr>
          <w:rFonts w:ascii="Calibri" w:hAnsi="Calibri" w:cs="Calibri"/>
          <w:color w:val="000000"/>
        </w:rPr>
        <w:t>artiffisial</w:t>
      </w:r>
      <w:proofErr w:type="spellEnd"/>
      <w:r w:rsidRPr="00E40B8B">
        <w:rPr>
          <w:rFonts w:ascii="Calibri" w:hAnsi="Calibri" w:cs="Calibri"/>
          <w:color w:val="000000"/>
        </w:rPr>
        <w:t xml:space="preserve"> a </w:t>
      </w:r>
      <w:proofErr w:type="spellStart"/>
      <w:r w:rsidRPr="00E40B8B">
        <w:rPr>
          <w:rFonts w:ascii="Calibri" w:hAnsi="Calibri" w:cs="Calibri"/>
          <w:color w:val="000000"/>
        </w:rPr>
        <w:t>llwyfannau</w:t>
      </w:r>
      <w:proofErr w:type="spellEnd"/>
      <w:r w:rsidRPr="00E40B8B">
        <w:rPr>
          <w:rFonts w:ascii="Calibri" w:hAnsi="Calibri" w:cs="Calibri"/>
          <w:color w:val="000000"/>
        </w:rPr>
        <w:t xml:space="preserve"> </w:t>
      </w:r>
      <w:proofErr w:type="spellStart"/>
      <w:r w:rsidRPr="00E40B8B">
        <w:rPr>
          <w:rFonts w:ascii="Calibri" w:hAnsi="Calibri" w:cs="Calibri"/>
          <w:color w:val="000000"/>
        </w:rPr>
        <w:t>therapi</w:t>
      </w:r>
      <w:proofErr w:type="spellEnd"/>
      <w:r w:rsidRPr="00E40B8B">
        <w:rPr>
          <w:rFonts w:ascii="Calibri" w:hAnsi="Calibri" w:cs="Calibri"/>
          <w:color w:val="000000"/>
        </w:rPr>
        <w:t xml:space="preserve"> </w:t>
      </w:r>
      <w:proofErr w:type="spellStart"/>
      <w:r w:rsidRPr="00E40B8B">
        <w:rPr>
          <w:rFonts w:ascii="Calibri" w:hAnsi="Calibri" w:cs="Calibri"/>
          <w:color w:val="000000"/>
        </w:rPr>
        <w:t>rhithwir</w:t>
      </w:r>
      <w:proofErr w:type="spellEnd"/>
      <w:r w:rsidRPr="00E40B8B">
        <w:rPr>
          <w:rFonts w:ascii="Calibri" w:hAnsi="Calibri" w:cs="Calibri"/>
          <w:color w:val="000000"/>
        </w:rPr>
        <w:t xml:space="preserve">, </w:t>
      </w:r>
      <w:proofErr w:type="spellStart"/>
      <w:r w:rsidRPr="00E40B8B">
        <w:rPr>
          <w:rFonts w:ascii="Calibri" w:hAnsi="Calibri" w:cs="Calibri"/>
          <w:color w:val="000000"/>
        </w:rPr>
        <w:t>wrth</w:t>
      </w:r>
      <w:proofErr w:type="spellEnd"/>
      <w:r w:rsidRPr="00E40B8B">
        <w:rPr>
          <w:rFonts w:ascii="Calibri" w:hAnsi="Calibri" w:cs="Calibri"/>
          <w:color w:val="000000"/>
        </w:rPr>
        <w:t xml:space="preserve"> </w:t>
      </w:r>
      <w:proofErr w:type="spellStart"/>
      <w:r w:rsidRPr="00E40B8B">
        <w:rPr>
          <w:rFonts w:ascii="Calibri" w:hAnsi="Calibri" w:cs="Calibri"/>
          <w:color w:val="000000"/>
        </w:rPr>
        <w:t>wella</w:t>
      </w:r>
      <w:proofErr w:type="spellEnd"/>
      <w:r w:rsidRPr="00E40B8B">
        <w:rPr>
          <w:rFonts w:ascii="Calibri" w:hAnsi="Calibri" w:cs="Calibri"/>
          <w:color w:val="000000"/>
        </w:rPr>
        <w:t xml:space="preserve"> </w:t>
      </w:r>
      <w:proofErr w:type="spellStart"/>
      <w:r w:rsidRPr="00E40B8B">
        <w:rPr>
          <w:rFonts w:ascii="Calibri" w:hAnsi="Calibri" w:cs="Calibri"/>
          <w:color w:val="000000"/>
        </w:rPr>
        <w:t>cymorth</w:t>
      </w:r>
      <w:proofErr w:type="spellEnd"/>
      <w:r w:rsidRPr="00E40B8B">
        <w:rPr>
          <w:rFonts w:ascii="Calibri" w:hAnsi="Calibri" w:cs="Calibri"/>
          <w:color w:val="000000"/>
        </w:rPr>
        <w:t xml:space="preserve"> iechyd </w:t>
      </w:r>
      <w:proofErr w:type="spellStart"/>
      <w:r w:rsidRPr="00E40B8B">
        <w:rPr>
          <w:rFonts w:ascii="Calibri" w:hAnsi="Calibri" w:cs="Calibri"/>
          <w:color w:val="000000"/>
        </w:rPr>
        <w:t>meddwl</w:t>
      </w:r>
      <w:proofErr w:type="spellEnd"/>
      <w:r w:rsidRPr="00E40B8B">
        <w:rPr>
          <w:rFonts w:ascii="Calibri" w:hAnsi="Calibri" w:cs="Calibri"/>
          <w:color w:val="000000"/>
        </w:rPr>
        <w:t xml:space="preserve">. Mae </w:t>
      </w:r>
      <w:proofErr w:type="spellStart"/>
      <w:r w:rsidRPr="00E40B8B">
        <w:rPr>
          <w:rFonts w:ascii="Calibri" w:hAnsi="Calibri" w:cs="Calibri"/>
          <w:color w:val="000000"/>
        </w:rPr>
        <w:t>dealltwriaeth</w:t>
      </w:r>
      <w:proofErr w:type="spellEnd"/>
      <w:r w:rsidRPr="00E40B8B">
        <w:rPr>
          <w:rFonts w:ascii="Calibri" w:hAnsi="Calibri" w:cs="Calibri"/>
          <w:color w:val="000000"/>
        </w:rPr>
        <w:t xml:space="preserve"> well </w:t>
      </w:r>
      <w:proofErr w:type="spellStart"/>
      <w:r w:rsidRPr="00E40B8B">
        <w:rPr>
          <w:rFonts w:ascii="Calibri" w:hAnsi="Calibri" w:cs="Calibri"/>
          <w:color w:val="000000"/>
        </w:rPr>
        <w:t>o’r</w:t>
      </w:r>
      <w:proofErr w:type="spellEnd"/>
      <w:r w:rsidRPr="00E40B8B">
        <w:rPr>
          <w:rFonts w:ascii="Calibri" w:hAnsi="Calibri" w:cs="Calibri"/>
          <w:color w:val="000000"/>
        </w:rPr>
        <w:t xml:space="preserve"> </w:t>
      </w:r>
      <w:proofErr w:type="spellStart"/>
      <w:r w:rsidRPr="00E40B8B">
        <w:rPr>
          <w:rFonts w:ascii="Calibri" w:hAnsi="Calibri" w:cs="Calibri"/>
          <w:color w:val="000000"/>
        </w:rPr>
        <w:t>materion</w:t>
      </w:r>
      <w:proofErr w:type="spellEnd"/>
      <w:r w:rsidRPr="00E40B8B">
        <w:rPr>
          <w:rFonts w:ascii="Calibri" w:hAnsi="Calibri" w:cs="Calibri"/>
          <w:color w:val="000000"/>
        </w:rPr>
        <w:t xml:space="preserve"> </w:t>
      </w:r>
      <w:proofErr w:type="spellStart"/>
      <w:r w:rsidRPr="00E40B8B">
        <w:rPr>
          <w:rFonts w:ascii="Calibri" w:hAnsi="Calibri" w:cs="Calibri"/>
          <w:color w:val="000000"/>
        </w:rPr>
        <w:t>hyn</w:t>
      </w:r>
      <w:proofErr w:type="spellEnd"/>
      <w:r w:rsidRPr="00E40B8B">
        <w:rPr>
          <w:rFonts w:ascii="Calibri" w:hAnsi="Calibri" w:cs="Calibri"/>
          <w:color w:val="000000"/>
        </w:rPr>
        <w:t xml:space="preserve"> </w:t>
      </w:r>
      <w:proofErr w:type="spellStart"/>
      <w:r w:rsidRPr="00E40B8B">
        <w:rPr>
          <w:rFonts w:ascii="Calibri" w:hAnsi="Calibri" w:cs="Calibri"/>
          <w:color w:val="000000"/>
        </w:rPr>
        <w:t>yn</w:t>
      </w:r>
      <w:proofErr w:type="spellEnd"/>
      <w:r w:rsidRPr="00E40B8B">
        <w:rPr>
          <w:rFonts w:ascii="Calibri" w:hAnsi="Calibri" w:cs="Calibri"/>
          <w:color w:val="000000"/>
        </w:rPr>
        <w:t xml:space="preserve"> </w:t>
      </w:r>
      <w:proofErr w:type="spellStart"/>
      <w:r w:rsidRPr="00E40B8B">
        <w:rPr>
          <w:rFonts w:ascii="Calibri" w:hAnsi="Calibri" w:cs="Calibri"/>
          <w:color w:val="000000"/>
        </w:rPr>
        <w:t>gallu</w:t>
      </w:r>
      <w:proofErr w:type="spellEnd"/>
      <w:r w:rsidRPr="00E40B8B">
        <w:rPr>
          <w:rFonts w:ascii="Calibri" w:hAnsi="Calibri" w:cs="Calibri"/>
          <w:color w:val="000000"/>
        </w:rPr>
        <w:t xml:space="preserve"> </w:t>
      </w:r>
      <w:proofErr w:type="spellStart"/>
      <w:r w:rsidRPr="00E40B8B">
        <w:rPr>
          <w:rFonts w:ascii="Calibri" w:hAnsi="Calibri" w:cs="Calibri"/>
          <w:color w:val="000000"/>
        </w:rPr>
        <w:t>helpu</w:t>
      </w:r>
      <w:proofErr w:type="spellEnd"/>
      <w:r w:rsidRPr="00E40B8B">
        <w:rPr>
          <w:rFonts w:ascii="Calibri" w:hAnsi="Calibri" w:cs="Calibri"/>
          <w:color w:val="000000"/>
        </w:rPr>
        <w:t xml:space="preserve"> </w:t>
      </w:r>
      <w:proofErr w:type="spellStart"/>
      <w:r w:rsidRPr="00E40B8B">
        <w:rPr>
          <w:rFonts w:ascii="Calibri" w:hAnsi="Calibri" w:cs="Calibri"/>
          <w:color w:val="000000"/>
        </w:rPr>
        <w:t>i</w:t>
      </w:r>
      <w:proofErr w:type="spellEnd"/>
      <w:r w:rsidRPr="00E40B8B">
        <w:rPr>
          <w:rFonts w:ascii="Calibri" w:hAnsi="Calibri" w:cs="Calibri"/>
          <w:color w:val="000000"/>
        </w:rPr>
        <w:t xml:space="preserve"> </w:t>
      </w:r>
      <w:proofErr w:type="spellStart"/>
      <w:r w:rsidRPr="00E40B8B">
        <w:rPr>
          <w:rFonts w:ascii="Calibri" w:hAnsi="Calibri" w:cs="Calibri"/>
          <w:color w:val="000000"/>
        </w:rPr>
        <w:t>greu</w:t>
      </w:r>
      <w:proofErr w:type="spellEnd"/>
      <w:r w:rsidRPr="00E40B8B">
        <w:rPr>
          <w:rFonts w:ascii="Calibri" w:hAnsi="Calibri" w:cs="Calibri"/>
          <w:color w:val="000000"/>
        </w:rPr>
        <w:t xml:space="preserve"> </w:t>
      </w:r>
      <w:proofErr w:type="spellStart"/>
      <w:r w:rsidRPr="00E40B8B">
        <w:rPr>
          <w:rFonts w:ascii="Calibri" w:hAnsi="Calibri" w:cs="Calibri"/>
          <w:color w:val="000000"/>
        </w:rPr>
        <w:t>dulliau</w:t>
      </w:r>
      <w:proofErr w:type="spellEnd"/>
      <w:r w:rsidRPr="00E40B8B">
        <w:rPr>
          <w:rFonts w:ascii="Calibri" w:hAnsi="Calibri" w:cs="Calibri"/>
          <w:color w:val="000000"/>
        </w:rPr>
        <w:t xml:space="preserve"> </w:t>
      </w:r>
      <w:proofErr w:type="spellStart"/>
      <w:r w:rsidRPr="00E40B8B">
        <w:rPr>
          <w:rFonts w:ascii="Calibri" w:hAnsi="Calibri" w:cs="Calibri"/>
          <w:color w:val="000000"/>
        </w:rPr>
        <w:t>ymyrraeth</w:t>
      </w:r>
      <w:proofErr w:type="spellEnd"/>
      <w:r w:rsidRPr="00E40B8B">
        <w:rPr>
          <w:rFonts w:ascii="Calibri" w:hAnsi="Calibri" w:cs="Calibri"/>
          <w:color w:val="000000"/>
        </w:rPr>
        <w:t xml:space="preserve"> </w:t>
      </w:r>
      <w:proofErr w:type="spellStart"/>
      <w:r w:rsidRPr="00E40B8B">
        <w:rPr>
          <w:rFonts w:ascii="Calibri" w:hAnsi="Calibri" w:cs="Calibri"/>
          <w:color w:val="000000"/>
        </w:rPr>
        <w:t>fwy</w:t>
      </w:r>
      <w:proofErr w:type="spellEnd"/>
      <w:r w:rsidRPr="00E40B8B">
        <w:rPr>
          <w:rFonts w:ascii="Calibri" w:hAnsi="Calibri" w:cs="Calibri"/>
          <w:color w:val="000000"/>
        </w:rPr>
        <w:t xml:space="preserve"> </w:t>
      </w:r>
      <w:proofErr w:type="spellStart"/>
      <w:r w:rsidRPr="00E40B8B">
        <w:rPr>
          <w:rFonts w:ascii="Calibri" w:hAnsi="Calibri" w:cs="Calibri"/>
          <w:color w:val="000000"/>
        </w:rPr>
        <w:t>effeithiol</w:t>
      </w:r>
      <w:proofErr w:type="spellEnd"/>
      <w:r w:rsidRPr="00E40B8B">
        <w:rPr>
          <w:rFonts w:ascii="Calibri" w:hAnsi="Calibri" w:cs="Calibri"/>
          <w:color w:val="000000"/>
        </w:rPr>
        <w:t xml:space="preserve"> ac addas </w:t>
      </w:r>
      <w:proofErr w:type="spellStart"/>
      <w:r w:rsidRPr="00E40B8B">
        <w:rPr>
          <w:rFonts w:ascii="Calibri" w:hAnsi="Calibri" w:cs="Calibri"/>
          <w:color w:val="000000"/>
        </w:rPr>
        <w:t>i</w:t>
      </w:r>
      <w:proofErr w:type="spellEnd"/>
      <w:r w:rsidRPr="00E40B8B">
        <w:rPr>
          <w:rFonts w:ascii="Calibri" w:hAnsi="Calibri" w:cs="Calibri"/>
          <w:color w:val="000000"/>
        </w:rPr>
        <w:t xml:space="preserve"> </w:t>
      </w:r>
      <w:proofErr w:type="spellStart"/>
      <w:r w:rsidRPr="00E40B8B">
        <w:rPr>
          <w:rFonts w:ascii="Calibri" w:hAnsi="Calibri" w:cs="Calibri"/>
          <w:color w:val="000000"/>
        </w:rPr>
        <w:t>anghenion</w:t>
      </w:r>
      <w:proofErr w:type="spellEnd"/>
      <w:r w:rsidRPr="00E40B8B">
        <w:rPr>
          <w:rFonts w:ascii="Calibri" w:hAnsi="Calibri" w:cs="Calibri"/>
          <w:color w:val="000000"/>
        </w:rPr>
        <w:t xml:space="preserve"> </w:t>
      </w:r>
      <w:proofErr w:type="spellStart"/>
      <w:r w:rsidRPr="00E40B8B">
        <w:rPr>
          <w:rFonts w:ascii="Calibri" w:hAnsi="Calibri" w:cs="Calibri"/>
          <w:color w:val="000000"/>
        </w:rPr>
        <w:t>unigolion</w:t>
      </w:r>
      <w:proofErr w:type="spellEnd"/>
      <w:r w:rsidRPr="00E40B8B">
        <w:rPr>
          <w:rFonts w:ascii="Calibri" w:hAnsi="Calibri" w:cs="Calibri"/>
          <w:color w:val="000000"/>
        </w:rPr>
        <w:t>.</w:t>
      </w:r>
    </w:p>
    <w:p w14:paraId="1E735BD9" w14:textId="77777777" w:rsidR="00E40B8B" w:rsidRPr="00E40B8B" w:rsidRDefault="00E40B8B" w:rsidP="00E40B8B">
      <w:pPr>
        <w:pStyle w:val="NormalWeb"/>
        <w:spacing w:line="360" w:lineRule="auto"/>
        <w:rPr>
          <w:rFonts w:ascii="Calibri" w:hAnsi="Calibri" w:cs="Calibri"/>
          <w:color w:val="000000"/>
        </w:rPr>
      </w:pPr>
      <w:proofErr w:type="spellStart"/>
      <w:r w:rsidRPr="00E40B8B">
        <w:rPr>
          <w:rFonts w:ascii="Calibri" w:hAnsi="Calibri" w:cs="Calibri"/>
          <w:color w:val="000000"/>
        </w:rPr>
        <w:t>Drwy</w:t>
      </w:r>
      <w:proofErr w:type="spellEnd"/>
      <w:r w:rsidRPr="00E40B8B">
        <w:rPr>
          <w:rFonts w:ascii="Calibri" w:hAnsi="Calibri" w:cs="Calibri"/>
          <w:color w:val="000000"/>
        </w:rPr>
        <w:t xml:space="preserve"> </w:t>
      </w:r>
      <w:proofErr w:type="spellStart"/>
      <w:r w:rsidRPr="00E40B8B">
        <w:rPr>
          <w:rFonts w:ascii="Calibri" w:hAnsi="Calibri" w:cs="Calibri"/>
          <w:color w:val="000000"/>
        </w:rPr>
        <w:t>roi’r</w:t>
      </w:r>
      <w:proofErr w:type="spellEnd"/>
      <w:r w:rsidRPr="00E40B8B">
        <w:rPr>
          <w:rFonts w:ascii="Calibri" w:hAnsi="Calibri" w:cs="Calibri"/>
          <w:color w:val="000000"/>
        </w:rPr>
        <w:t xml:space="preserve"> </w:t>
      </w:r>
      <w:proofErr w:type="spellStart"/>
      <w:r w:rsidRPr="00E40B8B">
        <w:rPr>
          <w:rFonts w:ascii="Calibri" w:hAnsi="Calibri" w:cs="Calibri"/>
          <w:color w:val="000000"/>
        </w:rPr>
        <w:t>argymhellion</w:t>
      </w:r>
      <w:proofErr w:type="spellEnd"/>
      <w:r w:rsidRPr="00E40B8B">
        <w:rPr>
          <w:rFonts w:ascii="Calibri" w:hAnsi="Calibri" w:cs="Calibri"/>
          <w:color w:val="000000"/>
        </w:rPr>
        <w:t xml:space="preserve"> </w:t>
      </w:r>
      <w:proofErr w:type="spellStart"/>
      <w:r w:rsidRPr="00E40B8B">
        <w:rPr>
          <w:rFonts w:ascii="Calibri" w:hAnsi="Calibri" w:cs="Calibri"/>
          <w:color w:val="000000"/>
        </w:rPr>
        <w:t>hyn</w:t>
      </w:r>
      <w:proofErr w:type="spellEnd"/>
      <w:r w:rsidRPr="00E40B8B">
        <w:rPr>
          <w:rFonts w:ascii="Calibri" w:hAnsi="Calibri" w:cs="Calibri"/>
          <w:color w:val="000000"/>
        </w:rPr>
        <w:t xml:space="preserve"> </w:t>
      </w:r>
      <w:proofErr w:type="spellStart"/>
      <w:r w:rsidRPr="00E40B8B">
        <w:rPr>
          <w:rFonts w:ascii="Calibri" w:hAnsi="Calibri" w:cs="Calibri"/>
          <w:color w:val="000000"/>
        </w:rPr>
        <w:t>ar</w:t>
      </w:r>
      <w:proofErr w:type="spellEnd"/>
      <w:r w:rsidRPr="00E40B8B">
        <w:rPr>
          <w:rFonts w:ascii="Calibri" w:hAnsi="Calibri" w:cs="Calibri"/>
          <w:color w:val="000000"/>
        </w:rPr>
        <w:t xml:space="preserve"> </w:t>
      </w:r>
      <w:proofErr w:type="spellStart"/>
      <w:r w:rsidRPr="00E40B8B">
        <w:rPr>
          <w:rFonts w:ascii="Calibri" w:hAnsi="Calibri" w:cs="Calibri"/>
          <w:color w:val="000000"/>
        </w:rPr>
        <w:t>waith</w:t>
      </w:r>
      <w:proofErr w:type="spellEnd"/>
      <w:r w:rsidRPr="00E40B8B">
        <w:rPr>
          <w:rFonts w:ascii="Calibri" w:hAnsi="Calibri" w:cs="Calibri"/>
          <w:color w:val="000000"/>
        </w:rPr>
        <w:t xml:space="preserve">, gall </w:t>
      </w:r>
      <w:proofErr w:type="spellStart"/>
      <w:r w:rsidRPr="00E40B8B">
        <w:rPr>
          <w:rFonts w:ascii="Calibri" w:hAnsi="Calibri" w:cs="Calibri"/>
          <w:color w:val="000000"/>
        </w:rPr>
        <w:t>cymdeithas</w:t>
      </w:r>
      <w:proofErr w:type="spellEnd"/>
      <w:r w:rsidRPr="00E40B8B">
        <w:rPr>
          <w:rFonts w:ascii="Calibri" w:hAnsi="Calibri" w:cs="Calibri"/>
          <w:color w:val="000000"/>
        </w:rPr>
        <w:t xml:space="preserve"> </w:t>
      </w:r>
      <w:proofErr w:type="spellStart"/>
      <w:r w:rsidRPr="00E40B8B">
        <w:rPr>
          <w:rFonts w:ascii="Calibri" w:hAnsi="Calibri" w:cs="Calibri"/>
          <w:color w:val="000000"/>
        </w:rPr>
        <w:t>weithio</w:t>
      </w:r>
      <w:proofErr w:type="spellEnd"/>
      <w:r w:rsidRPr="00E40B8B">
        <w:rPr>
          <w:rFonts w:ascii="Calibri" w:hAnsi="Calibri" w:cs="Calibri"/>
          <w:color w:val="000000"/>
        </w:rPr>
        <w:t xml:space="preserve"> </w:t>
      </w:r>
      <w:proofErr w:type="spellStart"/>
      <w:r w:rsidRPr="00E40B8B">
        <w:rPr>
          <w:rFonts w:ascii="Calibri" w:hAnsi="Calibri" w:cs="Calibri"/>
          <w:color w:val="000000"/>
        </w:rPr>
        <w:t>tuag</w:t>
      </w:r>
      <w:proofErr w:type="spellEnd"/>
      <w:r w:rsidRPr="00E40B8B">
        <w:rPr>
          <w:rFonts w:ascii="Calibri" w:hAnsi="Calibri" w:cs="Calibri"/>
          <w:color w:val="000000"/>
        </w:rPr>
        <w:t xml:space="preserve"> at </w:t>
      </w:r>
      <w:proofErr w:type="spellStart"/>
      <w:r w:rsidRPr="00E40B8B">
        <w:rPr>
          <w:rFonts w:ascii="Calibri" w:hAnsi="Calibri" w:cs="Calibri"/>
          <w:color w:val="000000"/>
        </w:rPr>
        <w:t>leihau</w:t>
      </w:r>
      <w:proofErr w:type="spellEnd"/>
      <w:r w:rsidRPr="00E40B8B">
        <w:rPr>
          <w:rFonts w:ascii="Calibri" w:hAnsi="Calibri" w:cs="Calibri"/>
          <w:color w:val="000000"/>
        </w:rPr>
        <w:t xml:space="preserve"> </w:t>
      </w:r>
      <w:proofErr w:type="spellStart"/>
      <w:r w:rsidRPr="00E40B8B">
        <w:rPr>
          <w:rFonts w:ascii="Calibri" w:hAnsi="Calibri" w:cs="Calibri"/>
          <w:color w:val="000000"/>
        </w:rPr>
        <w:t>effeithiau</w:t>
      </w:r>
      <w:proofErr w:type="spellEnd"/>
      <w:r w:rsidRPr="00E40B8B">
        <w:rPr>
          <w:rFonts w:ascii="Calibri" w:hAnsi="Calibri" w:cs="Calibri"/>
          <w:color w:val="000000"/>
        </w:rPr>
        <w:t xml:space="preserve"> </w:t>
      </w:r>
      <w:proofErr w:type="spellStart"/>
      <w:r w:rsidRPr="00E40B8B">
        <w:rPr>
          <w:rFonts w:ascii="Calibri" w:hAnsi="Calibri" w:cs="Calibri"/>
          <w:color w:val="000000"/>
        </w:rPr>
        <w:t>andwyol</w:t>
      </w:r>
      <w:proofErr w:type="spellEnd"/>
      <w:r w:rsidRPr="00E40B8B">
        <w:rPr>
          <w:rFonts w:ascii="Calibri" w:hAnsi="Calibri" w:cs="Calibri"/>
          <w:color w:val="000000"/>
        </w:rPr>
        <w:t xml:space="preserve"> </w:t>
      </w:r>
      <w:proofErr w:type="spellStart"/>
      <w:r w:rsidRPr="00E40B8B">
        <w:rPr>
          <w:rFonts w:ascii="Calibri" w:hAnsi="Calibri" w:cs="Calibri"/>
          <w:color w:val="000000"/>
        </w:rPr>
        <w:t>trawma</w:t>
      </w:r>
      <w:proofErr w:type="spellEnd"/>
      <w:r w:rsidRPr="00E40B8B">
        <w:rPr>
          <w:rFonts w:ascii="Calibri" w:hAnsi="Calibri" w:cs="Calibri"/>
          <w:color w:val="000000"/>
        </w:rPr>
        <w:t xml:space="preserve"> </w:t>
      </w:r>
      <w:proofErr w:type="spellStart"/>
      <w:r w:rsidRPr="00E40B8B">
        <w:rPr>
          <w:rFonts w:ascii="Calibri" w:hAnsi="Calibri" w:cs="Calibri"/>
          <w:color w:val="000000"/>
        </w:rPr>
        <w:t>plentyndod</w:t>
      </w:r>
      <w:proofErr w:type="spellEnd"/>
      <w:r w:rsidRPr="00E40B8B">
        <w:rPr>
          <w:rFonts w:ascii="Calibri" w:hAnsi="Calibri" w:cs="Calibri"/>
          <w:color w:val="000000"/>
        </w:rPr>
        <w:t xml:space="preserve"> a </w:t>
      </w:r>
      <w:proofErr w:type="spellStart"/>
      <w:r w:rsidRPr="00E40B8B">
        <w:rPr>
          <w:rFonts w:ascii="Calibri" w:hAnsi="Calibri" w:cs="Calibri"/>
          <w:color w:val="000000"/>
        </w:rPr>
        <w:t>darparu</w:t>
      </w:r>
      <w:proofErr w:type="spellEnd"/>
      <w:r w:rsidRPr="00E40B8B">
        <w:rPr>
          <w:rFonts w:ascii="Calibri" w:hAnsi="Calibri" w:cs="Calibri"/>
          <w:color w:val="000000"/>
        </w:rPr>
        <w:t xml:space="preserve"> </w:t>
      </w:r>
      <w:proofErr w:type="spellStart"/>
      <w:r w:rsidRPr="00E40B8B">
        <w:rPr>
          <w:rFonts w:ascii="Calibri" w:hAnsi="Calibri" w:cs="Calibri"/>
          <w:color w:val="000000"/>
        </w:rPr>
        <w:t>gwell</w:t>
      </w:r>
      <w:proofErr w:type="spellEnd"/>
      <w:r w:rsidRPr="00E40B8B">
        <w:rPr>
          <w:rFonts w:ascii="Calibri" w:hAnsi="Calibri" w:cs="Calibri"/>
          <w:color w:val="000000"/>
        </w:rPr>
        <w:t xml:space="preserve"> </w:t>
      </w:r>
      <w:proofErr w:type="spellStart"/>
      <w:r w:rsidRPr="00E40B8B">
        <w:rPr>
          <w:rFonts w:ascii="Calibri" w:hAnsi="Calibri" w:cs="Calibri"/>
          <w:color w:val="000000"/>
        </w:rPr>
        <w:t>cymorth</w:t>
      </w:r>
      <w:proofErr w:type="spellEnd"/>
      <w:r w:rsidRPr="00E40B8B">
        <w:rPr>
          <w:rFonts w:ascii="Calibri" w:hAnsi="Calibri" w:cs="Calibri"/>
          <w:color w:val="000000"/>
        </w:rPr>
        <w:t xml:space="preserve"> </w:t>
      </w:r>
      <w:proofErr w:type="spellStart"/>
      <w:r w:rsidRPr="00E40B8B">
        <w:rPr>
          <w:rFonts w:ascii="Calibri" w:hAnsi="Calibri" w:cs="Calibri"/>
          <w:color w:val="000000"/>
        </w:rPr>
        <w:t>i’r</w:t>
      </w:r>
      <w:proofErr w:type="spellEnd"/>
      <w:r w:rsidRPr="00E40B8B">
        <w:rPr>
          <w:rFonts w:ascii="Calibri" w:hAnsi="Calibri" w:cs="Calibri"/>
          <w:color w:val="000000"/>
        </w:rPr>
        <w:t xml:space="preserve"> </w:t>
      </w:r>
      <w:proofErr w:type="spellStart"/>
      <w:r w:rsidRPr="00E40B8B">
        <w:rPr>
          <w:rFonts w:ascii="Calibri" w:hAnsi="Calibri" w:cs="Calibri"/>
          <w:color w:val="000000"/>
        </w:rPr>
        <w:t>rhai</w:t>
      </w:r>
      <w:proofErr w:type="spellEnd"/>
      <w:r w:rsidRPr="00E40B8B">
        <w:rPr>
          <w:rFonts w:ascii="Calibri" w:hAnsi="Calibri" w:cs="Calibri"/>
          <w:color w:val="000000"/>
        </w:rPr>
        <w:t xml:space="preserve"> </w:t>
      </w:r>
      <w:proofErr w:type="spellStart"/>
      <w:r w:rsidRPr="00E40B8B">
        <w:rPr>
          <w:rFonts w:ascii="Calibri" w:hAnsi="Calibri" w:cs="Calibri"/>
          <w:color w:val="000000"/>
        </w:rPr>
        <w:t>mewn</w:t>
      </w:r>
      <w:proofErr w:type="spellEnd"/>
      <w:r w:rsidRPr="00E40B8B">
        <w:rPr>
          <w:rFonts w:ascii="Calibri" w:hAnsi="Calibri" w:cs="Calibri"/>
          <w:color w:val="000000"/>
        </w:rPr>
        <w:t xml:space="preserve"> </w:t>
      </w:r>
      <w:proofErr w:type="spellStart"/>
      <w:r w:rsidRPr="00E40B8B">
        <w:rPr>
          <w:rFonts w:ascii="Calibri" w:hAnsi="Calibri" w:cs="Calibri"/>
          <w:color w:val="000000"/>
        </w:rPr>
        <w:t>angen</w:t>
      </w:r>
      <w:proofErr w:type="spellEnd"/>
      <w:r w:rsidRPr="00E40B8B">
        <w:rPr>
          <w:rFonts w:ascii="Calibri" w:hAnsi="Calibri" w:cs="Calibri"/>
          <w:color w:val="000000"/>
        </w:rPr>
        <w:t xml:space="preserve">. </w:t>
      </w:r>
      <w:proofErr w:type="spellStart"/>
      <w:r w:rsidRPr="00E40B8B">
        <w:rPr>
          <w:rFonts w:ascii="Calibri" w:hAnsi="Calibri" w:cs="Calibri"/>
          <w:color w:val="000000"/>
        </w:rPr>
        <w:t>Nid</w:t>
      </w:r>
      <w:proofErr w:type="spellEnd"/>
      <w:r w:rsidRPr="00E40B8B">
        <w:rPr>
          <w:rFonts w:ascii="Calibri" w:hAnsi="Calibri" w:cs="Calibri"/>
          <w:color w:val="000000"/>
        </w:rPr>
        <w:t xml:space="preserve"> </w:t>
      </w:r>
      <w:proofErr w:type="spellStart"/>
      <w:r w:rsidRPr="00E40B8B">
        <w:rPr>
          <w:rFonts w:ascii="Calibri" w:hAnsi="Calibri" w:cs="Calibri"/>
          <w:color w:val="000000"/>
        </w:rPr>
        <w:t>yn</w:t>
      </w:r>
      <w:proofErr w:type="spellEnd"/>
      <w:r w:rsidRPr="00E40B8B">
        <w:rPr>
          <w:rFonts w:ascii="Calibri" w:hAnsi="Calibri" w:cs="Calibri"/>
          <w:color w:val="000000"/>
        </w:rPr>
        <w:t xml:space="preserve"> </w:t>
      </w:r>
      <w:proofErr w:type="spellStart"/>
      <w:r w:rsidRPr="00E40B8B">
        <w:rPr>
          <w:rFonts w:ascii="Calibri" w:hAnsi="Calibri" w:cs="Calibri"/>
          <w:color w:val="000000"/>
        </w:rPr>
        <w:t>unig</w:t>
      </w:r>
      <w:proofErr w:type="spellEnd"/>
      <w:r w:rsidRPr="00E40B8B">
        <w:rPr>
          <w:rFonts w:ascii="Calibri" w:hAnsi="Calibri" w:cs="Calibri"/>
          <w:color w:val="000000"/>
        </w:rPr>
        <w:t xml:space="preserve"> y </w:t>
      </w:r>
      <w:proofErr w:type="spellStart"/>
      <w:r w:rsidRPr="00E40B8B">
        <w:rPr>
          <w:rFonts w:ascii="Calibri" w:hAnsi="Calibri" w:cs="Calibri"/>
          <w:color w:val="000000"/>
        </w:rPr>
        <w:t>mae</w:t>
      </w:r>
      <w:proofErr w:type="spellEnd"/>
      <w:r w:rsidRPr="00E40B8B">
        <w:rPr>
          <w:rFonts w:ascii="Calibri" w:hAnsi="Calibri" w:cs="Calibri"/>
          <w:color w:val="000000"/>
        </w:rPr>
        <w:t xml:space="preserve"> </w:t>
      </w:r>
      <w:proofErr w:type="spellStart"/>
      <w:r w:rsidRPr="00E40B8B">
        <w:rPr>
          <w:rFonts w:ascii="Calibri" w:hAnsi="Calibri" w:cs="Calibri"/>
          <w:color w:val="000000"/>
        </w:rPr>
        <w:t>mynd</w:t>
      </w:r>
      <w:proofErr w:type="spellEnd"/>
      <w:r w:rsidRPr="00E40B8B">
        <w:rPr>
          <w:rFonts w:ascii="Calibri" w:hAnsi="Calibri" w:cs="Calibri"/>
          <w:color w:val="000000"/>
        </w:rPr>
        <w:t xml:space="preserve"> </w:t>
      </w:r>
      <w:proofErr w:type="spellStart"/>
      <w:r w:rsidRPr="00E40B8B">
        <w:rPr>
          <w:rFonts w:ascii="Calibri" w:hAnsi="Calibri" w:cs="Calibri"/>
          <w:color w:val="000000"/>
        </w:rPr>
        <w:t>i’r</w:t>
      </w:r>
      <w:proofErr w:type="spellEnd"/>
      <w:r w:rsidRPr="00E40B8B">
        <w:rPr>
          <w:rFonts w:ascii="Calibri" w:hAnsi="Calibri" w:cs="Calibri"/>
          <w:color w:val="000000"/>
        </w:rPr>
        <w:t xml:space="preserve"> </w:t>
      </w:r>
      <w:proofErr w:type="spellStart"/>
      <w:r w:rsidRPr="00E40B8B">
        <w:rPr>
          <w:rFonts w:ascii="Calibri" w:hAnsi="Calibri" w:cs="Calibri"/>
          <w:color w:val="000000"/>
        </w:rPr>
        <w:t>afael</w:t>
      </w:r>
      <w:proofErr w:type="spellEnd"/>
      <w:r w:rsidRPr="00E40B8B">
        <w:rPr>
          <w:rFonts w:ascii="Calibri" w:hAnsi="Calibri" w:cs="Calibri"/>
          <w:color w:val="000000"/>
        </w:rPr>
        <w:t xml:space="preserve"> â </w:t>
      </w:r>
      <w:proofErr w:type="spellStart"/>
      <w:r w:rsidRPr="00E40B8B">
        <w:rPr>
          <w:rFonts w:ascii="Calibri" w:hAnsi="Calibri" w:cs="Calibri"/>
          <w:color w:val="000000"/>
        </w:rPr>
        <w:t>thrawma</w:t>
      </w:r>
      <w:proofErr w:type="spellEnd"/>
      <w:r w:rsidRPr="00E40B8B">
        <w:rPr>
          <w:rFonts w:ascii="Calibri" w:hAnsi="Calibri" w:cs="Calibri"/>
          <w:color w:val="000000"/>
        </w:rPr>
        <w:t xml:space="preserve"> </w:t>
      </w:r>
      <w:proofErr w:type="spellStart"/>
      <w:r w:rsidRPr="00E40B8B">
        <w:rPr>
          <w:rFonts w:ascii="Calibri" w:hAnsi="Calibri" w:cs="Calibri"/>
          <w:color w:val="000000"/>
        </w:rPr>
        <w:t>plentyndod</w:t>
      </w:r>
      <w:proofErr w:type="spellEnd"/>
      <w:r w:rsidRPr="00E40B8B">
        <w:rPr>
          <w:rFonts w:ascii="Calibri" w:hAnsi="Calibri" w:cs="Calibri"/>
          <w:color w:val="000000"/>
        </w:rPr>
        <w:t xml:space="preserve"> </w:t>
      </w:r>
      <w:proofErr w:type="spellStart"/>
      <w:r w:rsidRPr="00E40B8B">
        <w:rPr>
          <w:rFonts w:ascii="Calibri" w:hAnsi="Calibri" w:cs="Calibri"/>
          <w:color w:val="000000"/>
        </w:rPr>
        <w:t>yn</w:t>
      </w:r>
      <w:proofErr w:type="spellEnd"/>
      <w:r w:rsidRPr="00E40B8B">
        <w:rPr>
          <w:rFonts w:ascii="Calibri" w:hAnsi="Calibri" w:cs="Calibri"/>
          <w:color w:val="000000"/>
        </w:rPr>
        <w:t xml:space="preserve"> </w:t>
      </w:r>
      <w:proofErr w:type="spellStart"/>
      <w:r w:rsidRPr="00E40B8B">
        <w:rPr>
          <w:rFonts w:ascii="Calibri" w:hAnsi="Calibri" w:cs="Calibri"/>
          <w:color w:val="000000"/>
        </w:rPr>
        <w:t>gwella</w:t>
      </w:r>
      <w:proofErr w:type="spellEnd"/>
      <w:r w:rsidRPr="00E40B8B">
        <w:rPr>
          <w:rFonts w:ascii="Calibri" w:hAnsi="Calibri" w:cs="Calibri"/>
          <w:color w:val="000000"/>
        </w:rPr>
        <w:t xml:space="preserve"> </w:t>
      </w:r>
      <w:proofErr w:type="spellStart"/>
      <w:r w:rsidRPr="00E40B8B">
        <w:rPr>
          <w:rFonts w:ascii="Calibri" w:hAnsi="Calibri" w:cs="Calibri"/>
          <w:color w:val="000000"/>
        </w:rPr>
        <w:t>lles</w:t>
      </w:r>
      <w:proofErr w:type="spellEnd"/>
      <w:r w:rsidRPr="00E40B8B">
        <w:rPr>
          <w:rFonts w:ascii="Calibri" w:hAnsi="Calibri" w:cs="Calibri"/>
          <w:color w:val="000000"/>
        </w:rPr>
        <w:t xml:space="preserve"> </w:t>
      </w:r>
      <w:proofErr w:type="spellStart"/>
      <w:r w:rsidRPr="00E40B8B">
        <w:rPr>
          <w:rFonts w:ascii="Calibri" w:hAnsi="Calibri" w:cs="Calibri"/>
          <w:color w:val="000000"/>
        </w:rPr>
        <w:t>unigolion</w:t>
      </w:r>
      <w:proofErr w:type="spellEnd"/>
      <w:r w:rsidRPr="00E40B8B">
        <w:rPr>
          <w:rFonts w:ascii="Calibri" w:hAnsi="Calibri" w:cs="Calibri"/>
          <w:color w:val="000000"/>
        </w:rPr>
        <w:t xml:space="preserve">, </w:t>
      </w:r>
      <w:proofErr w:type="spellStart"/>
      <w:r w:rsidRPr="00E40B8B">
        <w:rPr>
          <w:rFonts w:ascii="Calibri" w:hAnsi="Calibri" w:cs="Calibri"/>
          <w:color w:val="000000"/>
        </w:rPr>
        <w:t>ond</w:t>
      </w:r>
      <w:proofErr w:type="spellEnd"/>
      <w:r w:rsidRPr="00E40B8B">
        <w:rPr>
          <w:rFonts w:ascii="Calibri" w:hAnsi="Calibri" w:cs="Calibri"/>
          <w:color w:val="000000"/>
        </w:rPr>
        <w:t xml:space="preserve"> </w:t>
      </w:r>
      <w:proofErr w:type="spellStart"/>
      <w:r w:rsidRPr="00E40B8B">
        <w:rPr>
          <w:rFonts w:ascii="Calibri" w:hAnsi="Calibri" w:cs="Calibri"/>
          <w:color w:val="000000"/>
        </w:rPr>
        <w:t>mae</w:t>
      </w:r>
      <w:proofErr w:type="spellEnd"/>
      <w:r w:rsidRPr="00E40B8B">
        <w:rPr>
          <w:rFonts w:ascii="Calibri" w:hAnsi="Calibri" w:cs="Calibri"/>
          <w:color w:val="000000"/>
        </w:rPr>
        <w:t xml:space="preserve"> </w:t>
      </w:r>
      <w:proofErr w:type="spellStart"/>
      <w:r w:rsidRPr="00E40B8B">
        <w:rPr>
          <w:rFonts w:ascii="Calibri" w:hAnsi="Calibri" w:cs="Calibri"/>
          <w:color w:val="000000"/>
        </w:rPr>
        <w:t>hefyd</w:t>
      </w:r>
      <w:proofErr w:type="spellEnd"/>
      <w:r w:rsidRPr="00E40B8B">
        <w:rPr>
          <w:rFonts w:ascii="Calibri" w:hAnsi="Calibri" w:cs="Calibri"/>
          <w:color w:val="000000"/>
        </w:rPr>
        <w:t xml:space="preserve"> </w:t>
      </w:r>
      <w:proofErr w:type="spellStart"/>
      <w:r w:rsidRPr="00E40B8B">
        <w:rPr>
          <w:rFonts w:ascii="Calibri" w:hAnsi="Calibri" w:cs="Calibri"/>
          <w:color w:val="000000"/>
        </w:rPr>
        <w:t>yn</w:t>
      </w:r>
      <w:proofErr w:type="spellEnd"/>
      <w:r w:rsidRPr="00E40B8B">
        <w:rPr>
          <w:rFonts w:ascii="Calibri" w:hAnsi="Calibri" w:cs="Calibri"/>
          <w:color w:val="000000"/>
        </w:rPr>
        <w:t xml:space="preserve"> </w:t>
      </w:r>
      <w:proofErr w:type="spellStart"/>
      <w:r w:rsidRPr="00E40B8B">
        <w:rPr>
          <w:rFonts w:ascii="Calibri" w:hAnsi="Calibri" w:cs="Calibri"/>
          <w:color w:val="000000"/>
        </w:rPr>
        <w:t>cryfhau</w:t>
      </w:r>
      <w:proofErr w:type="spellEnd"/>
      <w:r w:rsidRPr="00E40B8B">
        <w:rPr>
          <w:rFonts w:ascii="Calibri" w:hAnsi="Calibri" w:cs="Calibri"/>
          <w:color w:val="000000"/>
        </w:rPr>
        <w:t xml:space="preserve"> </w:t>
      </w:r>
      <w:proofErr w:type="spellStart"/>
      <w:r w:rsidRPr="00E40B8B">
        <w:rPr>
          <w:rFonts w:ascii="Calibri" w:hAnsi="Calibri" w:cs="Calibri"/>
          <w:color w:val="000000"/>
        </w:rPr>
        <w:t>cymunedau</w:t>
      </w:r>
      <w:proofErr w:type="spellEnd"/>
      <w:r w:rsidRPr="00E40B8B">
        <w:rPr>
          <w:rFonts w:ascii="Calibri" w:hAnsi="Calibri" w:cs="Calibri"/>
          <w:color w:val="000000"/>
        </w:rPr>
        <w:t xml:space="preserve"> </w:t>
      </w:r>
      <w:proofErr w:type="spellStart"/>
      <w:r w:rsidRPr="00E40B8B">
        <w:rPr>
          <w:rFonts w:ascii="Calibri" w:hAnsi="Calibri" w:cs="Calibri"/>
          <w:color w:val="000000"/>
        </w:rPr>
        <w:t>trwy</w:t>
      </w:r>
      <w:proofErr w:type="spellEnd"/>
      <w:r w:rsidRPr="00E40B8B">
        <w:rPr>
          <w:rFonts w:ascii="Calibri" w:hAnsi="Calibri" w:cs="Calibri"/>
          <w:color w:val="000000"/>
        </w:rPr>
        <w:t xml:space="preserve"> </w:t>
      </w:r>
      <w:proofErr w:type="spellStart"/>
      <w:r w:rsidRPr="00E40B8B">
        <w:rPr>
          <w:rFonts w:ascii="Calibri" w:hAnsi="Calibri" w:cs="Calibri"/>
          <w:color w:val="000000"/>
        </w:rPr>
        <w:t>leihau’r</w:t>
      </w:r>
      <w:proofErr w:type="spellEnd"/>
      <w:r w:rsidRPr="00E40B8B">
        <w:rPr>
          <w:rFonts w:ascii="Calibri" w:hAnsi="Calibri" w:cs="Calibri"/>
          <w:color w:val="000000"/>
        </w:rPr>
        <w:t xml:space="preserve"> </w:t>
      </w:r>
      <w:proofErr w:type="spellStart"/>
      <w:r w:rsidRPr="00E40B8B">
        <w:rPr>
          <w:rFonts w:ascii="Calibri" w:hAnsi="Calibri" w:cs="Calibri"/>
          <w:color w:val="000000"/>
        </w:rPr>
        <w:t>beichiau</w:t>
      </w:r>
      <w:proofErr w:type="spellEnd"/>
      <w:r w:rsidRPr="00E40B8B">
        <w:rPr>
          <w:rFonts w:ascii="Calibri" w:hAnsi="Calibri" w:cs="Calibri"/>
          <w:color w:val="000000"/>
        </w:rPr>
        <w:t xml:space="preserve"> </w:t>
      </w:r>
      <w:proofErr w:type="spellStart"/>
      <w:r w:rsidRPr="00E40B8B">
        <w:rPr>
          <w:rFonts w:ascii="Calibri" w:hAnsi="Calibri" w:cs="Calibri"/>
          <w:color w:val="000000"/>
        </w:rPr>
        <w:t>cymdeithasol</w:t>
      </w:r>
      <w:proofErr w:type="spellEnd"/>
      <w:r w:rsidRPr="00E40B8B">
        <w:rPr>
          <w:rFonts w:ascii="Calibri" w:hAnsi="Calibri" w:cs="Calibri"/>
          <w:color w:val="000000"/>
        </w:rPr>
        <w:t xml:space="preserve"> ac </w:t>
      </w:r>
      <w:proofErr w:type="spellStart"/>
      <w:r w:rsidRPr="00E40B8B">
        <w:rPr>
          <w:rFonts w:ascii="Calibri" w:hAnsi="Calibri" w:cs="Calibri"/>
          <w:color w:val="000000"/>
        </w:rPr>
        <w:t>economaidd</w:t>
      </w:r>
      <w:proofErr w:type="spellEnd"/>
      <w:r w:rsidRPr="00E40B8B">
        <w:rPr>
          <w:rFonts w:ascii="Calibri" w:hAnsi="Calibri" w:cs="Calibri"/>
          <w:color w:val="000000"/>
        </w:rPr>
        <w:t xml:space="preserve"> </w:t>
      </w:r>
      <w:proofErr w:type="spellStart"/>
      <w:r w:rsidRPr="00E40B8B">
        <w:rPr>
          <w:rFonts w:ascii="Calibri" w:hAnsi="Calibri" w:cs="Calibri"/>
          <w:color w:val="000000"/>
        </w:rPr>
        <w:t>sy’n</w:t>
      </w:r>
      <w:proofErr w:type="spellEnd"/>
      <w:r w:rsidRPr="00E40B8B">
        <w:rPr>
          <w:rFonts w:ascii="Calibri" w:hAnsi="Calibri" w:cs="Calibri"/>
          <w:color w:val="000000"/>
        </w:rPr>
        <w:t xml:space="preserve"> </w:t>
      </w:r>
      <w:proofErr w:type="spellStart"/>
      <w:r w:rsidRPr="00E40B8B">
        <w:rPr>
          <w:rFonts w:ascii="Calibri" w:hAnsi="Calibri" w:cs="Calibri"/>
          <w:color w:val="000000"/>
        </w:rPr>
        <w:t>gysylltiedig</w:t>
      </w:r>
      <w:proofErr w:type="spellEnd"/>
      <w:r w:rsidRPr="00E40B8B">
        <w:rPr>
          <w:rFonts w:ascii="Calibri" w:hAnsi="Calibri" w:cs="Calibri"/>
          <w:color w:val="000000"/>
        </w:rPr>
        <w:t xml:space="preserve"> â </w:t>
      </w:r>
      <w:proofErr w:type="spellStart"/>
      <w:r w:rsidRPr="00E40B8B">
        <w:rPr>
          <w:rFonts w:ascii="Calibri" w:hAnsi="Calibri" w:cs="Calibri"/>
          <w:color w:val="000000"/>
        </w:rPr>
        <w:t>thrawma</w:t>
      </w:r>
      <w:proofErr w:type="spellEnd"/>
      <w:r w:rsidRPr="00E40B8B">
        <w:rPr>
          <w:rFonts w:ascii="Calibri" w:hAnsi="Calibri" w:cs="Calibri"/>
          <w:color w:val="000000"/>
        </w:rPr>
        <w:t xml:space="preserve"> </w:t>
      </w:r>
      <w:proofErr w:type="spellStart"/>
      <w:r w:rsidRPr="00E40B8B">
        <w:rPr>
          <w:rFonts w:ascii="Calibri" w:hAnsi="Calibri" w:cs="Calibri"/>
          <w:color w:val="000000"/>
        </w:rPr>
        <w:t>heb</w:t>
      </w:r>
      <w:proofErr w:type="spellEnd"/>
      <w:r w:rsidRPr="00E40B8B">
        <w:rPr>
          <w:rFonts w:ascii="Calibri" w:hAnsi="Calibri" w:cs="Calibri"/>
          <w:color w:val="000000"/>
        </w:rPr>
        <w:t xml:space="preserve"> </w:t>
      </w:r>
      <w:proofErr w:type="spellStart"/>
      <w:r w:rsidRPr="00E40B8B">
        <w:rPr>
          <w:rFonts w:ascii="Calibri" w:hAnsi="Calibri" w:cs="Calibri"/>
          <w:color w:val="000000"/>
        </w:rPr>
        <w:t>ei</w:t>
      </w:r>
      <w:proofErr w:type="spellEnd"/>
      <w:r w:rsidRPr="00E40B8B">
        <w:rPr>
          <w:rFonts w:ascii="Calibri" w:hAnsi="Calibri" w:cs="Calibri"/>
          <w:color w:val="000000"/>
        </w:rPr>
        <w:t xml:space="preserve"> </w:t>
      </w:r>
      <w:proofErr w:type="spellStart"/>
      <w:r w:rsidRPr="00E40B8B">
        <w:rPr>
          <w:rFonts w:ascii="Calibri" w:hAnsi="Calibri" w:cs="Calibri"/>
          <w:color w:val="000000"/>
        </w:rPr>
        <w:t>drin</w:t>
      </w:r>
      <w:proofErr w:type="spellEnd"/>
      <w:r w:rsidRPr="00E40B8B">
        <w:rPr>
          <w:rFonts w:ascii="Calibri" w:hAnsi="Calibri" w:cs="Calibri"/>
          <w:color w:val="000000"/>
        </w:rPr>
        <w:t xml:space="preserve">. </w:t>
      </w:r>
      <w:proofErr w:type="spellStart"/>
      <w:r w:rsidRPr="00E40B8B">
        <w:rPr>
          <w:rFonts w:ascii="Calibri" w:hAnsi="Calibri" w:cs="Calibri"/>
          <w:color w:val="000000"/>
        </w:rPr>
        <w:t>Bydd</w:t>
      </w:r>
      <w:proofErr w:type="spellEnd"/>
      <w:r w:rsidRPr="00E40B8B">
        <w:rPr>
          <w:rFonts w:ascii="Calibri" w:hAnsi="Calibri" w:cs="Calibri"/>
          <w:color w:val="000000"/>
        </w:rPr>
        <w:t xml:space="preserve"> dull </w:t>
      </w:r>
      <w:proofErr w:type="spellStart"/>
      <w:r w:rsidRPr="00E40B8B">
        <w:rPr>
          <w:rFonts w:ascii="Calibri" w:hAnsi="Calibri" w:cs="Calibri"/>
          <w:color w:val="000000"/>
        </w:rPr>
        <w:t>mwy</w:t>
      </w:r>
      <w:proofErr w:type="spellEnd"/>
      <w:r w:rsidRPr="00E40B8B">
        <w:rPr>
          <w:rFonts w:ascii="Calibri" w:hAnsi="Calibri" w:cs="Calibri"/>
          <w:color w:val="000000"/>
        </w:rPr>
        <w:t xml:space="preserve"> </w:t>
      </w:r>
      <w:proofErr w:type="spellStart"/>
      <w:r w:rsidRPr="00E40B8B">
        <w:rPr>
          <w:rFonts w:ascii="Calibri" w:hAnsi="Calibri" w:cs="Calibri"/>
          <w:color w:val="000000"/>
        </w:rPr>
        <w:t>rhagweithiol</w:t>
      </w:r>
      <w:proofErr w:type="spellEnd"/>
      <w:r w:rsidRPr="00E40B8B">
        <w:rPr>
          <w:rFonts w:ascii="Calibri" w:hAnsi="Calibri" w:cs="Calibri"/>
          <w:color w:val="000000"/>
        </w:rPr>
        <w:t xml:space="preserve">, </w:t>
      </w:r>
      <w:proofErr w:type="spellStart"/>
      <w:r w:rsidRPr="00E40B8B">
        <w:rPr>
          <w:rFonts w:ascii="Calibri" w:hAnsi="Calibri" w:cs="Calibri"/>
          <w:color w:val="000000"/>
        </w:rPr>
        <w:t>cynhwysol</w:t>
      </w:r>
      <w:proofErr w:type="spellEnd"/>
      <w:r w:rsidRPr="00E40B8B">
        <w:rPr>
          <w:rFonts w:ascii="Calibri" w:hAnsi="Calibri" w:cs="Calibri"/>
          <w:color w:val="000000"/>
        </w:rPr>
        <w:t xml:space="preserve"> a </w:t>
      </w:r>
      <w:proofErr w:type="spellStart"/>
      <w:r w:rsidRPr="00E40B8B">
        <w:rPr>
          <w:rFonts w:ascii="Calibri" w:hAnsi="Calibri" w:cs="Calibri"/>
          <w:color w:val="000000"/>
        </w:rPr>
        <w:t>gaiff</w:t>
      </w:r>
      <w:proofErr w:type="spellEnd"/>
      <w:r w:rsidRPr="00E40B8B">
        <w:rPr>
          <w:rFonts w:ascii="Calibri" w:hAnsi="Calibri" w:cs="Calibri"/>
          <w:color w:val="000000"/>
        </w:rPr>
        <w:t xml:space="preserve"> </w:t>
      </w:r>
      <w:proofErr w:type="spellStart"/>
      <w:r w:rsidRPr="00E40B8B">
        <w:rPr>
          <w:rFonts w:ascii="Calibri" w:hAnsi="Calibri" w:cs="Calibri"/>
          <w:color w:val="000000"/>
        </w:rPr>
        <w:t>ei</w:t>
      </w:r>
      <w:proofErr w:type="spellEnd"/>
      <w:r w:rsidRPr="00E40B8B">
        <w:rPr>
          <w:rFonts w:ascii="Calibri" w:hAnsi="Calibri" w:cs="Calibri"/>
          <w:color w:val="000000"/>
        </w:rPr>
        <w:t xml:space="preserve"> </w:t>
      </w:r>
      <w:proofErr w:type="spellStart"/>
      <w:r w:rsidRPr="00E40B8B">
        <w:rPr>
          <w:rFonts w:ascii="Calibri" w:hAnsi="Calibri" w:cs="Calibri"/>
          <w:color w:val="000000"/>
        </w:rPr>
        <w:t>lywio</w:t>
      </w:r>
      <w:proofErr w:type="spellEnd"/>
      <w:r w:rsidRPr="00E40B8B">
        <w:rPr>
          <w:rFonts w:ascii="Calibri" w:hAnsi="Calibri" w:cs="Calibri"/>
          <w:color w:val="000000"/>
        </w:rPr>
        <w:t xml:space="preserve"> </w:t>
      </w:r>
      <w:proofErr w:type="spellStart"/>
      <w:r w:rsidRPr="00E40B8B">
        <w:rPr>
          <w:rFonts w:ascii="Calibri" w:hAnsi="Calibri" w:cs="Calibri"/>
          <w:color w:val="000000"/>
        </w:rPr>
        <w:t>gan</w:t>
      </w:r>
      <w:proofErr w:type="spellEnd"/>
      <w:r w:rsidRPr="00E40B8B">
        <w:rPr>
          <w:rFonts w:ascii="Calibri" w:hAnsi="Calibri" w:cs="Calibri"/>
          <w:color w:val="000000"/>
        </w:rPr>
        <w:t xml:space="preserve"> </w:t>
      </w:r>
      <w:proofErr w:type="spellStart"/>
      <w:r w:rsidRPr="00E40B8B">
        <w:rPr>
          <w:rFonts w:ascii="Calibri" w:hAnsi="Calibri" w:cs="Calibri"/>
          <w:color w:val="000000"/>
        </w:rPr>
        <w:t>ymchwil</w:t>
      </w:r>
      <w:proofErr w:type="spellEnd"/>
      <w:r w:rsidRPr="00E40B8B">
        <w:rPr>
          <w:rFonts w:ascii="Calibri" w:hAnsi="Calibri" w:cs="Calibri"/>
          <w:color w:val="000000"/>
        </w:rPr>
        <w:t xml:space="preserve"> </w:t>
      </w:r>
      <w:proofErr w:type="spellStart"/>
      <w:r w:rsidRPr="00E40B8B">
        <w:rPr>
          <w:rFonts w:ascii="Calibri" w:hAnsi="Calibri" w:cs="Calibri"/>
          <w:color w:val="000000"/>
        </w:rPr>
        <w:t>yn</w:t>
      </w:r>
      <w:proofErr w:type="spellEnd"/>
      <w:r w:rsidRPr="00E40B8B">
        <w:rPr>
          <w:rFonts w:ascii="Calibri" w:hAnsi="Calibri" w:cs="Calibri"/>
          <w:color w:val="000000"/>
        </w:rPr>
        <w:t xml:space="preserve"> </w:t>
      </w:r>
      <w:proofErr w:type="spellStart"/>
      <w:r w:rsidRPr="00E40B8B">
        <w:rPr>
          <w:rFonts w:ascii="Calibri" w:hAnsi="Calibri" w:cs="Calibri"/>
          <w:color w:val="000000"/>
        </w:rPr>
        <w:t>sicrhau</w:t>
      </w:r>
      <w:proofErr w:type="spellEnd"/>
      <w:r w:rsidRPr="00E40B8B">
        <w:rPr>
          <w:rFonts w:ascii="Calibri" w:hAnsi="Calibri" w:cs="Calibri"/>
          <w:color w:val="000000"/>
        </w:rPr>
        <w:t xml:space="preserve"> bod plant yr </w:t>
      </w:r>
      <w:proofErr w:type="spellStart"/>
      <w:r w:rsidRPr="00E40B8B">
        <w:rPr>
          <w:rFonts w:ascii="Calibri" w:hAnsi="Calibri" w:cs="Calibri"/>
          <w:color w:val="000000"/>
        </w:rPr>
        <w:t>effeithir</w:t>
      </w:r>
      <w:proofErr w:type="spellEnd"/>
      <w:r w:rsidRPr="00E40B8B">
        <w:rPr>
          <w:rFonts w:ascii="Calibri" w:hAnsi="Calibri" w:cs="Calibri"/>
          <w:color w:val="000000"/>
        </w:rPr>
        <w:t xml:space="preserve"> </w:t>
      </w:r>
      <w:proofErr w:type="spellStart"/>
      <w:r w:rsidRPr="00E40B8B">
        <w:rPr>
          <w:rFonts w:ascii="Calibri" w:hAnsi="Calibri" w:cs="Calibri"/>
          <w:color w:val="000000"/>
        </w:rPr>
        <w:t>arnynt</w:t>
      </w:r>
      <w:proofErr w:type="spellEnd"/>
      <w:r w:rsidRPr="00E40B8B">
        <w:rPr>
          <w:rFonts w:ascii="Calibri" w:hAnsi="Calibri" w:cs="Calibri"/>
          <w:color w:val="000000"/>
        </w:rPr>
        <w:t xml:space="preserve"> </w:t>
      </w:r>
      <w:proofErr w:type="spellStart"/>
      <w:r w:rsidRPr="00E40B8B">
        <w:rPr>
          <w:rFonts w:ascii="Calibri" w:hAnsi="Calibri" w:cs="Calibri"/>
          <w:color w:val="000000"/>
        </w:rPr>
        <w:t>yn</w:t>
      </w:r>
      <w:proofErr w:type="spellEnd"/>
      <w:r w:rsidRPr="00E40B8B">
        <w:rPr>
          <w:rFonts w:ascii="Calibri" w:hAnsi="Calibri" w:cs="Calibri"/>
          <w:color w:val="000000"/>
        </w:rPr>
        <w:t xml:space="preserve"> </w:t>
      </w:r>
      <w:proofErr w:type="spellStart"/>
      <w:r w:rsidRPr="00E40B8B">
        <w:rPr>
          <w:rFonts w:ascii="Calibri" w:hAnsi="Calibri" w:cs="Calibri"/>
          <w:color w:val="000000"/>
        </w:rPr>
        <w:t>cael</w:t>
      </w:r>
      <w:proofErr w:type="spellEnd"/>
      <w:r w:rsidRPr="00E40B8B">
        <w:rPr>
          <w:rFonts w:ascii="Calibri" w:hAnsi="Calibri" w:cs="Calibri"/>
          <w:color w:val="000000"/>
        </w:rPr>
        <w:t xml:space="preserve"> y </w:t>
      </w:r>
      <w:proofErr w:type="spellStart"/>
      <w:r w:rsidRPr="00E40B8B">
        <w:rPr>
          <w:rFonts w:ascii="Calibri" w:hAnsi="Calibri" w:cs="Calibri"/>
          <w:color w:val="000000"/>
        </w:rPr>
        <w:t>cymorth</w:t>
      </w:r>
      <w:proofErr w:type="spellEnd"/>
      <w:r w:rsidRPr="00E40B8B">
        <w:rPr>
          <w:rFonts w:ascii="Calibri" w:hAnsi="Calibri" w:cs="Calibri"/>
          <w:color w:val="000000"/>
        </w:rPr>
        <w:t xml:space="preserve"> </w:t>
      </w:r>
      <w:proofErr w:type="spellStart"/>
      <w:r w:rsidRPr="00E40B8B">
        <w:rPr>
          <w:rFonts w:ascii="Calibri" w:hAnsi="Calibri" w:cs="Calibri"/>
          <w:color w:val="000000"/>
        </w:rPr>
        <w:t>angenrheidiol</w:t>
      </w:r>
      <w:proofErr w:type="spellEnd"/>
      <w:r w:rsidRPr="00E40B8B">
        <w:rPr>
          <w:rFonts w:ascii="Calibri" w:hAnsi="Calibri" w:cs="Calibri"/>
          <w:color w:val="000000"/>
        </w:rPr>
        <w:t xml:space="preserve"> </w:t>
      </w:r>
      <w:proofErr w:type="spellStart"/>
      <w:r w:rsidRPr="00E40B8B">
        <w:rPr>
          <w:rFonts w:ascii="Calibri" w:hAnsi="Calibri" w:cs="Calibri"/>
          <w:color w:val="000000"/>
        </w:rPr>
        <w:t>i</w:t>
      </w:r>
      <w:proofErr w:type="spellEnd"/>
      <w:r w:rsidRPr="00E40B8B">
        <w:rPr>
          <w:rFonts w:ascii="Calibri" w:hAnsi="Calibri" w:cs="Calibri"/>
          <w:color w:val="000000"/>
        </w:rPr>
        <w:t xml:space="preserve"> </w:t>
      </w:r>
      <w:proofErr w:type="spellStart"/>
      <w:r w:rsidRPr="00E40B8B">
        <w:rPr>
          <w:rFonts w:ascii="Calibri" w:hAnsi="Calibri" w:cs="Calibri"/>
          <w:color w:val="000000"/>
        </w:rPr>
        <w:t>fyw</w:t>
      </w:r>
      <w:proofErr w:type="spellEnd"/>
      <w:r w:rsidRPr="00E40B8B">
        <w:rPr>
          <w:rFonts w:ascii="Calibri" w:hAnsi="Calibri" w:cs="Calibri"/>
          <w:color w:val="000000"/>
        </w:rPr>
        <w:t xml:space="preserve"> </w:t>
      </w:r>
      <w:proofErr w:type="spellStart"/>
      <w:r w:rsidRPr="00E40B8B">
        <w:rPr>
          <w:rFonts w:ascii="Calibri" w:hAnsi="Calibri" w:cs="Calibri"/>
          <w:color w:val="000000"/>
        </w:rPr>
        <w:t>bywydau</w:t>
      </w:r>
      <w:proofErr w:type="spellEnd"/>
      <w:r w:rsidRPr="00E40B8B">
        <w:rPr>
          <w:rFonts w:ascii="Calibri" w:hAnsi="Calibri" w:cs="Calibri"/>
          <w:color w:val="000000"/>
        </w:rPr>
        <w:t xml:space="preserve"> </w:t>
      </w:r>
      <w:proofErr w:type="spellStart"/>
      <w:r w:rsidRPr="00E40B8B">
        <w:rPr>
          <w:rFonts w:ascii="Calibri" w:hAnsi="Calibri" w:cs="Calibri"/>
          <w:color w:val="000000"/>
        </w:rPr>
        <w:t>iachach</w:t>
      </w:r>
      <w:proofErr w:type="spellEnd"/>
      <w:r w:rsidRPr="00E40B8B">
        <w:rPr>
          <w:rFonts w:ascii="Calibri" w:hAnsi="Calibri" w:cs="Calibri"/>
          <w:color w:val="000000"/>
        </w:rPr>
        <w:t xml:space="preserve"> a </w:t>
      </w:r>
      <w:proofErr w:type="spellStart"/>
      <w:r w:rsidRPr="00E40B8B">
        <w:rPr>
          <w:rFonts w:ascii="Calibri" w:hAnsi="Calibri" w:cs="Calibri"/>
          <w:color w:val="000000"/>
        </w:rPr>
        <w:t>mwy</w:t>
      </w:r>
      <w:proofErr w:type="spellEnd"/>
      <w:r w:rsidRPr="00E40B8B">
        <w:rPr>
          <w:rFonts w:ascii="Calibri" w:hAnsi="Calibri" w:cs="Calibri"/>
          <w:color w:val="000000"/>
        </w:rPr>
        <w:t xml:space="preserve"> </w:t>
      </w:r>
      <w:proofErr w:type="spellStart"/>
      <w:r w:rsidRPr="00E40B8B">
        <w:rPr>
          <w:rFonts w:ascii="Calibri" w:hAnsi="Calibri" w:cs="Calibri"/>
          <w:color w:val="000000"/>
        </w:rPr>
        <w:t>bodlon</w:t>
      </w:r>
      <w:proofErr w:type="spellEnd"/>
      <w:r w:rsidRPr="00E40B8B">
        <w:rPr>
          <w:rFonts w:ascii="Calibri" w:hAnsi="Calibri" w:cs="Calibri"/>
          <w:color w:val="000000"/>
        </w:rPr>
        <w:t>.</w:t>
      </w:r>
    </w:p>
    <w:p w14:paraId="4A975013" w14:textId="77777777" w:rsidR="00E40B8B" w:rsidRPr="00E40B8B" w:rsidRDefault="00E40B8B" w:rsidP="00E40B8B">
      <w:pPr>
        <w:spacing w:line="360" w:lineRule="auto"/>
        <w:rPr>
          <w:rFonts w:ascii="Calibri" w:hAnsi="Calibri" w:cs="Calibri"/>
          <w:lang w:val="cy-GB"/>
        </w:rPr>
      </w:pPr>
    </w:p>
    <w:p w14:paraId="29E7C43E" w14:textId="77777777" w:rsidR="00E40B8B" w:rsidRPr="00E40B8B" w:rsidRDefault="00E40B8B" w:rsidP="00E40B8B">
      <w:pPr>
        <w:spacing w:line="360" w:lineRule="auto"/>
        <w:rPr>
          <w:rFonts w:ascii="Calibri" w:hAnsi="Calibri" w:cs="Calibri"/>
          <w:b/>
          <w:bCs/>
          <w:u w:val="single"/>
          <w:lang w:val="cy-GB"/>
        </w:rPr>
      </w:pPr>
      <w:r w:rsidRPr="00E40B8B">
        <w:rPr>
          <w:rFonts w:ascii="Calibri" w:hAnsi="Calibri" w:cs="Calibri"/>
          <w:b/>
          <w:bCs/>
          <w:u w:val="single"/>
          <w:lang w:val="cy-GB"/>
        </w:rPr>
        <w:t xml:space="preserve">Rhestr Cyfeirnodi </w:t>
      </w:r>
    </w:p>
    <w:p w14:paraId="3B60421C" w14:textId="77777777" w:rsidR="00E40B8B" w:rsidRPr="00E40B8B" w:rsidRDefault="00E40B8B" w:rsidP="00E40B8B">
      <w:pPr>
        <w:pStyle w:val="NormalWeb"/>
        <w:spacing w:line="360" w:lineRule="auto"/>
        <w:rPr>
          <w:rFonts w:ascii="Calibri" w:hAnsi="Calibri" w:cs="Calibri"/>
          <w:color w:val="000000"/>
          <w:lang w:val="cy-GB"/>
        </w:rPr>
      </w:pPr>
      <w:r w:rsidRPr="00E40B8B">
        <w:rPr>
          <w:rFonts w:ascii="Calibri" w:hAnsi="Calibri" w:cs="Calibri"/>
          <w:color w:val="000000"/>
          <w:lang w:val="cy-GB"/>
        </w:rPr>
        <w:t>Anda, R. F., et al. (2006). ‘The enduring effects of abuse and related adverse experiences in childhood: A convergence of evidence from neurobiology and epidemiology.’</w:t>
      </w:r>
      <w:r w:rsidRPr="00E40B8B">
        <w:rPr>
          <w:rStyle w:val="apple-converted-space"/>
          <w:rFonts w:ascii="Calibri" w:eastAsiaTheme="majorEastAsia" w:hAnsi="Calibri" w:cs="Calibri"/>
          <w:color w:val="000000"/>
          <w:lang w:val="cy-GB"/>
        </w:rPr>
        <w:t> </w:t>
      </w:r>
      <w:r w:rsidRPr="00E40B8B">
        <w:rPr>
          <w:rStyle w:val="Emphasis"/>
          <w:rFonts w:ascii="Calibri" w:eastAsiaTheme="majorEastAsia" w:hAnsi="Calibri" w:cs="Calibri"/>
          <w:color w:val="000000"/>
          <w:lang w:val="cy-GB"/>
        </w:rPr>
        <w:t>European Archives of Psychiatry and Clinical Neuroscience, 256</w:t>
      </w:r>
      <w:r w:rsidRPr="00E40B8B">
        <w:rPr>
          <w:rFonts w:ascii="Calibri" w:hAnsi="Calibri" w:cs="Calibri"/>
          <w:color w:val="000000"/>
          <w:lang w:val="cy-GB"/>
        </w:rPr>
        <w:t>(3), tt.174-186.</w:t>
      </w:r>
    </w:p>
    <w:p w14:paraId="76D4FFDD" w14:textId="77777777" w:rsidR="00E40B8B" w:rsidRPr="00E40B8B" w:rsidRDefault="00E40B8B" w:rsidP="00E40B8B">
      <w:pPr>
        <w:pStyle w:val="NormalWeb"/>
        <w:spacing w:line="360" w:lineRule="auto"/>
        <w:rPr>
          <w:rFonts w:ascii="Calibri" w:hAnsi="Calibri" w:cs="Calibri"/>
          <w:color w:val="000000"/>
          <w:lang w:val="cy-GB"/>
        </w:rPr>
      </w:pPr>
      <w:r w:rsidRPr="00E40B8B">
        <w:rPr>
          <w:rFonts w:ascii="Calibri" w:hAnsi="Calibri" w:cs="Calibri"/>
          <w:color w:val="000000"/>
          <w:lang w:val="cy-GB"/>
        </w:rPr>
        <w:t>Beck, J. S. (2011).</w:t>
      </w:r>
      <w:r w:rsidRPr="00E40B8B">
        <w:rPr>
          <w:rStyle w:val="apple-converted-space"/>
          <w:rFonts w:ascii="Calibri" w:eastAsiaTheme="majorEastAsia" w:hAnsi="Calibri" w:cs="Calibri"/>
          <w:color w:val="000000"/>
          <w:lang w:val="cy-GB"/>
        </w:rPr>
        <w:t> </w:t>
      </w:r>
      <w:r w:rsidRPr="00E40B8B">
        <w:rPr>
          <w:rStyle w:val="Emphasis"/>
          <w:rFonts w:ascii="Calibri" w:eastAsiaTheme="majorEastAsia" w:hAnsi="Calibri" w:cs="Calibri"/>
          <w:color w:val="000000"/>
          <w:lang w:val="cy-GB"/>
        </w:rPr>
        <w:t>Cognitive Behavior Therapy: Basics and Beyond</w:t>
      </w:r>
      <w:r w:rsidRPr="00E40B8B">
        <w:rPr>
          <w:rFonts w:ascii="Calibri" w:hAnsi="Calibri" w:cs="Calibri"/>
          <w:color w:val="000000"/>
          <w:lang w:val="cy-GB"/>
        </w:rPr>
        <w:t>. Guilford Press.</w:t>
      </w:r>
    </w:p>
    <w:p w14:paraId="6468BD5D" w14:textId="77777777" w:rsidR="00E40B8B" w:rsidRPr="00E40B8B" w:rsidRDefault="00E40B8B" w:rsidP="00E40B8B">
      <w:pPr>
        <w:spacing w:before="100" w:beforeAutospacing="1" w:after="100" w:afterAutospacing="1" w:line="360" w:lineRule="auto"/>
        <w:rPr>
          <w:rFonts w:ascii="Calibri" w:hAnsi="Calibri" w:cs="Calibri"/>
          <w:color w:val="000000"/>
          <w:lang w:val="cy-GB"/>
        </w:rPr>
      </w:pPr>
      <w:r w:rsidRPr="00E40B8B">
        <w:rPr>
          <w:rFonts w:ascii="Calibri" w:hAnsi="Calibri" w:cs="Calibri"/>
          <w:color w:val="000000"/>
          <w:lang w:val="cy-GB"/>
        </w:rPr>
        <w:t>Betancourt, T. S., Meyers-Ohki, S. E., Charrow, A. P., &amp; Tol, W. A. (2013). ‘Interventions for children affected by war: An ecological perspective on psychosocial support and mental health care.’</w:t>
      </w:r>
      <w:r w:rsidRPr="00E40B8B">
        <w:rPr>
          <w:rStyle w:val="apple-converted-space"/>
          <w:rFonts w:ascii="Calibri" w:eastAsiaTheme="majorEastAsia" w:hAnsi="Calibri" w:cs="Calibri"/>
          <w:color w:val="000000"/>
          <w:lang w:val="cy-GB"/>
        </w:rPr>
        <w:t> </w:t>
      </w:r>
      <w:r w:rsidRPr="00E40B8B">
        <w:rPr>
          <w:rStyle w:val="Emphasis"/>
          <w:rFonts w:ascii="Calibri" w:eastAsiaTheme="majorEastAsia" w:hAnsi="Calibri" w:cs="Calibri"/>
          <w:color w:val="000000"/>
          <w:lang w:val="cy-GB"/>
        </w:rPr>
        <w:t>Harvard Review of Psychiatry, 21</w:t>
      </w:r>
      <w:r w:rsidRPr="00E40B8B">
        <w:rPr>
          <w:rFonts w:ascii="Calibri" w:hAnsi="Calibri" w:cs="Calibri"/>
          <w:color w:val="000000"/>
          <w:lang w:val="cy-GB"/>
        </w:rPr>
        <w:t>(2), tt.70-91.</w:t>
      </w:r>
    </w:p>
    <w:p w14:paraId="21359132" w14:textId="77777777" w:rsidR="00E40B8B" w:rsidRPr="00E40B8B" w:rsidRDefault="00E40B8B" w:rsidP="00E40B8B">
      <w:pPr>
        <w:spacing w:before="100" w:beforeAutospacing="1" w:after="100" w:afterAutospacing="1" w:line="360" w:lineRule="auto"/>
        <w:rPr>
          <w:rFonts w:ascii="Calibri" w:hAnsi="Calibri" w:cs="Calibri"/>
          <w:color w:val="000000"/>
          <w:lang w:val="cy-GB"/>
        </w:rPr>
      </w:pPr>
      <w:r w:rsidRPr="00E40B8B">
        <w:rPr>
          <w:rFonts w:ascii="Calibri" w:hAnsi="Calibri" w:cs="Calibri"/>
          <w:color w:val="000000"/>
          <w:lang w:val="cy-GB"/>
        </w:rPr>
        <w:t>Bornstein, M., (2019). </w:t>
      </w:r>
      <w:r w:rsidRPr="00E40B8B">
        <w:rPr>
          <w:rFonts w:ascii="Calibri" w:hAnsi="Calibri" w:cs="Calibri"/>
          <w:i/>
          <w:iCs/>
          <w:color w:val="000000"/>
          <w:lang w:val="cy-GB"/>
        </w:rPr>
        <w:t>Handbook of Parenting</w:t>
      </w:r>
      <w:r w:rsidRPr="00E40B8B">
        <w:rPr>
          <w:rFonts w:ascii="Calibri" w:hAnsi="Calibri" w:cs="Calibri"/>
          <w:color w:val="000000"/>
          <w:lang w:val="cy-GB"/>
        </w:rPr>
        <w:t>. Arg 3ydd. Routledge.</w:t>
      </w:r>
    </w:p>
    <w:p w14:paraId="1F100109" w14:textId="77777777" w:rsidR="00E40B8B" w:rsidRPr="00E40B8B" w:rsidRDefault="00E40B8B" w:rsidP="00E40B8B">
      <w:pPr>
        <w:pStyle w:val="NormalWeb"/>
        <w:spacing w:line="360" w:lineRule="auto"/>
        <w:rPr>
          <w:rFonts w:ascii="Calibri" w:hAnsi="Calibri" w:cs="Calibri"/>
          <w:color w:val="000000"/>
          <w:lang w:val="cy-GB"/>
        </w:rPr>
      </w:pPr>
      <w:r w:rsidRPr="00E40B8B">
        <w:rPr>
          <w:rFonts w:ascii="Calibri" w:hAnsi="Calibri" w:cs="Calibri"/>
          <w:color w:val="000000"/>
          <w:lang w:val="cy-GB"/>
        </w:rPr>
        <w:t>Bowlby, J. (1988).</w:t>
      </w:r>
      <w:r w:rsidRPr="00E40B8B">
        <w:rPr>
          <w:rStyle w:val="apple-converted-space"/>
          <w:rFonts w:ascii="Calibri" w:eastAsiaTheme="majorEastAsia" w:hAnsi="Calibri" w:cs="Calibri"/>
          <w:color w:val="000000"/>
          <w:lang w:val="cy-GB"/>
        </w:rPr>
        <w:t> </w:t>
      </w:r>
      <w:r w:rsidRPr="00E40B8B">
        <w:rPr>
          <w:rStyle w:val="Emphasis"/>
          <w:rFonts w:ascii="Calibri" w:eastAsiaTheme="majorEastAsia" w:hAnsi="Calibri" w:cs="Calibri"/>
          <w:color w:val="000000"/>
          <w:lang w:val="cy-GB"/>
        </w:rPr>
        <w:t>A Secure Base: Parent-Child Attachment and Healthy Human Development.</w:t>
      </w:r>
      <w:r w:rsidRPr="00E40B8B">
        <w:rPr>
          <w:rStyle w:val="apple-converted-space"/>
          <w:rFonts w:ascii="Calibri" w:eastAsiaTheme="majorEastAsia" w:hAnsi="Calibri" w:cs="Calibri"/>
          <w:color w:val="000000"/>
          <w:lang w:val="cy-GB"/>
        </w:rPr>
        <w:t> </w:t>
      </w:r>
      <w:r w:rsidRPr="00E40B8B">
        <w:rPr>
          <w:rFonts w:ascii="Calibri" w:hAnsi="Calibri" w:cs="Calibri"/>
          <w:color w:val="000000"/>
          <w:lang w:val="cy-GB"/>
        </w:rPr>
        <w:t>Basic Books.</w:t>
      </w:r>
    </w:p>
    <w:p w14:paraId="44046FE4" w14:textId="77777777" w:rsidR="00E40B8B" w:rsidRPr="00E40B8B" w:rsidRDefault="00E40B8B" w:rsidP="00E40B8B">
      <w:pPr>
        <w:spacing w:before="100" w:beforeAutospacing="1" w:after="100" w:afterAutospacing="1" w:line="360" w:lineRule="auto"/>
        <w:rPr>
          <w:rFonts w:ascii="Calibri" w:hAnsi="Calibri" w:cs="Calibri"/>
        </w:rPr>
      </w:pPr>
      <w:r w:rsidRPr="00E40B8B">
        <w:rPr>
          <w:rFonts w:ascii="Calibri" w:hAnsi="Calibri" w:cs="Calibri"/>
        </w:rPr>
        <w:lastRenderedPageBreak/>
        <w:t>Bronfenbrenner, U. (1979). </w:t>
      </w:r>
      <w:r w:rsidRPr="00E40B8B">
        <w:rPr>
          <w:rFonts w:ascii="Calibri" w:hAnsi="Calibri" w:cs="Calibri"/>
          <w:i/>
          <w:iCs/>
        </w:rPr>
        <w:t>The ecology of human development: Experiments by nature and design</w:t>
      </w:r>
      <w:r w:rsidRPr="00E40B8B">
        <w:rPr>
          <w:rFonts w:ascii="Calibri" w:hAnsi="Calibri" w:cs="Calibri"/>
        </w:rPr>
        <w:t>. Harvard University Press.</w:t>
      </w:r>
    </w:p>
    <w:p w14:paraId="79454B73" w14:textId="77777777" w:rsidR="00E40B8B" w:rsidRPr="00E40B8B" w:rsidRDefault="00E40B8B" w:rsidP="00E40B8B">
      <w:pPr>
        <w:pStyle w:val="Heading1"/>
        <w:spacing w:before="0" w:after="0" w:line="360" w:lineRule="auto"/>
        <w:rPr>
          <w:rFonts w:ascii="Calibri" w:eastAsia="Times New Roman" w:hAnsi="Calibri" w:cs="Calibri"/>
          <w:color w:val="000000"/>
          <w:kern w:val="0"/>
          <w:sz w:val="24"/>
          <w:szCs w:val="24"/>
          <w:lang w:val="cy-GB" w:eastAsia="en-GB"/>
          <w14:ligatures w14:val="none"/>
        </w:rPr>
      </w:pPr>
      <w:r w:rsidRPr="00E40B8B">
        <w:rPr>
          <w:rFonts w:ascii="Calibri" w:eastAsia="Times New Roman" w:hAnsi="Calibri" w:cs="Calibri"/>
          <w:color w:val="000000"/>
          <w:kern w:val="0"/>
          <w:sz w:val="24"/>
          <w:szCs w:val="24"/>
          <w:lang w:val="cy-GB" w:eastAsia="en-GB"/>
          <w14:ligatures w14:val="none"/>
        </w:rPr>
        <w:t xml:space="preserve">Brunzell, T., Stokes, H., &amp; Waters, L. (2015). ‘Trauma-informed positive education: </w:t>
      </w:r>
      <w:r w:rsidRPr="00E40B8B">
        <w:rPr>
          <w:rFonts w:ascii="Calibri" w:eastAsia="Times New Roman" w:hAnsi="Calibri" w:cs="Calibri"/>
          <w:color w:val="111111"/>
          <w:kern w:val="36"/>
          <w:sz w:val="24"/>
          <w:szCs w:val="24"/>
          <w:lang w:val="cy-GB" w:eastAsia="en-GB"/>
          <w14:ligatures w14:val="none"/>
        </w:rPr>
        <w:t>Using Positive Psychology to Strengthen Vulnerable Students</w:t>
      </w:r>
      <w:r w:rsidRPr="00E40B8B">
        <w:rPr>
          <w:rFonts w:ascii="Calibri" w:eastAsia="Times New Roman" w:hAnsi="Calibri" w:cs="Calibri"/>
          <w:color w:val="000000"/>
          <w:kern w:val="0"/>
          <w:sz w:val="24"/>
          <w:szCs w:val="24"/>
          <w:lang w:val="cy-GB" w:eastAsia="en-GB"/>
          <w14:ligatures w14:val="none"/>
        </w:rPr>
        <w:t>.’ </w:t>
      </w:r>
      <w:r w:rsidRPr="00E40B8B">
        <w:rPr>
          <w:rFonts w:ascii="Calibri" w:eastAsia="Times New Roman" w:hAnsi="Calibri" w:cs="Calibri"/>
          <w:i/>
          <w:iCs/>
          <w:color w:val="000000"/>
          <w:kern w:val="0"/>
          <w:sz w:val="24"/>
          <w:szCs w:val="24"/>
          <w:lang w:val="cy-GB" w:eastAsia="en-GB"/>
          <w14:ligatures w14:val="none"/>
        </w:rPr>
        <w:t>Journal of Educational Change, 17</w:t>
      </w:r>
      <w:r w:rsidRPr="00E40B8B">
        <w:rPr>
          <w:rFonts w:ascii="Calibri" w:eastAsia="Times New Roman" w:hAnsi="Calibri" w:cs="Calibri"/>
          <w:color w:val="000000"/>
          <w:kern w:val="0"/>
          <w:sz w:val="24"/>
          <w:szCs w:val="24"/>
          <w:lang w:val="cy-GB" w:eastAsia="en-GB"/>
          <w14:ligatures w14:val="none"/>
        </w:rPr>
        <w:t>(4), tt.453-475.</w:t>
      </w:r>
    </w:p>
    <w:p w14:paraId="726C81DF" w14:textId="77777777" w:rsidR="00E40B8B" w:rsidRPr="00E40B8B" w:rsidRDefault="00E40B8B" w:rsidP="00E40B8B">
      <w:pPr>
        <w:spacing w:line="360" w:lineRule="auto"/>
        <w:rPr>
          <w:lang w:val="cy-GB"/>
        </w:rPr>
      </w:pPr>
    </w:p>
    <w:p w14:paraId="47BF3508" w14:textId="77777777" w:rsidR="00E40B8B" w:rsidRPr="00E40B8B" w:rsidRDefault="00E40B8B" w:rsidP="00E40B8B">
      <w:pPr>
        <w:pStyle w:val="Heading1"/>
        <w:spacing w:before="0" w:after="0" w:line="360" w:lineRule="auto"/>
        <w:rPr>
          <w:rFonts w:ascii="Calibri" w:hAnsi="Calibri" w:cs="Calibri"/>
          <w:color w:val="000000" w:themeColor="text1"/>
          <w:sz w:val="24"/>
          <w:szCs w:val="24"/>
        </w:rPr>
      </w:pPr>
      <w:r w:rsidRPr="00E40B8B">
        <w:rPr>
          <w:rFonts w:ascii="Calibri" w:eastAsia="Times New Roman" w:hAnsi="Calibri" w:cs="Calibri"/>
          <w:color w:val="000000" w:themeColor="text1"/>
          <w:kern w:val="0"/>
          <w:sz w:val="24"/>
          <w:szCs w:val="24"/>
          <w:lang w:eastAsia="en-GB"/>
          <w14:ligatures w14:val="none"/>
        </w:rPr>
        <w:t>Cicchetti, D., a Toth, S. L. (2016). ‘Child maltreatment and developmental psychopathology</w:t>
      </w:r>
      <w:r w:rsidRPr="00E40B8B">
        <w:rPr>
          <w:rFonts w:ascii="Calibri" w:hAnsi="Calibri" w:cs="Calibri"/>
          <w:color w:val="000000" w:themeColor="text1"/>
          <w:sz w:val="24"/>
          <w:szCs w:val="24"/>
        </w:rPr>
        <w:t>: A Multilevel Perspective.’</w:t>
      </w:r>
      <w:r w:rsidRPr="00E40B8B">
        <w:rPr>
          <w:rFonts w:ascii="Calibri" w:eastAsia="Times New Roman" w:hAnsi="Calibri" w:cs="Calibri"/>
          <w:color w:val="000000" w:themeColor="text1"/>
          <w:kern w:val="0"/>
          <w:sz w:val="24"/>
          <w:szCs w:val="24"/>
          <w:lang w:eastAsia="en-GB"/>
          <w14:ligatures w14:val="none"/>
        </w:rPr>
        <w:t> </w:t>
      </w:r>
      <w:r w:rsidRPr="00E40B8B">
        <w:rPr>
          <w:rFonts w:ascii="Calibri" w:eastAsia="Times New Roman" w:hAnsi="Calibri" w:cs="Calibri"/>
          <w:i/>
          <w:iCs/>
          <w:color w:val="000000" w:themeColor="text1"/>
          <w:kern w:val="0"/>
          <w:sz w:val="24"/>
          <w:szCs w:val="24"/>
          <w:lang w:eastAsia="en-GB"/>
          <w14:ligatures w14:val="none"/>
        </w:rPr>
        <w:t>Child Development, 87</w:t>
      </w:r>
      <w:r w:rsidRPr="00E40B8B">
        <w:rPr>
          <w:rFonts w:ascii="Calibri" w:eastAsia="Times New Roman" w:hAnsi="Calibri" w:cs="Calibri"/>
          <w:color w:val="000000" w:themeColor="text1"/>
          <w:kern w:val="0"/>
          <w:sz w:val="24"/>
          <w:szCs w:val="24"/>
          <w:lang w:eastAsia="en-GB"/>
          <w14:ligatures w14:val="none"/>
        </w:rPr>
        <w:t xml:space="preserve">(2), 450–482.  </w:t>
      </w:r>
    </w:p>
    <w:p w14:paraId="0D6258D7" w14:textId="77777777" w:rsidR="00E40B8B" w:rsidRPr="00E40B8B" w:rsidRDefault="00E40B8B" w:rsidP="00E40B8B">
      <w:pPr>
        <w:pStyle w:val="NormalWeb"/>
        <w:spacing w:line="360" w:lineRule="auto"/>
        <w:rPr>
          <w:rFonts w:ascii="Calibri" w:hAnsi="Calibri" w:cs="Calibri"/>
          <w:color w:val="000000"/>
          <w:lang w:val="cy-GB"/>
        </w:rPr>
      </w:pPr>
      <w:r w:rsidRPr="00E40B8B">
        <w:rPr>
          <w:rFonts w:ascii="Calibri" w:hAnsi="Calibri" w:cs="Calibri"/>
          <w:color w:val="000000"/>
          <w:lang w:val="cy-GB"/>
        </w:rPr>
        <w:t>Cohen, J. A., Mannarino, A. P., &amp; Deblinger, E. (2017).</w:t>
      </w:r>
      <w:r w:rsidRPr="00E40B8B">
        <w:rPr>
          <w:rStyle w:val="apple-converted-space"/>
          <w:rFonts w:ascii="Calibri" w:eastAsiaTheme="majorEastAsia" w:hAnsi="Calibri" w:cs="Calibri"/>
          <w:color w:val="000000"/>
          <w:lang w:val="cy-GB"/>
        </w:rPr>
        <w:t> </w:t>
      </w:r>
      <w:r w:rsidRPr="00E40B8B">
        <w:rPr>
          <w:rStyle w:val="Emphasis"/>
          <w:rFonts w:ascii="Calibri" w:eastAsiaTheme="majorEastAsia" w:hAnsi="Calibri" w:cs="Calibri"/>
          <w:color w:val="000000"/>
          <w:lang w:val="cy-GB"/>
        </w:rPr>
        <w:t>Treating Trauma and Traumatic Grief in Children and Adolescents</w:t>
      </w:r>
      <w:r w:rsidRPr="00E40B8B">
        <w:rPr>
          <w:rFonts w:ascii="Calibri" w:hAnsi="Calibri" w:cs="Calibri"/>
          <w:color w:val="000000"/>
          <w:lang w:val="cy-GB"/>
        </w:rPr>
        <w:t>. (Arg 2il). Guilford Press.</w:t>
      </w:r>
    </w:p>
    <w:p w14:paraId="10F6D6EC" w14:textId="77777777" w:rsidR="00E40B8B" w:rsidRPr="00E40B8B" w:rsidRDefault="00E40B8B" w:rsidP="00E40B8B">
      <w:pPr>
        <w:pStyle w:val="NormalWeb"/>
        <w:spacing w:line="360" w:lineRule="auto"/>
        <w:rPr>
          <w:rFonts w:ascii="Calibri" w:hAnsi="Calibri" w:cs="Calibri"/>
          <w:color w:val="000000"/>
          <w:lang w:val="cy-GB"/>
        </w:rPr>
      </w:pPr>
      <w:r w:rsidRPr="00E40B8B">
        <w:rPr>
          <w:rFonts w:ascii="Calibri" w:hAnsi="Calibri" w:cs="Calibri"/>
          <w:color w:val="000000"/>
          <w:lang w:val="cy-GB"/>
        </w:rPr>
        <w:t>Durlak, J. A., Weissberg, R. P., &amp; Pachan, M. (2011). ‘The impact of enhancing students’ social and emotional learning.’</w:t>
      </w:r>
      <w:r w:rsidRPr="00E40B8B">
        <w:rPr>
          <w:rStyle w:val="apple-converted-space"/>
          <w:rFonts w:ascii="Calibri" w:eastAsiaTheme="majorEastAsia" w:hAnsi="Calibri" w:cs="Calibri"/>
          <w:color w:val="000000"/>
          <w:lang w:val="cy-GB"/>
        </w:rPr>
        <w:t> </w:t>
      </w:r>
      <w:r w:rsidRPr="00E40B8B">
        <w:rPr>
          <w:rStyle w:val="Emphasis"/>
          <w:rFonts w:ascii="Calibri" w:eastAsiaTheme="majorEastAsia" w:hAnsi="Calibri" w:cs="Calibri"/>
          <w:color w:val="000000"/>
          <w:lang w:val="cy-GB"/>
        </w:rPr>
        <w:t>Child Development, 82</w:t>
      </w:r>
      <w:r w:rsidRPr="00E40B8B">
        <w:rPr>
          <w:rFonts w:ascii="Calibri" w:hAnsi="Calibri" w:cs="Calibri"/>
          <w:color w:val="000000"/>
          <w:lang w:val="cy-GB"/>
        </w:rPr>
        <w:t>(1), tt.405-432.</w:t>
      </w:r>
    </w:p>
    <w:p w14:paraId="689FD2A8" w14:textId="77777777" w:rsidR="00E40B8B" w:rsidRPr="00E40B8B" w:rsidRDefault="00E40B8B" w:rsidP="00E40B8B">
      <w:pPr>
        <w:pStyle w:val="NormalWeb"/>
        <w:spacing w:line="360" w:lineRule="auto"/>
        <w:rPr>
          <w:rFonts w:ascii="Calibri" w:hAnsi="Calibri" w:cs="Calibri"/>
          <w:color w:val="000000"/>
          <w:lang w:val="cy-GB"/>
        </w:rPr>
      </w:pPr>
      <w:r w:rsidRPr="00E40B8B">
        <w:rPr>
          <w:rFonts w:ascii="Calibri" w:hAnsi="Calibri" w:cs="Calibri"/>
          <w:color w:val="000000"/>
        </w:rPr>
        <w:t>Davidson, R. J., McEwen, B. S., a Pollak, S. D. (2017). ‘Nature and nurture: Risk and resilience in mental health.’</w:t>
      </w:r>
      <w:r w:rsidRPr="00E40B8B">
        <w:rPr>
          <w:rStyle w:val="apple-converted-space"/>
          <w:rFonts w:ascii="Calibri" w:eastAsiaTheme="majorEastAsia" w:hAnsi="Calibri" w:cs="Calibri"/>
          <w:color w:val="000000"/>
        </w:rPr>
        <w:t> </w:t>
      </w:r>
      <w:r w:rsidRPr="00E40B8B">
        <w:rPr>
          <w:rStyle w:val="Emphasis"/>
          <w:rFonts w:ascii="Calibri" w:eastAsiaTheme="majorEastAsia" w:hAnsi="Calibri" w:cs="Calibri"/>
          <w:color w:val="000000"/>
        </w:rPr>
        <w:t>Nature, 547</w:t>
      </w:r>
      <w:r w:rsidRPr="00E40B8B">
        <w:rPr>
          <w:rFonts w:ascii="Calibri" w:hAnsi="Calibri" w:cs="Calibri"/>
          <w:color w:val="000000"/>
        </w:rPr>
        <w:t>(7661), tt.298-306.</w:t>
      </w:r>
    </w:p>
    <w:p w14:paraId="56615657" w14:textId="77777777" w:rsidR="00E40B8B" w:rsidRPr="00E40B8B" w:rsidRDefault="00E40B8B" w:rsidP="00E40B8B">
      <w:pPr>
        <w:spacing w:before="100" w:beforeAutospacing="1" w:after="100" w:afterAutospacing="1" w:line="360" w:lineRule="auto"/>
        <w:rPr>
          <w:rFonts w:ascii="Calibri" w:hAnsi="Calibri" w:cs="Calibri"/>
        </w:rPr>
      </w:pPr>
      <w:r w:rsidRPr="00E40B8B">
        <w:rPr>
          <w:rFonts w:ascii="Calibri" w:hAnsi="Calibri" w:cs="Calibri"/>
        </w:rPr>
        <w:t>Evans, G., a Kim, P. (2013). ‘Childhood poverty, chronic stress, self-regulation, and coping.’ </w:t>
      </w:r>
      <w:r w:rsidRPr="00E40B8B">
        <w:rPr>
          <w:rFonts w:ascii="Calibri" w:hAnsi="Calibri" w:cs="Calibri"/>
          <w:i/>
          <w:iCs/>
        </w:rPr>
        <w:t>Child Development Perspectives, 7</w:t>
      </w:r>
      <w:r w:rsidRPr="00E40B8B">
        <w:rPr>
          <w:rFonts w:ascii="Calibri" w:hAnsi="Calibri" w:cs="Calibri"/>
        </w:rPr>
        <w:t>(1), tt.43–48. </w:t>
      </w:r>
      <w:hyperlink r:id="rId5" w:history="1">
        <w:r w:rsidRPr="00E40B8B">
          <w:rPr>
            <w:rStyle w:val="Hyperlink"/>
            <w:rFonts w:ascii="Calibri" w:hAnsi="Calibri" w:cs="Calibri"/>
          </w:rPr>
          <w:t>https://doi.org/10.1111/cdep.12013</w:t>
        </w:r>
      </w:hyperlink>
      <w:r w:rsidRPr="00E40B8B">
        <w:rPr>
          <w:rFonts w:ascii="Calibri" w:hAnsi="Calibri" w:cs="Calibri"/>
        </w:rPr>
        <w:t xml:space="preserve"> </w:t>
      </w:r>
    </w:p>
    <w:p w14:paraId="6F3A233D" w14:textId="77777777" w:rsidR="00E40B8B" w:rsidRPr="00E40B8B" w:rsidRDefault="00E40B8B" w:rsidP="00E40B8B">
      <w:pPr>
        <w:pStyle w:val="NormalWeb"/>
        <w:spacing w:line="360" w:lineRule="auto"/>
        <w:rPr>
          <w:rFonts w:ascii="Calibri" w:hAnsi="Calibri" w:cs="Calibri"/>
          <w:color w:val="000000"/>
          <w:lang w:val="cy-GB"/>
        </w:rPr>
      </w:pPr>
      <w:r w:rsidRPr="00E40B8B">
        <w:rPr>
          <w:rFonts w:ascii="Calibri" w:hAnsi="Calibri" w:cs="Calibri"/>
          <w:color w:val="000000"/>
          <w:lang w:val="cy-GB"/>
        </w:rPr>
        <w:t>Felitti, V. J., et al. (1998). ‘Relationship of childhood abuse and household dysfunction to many of the leading causes of death in adults: The Adverse Childhood Experiences (ACE) Study.’</w:t>
      </w:r>
      <w:r w:rsidRPr="00E40B8B">
        <w:rPr>
          <w:rStyle w:val="apple-converted-space"/>
          <w:rFonts w:ascii="Calibri" w:eastAsiaTheme="majorEastAsia" w:hAnsi="Calibri" w:cs="Calibri"/>
          <w:color w:val="000000"/>
          <w:lang w:val="cy-GB"/>
        </w:rPr>
        <w:t> </w:t>
      </w:r>
      <w:r w:rsidRPr="00E40B8B">
        <w:rPr>
          <w:rStyle w:val="Emphasis"/>
          <w:rFonts w:ascii="Calibri" w:eastAsiaTheme="majorEastAsia" w:hAnsi="Calibri" w:cs="Calibri"/>
          <w:color w:val="000000"/>
          <w:lang w:val="cy-GB"/>
        </w:rPr>
        <w:t>American Journal of Preventive Medicine, 14</w:t>
      </w:r>
      <w:r w:rsidRPr="00E40B8B">
        <w:rPr>
          <w:rFonts w:ascii="Calibri" w:hAnsi="Calibri" w:cs="Calibri"/>
          <w:color w:val="000000"/>
          <w:lang w:val="cy-GB"/>
        </w:rPr>
        <w:t>(4), tt.245-258.</w:t>
      </w:r>
    </w:p>
    <w:p w14:paraId="2466E0FC" w14:textId="77777777" w:rsidR="00E40B8B" w:rsidRPr="00E40B8B" w:rsidRDefault="00E40B8B" w:rsidP="00E40B8B">
      <w:pPr>
        <w:pStyle w:val="NormalWeb"/>
        <w:spacing w:line="360" w:lineRule="auto"/>
        <w:rPr>
          <w:rFonts w:ascii="Calibri" w:hAnsi="Calibri" w:cs="Calibri"/>
          <w:color w:val="000000"/>
        </w:rPr>
      </w:pPr>
      <w:r w:rsidRPr="00E40B8B">
        <w:rPr>
          <w:rFonts w:ascii="Calibri" w:hAnsi="Calibri" w:cs="Calibri"/>
          <w:color w:val="000000"/>
        </w:rPr>
        <w:t>Gatti, U., Tremblay, R. E., &amp; Vitaro, F. (2009). ‘</w:t>
      </w:r>
      <w:proofErr w:type="spellStart"/>
      <w:r w:rsidRPr="00E40B8B">
        <w:rPr>
          <w:rFonts w:ascii="Calibri" w:hAnsi="Calibri" w:cs="Calibri"/>
          <w:color w:val="000000"/>
        </w:rPr>
        <w:t>Latrogenic</w:t>
      </w:r>
      <w:proofErr w:type="spellEnd"/>
      <w:r w:rsidRPr="00E40B8B">
        <w:rPr>
          <w:rFonts w:ascii="Calibri" w:hAnsi="Calibri" w:cs="Calibri"/>
          <w:color w:val="000000"/>
        </w:rPr>
        <w:t xml:space="preserve"> effect of juvenile justice.’</w:t>
      </w:r>
      <w:r w:rsidRPr="00E40B8B">
        <w:rPr>
          <w:rStyle w:val="apple-converted-space"/>
          <w:rFonts w:ascii="Calibri" w:eastAsiaTheme="majorEastAsia" w:hAnsi="Calibri" w:cs="Calibri"/>
          <w:color w:val="000000"/>
        </w:rPr>
        <w:t> </w:t>
      </w:r>
      <w:r w:rsidRPr="00E40B8B">
        <w:rPr>
          <w:rStyle w:val="Emphasis"/>
          <w:rFonts w:ascii="Calibri" w:eastAsiaTheme="majorEastAsia" w:hAnsi="Calibri" w:cs="Calibri"/>
          <w:color w:val="000000"/>
        </w:rPr>
        <w:t xml:space="preserve">Journal of Child Psychology and Psychiatry, </w:t>
      </w:r>
      <w:r w:rsidRPr="00E40B8B">
        <w:rPr>
          <w:rStyle w:val="Emphasis"/>
          <w:rFonts w:ascii="Calibri" w:eastAsiaTheme="majorEastAsia" w:hAnsi="Calibri" w:cs="Calibri"/>
          <w:i w:val="0"/>
          <w:iCs w:val="0"/>
          <w:color w:val="000000"/>
        </w:rPr>
        <w:t>50</w:t>
      </w:r>
      <w:r w:rsidRPr="00E40B8B">
        <w:rPr>
          <w:rFonts w:ascii="Calibri" w:hAnsi="Calibri" w:cs="Calibri"/>
          <w:color w:val="000000"/>
        </w:rPr>
        <w:t>(8), tt.991-998.</w:t>
      </w:r>
    </w:p>
    <w:p w14:paraId="19D1E6C3" w14:textId="77777777" w:rsidR="00E40B8B" w:rsidRPr="00E40B8B" w:rsidRDefault="00E40B8B" w:rsidP="00E40B8B">
      <w:pPr>
        <w:pStyle w:val="NormalWeb"/>
        <w:spacing w:line="360" w:lineRule="auto"/>
        <w:rPr>
          <w:rFonts w:ascii="Calibri" w:hAnsi="Calibri" w:cs="Calibri"/>
          <w:color w:val="000000"/>
        </w:rPr>
      </w:pPr>
      <w:r w:rsidRPr="00E40B8B">
        <w:rPr>
          <w:rFonts w:ascii="Calibri" w:hAnsi="Calibri" w:cs="Calibri"/>
          <w:color w:val="000000"/>
        </w:rPr>
        <w:t>Gilbert, R., Widom, C. S., Browne, K., Fergusson, D., Webb, E., &amp; Janson, S. (2009). ‘Burden and consequences of child maltreatment in high-income countries.’</w:t>
      </w:r>
      <w:r w:rsidRPr="00E40B8B">
        <w:rPr>
          <w:rStyle w:val="apple-converted-space"/>
          <w:rFonts w:ascii="Calibri" w:eastAsiaTheme="majorEastAsia" w:hAnsi="Calibri" w:cs="Calibri"/>
          <w:color w:val="000000"/>
        </w:rPr>
        <w:t> </w:t>
      </w:r>
      <w:r w:rsidRPr="00E40B8B">
        <w:rPr>
          <w:rStyle w:val="Emphasis"/>
          <w:rFonts w:ascii="Calibri" w:eastAsiaTheme="majorEastAsia" w:hAnsi="Calibri" w:cs="Calibri"/>
          <w:color w:val="000000"/>
        </w:rPr>
        <w:t xml:space="preserve">The Lancet, </w:t>
      </w:r>
      <w:r w:rsidRPr="00E40B8B">
        <w:rPr>
          <w:rStyle w:val="Emphasis"/>
          <w:rFonts w:ascii="Calibri" w:eastAsiaTheme="majorEastAsia" w:hAnsi="Calibri" w:cs="Calibri"/>
          <w:i w:val="0"/>
          <w:iCs w:val="0"/>
          <w:color w:val="000000"/>
        </w:rPr>
        <w:t>373</w:t>
      </w:r>
      <w:r w:rsidRPr="00E40B8B">
        <w:rPr>
          <w:rFonts w:ascii="Calibri" w:hAnsi="Calibri" w:cs="Calibri"/>
          <w:color w:val="000000"/>
        </w:rPr>
        <w:t>(9657), tt.68-81.</w:t>
      </w:r>
    </w:p>
    <w:p w14:paraId="248E77B2" w14:textId="77777777" w:rsidR="00E40B8B" w:rsidRPr="00E40B8B" w:rsidRDefault="00E40B8B" w:rsidP="00E40B8B">
      <w:pPr>
        <w:pStyle w:val="NormalWeb"/>
        <w:spacing w:line="360" w:lineRule="auto"/>
      </w:pPr>
      <w:r w:rsidRPr="00E40B8B">
        <w:rPr>
          <w:rFonts w:ascii="Calibri" w:hAnsi="Calibri" w:cs="Calibri"/>
          <w:color w:val="000000"/>
        </w:rPr>
        <w:lastRenderedPageBreak/>
        <w:t xml:space="preserve">Gregory, A., Skiba, R. J., &amp; </w:t>
      </w:r>
      <w:proofErr w:type="spellStart"/>
      <w:r w:rsidRPr="00E40B8B">
        <w:rPr>
          <w:rFonts w:ascii="Calibri" w:hAnsi="Calibri" w:cs="Calibri"/>
          <w:color w:val="000000"/>
        </w:rPr>
        <w:t>Mediratta</w:t>
      </w:r>
      <w:proofErr w:type="spellEnd"/>
      <w:r w:rsidRPr="00E40B8B">
        <w:rPr>
          <w:rFonts w:ascii="Calibri" w:hAnsi="Calibri" w:cs="Calibri"/>
          <w:color w:val="000000"/>
        </w:rPr>
        <w:t>, K. (2016). ‘Eliminating disparities in school discipline.’</w:t>
      </w:r>
      <w:r w:rsidRPr="00E40B8B">
        <w:rPr>
          <w:rStyle w:val="apple-converted-space"/>
          <w:rFonts w:ascii="Calibri" w:eastAsiaTheme="majorEastAsia" w:hAnsi="Calibri" w:cs="Calibri"/>
          <w:color w:val="000000"/>
        </w:rPr>
        <w:t> </w:t>
      </w:r>
      <w:r w:rsidRPr="00E40B8B">
        <w:rPr>
          <w:rStyle w:val="Emphasis"/>
          <w:rFonts w:ascii="Calibri" w:eastAsiaTheme="majorEastAsia" w:hAnsi="Calibri" w:cs="Calibri"/>
          <w:color w:val="000000"/>
        </w:rPr>
        <w:t xml:space="preserve">Review of Research in Education, </w:t>
      </w:r>
      <w:r w:rsidRPr="00E40B8B">
        <w:rPr>
          <w:rStyle w:val="Emphasis"/>
          <w:rFonts w:ascii="Calibri" w:eastAsiaTheme="majorEastAsia" w:hAnsi="Calibri" w:cs="Calibri"/>
          <w:i w:val="0"/>
          <w:iCs w:val="0"/>
          <w:color w:val="000000"/>
        </w:rPr>
        <w:t>40</w:t>
      </w:r>
      <w:r w:rsidRPr="00E40B8B">
        <w:rPr>
          <w:rFonts w:ascii="Calibri" w:hAnsi="Calibri" w:cs="Calibri"/>
          <w:color w:val="000000"/>
        </w:rPr>
        <w:t xml:space="preserve">(1), tt.253-278. </w:t>
      </w:r>
      <w:hyperlink r:id="rId6" w:history="1">
        <w:r w:rsidRPr="00E40B8B">
          <w:rPr>
            <w:rStyle w:val="Hyperlink"/>
            <w:rFonts w:ascii="Open Sans" w:eastAsiaTheme="majorEastAsia" w:hAnsi="Open Sans" w:cs="Open Sans"/>
            <w:sz w:val="21"/>
            <w:szCs w:val="21"/>
          </w:rPr>
          <w:t>https://doi.org/10.3102/0091732X17690499</w:t>
        </w:r>
      </w:hyperlink>
      <w:r w:rsidRPr="00E40B8B">
        <w:t xml:space="preserve"> </w:t>
      </w:r>
    </w:p>
    <w:p w14:paraId="0892ABA1" w14:textId="77777777" w:rsidR="00E40B8B" w:rsidRPr="00E40B8B" w:rsidRDefault="00E40B8B" w:rsidP="00E40B8B">
      <w:pPr>
        <w:pStyle w:val="NormalWeb"/>
        <w:spacing w:line="360" w:lineRule="auto"/>
        <w:rPr>
          <w:rFonts w:ascii="Calibri" w:hAnsi="Calibri" w:cs="Calibri"/>
          <w:lang w:val="cy-GB"/>
        </w:rPr>
      </w:pPr>
      <w:r w:rsidRPr="00E40B8B">
        <w:rPr>
          <w:rStyle w:val="Strong"/>
          <w:rFonts w:ascii="Calibri" w:eastAsiaTheme="majorEastAsia" w:hAnsi="Calibri" w:cs="Calibri"/>
          <w:color w:val="000000"/>
          <w:lang w:val="cy-GB"/>
        </w:rPr>
        <w:t xml:space="preserve">Gould, F., </w:t>
      </w:r>
      <w:r w:rsidRPr="00E40B8B">
        <w:rPr>
          <w:rFonts w:ascii="Calibri" w:hAnsi="Calibri" w:cs="Calibri"/>
          <w:color w:val="212121"/>
          <w:shd w:val="clear" w:color="auto" w:fill="FFFFFF"/>
        </w:rPr>
        <w:t>Clarke, J., Heim, C., Harvey, P. D., Majer, M., &amp; Nemeroff, C. B.</w:t>
      </w:r>
      <w:r w:rsidRPr="00E40B8B">
        <w:rPr>
          <w:rFonts w:ascii="Calibri" w:hAnsi="Calibri" w:cs="Calibri"/>
          <w:color w:val="000000"/>
          <w:lang w:val="cy-GB"/>
        </w:rPr>
        <w:t xml:space="preserve"> (2012). ‘The effects of child abuse and neglect on cognitive functioning in adulthood.’</w:t>
      </w:r>
      <w:r w:rsidRPr="00E40B8B">
        <w:rPr>
          <w:rStyle w:val="apple-converted-space"/>
          <w:rFonts w:ascii="Calibri" w:eastAsiaTheme="majorEastAsia" w:hAnsi="Calibri" w:cs="Calibri"/>
          <w:color w:val="000000"/>
          <w:lang w:val="cy-GB"/>
        </w:rPr>
        <w:t> </w:t>
      </w:r>
      <w:r w:rsidRPr="00E40B8B">
        <w:rPr>
          <w:rStyle w:val="Emphasis"/>
          <w:rFonts w:ascii="Calibri" w:eastAsiaTheme="majorEastAsia" w:hAnsi="Calibri" w:cs="Calibri"/>
          <w:color w:val="000000"/>
          <w:lang w:val="cy-GB"/>
        </w:rPr>
        <w:t>Journal of Psychiatric Research, 46</w:t>
      </w:r>
      <w:r w:rsidRPr="00E40B8B">
        <w:rPr>
          <w:rFonts w:ascii="Calibri" w:hAnsi="Calibri" w:cs="Calibri"/>
          <w:color w:val="000000"/>
          <w:lang w:val="cy-GB"/>
        </w:rPr>
        <w:t>(4), tt. 500–506. Ar gael yn:</w:t>
      </w:r>
      <w:r w:rsidRPr="00E40B8B">
        <w:rPr>
          <w:rStyle w:val="apple-converted-space"/>
          <w:rFonts w:ascii="Calibri" w:eastAsiaTheme="majorEastAsia" w:hAnsi="Calibri" w:cs="Calibri"/>
          <w:color w:val="000000"/>
          <w:lang w:val="cy-GB"/>
        </w:rPr>
        <w:t> </w:t>
      </w:r>
      <w:r w:rsidRPr="00E40B8B">
        <w:rPr>
          <w:rFonts w:ascii="Calibri" w:hAnsi="Calibri" w:cs="Calibri"/>
          <w:lang w:val="cy-GB"/>
        </w:rPr>
        <w:fldChar w:fldCharType="begin"/>
      </w:r>
      <w:r w:rsidRPr="00E40B8B">
        <w:rPr>
          <w:rFonts w:ascii="Calibri" w:hAnsi="Calibri" w:cs="Calibri"/>
          <w:lang w:val="cy-GB"/>
        </w:rPr>
        <w:instrText>HYPERLINK "https://doi.org/10.1016/j.jpsychires.2012.01.005"</w:instrText>
      </w:r>
      <w:r w:rsidRPr="00E40B8B">
        <w:rPr>
          <w:rFonts w:ascii="Calibri" w:hAnsi="Calibri" w:cs="Calibri"/>
          <w:lang w:val="cy-GB"/>
        </w:rPr>
      </w:r>
      <w:r w:rsidRPr="00E40B8B">
        <w:rPr>
          <w:rFonts w:ascii="Calibri" w:hAnsi="Calibri" w:cs="Calibri"/>
          <w:lang w:val="cy-GB"/>
        </w:rPr>
        <w:fldChar w:fldCharType="separate"/>
      </w:r>
      <w:r w:rsidRPr="00E40B8B">
        <w:rPr>
          <w:rStyle w:val="Hyperlink"/>
          <w:rFonts w:ascii="Calibri" w:hAnsi="Calibri" w:cs="Calibri"/>
          <w:lang w:val="cy-GB"/>
        </w:rPr>
        <w:t>https://doi.org/10.1016/j.jpsychires.2012.01.005</w:t>
      </w:r>
      <w:r w:rsidRPr="00E40B8B">
        <w:rPr>
          <w:rFonts w:ascii="Calibri" w:hAnsi="Calibri" w:cs="Calibri"/>
          <w:lang w:val="cy-GB"/>
        </w:rPr>
        <w:fldChar w:fldCharType="end"/>
      </w:r>
    </w:p>
    <w:p w14:paraId="7DCEE94B" w14:textId="77777777" w:rsidR="00E40B8B" w:rsidRPr="00E40B8B" w:rsidRDefault="00E40B8B" w:rsidP="00E40B8B">
      <w:pPr>
        <w:pStyle w:val="NormalWeb"/>
        <w:spacing w:line="360" w:lineRule="auto"/>
        <w:rPr>
          <w:rFonts w:ascii="Calibri" w:hAnsi="Calibri" w:cs="Calibri"/>
          <w:color w:val="000000"/>
        </w:rPr>
      </w:pPr>
      <w:r w:rsidRPr="00E40B8B">
        <w:rPr>
          <w:rFonts w:ascii="Calibri" w:hAnsi="Calibri" w:cs="Calibri"/>
          <w:color w:val="000000"/>
        </w:rPr>
        <w:t>Guralnick, M. J. (2011). ‘Why early intervention works: A systems perspective.’</w:t>
      </w:r>
      <w:r w:rsidRPr="00E40B8B">
        <w:rPr>
          <w:rStyle w:val="apple-converted-space"/>
          <w:rFonts w:ascii="Calibri" w:eastAsiaTheme="majorEastAsia" w:hAnsi="Calibri" w:cs="Calibri"/>
          <w:color w:val="000000"/>
        </w:rPr>
        <w:t> </w:t>
      </w:r>
      <w:r w:rsidRPr="00E40B8B">
        <w:rPr>
          <w:rStyle w:val="Emphasis"/>
          <w:rFonts w:ascii="Calibri" w:eastAsiaTheme="majorEastAsia" w:hAnsi="Calibri" w:cs="Calibri"/>
          <w:color w:val="000000"/>
        </w:rPr>
        <w:t xml:space="preserve">Infants &amp; Young Children, </w:t>
      </w:r>
      <w:r w:rsidRPr="00E40B8B">
        <w:rPr>
          <w:rStyle w:val="Emphasis"/>
          <w:rFonts w:ascii="Calibri" w:eastAsiaTheme="majorEastAsia" w:hAnsi="Calibri" w:cs="Calibri"/>
          <w:i w:val="0"/>
          <w:iCs w:val="0"/>
          <w:color w:val="000000"/>
        </w:rPr>
        <w:t>24</w:t>
      </w:r>
      <w:r w:rsidRPr="00E40B8B">
        <w:rPr>
          <w:rFonts w:ascii="Calibri" w:hAnsi="Calibri" w:cs="Calibri"/>
          <w:color w:val="000000"/>
        </w:rPr>
        <w:t xml:space="preserve">(1), tt.6-28. </w:t>
      </w:r>
      <w:hyperlink r:id="rId7" w:history="1">
        <w:r w:rsidRPr="00E40B8B">
          <w:rPr>
            <w:rStyle w:val="Hyperlink"/>
            <w:rFonts w:ascii="Calibri" w:hAnsi="Calibri" w:cs="Calibri"/>
          </w:rPr>
          <w:t>https://doi.org/10.1097/IYC.0b013e3182002cfe</w:t>
        </w:r>
      </w:hyperlink>
      <w:r w:rsidRPr="00E40B8B">
        <w:rPr>
          <w:rFonts w:ascii="Calibri" w:hAnsi="Calibri" w:cs="Calibri"/>
          <w:color w:val="000000"/>
        </w:rPr>
        <w:t xml:space="preserve"> </w:t>
      </w:r>
    </w:p>
    <w:p w14:paraId="05D8F017" w14:textId="77777777" w:rsidR="00E40B8B" w:rsidRPr="00E40B8B" w:rsidRDefault="00E40B8B" w:rsidP="00E40B8B">
      <w:pPr>
        <w:spacing w:before="100" w:beforeAutospacing="1" w:after="100" w:afterAutospacing="1" w:line="360" w:lineRule="auto"/>
        <w:rPr>
          <w:rFonts w:ascii="Calibri" w:hAnsi="Calibri" w:cs="Calibri"/>
        </w:rPr>
      </w:pPr>
      <w:r w:rsidRPr="00E40B8B">
        <w:rPr>
          <w:rFonts w:ascii="Calibri" w:hAnsi="Calibri" w:cs="Calibri"/>
          <w:color w:val="000000"/>
        </w:rPr>
        <w:t>Landreth, G. L. (2012).</w:t>
      </w:r>
      <w:r w:rsidRPr="00E40B8B">
        <w:rPr>
          <w:rStyle w:val="apple-converted-space"/>
          <w:rFonts w:ascii="Calibri" w:eastAsiaTheme="majorEastAsia" w:hAnsi="Calibri" w:cs="Calibri"/>
          <w:color w:val="000000"/>
        </w:rPr>
        <w:t> </w:t>
      </w:r>
      <w:r w:rsidRPr="00E40B8B">
        <w:rPr>
          <w:rStyle w:val="Emphasis"/>
          <w:rFonts w:ascii="Calibri" w:eastAsiaTheme="majorEastAsia" w:hAnsi="Calibri" w:cs="Calibri"/>
          <w:color w:val="000000"/>
        </w:rPr>
        <w:t>Play therapy: The art of the relationship</w:t>
      </w:r>
      <w:r w:rsidRPr="00E40B8B">
        <w:rPr>
          <w:rStyle w:val="apple-converted-space"/>
          <w:rFonts w:ascii="Calibri" w:eastAsiaTheme="majorEastAsia" w:hAnsi="Calibri" w:cs="Calibri"/>
          <w:color w:val="000000"/>
        </w:rPr>
        <w:t> </w:t>
      </w:r>
      <w:r w:rsidRPr="00E40B8B">
        <w:rPr>
          <w:rFonts w:ascii="Calibri" w:hAnsi="Calibri" w:cs="Calibri"/>
          <w:color w:val="000000"/>
        </w:rPr>
        <w:t>(3ydd Arg.). Routledge.</w:t>
      </w:r>
    </w:p>
    <w:p w14:paraId="6E7F4FFC" w14:textId="77777777" w:rsidR="00E40B8B" w:rsidRPr="00E40B8B" w:rsidRDefault="00E40B8B" w:rsidP="00E40B8B">
      <w:pPr>
        <w:spacing w:before="100" w:beforeAutospacing="1" w:after="100" w:afterAutospacing="1" w:line="360" w:lineRule="auto"/>
        <w:rPr>
          <w:rFonts w:ascii="Calibri" w:hAnsi="Calibri" w:cs="Calibri"/>
        </w:rPr>
      </w:pPr>
      <w:r w:rsidRPr="00E40B8B">
        <w:rPr>
          <w:rFonts w:ascii="Calibri" w:hAnsi="Calibri" w:cs="Calibri"/>
        </w:rPr>
        <w:t xml:space="preserve">Lund, C., Breen, A., </w:t>
      </w:r>
      <w:proofErr w:type="spellStart"/>
      <w:r w:rsidRPr="00E40B8B">
        <w:rPr>
          <w:rFonts w:ascii="Calibri" w:hAnsi="Calibri" w:cs="Calibri"/>
        </w:rPr>
        <w:t>Flisher</w:t>
      </w:r>
      <w:proofErr w:type="spellEnd"/>
      <w:r w:rsidRPr="00E40B8B">
        <w:rPr>
          <w:rFonts w:ascii="Calibri" w:hAnsi="Calibri" w:cs="Calibri"/>
        </w:rPr>
        <w:t>, A. J., Kakuma, R., Corrigall, J., Joska, J. A., Swartz, L., &amp; Patel, V. (2010). ‘Poverty and common mental disorders in low- and middle-income countries: A systematic review.’</w:t>
      </w:r>
      <w:r w:rsidRPr="00E40B8B">
        <w:rPr>
          <w:rStyle w:val="apple-converted-space"/>
          <w:rFonts w:ascii="Calibri" w:eastAsiaTheme="majorEastAsia" w:hAnsi="Calibri" w:cs="Calibri"/>
        </w:rPr>
        <w:t> </w:t>
      </w:r>
      <w:r w:rsidRPr="00E40B8B">
        <w:rPr>
          <w:rStyle w:val="Emphasis"/>
          <w:rFonts w:ascii="Calibri" w:eastAsiaTheme="majorEastAsia" w:hAnsi="Calibri" w:cs="Calibri"/>
        </w:rPr>
        <w:t>Social Science &amp; Medicine, 71</w:t>
      </w:r>
      <w:r w:rsidRPr="00E40B8B">
        <w:rPr>
          <w:rFonts w:ascii="Calibri" w:hAnsi="Calibri" w:cs="Calibri"/>
        </w:rPr>
        <w:t xml:space="preserve">(3), tt.517–528. </w:t>
      </w:r>
      <w:proofErr w:type="spellStart"/>
      <w:r w:rsidRPr="00E40B8B">
        <w:rPr>
          <w:rFonts w:ascii="Calibri" w:hAnsi="Calibri" w:cs="Calibri"/>
        </w:rPr>
        <w:t>Ar</w:t>
      </w:r>
      <w:proofErr w:type="spellEnd"/>
      <w:r w:rsidRPr="00E40B8B">
        <w:rPr>
          <w:rFonts w:ascii="Calibri" w:hAnsi="Calibri" w:cs="Calibri"/>
        </w:rPr>
        <w:t xml:space="preserve"> </w:t>
      </w:r>
      <w:proofErr w:type="spellStart"/>
      <w:r w:rsidRPr="00E40B8B">
        <w:rPr>
          <w:rFonts w:ascii="Calibri" w:hAnsi="Calibri" w:cs="Calibri"/>
        </w:rPr>
        <w:t>gael</w:t>
      </w:r>
      <w:proofErr w:type="spellEnd"/>
      <w:r w:rsidRPr="00E40B8B">
        <w:rPr>
          <w:rFonts w:ascii="Calibri" w:hAnsi="Calibri" w:cs="Calibri"/>
        </w:rPr>
        <w:t xml:space="preserve"> </w:t>
      </w:r>
      <w:proofErr w:type="spellStart"/>
      <w:r w:rsidRPr="00E40B8B">
        <w:rPr>
          <w:rFonts w:ascii="Calibri" w:hAnsi="Calibri" w:cs="Calibri"/>
        </w:rPr>
        <w:t>yn</w:t>
      </w:r>
      <w:proofErr w:type="spellEnd"/>
      <w:r w:rsidRPr="00E40B8B">
        <w:rPr>
          <w:rFonts w:ascii="Calibri" w:hAnsi="Calibri" w:cs="Calibri"/>
        </w:rPr>
        <w:t>:</w:t>
      </w:r>
      <w:r w:rsidRPr="00E40B8B">
        <w:rPr>
          <w:rStyle w:val="apple-converted-space"/>
          <w:rFonts w:ascii="Calibri" w:eastAsiaTheme="majorEastAsia" w:hAnsi="Calibri" w:cs="Calibri"/>
        </w:rPr>
        <w:t> </w:t>
      </w:r>
      <w:hyperlink r:id="rId8" w:history="1">
        <w:r w:rsidRPr="00E40B8B">
          <w:rPr>
            <w:rStyle w:val="Hyperlink"/>
            <w:rFonts w:ascii="Calibri" w:hAnsi="Calibri" w:cs="Calibri"/>
          </w:rPr>
          <w:t>https://doi.org/10.1016/j.socscimed.2010.04.027</w:t>
        </w:r>
      </w:hyperlink>
      <w:r w:rsidRPr="00E40B8B">
        <w:rPr>
          <w:rFonts w:ascii="Calibri" w:hAnsi="Calibri" w:cs="Calibri"/>
        </w:rPr>
        <w:t xml:space="preserve"> </w:t>
      </w:r>
    </w:p>
    <w:p w14:paraId="252C6824" w14:textId="77777777" w:rsidR="00E40B8B" w:rsidRPr="00E40B8B" w:rsidRDefault="00E40B8B" w:rsidP="00E40B8B">
      <w:pPr>
        <w:spacing w:before="100" w:beforeAutospacing="1" w:after="100" w:afterAutospacing="1" w:line="360" w:lineRule="auto"/>
        <w:rPr>
          <w:rFonts w:ascii="Calibri" w:hAnsi="Calibri" w:cs="Calibri"/>
        </w:rPr>
      </w:pPr>
      <w:r w:rsidRPr="00E40B8B">
        <w:rPr>
          <w:rFonts w:ascii="Calibri" w:hAnsi="Calibri" w:cs="Calibri"/>
          <w:color w:val="000000"/>
        </w:rPr>
        <w:t xml:space="preserve">Masten, A. S., Cutuli, J. J., Herbers, J. E., &amp; Reed, M. J. (2005). ‘Resilience in development’ </w:t>
      </w:r>
      <w:proofErr w:type="spellStart"/>
      <w:r w:rsidRPr="00E40B8B">
        <w:rPr>
          <w:rFonts w:ascii="Calibri" w:hAnsi="Calibri" w:cs="Calibri"/>
          <w:color w:val="000000"/>
        </w:rPr>
        <w:t>yn</w:t>
      </w:r>
      <w:proofErr w:type="spellEnd"/>
      <w:r w:rsidRPr="00E40B8B">
        <w:rPr>
          <w:rFonts w:ascii="Calibri" w:hAnsi="Calibri" w:cs="Calibri"/>
          <w:color w:val="000000"/>
        </w:rPr>
        <w:t xml:space="preserve"> </w:t>
      </w:r>
      <w:r w:rsidRPr="00E40B8B">
        <w:rPr>
          <w:rFonts w:ascii="Calibri" w:hAnsi="Calibri" w:cs="Calibri"/>
        </w:rPr>
        <w:t>R. M. Lerner &amp; W. F. Overton (2006) (</w:t>
      </w:r>
      <w:proofErr w:type="spellStart"/>
      <w:r w:rsidRPr="00E40B8B">
        <w:rPr>
          <w:rFonts w:ascii="Calibri" w:hAnsi="Calibri" w:cs="Calibri"/>
        </w:rPr>
        <w:t>gol</w:t>
      </w:r>
      <w:proofErr w:type="spellEnd"/>
      <w:r w:rsidRPr="00E40B8B">
        <w:rPr>
          <w:rFonts w:ascii="Calibri" w:hAnsi="Calibri" w:cs="Calibri"/>
        </w:rPr>
        <w:t>.),</w:t>
      </w:r>
      <w:r w:rsidRPr="00E40B8B">
        <w:rPr>
          <w:rStyle w:val="apple-converted-space"/>
          <w:rFonts w:ascii="Calibri" w:eastAsiaTheme="majorEastAsia" w:hAnsi="Calibri" w:cs="Calibri"/>
        </w:rPr>
        <w:t> </w:t>
      </w:r>
      <w:r w:rsidRPr="00E40B8B">
        <w:rPr>
          <w:rStyle w:val="Emphasis"/>
          <w:rFonts w:ascii="Calibri" w:eastAsiaTheme="majorEastAsia" w:hAnsi="Calibri" w:cs="Calibri"/>
        </w:rPr>
        <w:t>Handbook of child psychology</w:t>
      </w:r>
      <w:r w:rsidRPr="00E40B8B">
        <w:rPr>
          <w:rStyle w:val="apple-converted-space"/>
          <w:rFonts w:ascii="Calibri" w:eastAsiaTheme="majorEastAsia" w:hAnsi="Calibri" w:cs="Calibri"/>
        </w:rPr>
        <w:t> </w:t>
      </w:r>
      <w:r w:rsidRPr="00E40B8B">
        <w:rPr>
          <w:rFonts w:ascii="Calibri" w:hAnsi="Calibri" w:cs="Calibri"/>
        </w:rPr>
        <w:t>(6ed Arg). Wiley.</w:t>
      </w:r>
    </w:p>
    <w:p w14:paraId="33A3EEA4" w14:textId="77777777" w:rsidR="00E40B8B" w:rsidRPr="00E40B8B" w:rsidRDefault="00E40B8B" w:rsidP="00E40B8B">
      <w:pPr>
        <w:spacing w:before="100" w:beforeAutospacing="1" w:after="100" w:afterAutospacing="1" w:line="360" w:lineRule="auto"/>
        <w:rPr>
          <w:rFonts w:ascii="Calibri" w:hAnsi="Calibri" w:cs="Calibri"/>
          <w:color w:val="212121"/>
        </w:rPr>
      </w:pPr>
      <w:r w:rsidRPr="00E40B8B">
        <w:rPr>
          <w:rStyle w:val="relative"/>
          <w:rFonts w:ascii="Calibri" w:eastAsiaTheme="majorEastAsia" w:hAnsi="Calibri" w:cs="Calibri"/>
          <w:color w:val="000000"/>
        </w:rPr>
        <w:t xml:space="preserve">McGinty, E., </w:t>
      </w:r>
      <w:proofErr w:type="spellStart"/>
      <w:r w:rsidRPr="00E40B8B">
        <w:rPr>
          <w:rStyle w:val="relative"/>
          <w:rFonts w:ascii="Calibri" w:eastAsiaTheme="majorEastAsia" w:hAnsi="Calibri" w:cs="Calibri"/>
          <w:color w:val="000000"/>
        </w:rPr>
        <w:t>Presskreischer</w:t>
      </w:r>
      <w:proofErr w:type="spellEnd"/>
      <w:r w:rsidRPr="00E40B8B">
        <w:rPr>
          <w:rStyle w:val="relative"/>
          <w:rFonts w:ascii="Calibri" w:eastAsiaTheme="majorEastAsia" w:hAnsi="Calibri" w:cs="Calibri"/>
          <w:color w:val="000000"/>
        </w:rPr>
        <w:t>, R., Han, H., &amp; Barry, C. L. (2020). ‘Psychological distress and loneliness reported by US adults in 2018 and April 2020.’</w:t>
      </w:r>
      <w:r w:rsidRPr="00E40B8B">
        <w:rPr>
          <w:rStyle w:val="apple-converted-space"/>
          <w:rFonts w:ascii="Calibri" w:eastAsiaTheme="majorEastAsia" w:hAnsi="Calibri" w:cs="Calibri"/>
          <w:color w:val="000000"/>
        </w:rPr>
        <w:t> </w:t>
      </w:r>
      <w:r w:rsidRPr="00E40B8B">
        <w:rPr>
          <w:rStyle w:val="Emphasis"/>
          <w:rFonts w:ascii="Calibri" w:eastAsiaTheme="majorEastAsia" w:hAnsi="Calibri" w:cs="Calibri"/>
          <w:color w:val="000000"/>
        </w:rPr>
        <w:t>JAMA, 324</w:t>
      </w:r>
      <w:r w:rsidRPr="00E40B8B">
        <w:rPr>
          <w:rStyle w:val="relative"/>
          <w:rFonts w:ascii="Calibri" w:eastAsiaTheme="majorEastAsia" w:hAnsi="Calibri" w:cs="Calibri"/>
          <w:color w:val="000000"/>
        </w:rPr>
        <w:t>(1), 93–94.</w:t>
      </w:r>
      <w:r w:rsidRPr="00E40B8B">
        <w:rPr>
          <w:rStyle w:val="apple-converted-space"/>
          <w:rFonts w:ascii="Calibri" w:eastAsiaTheme="majorEastAsia" w:hAnsi="Calibri" w:cs="Calibri"/>
          <w:color w:val="000000"/>
        </w:rPr>
        <w:t> </w:t>
      </w:r>
      <w:r w:rsidRPr="00E40B8B">
        <w:rPr>
          <w:rFonts w:ascii="Calibri" w:hAnsi="Calibri" w:cs="Calibri"/>
          <w:color w:val="000000"/>
        </w:rPr>
        <w:t xml:space="preserve">​ </w:t>
      </w:r>
      <w:r w:rsidRPr="00E40B8B">
        <w:rPr>
          <w:rStyle w:val="id-label"/>
          <w:rFonts w:ascii="Calibri" w:eastAsiaTheme="majorEastAsia" w:hAnsi="Calibri" w:cs="Calibri"/>
          <w:color w:val="212121"/>
        </w:rPr>
        <w:t>DOI:</w:t>
      </w:r>
      <w:r w:rsidRPr="00E40B8B">
        <w:rPr>
          <w:rStyle w:val="apple-converted-space"/>
          <w:rFonts w:ascii="Calibri" w:eastAsiaTheme="majorEastAsia" w:hAnsi="Calibri" w:cs="Calibri"/>
          <w:color w:val="212121"/>
        </w:rPr>
        <w:t> </w:t>
      </w:r>
      <w:hyperlink r:id="rId9" w:tgtFrame="_blank" w:history="1">
        <w:r w:rsidRPr="00E40B8B">
          <w:rPr>
            <w:rStyle w:val="Hyperlink"/>
            <w:rFonts w:ascii="Calibri" w:eastAsiaTheme="majorEastAsia" w:hAnsi="Calibri" w:cs="Calibri"/>
            <w:color w:val="0071BC"/>
          </w:rPr>
          <w:t>10.1001/jama.2020.9740</w:t>
        </w:r>
      </w:hyperlink>
    </w:p>
    <w:p w14:paraId="3306E0F2" w14:textId="77777777" w:rsidR="00E40B8B" w:rsidRPr="00E40B8B" w:rsidRDefault="00E40B8B" w:rsidP="00E40B8B">
      <w:pPr>
        <w:pStyle w:val="NormalWeb"/>
        <w:spacing w:line="360" w:lineRule="auto"/>
        <w:rPr>
          <w:rFonts w:ascii="Calibri" w:hAnsi="Calibri" w:cs="Calibri"/>
          <w:color w:val="212121"/>
          <w:shd w:val="clear" w:color="auto" w:fill="FFFFFF"/>
        </w:rPr>
      </w:pPr>
      <w:r w:rsidRPr="00E40B8B">
        <w:rPr>
          <w:rFonts w:ascii="Calibri" w:hAnsi="Calibri" w:cs="Calibri"/>
          <w:color w:val="212121"/>
          <w:shd w:val="clear" w:color="auto" w:fill="FFFFFF"/>
        </w:rPr>
        <w:t>McLaughlin, K. A., Peverill, M., Gold, A. L., Alves, S., &amp; Sheridan, M. A. (2015). ‘Child Maltreatment and Neural Systems Underlying Emotion Regulation.’</w:t>
      </w:r>
      <w:r w:rsidRPr="00E40B8B">
        <w:rPr>
          <w:rStyle w:val="apple-converted-space"/>
          <w:rFonts w:ascii="Calibri" w:eastAsiaTheme="majorEastAsia" w:hAnsi="Calibri" w:cs="Calibri"/>
          <w:color w:val="212121"/>
          <w:shd w:val="clear" w:color="auto" w:fill="FFFFFF"/>
        </w:rPr>
        <w:t> </w:t>
      </w:r>
      <w:r w:rsidRPr="00E40B8B">
        <w:rPr>
          <w:rFonts w:ascii="Calibri" w:hAnsi="Calibri" w:cs="Calibri"/>
          <w:i/>
          <w:iCs/>
          <w:color w:val="212121"/>
        </w:rPr>
        <w:t>Journal of the American Academy of Child and Adolescent Psychiatry</w:t>
      </w:r>
      <w:r w:rsidRPr="00E40B8B">
        <w:rPr>
          <w:rFonts w:ascii="Calibri" w:hAnsi="Calibri" w:cs="Calibri"/>
          <w:color w:val="212121"/>
          <w:shd w:val="clear" w:color="auto" w:fill="FFFFFF"/>
        </w:rPr>
        <w:t>,</w:t>
      </w:r>
      <w:r w:rsidRPr="00E40B8B">
        <w:rPr>
          <w:rStyle w:val="apple-converted-space"/>
          <w:rFonts w:ascii="Calibri" w:eastAsiaTheme="majorEastAsia" w:hAnsi="Calibri" w:cs="Calibri"/>
          <w:color w:val="212121"/>
          <w:shd w:val="clear" w:color="auto" w:fill="FFFFFF"/>
        </w:rPr>
        <w:t> </w:t>
      </w:r>
      <w:r w:rsidRPr="00E40B8B">
        <w:rPr>
          <w:rFonts w:ascii="Calibri" w:hAnsi="Calibri" w:cs="Calibri"/>
          <w:i/>
          <w:iCs/>
          <w:color w:val="212121"/>
        </w:rPr>
        <w:t>54</w:t>
      </w:r>
      <w:r w:rsidRPr="00E40B8B">
        <w:rPr>
          <w:rFonts w:ascii="Calibri" w:hAnsi="Calibri" w:cs="Calibri"/>
          <w:color w:val="212121"/>
          <w:shd w:val="clear" w:color="auto" w:fill="FFFFFF"/>
        </w:rPr>
        <w:t xml:space="preserve">(9), 753–762. </w:t>
      </w:r>
      <w:hyperlink r:id="rId10" w:history="1">
        <w:r w:rsidRPr="00E40B8B">
          <w:rPr>
            <w:rStyle w:val="Hyperlink"/>
            <w:rFonts w:ascii="Calibri" w:hAnsi="Calibri" w:cs="Calibri"/>
            <w:shd w:val="clear" w:color="auto" w:fill="FFFFFF"/>
          </w:rPr>
          <w:t>https://doi.org/10.1016/j.jaac.2015.06.010</w:t>
        </w:r>
      </w:hyperlink>
    </w:p>
    <w:p w14:paraId="29F075D0" w14:textId="77777777" w:rsidR="00E40B8B" w:rsidRPr="00E40B8B" w:rsidRDefault="00E40B8B" w:rsidP="00E40B8B">
      <w:pPr>
        <w:pStyle w:val="NormalWeb"/>
        <w:spacing w:line="360" w:lineRule="auto"/>
        <w:rPr>
          <w:rFonts w:ascii="Calibri" w:hAnsi="Calibri" w:cs="Calibri"/>
          <w:color w:val="000000"/>
          <w:lang w:val="cy-GB"/>
        </w:rPr>
      </w:pPr>
      <w:r w:rsidRPr="00E40B8B">
        <w:rPr>
          <w:rFonts w:ascii="Calibri" w:hAnsi="Calibri" w:cs="Calibri"/>
          <w:color w:val="000000"/>
          <w:lang w:val="cy-GB"/>
        </w:rPr>
        <w:t>Mitchell, D. (2014).</w:t>
      </w:r>
      <w:r w:rsidRPr="00E40B8B">
        <w:rPr>
          <w:rStyle w:val="apple-converted-space"/>
          <w:rFonts w:ascii="Calibri" w:eastAsiaTheme="majorEastAsia" w:hAnsi="Calibri" w:cs="Calibri"/>
          <w:color w:val="000000"/>
          <w:lang w:val="cy-GB"/>
        </w:rPr>
        <w:t> </w:t>
      </w:r>
      <w:r w:rsidRPr="00E40B8B">
        <w:rPr>
          <w:rStyle w:val="Emphasis"/>
          <w:rFonts w:ascii="Calibri" w:eastAsiaTheme="majorEastAsia" w:hAnsi="Calibri" w:cs="Calibri"/>
          <w:color w:val="000000"/>
          <w:lang w:val="cy-GB"/>
        </w:rPr>
        <w:t>What Really Works in Special and Inclusive Education</w:t>
      </w:r>
      <w:r w:rsidRPr="00E40B8B">
        <w:rPr>
          <w:rFonts w:ascii="Calibri" w:hAnsi="Calibri" w:cs="Calibri"/>
          <w:color w:val="000000"/>
          <w:lang w:val="cy-GB"/>
        </w:rPr>
        <w:t>. Routledge.</w:t>
      </w:r>
    </w:p>
    <w:p w14:paraId="08E4747F" w14:textId="77777777" w:rsidR="00E40B8B" w:rsidRPr="00E40B8B" w:rsidRDefault="00E40B8B" w:rsidP="00E40B8B">
      <w:pPr>
        <w:pStyle w:val="NormalWeb"/>
        <w:spacing w:line="360" w:lineRule="auto"/>
        <w:rPr>
          <w:rFonts w:ascii="Calibri" w:hAnsi="Calibri" w:cs="Calibri"/>
          <w:color w:val="000000"/>
          <w:lang w:val="cy-GB"/>
        </w:rPr>
      </w:pPr>
      <w:r w:rsidRPr="00E40B8B">
        <w:rPr>
          <w:rFonts w:ascii="Calibri" w:hAnsi="Calibri" w:cs="Calibri"/>
          <w:color w:val="000000"/>
        </w:rPr>
        <w:t xml:space="preserve">Oosterman, M., </w:t>
      </w:r>
      <w:proofErr w:type="spellStart"/>
      <w:r w:rsidRPr="00E40B8B">
        <w:rPr>
          <w:rFonts w:ascii="Calibri" w:hAnsi="Calibri" w:cs="Calibri"/>
          <w:color w:val="000000"/>
        </w:rPr>
        <w:t>Schuengel</w:t>
      </w:r>
      <w:proofErr w:type="spellEnd"/>
      <w:r w:rsidRPr="00E40B8B">
        <w:rPr>
          <w:rFonts w:ascii="Calibri" w:hAnsi="Calibri" w:cs="Calibri"/>
          <w:color w:val="000000"/>
        </w:rPr>
        <w:t xml:space="preserve">, C., Slot, N. W., Bullens, R. A. R., &amp; </w:t>
      </w:r>
      <w:proofErr w:type="spellStart"/>
      <w:r w:rsidRPr="00E40B8B">
        <w:rPr>
          <w:rFonts w:ascii="Calibri" w:hAnsi="Calibri" w:cs="Calibri"/>
          <w:color w:val="000000"/>
        </w:rPr>
        <w:t>Doreleijers</w:t>
      </w:r>
      <w:proofErr w:type="spellEnd"/>
      <w:r w:rsidRPr="00E40B8B">
        <w:rPr>
          <w:rFonts w:ascii="Calibri" w:hAnsi="Calibri" w:cs="Calibri"/>
          <w:color w:val="000000"/>
        </w:rPr>
        <w:t>, T. A. H. (2007). ‘Disruptions in foster care: A review and meta-analysis.’</w:t>
      </w:r>
      <w:r w:rsidRPr="00E40B8B">
        <w:rPr>
          <w:rStyle w:val="apple-converted-space"/>
          <w:rFonts w:ascii="Calibri" w:eastAsiaTheme="majorEastAsia" w:hAnsi="Calibri" w:cs="Calibri"/>
          <w:color w:val="000000"/>
        </w:rPr>
        <w:t> </w:t>
      </w:r>
      <w:r w:rsidRPr="00E40B8B">
        <w:rPr>
          <w:rStyle w:val="Emphasis"/>
          <w:rFonts w:ascii="Calibri" w:eastAsiaTheme="majorEastAsia" w:hAnsi="Calibri" w:cs="Calibri"/>
          <w:color w:val="000000"/>
        </w:rPr>
        <w:t xml:space="preserve">Children and Youth Services Review, </w:t>
      </w:r>
      <w:r w:rsidRPr="00E40B8B">
        <w:rPr>
          <w:rStyle w:val="Emphasis"/>
          <w:rFonts w:ascii="Calibri" w:eastAsiaTheme="majorEastAsia" w:hAnsi="Calibri" w:cs="Calibri"/>
          <w:i w:val="0"/>
          <w:iCs w:val="0"/>
          <w:color w:val="000000"/>
        </w:rPr>
        <w:t>29</w:t>
      </w:r>
      <w:r w:rsidRPr="00E40B8B">
        <w:rPr>
          <w:rFonts w:ascii="Calibri" w:hAnsi="Calibri" w:cs="Calibri"/>
          <w:color w:val="000000"/>
        </w:rPr>
        <w:t>(1), tt.53–76.</w:t>
      </w:r>
    </w:p>
    <w:p w14:paraId="3F55EE00" w14:textId="77777777" w:rsidR="00E40B8B" w:rsidRPr="00E40B8B" w:rsidRDefault="00E40B8B" w:rsidP="00E40B8B">
      <w:pPr>
        <w:pStyle w:val="NormalWeb"/>
        <w:spacing w:line="360" w:lineRule="auto"/>
        <w:rPr>
          <w:rFonts w:ascii="Calibri" w:hAnsi="Calibri" w:cs="Calibri"/>
          <w:color w:val="000000"/>
          <w:lang w:val="cy-GB"/>
        </w:rPr>
      </w:pPr>
      <w:r w:rsidRPr="00E40B8B">
        <w:rPr>
          <w:rFonts w:ascii="Calibri" w:hAnsi="Calibri" w:cs="Calibri"/>
          <w:color w:val="000000"/>
        </w:rPr>
        <w:lastRenderedPageBreak/>
        <w:t xml:space="preserve">Perry, B. D. (2009). ‘Examining child maltreatment through a neurodevelopmental lens: Clinical applications of the </w:t>
      </w:r>
      <w:proofErr w:type="spellStart"/>
      <w:r w:rsidRPr="00E40B8B">
        <w:rPr>
          <w:rFonts w:ascii="Calibri" w:hAnsi="Calibri" w:cs="Calibri"/>
          <w:color w:val="000000"/>
        </w:rPr>
        <w:t>neurosequential</w:t>
      </w:r>
      <w:proofErr w:type="spellEnd"/>
      <w:r w:rsidRPr="00E40B8B">
        <w:rPr>
          <w:rFonts w:ascii="Calibri" w:hAnsi="Calibri" w:cs="Calibri"/>
          <w:color w:val="000000"/>
        </w:rPr>
        <w:t xml:space="preserve"> model of therapeutics.’</w:t>
      </w:r>
      <w:r w:rsidRPr="00E40B8B">
        <w:rPr>
          <w:rStyle w:val="apple-converted-space"/>
          <w:rFonts w:ascii="Calibri" w:eastAsiaTheme="majorEastAsia" w:hAnsi="Calibri" w:cs="Calibri"/>
          <w:color w:val="000000"/>
        </w:rPr>
        <w:t> </w:t>
      </w:r>
      <w:r w:rsidRPr="00E40B8B">
        <w:rPr>
          <w:rStyle w:val="Emphasis"/>
          <w:rFonts w:ascii="Calibri" w:eastAsiaTheme="majorEastAsia" w:hAnsi="Calibri" w:cs="Calibri"/>
          <w:color w:val="000000"/>
        </w:rPr>
        <w:t>Journal of Loss and Trauma, 14</w:t>
      </w:r>
      <w:r w:rsidRPr="00E40B8B">
        <w:rPr>
          <w:rFonts w:ascii="Calibri" w:hAnsi="Calibri" w:cs="Calibri"/>
          <w:color w:val="000000"/>
        </w:rPr>
        <w:t>(4), tt.240-255.</w:t>
      </w:r>
    </w:p>
    <w:p w14:paraId="5E9842E0" w14:textId="77777777" w:rsidR="00E40B8B" w:rsidRPr="00E40B8B" w:rsidRDefault="00E40B8B" w:rsidP="00E40B8B">
      <w:pPr>
        <w:pStyle w:val="NormalWeb"/>
        <w:spacing w:line="360" w:lineRule="auto"/>
        <w:rPr>
          <w:rFonts w:ascii="Calibri" w:hAnsi="Calibri" w:cs="Calibri"/>
          <w:color w:val="000000"/>
          <w:lang w:val="cy-GB"/>
        </w:rPr>
      </w:pPr>
      <w:r w:rsidRPr="00E40B8B">
        <w:rPr>
          <w:rFonts w:ascii="Calibri" w:hAnsi="Calibri" w:cs="Calibri"/>
          <w:color w:val="000000"/>
          <w:lang w:val="cy-GB"/>
        </w:rPr>
        <w:t>Perry, B., a Pollard, R. (1998). ‘Homeostasis, stress, trauma, and adaptation: A neurodevelopmental view of childhood trauma.’</w:t>
      </w:r>
      <w:r w:rsidRPr="00E40B8B">
        <w:rPr>
          <w:rStyle w:val="apple-converted-space"/>
          <w:rFonts w:ascii="Calibri" w:eastAsiaTheme="majorEastAsia" w:hAnsi="Calibri" w:cs="Calibri"/>
          <w:color w:val="000000"/>
          <w:lang w:val="cy-GB"/>
        </w:rPr>
        <w:t> </w:t>
      </w:r>
      <w:r w:rsidRPr="00E40B8B">
        <w:rPr>
          <w:rStyle w:val="Emphasis"/>
          <w:rFonts w:ascii="Calibri" w:eastAsiaTheme="majorEastAsia" w:hAnsi="Calibri" w:cs="Calibri"/>
          <w:color w:val="000000"/>
          <w:lang w:val="cy-GB"/>
        </w:rPr>
        <w:t>Child and Adolescent Psychiatric Clinics of North America, 7</w:t>
      </w:r>
      <w:r w:rsidRPr="00E40B8B">
        <w:rPr>
          <w:rFonts w:ascii="Calibri" w:hAnsi="Calibri" w:cs="Calibri"/>
          <w:color w:val="000000"/>
          <w:lang w:val="cy-GB"/>
        </w:rPr>
        <w:t>(1), tt.33-51.</w:t>
      </w:r>
    </w:p>
    <w:p w14:paraId="124A7327" w14:textId="77777777" w:rsidR="00E40B8B" w:rsidRPr="00E40B8B" w:rsidRDefault="00E40B8B" w:rsidP="00E40B8B">
      <w:pPr>
        <w:pStyle w:val="NormalWeb"/>
        <w:spacing w:line="360" w:lineRule="auto"/>
        <w:rPr>
          <w:rFonts w:ascii="Calibri" w:hAnsi="Calibri" w:cs="Calibri"/>
          <w:color w:val="000000"/>
          <w:lang w:val="cy-GB"/>
        </w:rPr>
      </w:pPr>
      <w:r w:rsidRPr="00E40B8B">
        <w:rPr>
          <w:rFonts w:ascii="Calibri" w:hAnsi="Calibri" w:cs="Calibri"/>
          <w:color w:val="000000"/>
        </w:rPr>
        <w:t xml:space="preserve">Sanders, M. R., Kirby, J. N., </w:t>
      </w:r>
      <w:proofErr w:type="spellStart"/>
      <w:r w:rsidRPr="00E40B8B">
        <w:rPr>
          <w:rFonts w:ascii="Calibri" w:hAnsi="Calibri" w:cs="Calibri"/>
          <w:color w:val="000000"/>
        </w:rPr>
        <w:t>Tellegen</w:t>
      </w:r>
      <w:proofErr w:type="spellEnd"/>
      <w:r w:rsidRPr="00E40B8B">
        <w:rPr>
          <w:rFonts w:ascii="Calibri" w:hAnsi="Calibri" w:cs="Calibri"/>
          <w:color w:val="000000"/>
        </w:rPr>
        <w:t>, C. L., &amp; Day, J. J. (2014). ‘The Triple P-Positive Parenting Program: A systematic review and meta-analysis of a multi-level system of parenting support.’</w:t>
      </w:r>
      <w:r w:rsidRPr="00E40B8B">
        <w:rPr>
          <w:rStyle w:val="apple-converted-space"/>
          <w:rFonts w:ascii="Calibri" w:eastAsiaTheme="majorEastAsia" w:hAnsi="Calibri" w:cs="Calibri"/>
          <w:color w:val="000000"/>
        </w:rPr>
        <w:t> </w:t>
      </w:r>
      <w:r w:rsidRPr="00E40B8B">
        <w:rPr>
          <w:rStyle w:val="Emphasis"/>
          <w:rFonts w:ascii="Calibri" w:eastAsiaTheme="majorEastAsia" w:hAnsi="Calibri" w:cs="Calibri"/>
          <w:color w:val="000000"/>
        </w:rPr>
        <w:t>Clinical Psychology Review</w:t>
      </w:r>
      <w:r w:rsidRPr="00E40B8B">
        <w:rPr>
          <w:rStyle w:val="Emphasis"/>
          <w:rFonts w:ascii="Calibri" w:eastAsiaTheme="majorEastAsia" w:hAnsi="Calibri" w:cs="Calibri"/>
          <w:i w:val="0"/>
          <w:iCs w:val="0"/>
          <w:color w:val="000000"/>
        </w:rPr>
        <w:t>, 34</w:t>
      </w:r>
      <w:r w:rsidRPr="00E40B8B">
        <w:rPr>
          <w:rFonts w:ascii="Calibri" w:hAnsi="Calibri" w:cs="Calibri"/>
          <w:color w:val="000000"/>
        </w:rPr>
        <w:t>(4), tt.337-357.</w:t>
      </w:r>
    </w:p>
    <w:p w14:paraId="4D306899" w14:textId="77777777" w:rsidR="00E40B8B" w:rsidRPr="00E40B8B" w:rsidRDefault="00E40B8B" w:rsidP="00E40B8B">
      <w:pPr>
        <w:pStyle w:val="NormalWeb"/>
        <w:spacing w:line="360" w:lineRule="auto"/>
        <w:rPr>
          <w:rFonts w:ascii="Calibri" w:hAnsi="Calibri" w:cs="Calibri"/>
          <w:color w:val="000000"/>
          <w:lang w:val="cy-GB"/>
        </w:rPr>
      </w:pPr>
      <w:r w:rsidRPr="00E40B8B">
        <w:rPr>
          <w:rFonts w:ascii="Calibri" w:hAnsi="Calibri" w:cs="Calibri"/>
          <w:color w:val="000000"/>
          <w:lang w:val="cy-GB"/>
        </w:rPr>
        <w:t>Shonkoff, J. P., et al. (2012). ‘The lifelong effects of early childhood adversity and toxic stress.’</w:t>
      </w:r>
      <w:r w:rsidRPr="00E40B8B">
        <w:rPr>
          <w:rStyle w:val="apple-converted-space"/>
          <w:rFonts w:ascii="Calibri" w:eastAsiaTheme="majorEastAsia" w:hAnsi="Calibri" w:cs="Calibri"/>
          <w:color w:val="000000"/>
          <w:lang w:val="cy-GB"/>
        </w:rPr>
        <w:t> </w:t>
      </w:r>
      <w:r w:rsidRPr="00E40B8B">
        <w:rPr>
          <w:rStyle w:val="Emphasis"/>
          <w:rFonts w:ascii="Calibri" w:eastAsiaTheme="majorEastAsia" w:hAnsi="Calibri" w:cs="Calibri"/>
          <w:color w:val="000000"/>
          <w:lang w:val="cy-GB"/>
        </w:rPr>
        <w:t>Pediatrics, 129</w:t>
      </w:r>
      <w:r w:rsidRPr="00E40B8B">
        <w:rPr>
          <w:rFonts w:ascii="Calibri" w:hAnsi="Calibri" w:cs="Calibri"/>
          <w:color w:val="000000"/>
          <w:lang w:val="cy-GB"/>
        </w:rPr>
        <w:t>(1), tt.232-246.</w:t>
      </w:r>
    </w:p>
    <w:p w14:paraId="55298FB8" w14:textId="77777777" w:rsidR="00E40B8B" w:rsidRPr="00E40B8B" w:rsidRDefault="00E40B8B" w:rsidP="00E40B8B">
      <w:pPr>
        <w:pStyle w:val="NormalWeb"/>
        <w:spacing w:line="360" w:lineRule="auto"/>
        <w:rPr>
          <w:rFonts w:ascii="Calibri" w:hAnsi="Calibri" w:cs="Calibri"/>
          <w:color w:val="000000"/>
          <w:lang w:val="cy-GB"/>
        </w:rPr>
      </w:pPr>
      <w:r w:rsidRPr="00E40B8B">
        <w:rPr>
          <w:rFonts w:ascii="Calibri" w:hAnsi="Calibri" w:cs="Calibri"/>
          <w:color w:val="000000"/>
          <w:lang w:val="cy-GB"/>
        </w:rPr>
        <w:t>Van der Kolk, B. (2015).</w:t>
      </w:r>
      <w:r w:rsidRPr="00E40B8B">
        <w:rPr>
          <w:rStyle w:val="apple-converted-space"/>
          <w:rFonts w:ascii="Calibri" w:eastAsiaTheme="majorEastAsia" w:hAnsi="Calibri" w:cs="Calibri"/>
          <w:color w:val="000000"/>
          <w:lang w:val="cy-GB"/>
        </w:rPr>
        <w:t> </w:t>
      </w:r>
      <w:r w:rsidRPr="00E40B8B">
        <w:rPr>
          <w:rStyle w:val="Emphasis"/>
          <w:rFonts w:ascii="Calibri" w:eastAsiaTheme="majorEastAsia" w:hAnsi="Calibri" w:cs="Calibri"/>
          <w:color w:val="000000"/>
          <w:lang w:val="cy-GB"/>
        </w:rPr>
        <w:t>The Body Keeps the Score: Brain, Mind, and Body in the Healing of Trauma.</w:t>
      </w:r>
      <w:r w:rsidRPr="00E40B8B">
        <w:rPr>
          <w:rStyle w:val="apple-converted-space"/>
          <w:rFonts w:ascii="Calibri" w:eastAsiaTheme="majorEastAsia" w:hAnsi="Calibri" w:cs="Calibri"/>
          <w:color w:val="000000"/>
          <w:lang w:val="cy-GB"/>
        </w:rPr>
        <w:t> </w:t>
      </w:r>
      <w:r w:rsidRPr="00E40B8B">
        <w:rPr>
          <w:rFonts w:ascii="Calibri" w:hAnsi="Calibri" w:cs="Calibri"/>
          <w:color w:val="000000"/>
          <w:lang w:val="cy-GB"/>
        </w:rPr>
        <w:t>Penguin Books.</w:t>
      </w:r>
    </w:p>
    <w:p w14:paraId="367B7364" w14:textId="77777777" w:rsidR="00E40B8B" w:rsidRPr="0089636A" w:rsidRDefault="00E40B8B" w:rsidP="00E40B8B">
      <w:pPr>
        <w:pStyle w:val="NormalWeb"/>
        <w:spacing w:line="360" w:lineRule="auto"/>
        <w:rPr>
          <w:rFonts w:ascii="Calibri" w:hAnsi="Calibri" w:cs="Calibri"/>
          <w:color w:val="000000"/>
          <w:lang w:val="cy-GB"/>
        </w:rPr>
      </w:pPr>
      <w:r w:rsidRPr="00E40B8B">
        <w:rPr>
          <w:rFonts w:ascii="Calibri" w:hAnsi="Calibri" w:cs="Calibri"/>
          <w:color w:val="000000"/>
          <w:lang w:val="cy-GB"/>
        </w:rPr>
        <w:t>Zoogman, S., Goldberg, S., &amp; Hoyt, W.(2014). ‘Mindfulness interventions with youth.’</w:t>
      </w:r>
      <w:r w:rsidRPr="00E40B8B">
        <w:rPr>
          <w:rStyle w:val="apple-converted-space"/>
          <w:rFonts w:ascii="Calibri" w:eastAsiaTheme="majorEastAsia" w:hAnsi="Calibri" w:cs="Calibri"/>
          <w:color w:val="000000"/>
          <w:lang w:val="cy-GB"/>
        </w:rPr>
        <w:t> </w:t>
      </w:r>
      <w:r w:rsidRPr="00E40B8B">
        <w:rPr>
          <w:rStyle w:val="Emphasis"/>
          <w:rFonts w:ascii="Calibri" w:eastAsiaTheme="majorEastAsia" w:hAnsi="Calibri" w:cs="Calibri"/>
          <w:color w:val="000000"/>
          <w:lang w:val="cy-GB"/>
        </w:rPr>
        <w:t>Clinical Psychology Review, 35</w:t>
      </w:r>
      <w:r w:rsidRPr="00E40B8B">
        <w:rPr>
          <w:rFonts w:ascii="Calibri" w:hAnsi="Calibri" w:cs="Calibri"/>
          <w:color w:val="000000"/>
          <w:lang w:val="cy-GB"/>
        </w:rPr>
        <w:t>(4), tt.51-61.</w:t>
      </w:r>
    </w:p>
    <w:p w14:paraId="39068C3C" w14:textId="77777777" w:rsidR="00E40B8B" w:rsidRPr="0089636A" w:rsidRDefault="00E40B8B" w:rsidP="00E40B8B">
      <w:pPr>
        <w:pStyle w:val="NormalWeb"/>
        <w:spacing w:line="360" w:lineRule="auto"/>
        <w:rPr>
          <w:rFonts w:ascii="Calibri" w:hAnsi="Calibri" w:cs="Calibri"/>
          <w:color w:val="000000"/>
          <w:lang w:val="cy-GB"/>
        </w:rPr>
      </w:pPr>
    </w:p>
    <w:p w14:paraId="4B3EA985" w14:textId="77777777" w:rsidR="00E40B8B" w:rsidRPr="0089636A" w:rsidRDefault="00E40B8B" w:rsidP="00E40B8B">
      <w:pPr>
        <w:spacing w:line="360" w:lineRule="auto"/>
        <w:rPr>
          <w:rFonts w:ascii="Calibri" w:hAnsi="Calibri" w:cs="Calibri"/>
          <w:lang w:val="cy-GB"/>
        </w:rPr>
      </w:pPr>
    </w:p>
    <w:p w14:paraId="1FA86843" w14:textId="77777777" w:rsidR="00E40B8B" w:rsidRDefault="00E40B8B"/>
    <w:sectPr w:rsidR="00E40B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B8B"/>
    <w:rsid w:val="002128C2"/>
    <w:rsid w:val="00E40B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7B676E"/>
  <w15:chartTrackingRefBased/>
  <w15:docId w15:val="{F92B94BE-B5C3-6548-B33D-465B0F16B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0B8B"/>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E40B8B"/>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E40B8B"/>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E40B8B"/>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E40B8B"/>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E40B8B"/>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E40B8B"/>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E40B8B"/>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E40B8B"/>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E40B8B"/>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0B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0B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0B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0B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0B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0B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0B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0B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0B8B"/>
    <w:rPr>
      <w:rFonts w:eastAsiaTheme="majorEastAsia" w:cstheme="majorBidi"/>
      <w:color w:val="272727" w:themeColor="text1" w:themeTint="D8"/>
    </w:rPr>
  </w:style>
  <w:style w:type="paragraph" w:styleId="Title">
    <w:name w:val="Title"/>
    <w:basedOn w:val="Normal"/>
    <w:next w:val="Normal"/>
    <w:link w:val="TitleChar"/>
    <w:uiPriority w:val="10"/>
    <w:qFormat/>
    <w:rsid w:val="00E40B8B"/>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E40B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0B8B"/>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E40B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0B8B"/>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E40B8B"/>
    <w:rPr>
      <w:i/>
      <w:iCs/>
      <w:color w:val="404040" w:themeColor="text1" w:themeTint="BF"/>
    </w:rPr>
  </w:style>
  <w:style w:type="paragraph" w:styleId="ListParagraph">
    <w:name w:val="List Paragraph"/>
    <w:basedOn w:val="Normal"/>
    <w:uiPriority w:val="34"/>
    <w:qFormat/>
    <w:rsid w:val="00E40B8B"/>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E40B8B"/>
    <w:rPr>
      <w:i/>
      <w:iCs/>
      <w:color w:val="0F4761" w:themeColor="accent1" w:themeShade="BF"/>
    </w:rPr>
  </w:style>
  <w:style w:type="paragraph" w:styleId="IntenseQuote">
    <w:name w:val="Intense Quote"/>
    <w:basedOn w:val="Normal"/>
    <w:next w:val="Normal"/>
    <w:link w:val="IntenseQuoteChar"/>
    <w:uiPriority w:val="30"/>
    <w:qFormat/>
    <w:rsid w:val="00E40B8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E40B8B"/>
    <w:rPr>
      <w:i/>
      <w:iCs/>
      <w:color w:val="0F4761" w:themeColor="accent1" w:themeShade="BF"/>
    </w:rPr>
  </w:style>
  <w:style w:type="character" w:styleId="IntenseReference">
    <w:name w:val="Intense Reference"/>
    <w:basedOn w:val="DefaultParagraphFont"/>
    <w:uiPriority w:val="32"/>
    <w:qFormat/>
    <w:rsid w:val="00E40B8B"/>
    <w:rPr>
      <w:b/>
      <w:bCs/>
      <w:smallCaps/>
      <w:color w:val="0F4761" w:themeColor="accent1" w:themeShade="BF"/>
      <w:spacing w:val="5"/>
    </w:rPr>
  </w:style>
  <w:style w:type="character" w:customStyle="1" w:styleId="apple-converted-space">
    <w:name w:val="apple-converted-space"/>
    <w:basedOn w:val="DefaultParagraphFont"/>
    <w:rsid w:val="00E40B8B"/>
  </w:style>
  <w:style w:type="character" w:styleId="Emphasis">
    <w:name w:val="Emphasis"/>
    <w:basedOn w:val="DefaultParagraphFont"/>
    <w:uiPriority w:val="20"/>
    <w:qFormat/>
    <w:rsid w:val="00E40B8B"/>
    <w:rPr>
      <w:i/>
      <w:iCs/>
    </w:rPr>
  </w:style>
  <w:style w:type="character" w:styleId="Strong">
    <w:name w:val="Strong"/>
    <w:basedOn w:val="DefaultParagraphFont"/>
    <w:uiPriority w:val="22"/>
    <w:qFormat/>
    <w:rsid w:val="00E40B8B"/>
    <w:rPr>
      <w:b/>
      <w:bCs/>
    </w:rPr>
  </w:style>
  <w:style w:type="paragraph" w:styleId="NormalWeb">
    <w:name w:val="Normal (Web)"/>
    <w:basedOn w:val="Normal"/>
    <w:uiPriority w:val="99"/>
    <w:unhideWhenUsed/>
    <w:rsid w:val="00E40B8B"/>
    <w:pPr>
      <w:spacing w:before="100" w:beforeAutospacing="1" w:after="100" w:afterAutospacing="1"/>
    </w:pPr>
  </w:style>
  <w:style w:type="character" w:styleId="Hyperlink">
    <w:name w:val="Hyperlink"/>
    <w:basedOn w:val="DefaultParagraphFont"/>
    <w:uiPriority w:val="99"/>
    <w:unhideWhenUsed/>
    <w:rsid w:val="00E40B8B"/>
    <w:rPr>
      <w:color w:val="467886" w:themeColor="hyperlink"/>
      <w:u w:val="single"/>
    </w:rPr>
  </w:style>
  <w:style w:type="character" w:customStyle="1" w:styleId="relative">
    <w:name w:val="relative"/>
    <w:basedOn w:val="DefaultParagraphFont"/>
    <w:rsid w:val="00E40B8B"/>
  </w:style>
  <w:style w:type="character" w:customStyle="1" w:styleId="identifier">
    <w:name w:val="identifier"/>
    <w:basedOn w:val="DefaultParagraphFont"/>
    <w:rsid w:val="00E40B8B"/>
  </w:style>
  <w:style w:type="character" w:customStyle="1" w:styleId="id-label">
    <w:name w:val="id-label"/>
    <w:basedOn w:val="DefaultParagraphFont"/>
    <w:rsid w:val="00E40B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socscimed.2010.04.027" TargetMode="External"/><Relationship Id="rId3" Type="http://schemas.openxmlformats.org/officeDocument/2006/relationships/settings" Target="settings.xml"/><Relationship Id="rId7" Type="http://schemas.openxmlformats.org/officeDocument/2006/relationships/hyperlink" Target="https://doi.org/10.1097/IYC.0b013e3182002cf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3102/0091732X17690499" TargetMode="External"/><Relationship Id="rId11" Type="http://schemas.openxmlformats.org/officeDocument/2006/relationships/fontTable" Target="fontTable.xml"/><Relationship Id="rId5" Type="http://schemas.openxmlformats.org/officeDocument/2006/relationships/hyperlink" Target="https://doi.org/10.1111/cdep.12013" TargetMode="External"/><Relationship Id="rId10" Type="http://schemas.openxmlformats.org/officeDocument/2006/relationships/hyperlink" Target="https://doi.org/10.1016/j.jaac.2015.06.010" TargetMode="External"/><Relationship Id="rId4" Type="http://schemas.openxmlformats.org/officeDocument/2006/relationships/webSettings" Target="webSettings.xml"/><Relationship Id="rId9" Type="http://schemas.openxmlformats.org/officeDocument/2006/relationships/hyperlink" Target="https://doi.org/10.1001/jama.2020.97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87C068-36D8-DF4A-8A5B-42ACE1A7F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5137</Words>
  <Characters>29287</Characters>
  <Application>Microsoft Office Word</Application>
  <DocSecurity>0</DocSecurity>
  <Lines>244</Lines>
  <Paragraphs>68</Paragraphs>
  <ScaleCrop>false</ScaleCrop>
  <Company/>
  <LinksUpToDate>false</LinksUpToDate>
  <CharactersWithSpaces>34356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Williams (1811617)</dc:creator>
  <cp:keywords/>
  <dc:description/>
  <cp:lastModifiedBy>Amelia Williams (1811617)</cp:lastModifiedBy>
  <cp:revision>1</cp:revision>
  <dcterms:created xsi:type="dcterms:W3CDTF">2025-03-31T20:06:00Z</dcterms:created>
  <dcterms:modified xsi:type="dcterms:W3CDTF">2025-03-31T20:07:00Z</dcterms:modified>
</cp:coreProperties>
</file>