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E7EB3" w14:textId="65A29506" w:rsidR="002C73EF" w:rsidRDefault="002C73EF">
      <w:pPr>
        <w:rPr>
          <w:rFonts w:ascii="Arial" w:hAnsi="Arial" w:cs="Arial"/>
        </w:rPr>
      </w:pPr>
    </w:p>
    <w:p w14:paraId="5D38D63E" w14:textId="77777777" w:rsidR="002C73EF" w:rsidRDefault="002C73EF">
      <w:pPr>
        <w:rPr>
          <w:rFonts w:ascii="Arial" w:hAnsi="Arial" w:cs="Arial"/>
        </w:rPr>
      </w:pPr>
    </w:p>
    <w:p w14:paraId="13C80834" w14:textId="7BEF7E7D" w:rsidR="00641D7F" w:rsidRDefault="00641D7F">
      <w:pPr>
        <w:rPr>
          <w:rFonts w:ascii="Arial" w:hAnsi="Arial" w:cs="Arial"/>
        </w:rPr>
      </w:pPr>
      <w:r>
        <w:rPr>
          <w:rFonts w:ascii="Arial" w:hAnsi="Arial" w:cs="Arial"/>
        </w:rPr>
        <w:t xml:space="preserve"> </w:t>
      </w:r>
    </w:p>
    <w:p w14:paraId="0BE2166F" w14:textId="7B83604F" w:rsidR="00641D7F" w:rsidRDefault="00641D7F" w:rsidP="002C73EF">
      <w:pPr>
        <w:spacing w:before="100" w:beforeAutospacing="1" w:after="100" w:afterAutospacing="1" w:line="240" w:lineRule="auto"/>
        <w:outlineLvl w:val="0"/>
        <w:rPr>
          <w:rFonts w:ascii="Arial" w:eastAsia="Times New Roman" w:hAnsi="Arial" w:cs="Arial"/>
          <w:b/>
          <w:bCs/>
          <w:kern w:val="36"/>
          <w:sz w:val="32"/>
          <w:szCs w:val="32"/>
          <w:lang w:eastAsia="en-GB"/>
          <w14:ligatures w14:val="none"/>
        </w:rPr>
      </w:pPr>
      <w:r>
        <w:rPr>
          <w:rFonts w:ascii="Arial" w:eastAsia="Times New Roman" w:hAnsi="Arial" w:cs="Arial"/>
          <w:b/>
          <w:bCs/>
          <w:noProof/>
          <w:kern w:val="36"/>
          <w:sz w:val="32"/>
          <w:szCs w:val="32"/>
          <w:lang w:eastAsia="en-GB"/>
        </w:rPr>
        <w:drawing>
          <wp:inline distT="0" distB="0" distL="0" distR="0" wp14:anchorId="374A8CBA" wp14:editId="6BAEE9E6">
            <wp:extent cx="5715000" cy="2857500"/>
            <wp:effectExtent l="0" t="0" r="0" b="0"/>
            <wp:docPr id="1116651697" name="Picture 1"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651697" name="Picture 1116651697" descr="University of Wales Hub: description, news and contact info"/>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5715000" cy="2857500"/>
                    </a:xfrm>
                    <a:prstGeom prst="rect">
                      <a:avLst/>
                    </a:prstGeom>
                  </pic:spPr>
                </pic:pic>
              </a:graphicData>
            </a:graphic>
          </wp:inline>
        </w:drawing>
      </w:r>
    </w:p>
    <w:p w14:paraId="1D3918F4" w14:textId="77777777" w:rsidR="00641D7F" w:rsidRDefault="00641D7F" w:rsidP="002C73EF">
      <w:pPr>
        <w:spacing w:before="100" w:beforeAutospacing="1" w:after="100" w:afterAutospacing="1" w:line="240" w:lineRule="auto"/>
        <w:outlineLvl w:val="0"/>
        <w:rPr>
          <w:rFonts w:ascii="Arial" w:eastAsia="Times New Roman" w:hAnsi="Arial" w:cs="Arial"/>
          <w:b/>
          <w:bCs/>
          <w:kern w:val="36"/>
          <w:sz w:val="32"/>
          <w:szCs w:val="32"/>
          <w:lang w:eastAsia="en-GB"/>
          <w14:ligatures w14:val="none"/>
        </w:rPr>
      </w:pPr>
    </w:p>
    <w:p w14:paraId="09740947" w14:textId="327F1BAA" w:rsidR="002C73EF" w:rsidRDefault="002C73EF" w:rsidP="002C73EF">
      <w:pPr>
        <w:spacing w:before="100" w:beforeAutospacing="1" w:after="100" w:afterAutospacing="1" w:line="240" w:lineRule="auto"/>
        <w:outlineLvl w:val="0"/>
        <w:rPr>
          <w:rFonts w:ascii="Arial" w:eastAsia="Times New Roman" w:hAnsi="Arial" w:cs="Arial"/>
          <w:b/>
          <w:bCs/>
          <w:kern w:val="36"/>
          <w:sz w:val="32"/>
          <w:szCs w:val="32"/>
          <w:lang w:eastAsia="en-GB"/>
          <w14:ligatures w14:val="none"/>
        </w:rPr>
      </w:pPr>
      <w:r w:rsidRPr="002C73EF">
        <w:rPr>
          <w:rFonts w:ascii="Arial" w:eastAsia="Times New Roman" w:hAnsi="Arial" w:cs="Arial"/>
          <w:b/>
          <w:bCs/>
          <w:kern w:val="36"/>
          <w:sz w:val="32"/>
          <w:szCs w:val="32"/>
          <w:lang w:eastAsia="en-GB"/>
          <w14:ligatures w14:val="none"/>
        </w:rPr>
        <w:t>HR Challenges in Mitie Group plc: A Contemporary Analysis</w:t>
      </w:r>
    </w:p>
    <w:p w14:paraId="4C2B0A08" w14:textId="46223B10" w:rsidR="004F1225" w:rsidRPr="00641D7F" w:rsidRDefault="004F1225" w:rsidP="002C73EF">
      <w:pPr>
        <w:spacing w:before="100" w:beforeAutospacing="1" w:after="100" w:afterAutospacing="1" w:line="240" w:lineRule="auto"/>
        <w:outlineLvl w:val="0"/>
        <w:rPr>
          <w:rFonts w:ascii="Arial" w:eastAsia="Times New Roman" w:hAnsi="Arial" w:cs="Arial"/>
          <w:b/>
          <w:bCs/>
          <w:kern w:val="36"/>
          <w:sz w:val="28"/>
          <w:szCs w:val="28"/>
          <w:lang w:eastAsia="en-GB"/>
          <w14:ligatures w14:val="none"/>
        </w:rPr>
      </w:pPr>
      <w:r w:rsidRPr="00641D7F">
        <w:rPr>
          <w:rFonts w:ascii="Arial" w:eastAsia="Times New Roman" w:hAnsi="Arial" w:cs="Arial"/>
          <w:b/>
          <w:bCs/>
          <w:kern w:val="36"/>
          <w:sz w:val="28"/>
          <w:szCs w:val="28"/>
          <w:lang w:eastAsia="en-GB"/>
          <w14:ligatures w14:val="none"/>
        </w:rPr>
        <w:t>Module: Developing and Managing Individuals and Teams</w:t>
      </w:r>
    </w:p>
    <w:p w14:paraId="0F78E2D5" w14:textId="13D4C349" w:rsidR="004F1225" w:rsidRPr="00641D7F" w:rsidRDefault="004F1225" w:rsidP="002C73EF">
      <w:pPr>
        <w:spacing w:before="100" w:beforeAutospacing="1" w:after="100" w:afterAutospacing="1" w:line="240" w:lineRule="auto"/>
        <w:outlineLvl w:val="0"/>
        <w:rPr>
          <w:rFonts w:ascii="Arial" w:eastAsia="Times New Roman" w:hAnsi="Arial" w:cs="Arial"/>
          <w:b/>
          <w:bCs/>
          <w:kern w:val="36"/>
          <w:sz w:val="28"/>
          <w:szCs w:val="28"/>
          <w:lang w:eastAsia="en-GB"/>
          <w14:ligatures w14:val="none"/>
        </w:rPr>
      </w:pPr>
      <w:r w:rsidRPr="00641D7F">
        <w:rPr>
          <w:rFonts w:ascii="Arial" w:eastAsia="Times New Roman" w:hAnsi="Arial" w:cs="Arial"/>
          <w:b/>
          <w:bCs/>
          <w:kern w:val="36"/>
          <w:sz w:val="28"/>
          <w:szCs w:val="28"/>
          <w:lang w:eastAsia="en-GB"/>
          <w14:ligatures w14:val="none"/>
        </w:rPr>
        <w:t>Module Code; (LCLM5002)</w:t>
      </w:r>
    </w:p>
    <w:p w14:paraId="07232673" w14:textId="1286C183" w:rsidR="004F1225" w:rsidRPr="00641D7F" w:rsidRDefault="004F1225" w:rsidP="002C73EF">
      <w:pPr>
        <w:spacing w:before="100" w:beforeAutospacing="1" w:after="100" w:afterAutospacing="1" w:line="240" w:lineRule="auto"/>
        <w:outlineLvl w:val="0"/>
        <w:rPr>
          <w:rFonts w:ascii="Arial" w:eastAsia="Times New Roman" w:hAnsi="Arial" w:cs="Arial"/>
          <w:b/>
          <w:bCs/>
          <w:kern w:val="36"/>
          <w:sz w:val="28"/>
          <w:szCs w:val="28"/>
          <w:lang w:eastAsia="en-GB"/>
          <w14:ligatures w14:val="none"/>
        </w:rPr>
      </w:pPr>
      <w:r w:rsidRPr="00641D7F">
        <w:rPr>
          <w:rFonts w:ascii="Arial" w:eastAsia="Times New Roman" w:hAnsi="Arial" w:cs="Arial"/>
          <w:b/>
          <w:bCs/>
          <w:kern w:val="36"/>
          <w:sz w:val="28"/>
          <w:szCs w:val="28"/>
          <w:lang w:eastAsia="en-GB"/>
          <w14:ligatures w14:val="none"/>
        </w:rPr>
        <w:t>Assignment Tittle: Individual Report on HR Challenges</w:t>
      </w:r>
    </w:p>
    <w:p w14:paraId="4A775F2F" w14:textId="3AB2638A" w:rsidR="004F1225" w:rsidRPr="00641D7F" w:rsidRDefault="004F1225" w:rsidP="002C73EF">
      <w:pPr>
        <w:spacing w:before="100" w:beforeAutospacing="1" w:after="100" w:afterAutospacing="1" w:line="240" w:lineRule="auto"/>
        <w:outlineLvl w:val="0"/>
        <w:rPr>
          <w:rFonts w:ascii="Arial" w:eastAsia="Times New Roman" w:hAnsi="Arial" w:cs="Arial"/>
          <w:b/>
          <w:bCs/>
          <w:kern w:val="36"/>
          <w:sz w:val="28"/>
          <w:szCs w:val="28"/>
          <w:lang w:eastAsia="en-GB"/>
          <w14:ligatures w14:val="none"/>
        </w:rPr>
      </w:pPr>
      <w:r w:rsidRPr="00641D7F">
        <w:rPr>
          <w:rFonts w:ascii="Arial" w:eastAsia="Times New Roman" w:hAnsi="Arial" w:cs="Arial"/>
          <w:b/>
          <w:bCs/>
          <w:kern w:val="36"/>
          <w:sz w:val="28"/>
          <w:szCs w:val="28"/>
          <w:lang w:eastAsia="en-GB"/>
          <w14:ligatures w14:val="none"/>
        </w:rPr>
        <w:t xml:space="preserve">Student Name: Jackelyn </w:t>
      </w:r>
      <w:r w:rsidR="00641D7F" w:rsidRPr="00641D7F">
        <w:rPr>
          <w:rFonts w:ascii="Arial" w:eastAsia="Times New Roman" w:hAnsi="Arial" w:cs="Arial"/>
          <w:b/>
          <w:bCs/>
          <w:kern w:val="36"/>
          <w:sz w:val="28"/>
          <w:szCs w:val="28"/>
          <w:lang w:eastAsia="en-GB"/>
          <w14:ligatures w14:val="none"/>
        </w:rPr>
        <w:t>Tindugan</w:t>
      </w:r>
    </w:p>
    <w:p w14:paraId="117DECB3" w14:textId="7B15CCC5" w:rsidR="004F1225" w:rsidRPr="00641D7F" w:rsidRDefault="004F1225" w:rsidP="002C73EF">
      <w:pPr>
        <w:spacing w:before="100" w:beforeAutospacing="1" w:after="100" w:afterAutospacing="1" w:line="240" w:lineRule="auto"/>
        <w:outlineLvl w:val="0"/>
        <w:rPr>
          <w:rFonts w:ascii="Arial" w:eastAsia="Times New Roman" w:hAnsi="Arial" w:cs="Arial"/>
          <w:b/>
          <w:bCs/>
          <w:kern w:val="36"/>
          <w:sz w:val="28"/>
          <w:szCs w:val="28"/>
          <w:lang w:eastAsia="en-GB"/>
          <w14:ligatures w14:val="none"/>
        </w:rPr>
      </w:pPr>
      <w:r w:rsidRPr="00641D7F">
        <w:rPr>
          <w:rFonts w:ascii="Arial" w:eastAsia="Times New Roman" w:hAnsi="Arial" w:cs="Arial"/>
          <w:b/>
          <w:bCs/>
          <w:kern w:val="36"/>
          <w:sz w:val="28"/>
          <w:szCs w:val="28"/>
          <w:lang w:eastAsia="en-GB"/>
          <w14:ligatures w14:val="none"/>
        </w:rPr>
        <w:t>Student ID: 2429085</w:t>
      </w:r>
    </w:p>
    <w:p w14:paraId="35F4B844" w14:textId="092CFAD2" w:rsidR="004F1225" w:rsidRPr="002C73EF" w:rsidRDefault="00641D7F" w:rsidP="002C73EF">
      <w:pPr>
        <w:spacing w:before="100" w:beforeAutospacing="1" w:after="100" w:afterAutospacing="1" w:line="240" w:lineRule="auto"/>
        <w:outlineLvl w:val="0"/>
        <w:rPr>
          <w:rFonts w:ascii="Arial" w:eastAsia="Times New Roman" w:hAnsi="Arial" w:cs="Arial"/>
          <w:b/>
          <w:bCs/>
          <w:kern w:val="36"/>
          <w:sz w:val="28"/>
          <w:szCs w:val="28"/>
          <w:lang w:eastAsia="en-GB"/>
          <w14:ligatures w14:val="none"/>
        </w:rPr>
      </w:pPr>
      <w:r w:rsidRPr="00641D7F">
        <w:rPr>
          <w:rFonts w:ascii="Arial" w:eastAsia="Times New Roman" w:hAnsi="Arial" w:cs="Arial"/>
          <w:b/>
          <w:bCs/>
          <w:kern w:val="36"/>
          <w:sz w:val="28"/>
          <w:szCs w:val="28"/>
          <w:lang w:eastAsia="en-GB"/>
          <w14:ligatures w14:val="none"/>
        </w:rPr>
        <w:t>Lecturer: Amer Kareem</w:t>
      </w:r>
    </w:p>
    <w:p w14:paraId="11156DAE" w14:textId="77777777" w:rsidR="002C73EF" w:rsidRDefault="002C73EF">
      <w:pPr>
        <w:rPr>
          <w:rFonts w:ascii="Arial" w:hAnsi="Arial" w:cs="Arial"/>
        </w:rPr>
      </w:pPr>
    </w:p>
    <w:p w14:paraId="47B33732" w14:textId="77777777" w:rsidR="002C73EF" w:rsidRPr="002C73EF" w:rsidRDefault="002C73EF">
      <w:pPr>
        <w:rPr>
          <w:rFonts w:ascii="Arial" w:hAnsi="Arial" w:cs="Arial"/>
          <w:b/>
          <w:bCs/>
          <w:sz w:val="28"/>
          <w:szCs w:val="28"/>
        </w:rPr>
      </w:pPr>
    </w:p>
    <w:p w14:paraId="1B9B55FC" w14:textId="403DE59B" w:rsidR="002C73EF" w:rsidRDefault="002C73EF">
      <w:pPr>
        <w:rPr>
          <w:rFonts w:ascii="Arial" w:hAnsi="Arial" w:cs="Arial"/>
          <w:b/>
          <w:bCs/>
        </w:rPr>
      </w:pPr>
    </w:p>
    <w:p w14:paraId="7596D606" w14:textId="77777777" w:rsidR="002C73EF" w:rsidRDefault="002C73EF">
      <w:pPr>
        <w:rPr>
          <w:rFonts w:ascii="Arial" w:hAnsi="Arial" w:cs="Arial"/>
          <w:b/>
          <w:bCs/>
        </w:rPr>
      </w:pPr>
    </w:p>
    <w:p w14:paraId="296CEE1B" w14:textId="52F748D7" w:rsidR="002C73EF" w:rsidRDefault="002C73EF">
      <w:pPr>
        <w:rPr>
          <w:rFonts w:ascii="Arial" w:hAnsi="Arial" w:cs="Arial"/>
          <w:b/>
          <w:bCs/>
        </w:rPr>
      </w:pPr>
      <w:r>
        <w:rPr>
          <w:rFonts w:ascii="Arial" w:hAnsi="Arial" w:cs="Arial"/>
          <w:b/>
          <w:bCs/>
        </w:rPr>
        <w:br w:type="page"/>
      </w:r>
    </w:p>
    <w:p w14:paraId="3BB1C5A6" w14:textId="77777777" w:rsidR="00641D7F" w:rsidRDefault="00641D7F" w:rsidP="002C73EF">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2698FC72" w14:textId="77777777" w:rsidR="00641D7F" w:rsidRDefault="00641D7F" w:rsidP="002C73EF">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13D85E21" w14:textId="2DF8386A" w:rsidR="002C73EF" w:rsidRPr="002C73EF" w:rsidRDefault="002C73EF" w:rsidP="002C73EF">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2C73EF">
        <w:rPr>
          <w:rFonts w:ascii="Times New Roman" w:eastAsia="Times New Roman" w:hAnsi="Times New Roman" w:cs="Times New Roman"/>
          <w:b/>
          <w:bCs/>
          <w:kern w:val="0"/>
          <w:sz w:val="36"/>
          <w:szCs w:val="36"/>
          <w:lang w:eastAsia="en-GB"/>
          <w14:ligatures w14:val="none"/>
        </w:rPr>
        <w:t>Table of Contents</w:t>
      </w:r>
    </w:p>
    <w:p w14:paraId="11F24988" w14:textId="77777777" w:rsidR="002C73EF" w:rsidRPr="002C73EF" w:rsidRDefault="002C73EF" w:rsidP="002C73EF">
      <w:pPr>
        <w:numPr>
          <w:ilvl w:val="0"/>
          <w:numId w:val="1"/>
        </w:numPr>
        <w:spacing w:before="100" w:beforeAutospacing="1" w:after="100" w:afterAutospacing="1" w:line="240" w:lineRule="auto"/>
        <w:rPr>
          <w:rFonts w:ascii="Arial" w:eastAsia="Times New Roman" w:hAnsi="Arial" w:cs="Arial"/>
          <w:b/>
          <w:bCs/>
          <w:kern w:val="0"/>
          <w:sz w:val="28"/>
          <w:szCs w:val="28"/>
          <w:lang w:eastAsia="en-GB"/>
          <w14:ligatures w14:val="none"/>
        </w:rPr>
      </w:pPr>
      <w:r w:rsidRPr="002C73EF">
        <w:rPr>
          <w:rFonts w:ascii="Arial" w:eastAsia="Times New Roman" w:hAnsi="Arial" w:cs="Arial"/>
          <w:b/>
          <w:bCs/>
          <w:kern w:val="0"/>
          <w:sz w:val="28"/>
          <w:szCs w:val="28"/>
          <w:lang w:eastAsia="en-GB"/>
          <w14:ligatures w14:val="none"/>
        </w:rPr>
        <w:t>Introduction</w:t>
      </w:r>
    </w:p>
    <w:p w14:paraId="16FBB41C" w14:textId="77777777" w:rsidR="002C73EF" w:rsidRPr="002C73EF" w:rsidRDefault="002C73EF" w:rsidP="002C73EF">
      <w:pPr>
        <w:numPr>
          <w:ilvl w:val="0"/>
          <w:numId w:val="1"/>
        </w:numPr>
        <w:spacing w:before="100" w:beforeAutospacing="1" w:after="100" w:afterAutospacing="1" w:line="240" w:lineRule="auto"/>
        <w:rPr>
          <w:rFonts w:ascii="Arial" w:eastAsia="Times New Roman" w:hAnsi="Arial" w:cs="Arial"/>
          <w:b/>
          <w:bCs/>
          <w:kern w:val="0"/>
          <w:sz w:val="28"/>
          <w:szCs w:val="28"/>
          <w:lang w:eastAsia="en-GB"/>
          <w14:ligatures w14:val="none"/>
        </w:rPr>
      </w:pPr>
      <w:r w:rsidRPr="002C73EF">
        <w:rPr>
          <w:rFonts w:ascii="Arial" w:eastAsia="Times New Roman" w:hAnsi="Arial" w:cs="Arial"/>
          <w:b/>
          <w:bCs/>
          <w:kern w:val="0"/>
          <w:sz w:val="28"/>
          <w:szCs w:val="28"/>
          <w:lang w:eastAsia="en-GB"/>
          <w14:ligatures w14:val="none"/>
        </w:rPr>
        <w:t>Company Overview</w:t>
      </w:r>
    </w:p>
    <w:p w14:paraId="29D247ED" w14:textId="77777777" w:rsidR="008B2D4C" w:rsidRPr="007444AE" w:rsidRDefault="002C73EF" w:rsidP="002C73EF">
      <w:pPr>
        <w:numPr>
          <w:ilvl w:val="0"/>
          <w:numId w:val="1"/>
        </w:numPr>
        <w:spacing w:before="100" w:beforeAutospacing="1" w:after="100" w:afterAutospacing="1" w:line="240" w:lineRule="auto"/>
        <w:rPr>
          <w:rFonts w:ascii="Arial" w:eastAsia="Times New Roman" w:hAnsi="Arial" w:cs="Arial"/>
          <w:b/>
          <w:bCs/>
          <w:kern w:val="0"/>
          <w:sz w:val="28"/>
          <w:szCs w:val="28"/>
          <w:lang w:eastAsia="en-GB"/>
          <w14:ligatures w14:val="none"/>
        </w:rPr>
      </w:pPr>
      <w:r w:rsidRPr="002C73EF">
        <w:rPr>
          <w:rFonts w:ascii="Arial" w:eastAsia="Times New Roman" w:hAnsi="Arial" w:cs="Arial"/>
          <w:b/>
          <w:bCs/>
          <w:kern w:val="0"/>
          <w:sz w:val="28"/>
          <w:szCs w:val="28"/>
          <w:lang w:eastAsia="en-GB"/>
          <w14:ligatures w14:val="none"/>
        </w:rPr>
        <w:t>Key HR Challenges</w:t>
      </w:r>
    </w:p>
    <w:p w14:paraId="631A72D9" w14:textId="5F3F63BE" w:rsidR="0028722C" w:rsidRPr="007444AE" w:rsidRDefault="002C73EF" w:rsidP="0028722C">
      <w:p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2C73EF">
        <w:rPr>
          <w:rFonts w:ascii="Times New Roman" w:eastAsia="Times New Roman" w:hAnsi="Times New Roman" w:cs="Times New Roman"/>
          <w:b/>
          <w:bCs/>
          <w:kern w:val="0"/>
          <w:lang w:eastAsia="en-GB"/>
          <w14:ligatures w14:val="none"/>
        </w:rPr>
        <w:t>3.1 Technological Advancement</w:t>
      </w:r>
      <w:r w:rsidRPr="002C73EF">
        <w:rPr>
          <w:rFonts w:ascii="Times New Roman" w:eastAsia="Times New Roman" w:hAnsi="Times New Roman" w:cs="Times New Roman"/>
          <w:b/>
          <w:bCs/>
          <w:kern w:val="0"/>
          <w:lang w:eastAsia="en-GB"/>
          <w14:ligatures w14:val="none"/>
        </w:rPr>
        <w:br/>
        <w:t>3.2 Talent Acquisition and Retention</w:t>
      </w:r>
      <w:r w:rsidRPr="002C73EF">
        <w:rPr>
          <w:rFonts w:ascii="Times New Roman" w:eastAsia="Times New Roman" w:hAnsi="Times New Roman" w:cs="Times New Roman"/>
          <w:b/>
          <w:bCs/>
          <w:kern w:val="0"/>
          <w:lang w:eastAsia="en-GB"/>
          <w14:ligatures w14:val="none"/>
        </w:rPr>
        <w:br/>
        <w:t>3.3 Diversity, Equity and Inclusion (DE</w:t>
      </w:r>
      <w:r w:rsidR="00FB5047" w:rsidRPr="007444AE">
        <w:rPr>
          <w:rFonts w:ascii="Times New Roman" w:eastAsia="Times New Roman" w:hAnsi="Times New Roman" w:cs="Times New Roman"/>
          <w:b/>
          <w:bCs/>
          <w:kern w:val="0"/>
          <w:lang w:eastAsia="en-GB"/>
          <w14:ligatures w14:val="none"/>
        </w:rPr>
        <w:t>I)</w:t>
      </w:r>
    </w:p>
    <w:p w14:paraId="2649A3EC" w14:textId="5250069C" w:rsidR="00FE3BDC" w:rsidRPr="002C73EF" w:rsidRDefault="00296DB2" w:rsidP="0028722C">
      <w:pPr>
        <w:spacing w:before="100" w:beforeAutospacing="1" w:after="100" w:afterAutospacing="1" w:line="240" w:lineRule="auto"/>
        <w:rPr>
          <w:rFonts w:ascii="Times New Roman" w:eastAsia="Times New Roman" w:hAnsi="Times New Roman" w:cs="Times New Roman"/>
          <w:kern w:val="0"/>
          <w:lang w:eastAsia="en-GB"/>
          <w14:ligatures w14:val="none"/>
        </w:rPr>
      </w:pPr>
      <w:r w:rsidRPr="00296DB2">
        <w:rPr>
          <w:rFonts w:ascii="Arial" w:eastAsia="Times New Roman" w:hAnsi="Arial" w:cs="Arial"/>
          <w:b/>
          <w:bCs/>
          <w:kern w:val="0"/>
          <w:sz w:val="22"/>
          <w:szCs w:val="22"/>
          <w:lang w:eastAsia="en-GB"/>
          <w14:ligatures w14:val="none"/>
        </w:rPr>
        <w:t xml:space="preserve">3.4 </w:t>
      </w:r>
      <w:r w:rsidRPr="00F732B3">
        <w:rPr>
          <w:rFonts w:ascii="Arial" w:eastAsia="Times New Roman" w:hAnsi="Arial" w:cs="Arial"/>
          <w:b/>
          <w:bCs/>
          <w:kern w:val="0"/>
          <w:sz w:val="22"/>
          <w:szCs w:val="22"/>
          <w:lang w:eastAsia="en-GB"/>
          <w14:ligatures w14:val="none"/>
        </w:rPr>
        <w:t>Inclusive Leadership Theory</w:t>
      </w:r>
    </w:p>
    <w:p w14:paraId="1FDEFF0E" w14:textId="77777777" w:rsidR="002C73EF" w:rsidRPr="002C73EF" w:rsidRDefault="002C73EF" w:rsidP="002C73EF">
      <w:pPr>
        <w:numPr>
          <w:ilvl w:val="0"/>
          <w:numId w:val="1"/>
        </w:numPr>
        <w:spacing w:before="100" w:beforeAutospacing="1" w:after="100" w:afterAutospacing="1" w:line="240" w:lineRule="auto"/>
        <w:rPr>
          <w:rFonts w:ascii="Arial" w:eastAsia="Times New Roman" w:hAnsi="Arial" w:cs="Arial"/>
          <w:b/>
          <w:bCs/>
          <w:kern w:val="0"/>
          <w:sz w:val="28"/>
          <w:szCs w:val="28"/>
          <w:lang w:eastAsia="en-GB"/>
          <w14:ligatures w14:val="none"/>
        </w:rPr>
      </w:pPr>
      <w:r w:rsidRPr="002C73EF">
        <w:rPr>
          <w:rFonts w:ascii="Arial" w:eastAsia="Times New Roman" w:hAnsi="Arial" w:cs="Arial"/>
          <w:b/>
          <w:bCs/>
          <w:kern w:val="0"/>
          <w:sz w:val="28"/>
          <w:szCs w:val="28"/>
          <w:lang w:eastAsia="en-GB"/>
          <w14:ligatures w14:val="none"/>
        </w:rPr>
        <w:t>Evaluation of Contemporary HR Practices</w:t>
      </w:r>
    </w:p>
    <w:p w14:paraId="48EB73FB" w14:textId="77777777" w:rsidR="002C73EF" w:rsidRPr="002C73EF" w:rsidRDefault="002C73EF" w:rsidP="002C73EF">
      <w:pPr>
        <w:numPr>
          <w:ilvl w:val="0"/>
          <w:numId w:val="1"/>
        </w:numPr>
        <w:spacing w:before="100" w:beforeAutospacing="1" w:after="100" w:afterAutospacing="1" w:line="240" w:lineRule="auto"/>
        <w:rPr>
          <w:rFonts w:ascii="Arial" w:eastAsia="Times New Roman" w:hAnsi="Arial" w:cs="Arial"/>
          <w:b/>
          <w:bCs/>
          <w:kern w:val="0"/>
          <w:sz w:val="28"/>
          <w:szCs w:val="28"/>
          <w:lang w:eastAsia="en-GB"/>
          <w14:ligatures w14:val="none"/>
        </w:rPr>
      </w:pPr>
      <w:r w:rsidRPr="002C73EF">
        <w:rPr>
          <w:rFonts w:ascii="Arial" w:eastAsia="Times New Roman" w:hAnsi="Arial" w:cs="Arial"/>
          <w:b/>
          <w:bCs/>
          <w:kern w:val="0"/>
          <w:sz w:val="28"/>
          <w:szCs w:val="28"/>
          <w:lang w:eastAsia="en-GB"/>
          <w14:ligatures w14:val="none"/>
        </w:rPr>
        <w:t>Role of Managers in Implementation</w:t>
      </w:r>
    </w:p>
    <w:p w14:paraId="0BCD515C" w14:textId="77777777" w:rsidR="002C73EF" w:rsidRPr="002C73EF" w:rsidRDefault="002C73EF" w:rsidP="002C73EF">
      <w:pPr>
        <w:numPr>
          <w:ilvl w:val="0"/>
          <w:numId w:val="1"/>
        </w:numPr>
        <w:spacing w:before="100" w:beforeAutospacing="1" w:after="100" w:afterAutospacing="1" w:line="240" w:lineRule="auto"/>
        <w:rPr>
          <w:rFonts w:ascii="Arial" w:eastAsia="Times New Roman" w:hAnsi="Arial" w:cs="Arial"/>
          <w:b/>
          <w:bCs/>
          <w:kern w:val="0"/>
          <w:sz w:val="28"/>
          <w:szCs w:val="28"/>
          <w:lang w:eastAsia="en-GB"/>
          <w14:ligatures w14:val="none"/>
        </w:rPr>
      </w:pPr>
      <w:r w:rsidRPr="002C73EF">
        <w:rPr>
          <w:rFonts w:ascii="Arial" w:eastAsia="Times New Roman" w:hAnsi="Arial" w:cs="Arial"/>
          <w:b/>
          <w:bCs/>
          <w:kern w:val="0"/>
          <w:sz w:val="28"/>
          <w:szCs w:val="28"/>
          <w:lang w:eastAsia="en-GB"/>
          <w14:ligatures w14:val="none"/>
        </w:rPr>
        <w:t>Recommendations</w:t>
      </w:r>
    </w:p>
    <w:p w14:paraId="5EB6DC7C" w14:textId="77777777" w:rsidR="002C73EF" w:rsidRPr="002C73EF" w:rsidRDefault="002C73EF" w:rsidP="002C73EF">
      <w:pPr>
        <w:numPr>
          <w:ilvl w:val="0"/>
          <w:numId w:val="1"/>
        </w:numPr>
        <w:spacing w:before="100" w:beforeAutospacing="1" w:after="100" w:afterAutospacing="1" w:line="240" w:lineRule="auto"/>
        <w:rPr>
          <w:rFonts w:ascii="Arial" w:eastAsia="Times New Roman" w:hAnsi="Arial" w:cs="Arial"/>
          <w:b/>
          <w:bCs/>
          <w:kern w:val="0"/>
          <w:sz w:val="28"/>
          <w:szCs w:val="28"/>
          <w:lang w:eastAsia="en-GB"/>
          <w14:ligatures w14:val="none"/>
        </w:rPr>
      </w:pPr>
      <w:r w:rsidRPr="002C73EF">
        <w:rPr>
          <w:rFonts w:ascii="Arial" w:eastAsia="Times New Roman" w:hAnsi="Arial" w:cs="Arial"/>
          <w:b/>
          <w:bCs/>
          <w:kern w:val="0"/>
          <w:sz w:val="28"/>
          <w:szCs w:val="28"/>
          <w:lang w:eastAsia="en-GB"/>
          <w14:ligatures w14:val="none"/>
        </w:rPr>
        <w:t>Conclusion</w:t>
      </w:r>
    </w:p>
    <w:p w14:paraId="28356561" w14:textId="77777777" w:rsidR="002C73EF" w:rsidRPr="002C73EF" w:rsidRDefault="002C73EF" w:rsidP="002C73EF">
      <w:pPr>
        <w:numPr>
          <w:ilvl w:val="0"/>
          <w:numId w:val="1"/>
        </w:numPr>
        <w:spacing w:before="100" w:beforeAutospacing="1" w:after="100" w:afterAutospacing="1" w:line="240" w:lineRule="auto"/>
        <w:rPr>
          <w:rFonts w:ascii="Arial" w:eastAsia="Times New Roman" w:hAnsi="Arial" w:cs="Arial"/>
          <w:b/>
          <w:bCs/>
          <w:kern w:val="0"/>
          <w:sz w:val="28"/>
          <w:szCs w:val="28"/>
          <w:lang w:eastAsia="en-GB"/>
          <w14:ligatures w14:val="none"/>
        </w:rPr>
      </w:pPr>
      <w:r w:rsidRPr="002C73EF">
        <w:rPr>
          <w:rFonts w:ascii="Arial" w:eastAsia="Times New Roman" w:hAnsi="Arial" w:cs="Arial"/>
          <w:b/>
          <w:bCs/>
          <w:kern w:val="0"/>
          <w:sz w:val="28"/>
          <w:szCs w:val="28"/>
          <w:lang w:eastAsia="en-GB"/>
          <w14:ligatures w14:val="none"/>
        </w:rPr>
        <w:t>References</w:t>
      </w:r>
    </w:p>
    <w:p w14:paraId="73B2416F" w14:textId="18853DA8" w:rsidR="002C73EF" w:rsidRDefault="002C73EF">
      <w:pPr>
        <w:rPr>
          <w:rFonts w:ascii="Arial" w:hAnsi="Arial" w:cs="Arial"/>
          <w:sz w:val="22"/>
          <w:szCs w:val="22"/>
        </w:rPr>
      </w:pPr>
      <w:r>
        <w:rPr>
          <w:rFonts w:ascii="Arial" w:hAnsi="Arial" w:cs="Arial"/>
          <w:sz w:val="22"/>
          <w:szCs w:val="22"/>
        </w:rPr>
        <w:br w:type="page"/>
      </w:r>
    </w:p>
    <w:p w14:paraId="007544F2" w14:textId="77777777" w:rsidR="007234BA" w:rsidRPr="007234BA" w:rsidRDefault="007234BA" w:rsidP="007234B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7234BA">
        <w:rPr>
          <w:rFonts w:ascii="Times New Roman" w:eastAsia="Times New Roman" w:hAnsi="Times New Roman" w:cs="Times New Roman"/>
          <w:b/>
          <w:bCs/>
          <w:kern w:val="0"/>
          <w:sz w:val="36"/>
          <w:szCs w:val="36"/>
          <w:lang w:eastAsia="en-GB"/>
          <w14:ligatures w14:val="none"/>
        </w:rPr>
        <w:lastRenderedPageBreak/>
        <w:t>1. Introduction</w:t>
      </w:r>
    </w:p>
    <w:p w14:paraId="483B3EEB" w14:textId="3A200D45" w:rsidR="007234BA" w:rsidRPr="007234BA" w:rsidRDefault="007234BA" w:rsidP="007234BA">
      <w:pPr>
        <w:pStyle w:val="p1"/>
        <w:rPr>
          <w:rFonts w:ascii="Arial" w:hAnsi="Arial" w:cs="Arial"/>
          <w:sz w:val="22"/>
          <w:szCs w:val="22"/>
        </w:rPr>
      </w:pPr>
      <w:r w:rsidRPr="007234BA">
        <w:rPr>
          <w:rFonts w:ascii="Arial" w:hAnsi="Arial" w:cs="Arial"/>
          <w:sz w:val="22"/>
          <w:szCs w:val="22"/>
        </w:rPr>
        <w:t>Human Resource Management plays a critical role in ensuring organisational sustainability, competitiveness, and performance. In modern organisations, HR professionals face increasing challenges driven by rapid technological change, workforce diversity, and talent shortages (Armstrong, 2020). These challenges are particularly significant in labour-intensive industries such as facilities management.</w:t>
      </w:r>
    </w:p>
    <w:p w14:paraId="52946D36" w14:textId="20445E9D" w:rsidR="007234BA" w:rsidRPr="007234BA" w:rsidRDefault="007234BA" w:rsidP="007234BA">
      <w:pPr>
        <w:pStyle w:val="p1"/>
        <w:rPr>
          <w:rFonts w:ascii="Arial" w:hAnsi="Arial" w:cs="Arial"/>
          <w:sz w:val="22"/>
          <w:szCs w:val="22"/>
        </w:rPr>
      </w:pPr>
      <w:r w:rsidRPr="007234BA">
        <w:rPr>
          <w:rFonts w:ascii="Arial" w:hAnsi="Arial" w:cs="Arial"/>
          <w:sz w:val="22"/>
          <w:szCs w:val="22"/>
        </w:rPr>
        <w:t xml:space="preserve">This report critically analyses HR challenges within Mitie, a UK-based facilities management company. The report focuses on three key areas: </w:t>
      </w:r>
      <w:r w:rsidR="005F1865">
        <w:rPr>
          <w:rFonts w:ascii="Arial" w:hAnsi="Arial" w:cs="Arial"/>
          <w:b/>
          <w:bCs/>
          <w:sz w:val="22"/>
          <w:szCs w:val="22"/>
        </w:rPr>
        <w:t>T</w:t>
      </w:r>
      <w:r w:rsidRPr="003B2A53">
        <w:rPr>
          <w:rFonts w:ascii="Arial" w:hAnsi="Arial" w:cs="Arial"/>
          <w:b/>
          <w:bCs/>
          <w:sz w:val="22"/>
          <w:szCs w:val="22"/>
        </w:rPr>
        <w:t>echnological advancement</w:t>
      </w:r>
      <w:r w:rsidRPr="007234BA">
        <w:rPr>
          <w:rFonts w:ascii="Arial" w:hAnsi="Arial" w:cs="Arial"/>
          <w:sz w:val="22"/>
          <w:szCs w:val="22"/>
        </w:rPr>
        <w:t xml:space="preserve">, </w:t>
      </w:r>
      <w:r w:rsidRPr="005F1865">
        <w:rPr>
          <w:rFonts w:ascii="Arial" w:hAnsi="Arial" w:cs="Arial"/>
          <w:b/>
          <w:bCs/>
          <w:sz w:val="22"/>
          <w:szCs w:val="22"/>
        </w:rPr>
        <w:t xml:space="preserve">talent acquisition and retention, and DEI. </w:t>
      </w:r>
      <w:r w:rsidRPr="00267A22">
        <w:rPr>
          <w:rFonts w:ascii="Arial" w:hAnsi="Arial" w:cs="Arial"/>
          <w:sz w:val="22"/>
          <w:szCs w:val="22"/>
        </w:rPr>
        <w:t>It also</w:t>
      </w:r>
      <w:r w:rsidRPr="005F1865">
        <w:rPr>
          <w:rFonts w:ascii="Arial" w:hAnsi="Arial" w:cs="Arial"/>
          <w:b/>
          <w:bCs/>
          <w:sz w:val="22"/>
          <w:szCs w:val="22"/>
        </w:rPr>
        <w:t xml:space="preserve"> evaluates</w:t>
      </w:r>
      <w:r w:rsidRPr="007234BA">
        <w:rPr>
          <w:rFonts w:ascii="Arial" w:hAnsi="Arial" w:cs="Arial"/>
          <w:sz w:val="22"/>
          <w:szCs w:val="22"/>
        </w:rPr>
        <w:t xml:space="preserve"> HR practices to address </w:t>
      </w:r>
      <w:r w:rsidR="00D75C23" w:rsidRPr="007234BA">
        <w:rPr>
          <w:rFonts w:ascii="Arial" w:hAnsi="Arial" w:cs="Arial"/>
          <w:sz w:val="22"/>
          <w:szCs w:val="22"/>
        </w:rPr>
        <w:t>challenges</w:t>
      </w:r>
      <w:r w:rsidR="00D75C23">
        <w:rPr>
          <w:rFonts w:ascii="Arial" w:hAnsi="Arial" w:cs="Arial"/>
          <w:sz w:val="22"/>
          <w:szCs w:val="22"/>
        </w:rPr>
        <w:t xml:space="preserve">, </w:t>
      </w:r>
      <w:r w:rsidR="00D75C23" w:rsidRPr="007234BA">
        <w:rPr>
          <w:rFonts w:ascii="Arial" w:hAnsi="Arial" w:cs="Arial"/>
          <w:sz w:val="22"/>
          <w:szCs w:val="22"/>
        </w:rPr>
        <w:t>examines</w:t>
      </w:r>
      <w:r w:rsidRPr="007234BA">
        <w:rPr>
          <w:rFonts w:ascii="Arial" w:hAnsi="Arial" w:cs="Arial"/>
          <w:sz w:val="22"/>
          <w:szCs w:val="22"/>
        </w:rPr>
        <w:t xml:space="preserve"> the role of managers in effective implementation.</w:t>
      </w:r>
    </w:p>
    <w:p w14:paraId="232E99D2" w14:textId="77777777" w:rsidR="007234BA" w:rsidRPr="007234BA" w:rsidRDefault="007234BA" w:rsidP="007234BA">
      <w:pPr>
        <w:pStyle w:val="p2"/>
        <w:rPr>
          <w:rFonts w:ascii="Arial" w:hAnsi="Arial" w:cs="Arial"/>
          <w:sz w:val="22"/>
          <w:szCs w:val="22"/>
        </w:rPr>
      </w:pPr>
      <w:r w:rsidRPr="007234BA">
        <w:rPr>
          <w:rFonts w:ascii="Arial" w:hAnsi="Arial" w:cs="Arial"/>
          <w:sz w:val="22"/>
          <w:szCs w:val="22"/>
        </w:rPr>
        <w:t>The aim is to provide a structured, evidence-based analysis supported by academic literature and industry data, concluding with practical recommendations for improving HR effectiveness within Mitie.</w:t>
      </w:r>
    </w:p>
    <w:p w14:paraId="4737FEEC" w14:textId="77777777" w:rsidR="007234BA" w:rsidRPr="007234BA" w:rsidRDefault="007234BA" w:rsidP="007234B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7234BA">
        <w:rPr>
          <w:rFonts w:ascii="Times New Roman" w:eastAsia="Times New Roman" w:hAnsi="Times New Roman" w:cs="Times New Roman"/>
          <w:b/>
          <w:bCs/>
          <w:kern w:val="0"/>
          <w:sz w:val="36"/>
          <w:szCs w:val="36"/>
          <w:lang w:eastAsia="en-GB"/>
          <w14:ligatures w14:val="none"/>
        </w:rPr>
        <w:t xml:space="preserve">2. Company Overview </w:t>
      </w:r>
    </w:p>
    <w:p w14:paraId="5430451B" w14:textId="6000A1E3" w:rsidR="007234BA" w:rsidRDefault="007234BA" w:rsidP="007234BA">
      <w:pPr>
        <w:pStyle w:val="p1"/>
      </w:pPr>
      <w:r>
        <w:t xml:space="preserve">Mitie is </w:t>
      </w:r>
      <w:r w:rsidR="002A53F8">
        <w:t>a</w:t>
      </w:r>
      <w:r>
        <w:t xml:space="preserve"> UK’s largest facilities </w:t>
      </w:r>
      <w:r w:rsidR="007571C4">
        <w:t>and cleanin</w:t>
      </w:r>
      <w:r w:rsidR="008538FF">
        <w:t xml:space="preserve">g </w:t>
      </w:r>
      <w:r>
        <w:t xml:space="preserve">management services companies, employing over 70,000–84,000 people across sectors such as security, engineering, and </w:t>
      </w:r>
      <w:r>
        <w:t>healthcare</w:t>
      </w:r>
      <w:r>
        <w:rPr>
          <w:rStyle w:val="apple-converted-space"/>
          <w:rFonts w:eastAsiaTheme="majorEastAsia"/>
        </w:rPr>
        <w:t>.</w:t>
      </w:r>
      <w:r>
        <w:t xml:space="preserve"> The organisation operates in both public and private sectors, delivering essential services that impact millions daily.</w:t>
      </w:r>
    </w:p>
    <w:p w14:paraId="2B9F3EA6" w14:textId="233AE576" w:rsidR="007234BA" w:rsidRDefault="007234BA" w:rsidP="007234BA">
      <w:pPr>
        <w:pStyle w:val="p1"/>
      </w:pPr>
      <w:r>
        <w:t xml:space="preserve">Mitie has been recognised as a top UK employer due to its strong HR practices, employee engagement strategies, and commitment to wellbeing and </w:t>
      </w:r>
      <w:r w:rsidR="004D635F">
        <w:t>inclusion</w:t>
      </w:r>
      <w:r w:rsidR="004D635F">
        <w:rPr>
          <w:rStyle w:val="apple-converted-space"/>
          <w:rFonts w:eastAsiaTheme="majorEastAsia"/>
        </w:rPr>
        <w:t xml:space="preserve">. </w:t>
      </w:r>
      <w:r>
        <w:t>However, like many large service-based organisations, it faces significant HR challenges, particularly in workforce management, recruitment, and maintaining service quality.</w:t>
      </w:r>
    </w:p>
    <w:p w14:paraId="17333090" w14:textId="77777777" w:rsidR="007234BA" w:rsidRDefault="007234BA" w:rsidP="007234BA">
      <w:pPr>
        <w:pStyle w:val="p2"/>
      </w:pPr>
      <w:r>
        <w:t>Its labour-intensive business model makes HR a central strategic function, directly influencing operational performance and customer satisfaction.</w:t>
      </w:r>
    </w:p>
    <w:p w14:paraId="61E1B948" w14:textId="77777777" w:rsidR="007234BA" w:rsidRPr="007234BA" w:rsidRDefault="007234BA" w:rsidP="007234B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7234BA">
        <w:rPr>
          <w:rFonts w:ascii="Times New Roman" w:eastAsia="Times New Roman" w:hAnsi="Times New Roman" w:cs="Times New Roman"/>
          <w:b/>
          <w:bCs/>
          <w:kern w:val="0"/>
          <w:sz w:val="36"/>
          <w:szCs w:val="36"/>
          <w:lang w:eastAsia="en-GB"/>
          <w14:ligatures w14:val="none"/>
        </w:rPr>
        <w:t>3. Key HR Challenges</w:t>
      </w:r>
    </w:p>
    <w:p w14:paraId="26A7EAD2" w14:textId="7FC42AD9" w:rsidR="007234BA" w:rsidRDefault="007234BA" w:rsidP="007234BA">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7234BA">
        <w:rPr>
          <w:rFonts w:ascii="Times New Roman" w:eastAsia="Times New Roman" w:hAnsi="Times New Roman" w:cs="Times New Roman"/>
          <w:b/>
          <w:bCs/>
          <w:kern w:val="0"/>
          <w:sz w:val="27"/>
          <w:szCs w:val="27"/>
          <w:lang w:eastAsia="en-GB"/>
          <w14:ligatures w14:val="none"/>
        </w:rPr>
        <w:t xml:space="preserve">3.1 Technological Advancement </w:t>
      </w:r>
    </w:p>
    <w:p w14:paraId="5EB7D6D7" w14:textId="1B89BFD3" w:rsidR="00EA1E87" w:rsidRDefault="00EA1E87" w:rsidP="00EA1E87">
      <w:pPr>
        <w:pStyle w:val="p1"/>
      </w:pPr>
      <w:r>
        <w:t>One of the major challenges facing Mitie is adapting to rapid technological change. As a technology-led facilities transformation company, Mitie increasingly relies on digital tools, automation, and data analytics to enhance operational efficiency and service delivery (Mitie Group plc, 2025). While these advancements offer significant benefits, they also create substantial HR challenges.</w:t>
      </w:r>
    </w:p>
    <w:p w14:paraId="4DB9E479" w14:textId="77777777" w:rsidR="00EA1E87" w:rsidRDefault="00EA1E87" w:rsidP="00EA1E87">
      <w:pPr>
        <w:pStyle w:val="p1"/>
      </w:pPr>
      <w:r>
        <w:t>Integrating new technologies requires continuous employee upskilling and training. Many frontline employees may lack the necessary digital competencies, resulting in a skills gap that can hinder productivity and slow the adoption of innovation. According to CIPD (2023), organisations must prioritise reskilling initiatives to remain competitive in a digital economy.</w:t>
      </w:r>
    </w:p>
    <w:p w14:paraId="6F7EE526" w14:textId="77777777" w:rsidR="00EA1E87" w:rsidRDefault="00EA1E87" w:rsidP="00EA1E87">
      <w:pPr>
        <w:pStyle w:val="p1"/>
      </w:pPr>
    </w:p>
    <w:p w14:paraId="496732F6" w14:textId="1A4335A5" w:rsidR="00EA1E87" w:rsidRDefault="00EA1E87" w:rsidP="00EA1E87">
      <w:pPr>
        <w:pStyle w:val="p1"/>
      </w:pPr>
      <w:r>
        <w:lastRenderedPageBreak/>
        <w:t>Furthermore, technological change often leads to workforce restructuring, including job redesign and potential displacement. This can create uncertainty and resistance among employees, negatively affecting morale and engagement. HR must therefore balance efficiency gains with employee wellbeing and job security.</w:t>
      </w:r>
    </w:p>
    <w:p w14:paraId="7B50162B" w14:textId="5AC7710F" w:rsidR="00EA1E87" w:rsidRDefault="00EA1E87" w:rsidP="00F5286A">
      <w:pPr>
        <w:pStyle w:val="p1"/>
      </w:pPr>
      <w:r>
        <w:t>Another critical issue is the ethical use of artificial intelligence in HR processes such as recruitment. Research indicates that algorithm-based systems can reinforce existing biases if not carefully monitored (Du and Lee, 2023).</w:t>
      </w:r>
    </w:p>
    <w:p w14:paraId="5CAB9014" w14:textId="0E727706" w:rsidR="00FF3E78" w:rsidRPr="007234BA" w:rsidRDefault="00EA1E87" w:rsidP="00C327C0">
      <w:pPr>
        <w:pStyle w:val="p2"/>
      </w:pPr>
      <w:r>
        <w:t>Therefore, Mitie must invest in comprehensive digital training programmes and ensure the ethical and transparent use of HR technologies to maintain competitiveness and workforce trust.</w:t>
      </w:r>
    </w:p>
    <w:p w14:paraId="07915BEA" w14:textId="77777777" w:rsidR="007234BA" w:rsidRDefault="007234BA" w:rsidP="007234BA">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7234BA">
        <w:rPr>
          <w:rFonts w:ascii="Times New Roman" w:eastAsia="Times New Roman" w:hAnsi="Times New Roman" w:cs="Times New Roman"/>
          <w:b/>
          <w:bCs/>
          <w:kern w:val="0"/>
          <w:sz w:val="27"/>
          <w:szCs w:val="27"/>
          <w:lang w:eastAsia="en-GB"/>
          <w14:ligatures w14:val="none"/>
        </w:rPr>
        <w:t xml:space="preserve">3.2 Talent Acquisition and Retention </w:t>
      </w:r>
    </w:p>
    <w:p w14:paraId="4B7B9823" w14:textId="11DD0FAF" w:rsidR="007234BA" w:rsidRDefault="007234BA" w:rsidP="007234BA">
      <w:pPr>
        <w:pStyle w:val="p1"/>
      </w:pPr>
      <w:r>
        <w:t>Talent acquisition and retention remain critical challenges for Mitie. The company operates in a highly competitive labour market, requiring a large workforce to deliver services.</w:t>
      </w:r>
    </w:p>
    <w:p w14:paraId="0C1402ED" w14:textId="7A94937F" w:rsidR="007234BA" w:rsidRDefault="007234BA" w:rsidP="007234BA">
      <w:pPr>
        <w:pStyle w:val="p1"/>
      </w:pPr>
      <w:r>
        <w:t>Mitie’s annual report highlights the risk of “difficulty in attracting, recruiting and retaining suitably talented people,” which could lead to skills shortages and operational disruption</w:t>
      </w:r>
      <w:r w:rsidR="004D635F">
        <w:rPr>
          <w:rStyle w:val="apple-converted-space"/>
          <w:rFonts w:eastAsiaTheme="majorEastAsia"/>
        </w:rPr>
        <w:t>.</w:t>
      </w:r>
    </w:p>
    <w:p w14:paraId="616B184F" w14:textId="551246FB" w:rsidR="007234BA" w:rsidRDefault="007234BA" w:rsidP="007234BA">
      <w:pPr>
        <w:pStyle w:val="p1"/>
      </w:pPr>
      <w:r>
        <w:t xml:space="preserve">High employee turnover has historically been a concern, impacting costs, morale, and service </w:t>
      </w:r>
      <w:r w:rsidR="004D635F">
        <w:t>quality</w:t>
      </w:r>
      <w:r w:rsidR="004D635F">
        <w:rPr>
          <w:rStyle w:val="apple-converted-space"/>
          <w:rFonts w:eastAsiaTheme="majorEastAsia"/>
        </w:rPr>
        <w:t xml:space="preserve">. </w:t>
      </w:r>
      <w:r>
        <w:t>Additionally, informal workforce feedback suggests issues such as communication gaps, inconsistent training, and dissatisfaction with pay structures, which may affect retention (</w:t>
      </w:r>
      <w:r w:rsidR="004D635F">
        <w:t>edit</w:t>
      </w:r>
      <w:r>
        <w:t>, 2026)</w:t>
      </w:r>
      <w:r w:rsidR="004D635F">
        <w:rPr>
          <w:rStyle w:val="apple-converted-space"/>
          <w:rFonts w:eastAsiaTheme="majorEastAsia"/>
        </w:rPr>
        <w:t>.</w:t>
      </w:r>
    </w:p>
    <w:p w14:paraId="13D07EC1" w14:textId="305D031E" w:rsidR="007234BA" w:rsidRDefault="007234BA" w:rsidP="007234BA">
      <w:pPr>
        <w:pStyle w:val="p1"/>
      </w:pPr>
      <w:r>
        <w:t>Furthermore, the nature of facilities management work—often low-paid and high-pressure—makes it difficult to retain employees long-term.</w:t>
      </w:r>
    </w:p>
    <w:p w14:paraId="409B7792" w14:textId="77777777" w:rsidR="007234BA" w:rsidRDefault="007234BA" w:rsidP="007234BA">
      <w:pPr>
        <w:pStyle w:val="p2"/>
      </w:pPr>
      <w:r>
        <w:t>To remain competitive, Mitie must enhance its employer value proposition, improve employee engagement, and ensure fair compensation and career progression opportunities.</w:t>
      </w:r>
    </w:p>
    <w:p w14:paraId="5406F737" w14:textId="0CA7BD72" w:rsidR="007234BA" w:rsidRDefault="007234BA" w:rsidP="007234BA">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7234BA">
        <w:rPr>
          <w:rFonts w:ascii="Times New Roman" w:eastAsia="Times New Roman" w:hAnsi="Times New Roman" w:cs="Times New Roman"/>
          <w:b/>
          <w:bCs/>
          <w:kern w:val="0"/>
          <w:sz w:val="27"/>
          <w:szCs w:val="27"/>
          <w:lang w:eastAsia="en-GB"/>
          <w14:ligatures w14:val="none"/>
        </w:rPr>
        <w:t>3.3 Diversity, Equity</w:t>
      </w:r>
      <w:r w:rsidR="009A6C18">
        <w:rPr>
          <w:rFonts w:ascii="Times New Roman" w:eastAsia="Times New Roman" w:hAnsi="Times New Roman" w:cs="Times New Roman"/>
          <w:b/>
          <w:bCs/>
          <w:kern w:val="0"/>
          <w:sz w:val="27"/>
          <w:szCs w:val="27"/>
          <w:lang w:eastAsia="en-GB"/>
          <w14:ligatures w14:val="none"/>
        </w:rPr>
        <w:t>,</w:t>
      </w:r>
      <w:r w:rsidRPr="007234BA">
        <w:rPr>
          <w:rFonts w:ascii="Times New Roman" w:eastAsia="Times New Roman" w:hAnsi="Times New Roman" w:cs="Times New Roman"/>
          <w:b/>
          <w:bCs/>
          <w:kern w:val="0"/>
          <w:sz w:val="27"/>
          <w:szCs w:val="27"/>
          <w:lang w:eastAsia="en-GB"/>
          <w14:ligatures w14:val="none"/>
        </w:rPr>
        <w:t xml:space="preserve"> Inclusion (DEI) </w:t>
      </w:r>
    </w:p>
    <w:p w14:paraId="0AACDDBF" w14:textId="561E4259" w:rsidR="001514F3" w:rsidRDefault="001514F3" w:rsidP="001514F3">
      <w:pPr>
        <w:pStyle w:val="p1"/>
      </w:pPr>
      <w:r>
        <w:t>Diversity, Equity</w:t>
      </w:r>
      <w:r w:rsidR="00085D8F">
        <w:t>,</w:t>
      </w:r>
      <w:r>
        <w:t xml:space="preserve"> Inclusion (DEI) a significant HR challenge for Mitie, despite its strong public commitment to inclusive practices and recognition as a leading inclusive employer in the UK (Mitie, 2026). As a large organisation with a diverse workforce, maintaining consistent inclusivity across all levels and departments is complex.</w:t>
      </w:r>
    </w:p>
    <w:p w14:paraId="7D7ED321" w14:textId="0E24FF27" w:rsidR="001514F3" w:rsidRDefault="001514F3" w:rsidP="001514F3">
      <w:pPr>
        <w:pStyle w:val="p1"/>
      </w:pPr>
      <w:r>
        <w:t>Key challenges include workplace discrimination, communication barriers, and cultural misunderstandings, all of which can negatively affect employee relations and organisational cohesion. According to CIPD (2023), organisations must move beyond policy frameworks and actively embed inclusive behaviours within their workplace culture.</w:t>
      </w:r>
    </w:p>
    <w:p w14:paraId="05768F74" w14:textId="77777777" w:rsidR="001514F3" w:rsidRDefault="001514F3" w:rsidP="001514F3">
      <w:pPr>
        <w:pStyle w:val="p1"/>
      </w:pPr>
      <w:r>
        <w:t>Recent controversies and disciplinary cases within the wider industry highlight the difficulties organisations face in ensuring ethical conduct and fairness (The Times, 2024). Such issues emphasise the importance of strong governance, accountability, and transparent HR processes.</w:t>
      </w:r>
    </w:p>
    <w:p w14:paraId="306A0F5C" w14:textId="77777777" w:rsidR="001514F3" w:rsidRDefault="001514F3" w:rsidP="001514F3">
      <w:pPr>
        <w:pStyle w:val="p1"/>
      </w:pPr>
    </w:p>
    <w:p w14:paraId="6A153116" w14:textId="1037A873" w:rsidR="001514F3" w:rsidRDefault="001514F3" w:rsidP="00E31F35">
      <w:pPr>
        <w:pStyle w:val="p1"/>
      </w:pPr>
      <w:r>
        <w:lastRenderedPageBreak/>
        <w:t>Additionally, ensuring equal opportunities across different job roles—particularly for frontline employees—remains a challenge. Employees from diverse backgrounds may experience barriers to career progression, training, and development opportunities. Social identity theory suggests that unconscious bias can influence decision-making, potentially leading to unequal treatment (Tajfel and Turner, 1979).</w:t>
      </w:r>
    </w:p>
    <w:p w14:paraId="5176CC24" w14:textId="7DD4D149" w:rsidR="00CD7AA1" w:rsidRPr="00E45B4F" w:rsidRDefault="001514F3" w:rsidP="00E45B4F">
      <w:pPr>
        <w:pStyle w:val="p2"/>
      </w:pPr>
      <w:r>
        <w:t>Therefore, Mitie must strengthen inclusive recruitment practices, promote equitable treatment, and continuously monitor workplace culture to ensure that DEI initiatives translate into meaningful organisational outcomes.</w:t>
      </w:r>
    </w:p>
    <w:p w14:paraId="5C589DAA" w14:textId="1A6844F5" w:rsidR="00904555" w:rsidRDefault="00664BEE" w:rsidP="00904555">
      <w:pPr>
        <w:spacing w:before="100" w:beforeAutospacing="1" w:after="100" w:afterAutospacing="1" w:line="240" w:lineRule="auto"/>
        <w:rPr>
          <w:rFonts w:ascii="Arial" w:eastAsia="Times New Roman" w:hAnsi="Arial" w:cs="Arial"/>
          <w:kern w:val="0"/>
          <w:sz w:val="22"/>
          <w:szCs w:val="22"/>
          <w:lang w:eastAsia="en-GB"/>
          <w14:ligatures w14:val="none"/>
        </w:rPr>
      </w:pPr>
      <w:r>
        <w:rPr>
          <w:rFonts w:ascii="Arial" w:eastAsia="Times New Roman" w:hAnsi="Arial" w:cs="Arial"/>
          <w:b/>
          <w:bCs/>
          <w:kern w:val="0"/>
          <w:lang w:eastAsia="en-GB"/>
          <w14:ligatures w14:val="none"/>
        </w:rPr>
        <w:t xml:space="preserve">3.4 </w:t>
      </w:r>
      <w:r w:rsidR="00904555" w:rsidRPr="00F732B3">
        <w:rPr>
          <w:rFonts w:ascii="Arial" w:eastAsia="Times New Roman" w:hAnsi="Arial" w:cs="Arial"/>
          <w:b/>
          <w:bCs/>
          <w:kern w:val="0"/>
          <w:lang w:eastAsia="en-GB"/>
          <w14:ligatures w14:val="none"/>
        </w:rPr>
        <w:t>Inclusive Leadership Theory</w:t>
      </w:r>
      <w:r w:rsidR="00904555">
        <w:rPr>
          <w:rFonts w:ascii="Arial" w:eastAsia="Times New Roman" w:hAnsi="Arial" w:cs="Arial"/>
          <w:kern w:val="0"/>
          <w:sz w:val="22"/>
          <w:szCs w:val="22"/>
          <w:lang w:eastAsia="en-GB"/>
          <w14:ligatures w14:val="none"/>
        </w:rPr>
        <w:t xml:space="preserve"> </w:t>
      </w:r>
    </w:p>
    <w:p w14:paraId="01DB6F31" w14:textId="41FC8020" w:rsidR="00904555" w:rsidRDefault="00F55C4D" w:rsidP="00904555">
      <w:pPr>
        <w:spacing w:before="100" w:beforeAutospacing="1" w:after="100" w:afterAutospacing="1"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H</w:t>
      </w:r>
      <w:r w:rsidR="00904555" w:rsidRPr="00F732B3">
        <w:rPr>
          <w:rFonts w:ascii="Arial" w:eastAsia="Times New Roman" w:hAnsi="Arial" w:cs="Arial"/>
          <w:kern w:val="0"/>
          <w:sz w:val="22"/>
          <w:szCs w:val="22"/>
          <w:lang w:eastAsia="en-GB"/>
          <w14:ligatures w14:val="none"/>
        </w:rPr>
        <w:t>ighlights the role of leaders in fostering inclusive environments. Leaders who actively value diversity and encourage participation can enhance employee engagement and innovation (Carmeli et al., 2010). Inclusive leadership is particularly important in large organisations where employees may feel disconnected or marginalised.</w:t>
      </w:r>
    </w:p>
    <w:p w14:paraId="4DF578A5" w14:textId="77777777" w:rsidR="00E96DD8" w:rsidRPr="00E54AF2" w:rsidRDefault="00E96DD8" w:rsidP="00E96DD8">
      <w:pPr>
        <w:pStyle w:val="p1"/>
        <w:rPr>
          <w:rFonts w:ascii="Arial" w:hAnsi="Arial" w:cs="Arial"/>
          <w:sz w:val="22"/>
          <w:szCs w:val="22"/>
        </w:rPr>
      </w:pPr>
      <w:r w:rsidRPr="00E54AF2">
        <w:rPr>
          <w:rFonts w:ascii="Arial" w:hAnsi="Arial" w:cs="Arial"/>
          <w:sz w:val="22"/>
          <w:szCs w:val="22"/>
        </w:rPr>
        <w:t>Modern HR practices include the use of AI in recruitment, HR analytics, and digital learning platforms. Mitie uses online recruitment systems and workforce analytics to improve efficiency.</w:t>
      </w:r>
    </w:p>
    <w:p w14:paraId="7BA61D2D" w14:textId="77777777" w:rsidR="00FE54AC" w:rsidRPr="009A0CFE" w:rsidRDefault="00FE54AC" w:rsidP="00FE54AC">
      <w:pPr>
        <w:pStyle w:val="p1"/>
        <w:rPr>
          <w:rFonts w:ascii="Arial" w:hAnsi="Arial" w:cs="Arial"/>
        </w:rPr>
      </w:pPr>
      <w:r w:rsidRPr="009A0CFE">
        <w:rPr>
          <w:rFonts w:ascii="Arial" w:hAnsi="Arial" w:cs="Arial"/>
          <w:b/>
          <w:bCs/>
        </w:rPr>
        <w:t>Advantages:</w:t>
      </w:r>
    </w:p>
    <w:p w14:paraId="2EBA3C2A" w14:textId="77777777" w:rsidR="00FE54AC" w:rsidRPr="00296A0B" w:rsidRDefault="00FE54AC" w:rsidP="00FE54AC">
      <w:pPr>
        <w:spacing w:before="100" w:beforeAutospacing="1" w:after="100" w:afterAutospacing="1" w:line="240" w:lineRule="auto"/>
        <w:ind w:left="720"/>
        <w:rPr>
          <w:rFonts w:ascii="Arial" w:eastAsia="Times New Roman" w:hAnsi="Arial" w:cs="Arial"/>
          <w:kern w:val="0"/>
          <w:sz w:val="22"/>
          <w:szCs w:val="22"/>
          <w:lang w:eastAsia="en-GB"/>
          <w14:ligatures w14:val="none"/>
        </w:rPr>
      </w:pPr>
      <w:r w:rsidRPr="00296A0B">
        <w:rPr>
          <w:rFonts w:ascii="Arial" w:eastAsia="Times New Roman" w:hAnsi="Arial" w:cs="Arial"/>
          <w:kern w:val="0"/>
          <w:sz w:val="22"/>
          <w:szCs w:val="22"/>
          <w:lang w:eastAsia="en-GB"/>
          <w14:ligatures w14:val="none"/>
        </w:rPr>
        <w:t>Improved decision-making through data analytics</w:t>
      </w:r>
    </w:p>
    <w:p w14:paraId="39A2D1A1" w14:textId="77777777" w:rsidR="00FE54AC" w:rsidRPr="00296A0B" w:rsidRDefault="00FE54AC" w:rsidP="00FE54AC">
      <w:pPr>
        <w:spacing w:before="100" w:beforeAutospacing="1" w:after="100" w:afterAutospacing="1" w:line="240" w:lineRule="auto"/>
        <w:ind w:left="720"/>
        <w:rPr>
          <w:rFonts w:ascii="Arial" w:eastAsia="Times New Roman" w:hAnsi="Arial" w:cs="Arial"/>
          <w:kern w:val="0"/>
          <w:sz w:val="22"/>
          <w:szCs w:val="22"/>
          <w:lang w:eastAsia="en-GB"/>
          <w14:ligatures w14:val="none"/>
        </w:rPr>
      </w:pPr>
      <w:r w:rsidRPr="00296A0B">
        <w:rPr>
          <w:rFonts w:ascii="Arial" w:eastAsia="Times New Roman" w:hAnsi="Arial" w:cs="Arial"/>
          <w:kern w:val="0"/>
          <w:sz w:val="22"/>
          <w:szCs w:val="22"/>
          <w:lang w:eastAsia="en-GB"/>
          <w14:ligatures w14:val="none"/>
        </w:rPr>
        <w:t>Reduced recruitment costs</w:t>
      </w:r>
    </w:p>
    <w:p w14:paraId="3650D412" w14:textId="77777777" w:rsidR="00FE54AC" w:rsidRPr="00E54AF2" w:rsidRDefault="00FE54AC" w:rsidP="00FE54AC">
      <w:pPr>
        <w:spacing w:before="100" w:beforeAutospacing="1" w:after="100" w:afterAutospacing="1" w:line="240" w:lineRule="auto"/>
        <w:ind w:left="720"/>
        <w:rPr>
          <w:rFonts w:ascii="Arial" w:eastAsia="Times New Roman" w:hAnsi="Arial" w:cs="Arial"/>
          <w:kern w:val="0"/>
          <w:sz w:val="22"/>
          <w:szCs w:val="22"/>
          <w:lang w:eastAsia="en-GB"/>
          <w14:ligatures w14:val="none"/>
        </w:rPr>
      </w:pPr>
      <w:r w:rsidRPr="00296A0B">
        <w:rPr>
          <w:rFonts w:ascii="Arial" w:eastAsia="Times New Roman" w:hAnsi="Arial" w:cs="Arial"/>
          <w:kern w:val="0"/>
          <w:sz w:val="22"/>
          <w:szCs w:val="22"/>
          <w:lang w:eastAsia="en-GB"/>
          <w14:ligatures w14:val="none"/>
        </w:rPr>
        <w:t>Enhanced employee experience</w:t>
      </w:r>
    </w:p>
    <w:p w14:paraId="55E4946C" w14:textId="77777777" w:rsidR="00FE54AC" w:rsidRPr="009A0CFE" w:rsidRDefault="00FE54AC" w:rsidP="00FE54AC">
      <w:pPr>
        <w:pStyle w:val="p1"/>
        <w:rPr>
          <w:rFonts w:ascii="Arial" w:hAnsi="Arial" w:cs="Arial"/>
        </w:rPr>
      </w:pPr>
      <w:r w:rsidRPr="009A0CFE">
        <w:rPr>
          <w:rFonts w:ascii="Arial" w:hAnsi="Arial" w:cs="Arial"/>
          <w:b/>
          <w:bCs/>
        </w:rPr>
        <w:t>Limitations:</w:t>
      </w:r>
    </w:p>
    <w:p w14:paraId="3D1EE3ED" w14:textId="77777777" w:rsidR="00FE54AC" w:rsidRPr="00296A0B" w:rsidRDefault="00FE54AC" w:rsidP="00FE54AC">
      <w:pPr>
        <w:spacing w:before="100" w:beforeAutospacing="1" w:after="100" w:afterAutospacing="1" w:line="240" w:lineRule="auto"/>
        <w:ind w:left="720"/>
        <w:rPr>
          <w:rFonts w:ascii="Arial" w:eastAsia="Times New Roman" w:hAnsi="Arial" w:cs="Arial"/>
          <w:kern w:val="0"/>
          <w:sz w:val="22"/>
          <w:szCs w:val="22"/>
          <w:lang w:eastAsia="en-GB"/>
          <w14:ligatures w14:val="none"/>
        </w:rPr>
      </w:pPr>
      <w:r w:rsidRPr="00296A0B">
        <w:rPr>
          <w:rFonts w:ascii="Arial" w:eastAsia="Times New Roman" w:hAnsi="Arial" w:cs="Arial"/>
          <w:kern w:val="0"/>
          <w:sz w:val="22"/>
          <w:szCs w:val="22"/>
          <w:lang w:eastAsia="en-GB"/>
          <w14:ligatures w14:val="none"/>
        </w:rPr>
        <w:t>Risk of algorithmic bias</w:t>
      </w:r>
    </w:p>
    <w:p w14:paraId="651ADC21" w14:textId="77777777" w:rsidR="00FE54AC" w:rsidRPr="00296A0B" w:rsidRDefault="00FE54AC" w:rsidP="00FE54AC">
      <w:pPr>
        <w:spacing w:before="100" w:beforeAutospacing="1" w:after="100" w:afterAutospacing="1" w:line="240" w:lineRule="auto"/>
        <w:ind w:left="720"/>
        <w:rPr>
          <w:rFonts w:ascii="Arial" w:eastAsia="Times New Roman" w:hAnsi="Arial" w:cs="Arial"/>
          <w:kern w:val="0"/>
          <w:sz w:val="22"/>
          <w:szCs w:val="22"/>
          <w:lang w:eastAsia="en-GB"/>
          <w14:ligatures w14:val="none"/>
        </w:rPr>
      </w:pPr>
      <w:r w:rsidRPr="00296A0B">
        <w:rPr>
          <w:rFonts w:ascii="Arial" w:eastAsia="Times New Roman" w:hAnsi="Arial" w:cs="Arial"/>
          <w:kern w:val="0"/>
          <w:sz w:val="22"/>
          <w:szCs w:val="22"/>
          <w:lang w:eastAsia="en-GB"/>
          <w14:ligatures w14:val="none"/>
        </w:rPr>
        <w:t>Data privacy concerns</w:t>
      </w:r>
    </w:p>
    <w:p w14:paraId="527BC071" w14:textId="77777777" w:rsidR="00FE54AC" w:rsidRPr="00E54AF2" w:rsidRDefault="00FE54AC" w:rsidP="00FE54AC">
      <w:pPr>
        <w:spacing w:before="100" w:beforeAutospacing="1" w:after="100" w:afterAutospacing="1" w:line="240" w:lineRule="auto"/>
        <w:ind w:left="720"/>
        <w:rPr>
          <w:rFonts w:ascii="Arial" w:eastAsia="Times New Roman" w:hAnsi="Arial" w:cs="Arial"/>
          <w:kern w:val="0"/>
          <w:sz w:val="22"/>
          <w:szCs w:val="22"/>
          <w:lang w:eastAsia="en-GB"/>
          <w14:ligatures w14:val="none"/>
        </w:rPr>
      </w:pPr>
      <w:r w:rsidRPr="00296A0B">
        <w:rPr>
          <w:rFonts w:ascii="Arial" w:eastAsia="Times New Roman" w:hAnsi="Arial" w:cs="Arial"/>
          <w:kern w:val="0"/>
          <w:sz w:val="22"/>
          <w:szCs w:val="22"/>
          <w:lang w:eastAsia="en-GB"/>
          <w14:ligatures w14:val="none"/>
        </w:rPr>
        <w:t>Employee resistance</w:t>
      </w:r>
    </w:p>
    <w:p w14:paraId="7092A2D0" w14:textId="77777777" w:rsidR="00FE54AC" w:rsidRPr="00E54AF2" w:rsidRDefault="00FE54AC" w:rsidP="00FE54AC">
      <w:pPr>
        <w:pStyle w:val="p1"/>
        <w:rPr>
          <w:rStyle w:val="s1"/>
          <w:rFonts w:ascii="Arial" w:eastAsiaTheme="majorEastAsia" w:hAnsi="Arial" w:cs="Arial"/>
          <w:sz w:val="22"/>
          <w:szCs w:val="22"/>
        </w:rPr>
      </w:pPr>
      <w:r w:rsidRPr="00E54AF2">
        <w:rPr>
          <w:rFonts w:ascii="Arial" w:hAnsi="Arial" w:cs="Arial"/>
          <w:sz w:val="22"/>
          <w:szCs w:val="22"/>
        </w:rPr>
        <w:t xml:space="preserve">The </w:t>
      </w:r>
      <w:r w:rsidRPr="00E54AF2">
        <w:rPr>
          <w:rStyle w:val="s2"/>
          <w:rFonts w:ascii="Arial" w:eastAsiaTheme="majorEastAsia" w:hAnsi="Arial" w:cs="Arial"/>
          <w:b/>
          <w:bCs/>
          <w:sz w:val="22"/>
          <w:szCs w:val="22"/>
        </w:rPr>
        <w:t>Ulrich HR Model</w:t>
      </w:r>
      <w:r w:rsidRPr="00E54AF2">
        <w:rPr>
          <w:rStyle w:val="s1"/>
          <w:rFonts w:ascii="Arial" w:eastAsiaTheme="majorEastAsia" w:hAnsi="Arial" w:cs="Arial"/>
          <w:sz w:val="22"/>
          <w:szCs w:val="22"/>
        </w:rPr>
        <w:t xml:space="preserve"> (Ulrich, 1997) emphasises HR as a strategic partner. Digital transformation supports this by enabling HR to focus on strategic roles rather than administrative tasks.</w:t>
      </w:r>
    </w:p>
    <w:p w14:paraId="5ED9A393" w14:textId="77777777" w:rsidR="007234BA" w:rsidRPr="007234BA" w:rsidRDefault="007234BA" w:rsidP="007234B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7234BA">
        <w:rPr>
          <w:rFonts w:ascii="Times New Roman" w:eastAsia="Times New Roman" w:hAnsi="Times New Roman" w:cs="Times New Roman"/>
          <w:b/>
          <w:bCs/>
          <w:kern w:val="0"/>
          <w:sz w:val="36"/>
          <w:szCs w:val="36"/>
          <w:lang w:eastAsia="en-GB"/>
          <w14:ligatures w14:val="none"/>
        </w:rPr>
        <w:t>4. Evaluation of Contemporary HR Practices</w:t>
      </w:r>
    </w:p>
    <w:p w14:paraId="5CC57F3D" w14:textId="77777777" w:rsidR="00486A88" w:rsidRDefault="00486A88" w:rsidP="00486A88">
      <w:pPr>
        <w:pStyle w:val="p1"/>
      </w:pPr>
      <w:r>
        <w:t>To address the above challenges, organisations like Mitie adopt various contemporary HR practices:</w:t>
      </w:r>
    </w:p>
    <w:p w14:paraId="779914D4" w14:textId="77777777" w:rsidR="00486A88" w:rsidRPr="00486A88" w:rsidRDefault="00486A88" w:rsidP="00486A88">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486A88">
        <w:rPr>
          <w:rFonts w:ascii="Times New Roman" w:eastAsia="Times New Roman" w:hAnsi="Times New Roman" w:cs="Times New Roman"/>
          <w:b/>
          <w:bCs/>
          <w:kern w:val="0"/>
          <w:sz w:val="27"/>
          <w:szCs w:val="27"/>
          <w:lang w:eastAsia="en-GB"/>
          <w14:ligatures w14:val="none"/>
        </w:rPr>
        <w:t>Digital HR and Learning Systems</w:t>
      </w:r>
    </w:p>
    <w:p w14:paraId="7E96D286" w14:textId="2B9E79AC" w:rsidR="00486A88" w:rsidRDefault="00486A88" w:rsidP="00486A88">
      <w:pPr>
        <w:pStyle w:val="p1"/>
      </w:pPr>
      <w:r>
        <w:t xml:space="preserve">Mitie uses digital platforms for training and development, enabling employees to access learning resources and improve </w:t>
      </w:r>
      <w:r w:rsidR="004D635F">
        <w:t>skills</w:t>
      </w:r>
      <w:r w:rsidR="004D635F">
        <w:rPr>
          <w:rStyle w:val="apple-converted-space"/>
          <w:rFonts w:eastAsiaTheme="majorEastAsia"/>
        </w:rPr>
        <w:t xml:space="preserve">. </w:t>
      </w:r>
      <w:r>
        <w:t>These systems support continuous learning, which is essential in adapting to technological change.</w:t>
      </w:r>
    </w:p>
    <w:p w14:paraId="53E0245B" w14:textId="77777777" w:rsidR="00486A88" w:rsidRPr="00486A88" w:rsidRDefault="00486A88" w:rsidP="00486A88">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486A88">
        <w:rPr>
          <w:rFonts w:ascii="Times New Roman" w:eastAsia="Times New Roman" w:hAnsi="Times New Roman" w:cs="Times New Roman"/>
          <w:b/>
          <w:bCs/>
          <w:kern w:val="0"/>
          <w:sz w:val="27"/>
          <w:szCs w:val="27"/>
          <w:lang w:eastAsia="en-GB"/>
          <w14:ligatures w14:val="none"/>
        </w:rPr>
        <w:lastRenderedPageBreak/>
        <w:t>Employee Engagement Strategies</w:t>
      </w:r>
    </w:p>
    <w:p w14:paraId="7A651922" w14:textId="549D22D3" w:rsidR="00486A88" w:rsidRDefault="00486A88" w:rsidP="00486A88">
      <w:pPr>
        <w:pStyle w:val="p1"/>
      </w:pPr>
      <w:r>
        <w:t xml:space="preserve">Mitie conducts regular employee surveys and engagement initiatives to gather feedback and improve workplace </w:t>
      </w:r>
      <w:r w:rsidR="004D635F">
        <w:t>culture</w:t>
      </w:r>
      <w:r w:rsidR="004D635F">
        <w:rPr>
          <w:rStyle w:val="apple-converted-space"/>
          <w:rFonts w:eastAsiaTheme="majorEastAsia"/>
        </w:rPr>
        <w:t xml:space="preserve">. </w:t>
      </w:r>
      <w:r>
        <w:t>Engagement programmes, such as recognition schemes, contribute to employee motivation.</w:t>
      </w:r>
    </w:p>
    <w:p w14:paraId="138231E7" w14:textId="77777777" w:rsidR="00486A88" w:rsidRDefault="00486A88" w:rsidP="00486A88">
      <w:pPr>
        <w:pStyle w:val="p2"/>
      </w:pPr>
      <w:r>
        <w:t>Despite these efforts, feedback from informal sources suggests inconsistencies in communication and management practices. This indicates that engagement strategies may not be uniformly implemented.</w:t>
      </w:r>
    </w:p>
    <w:p w14:paraId="0156D159" w14:textId="77777777" w:rsidR="00486A88" w:rsidRPr="00486A88" w:rsidRDefault="00486A88" w:rsidP="00486A88">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486A88">
        <w:rPr>
          <w:rFonts w:ascii="Times New Roman" w:eastAsia="Times New Roman" w:hAnsi="Times New Roman" w:cs="Times New Roman"/>
          <w:b/>
          <w:bCs/>
          <w:kern w:val="0"/>
          <w:sz w:val="27"/>
          <w:szCs w:val="27"/>
          <w:lang w:eastAsia="en-GB"/>
          <w14:ligatures w14:val="none"/>
        </w:rPr>
        <w:t>Talent Management and Development</w:t>
      </w:r>
    </w:p>
    <w:p w14:paraId="0441550D" w14:textId="274C84F9" w:rsidR="00486A88" w:rsidRDefault="00486A88" w:rsidP="00486A88">
      <w:pPr>
        <w:pStyle w:val="p1"/>
      </w:pPr>
      <w:r>
        <w:t xml:space="preserve">Mitie has implemented structured talent management frameworks, including performance reviews and leadership development </w:t>
      </w:r>
      <w:r w:rsidR="004D635F">
        <w:t>programmes</w:t>
      </w:r>
      <w:r w:rsidR="004D635F">
        <w:rPr>
          <w:rStyle w:val="apple-converted-space"/>
          <w:rFonts w:eastAsiaTheme="majorEastAsia"/>
        </w:rPr>
        <w:t xml:space="preserve">. </w:t>
      </w:r>
      <w:r>
        <w:t>These initiatives help identify high-potential employees and support career progression.</w:t>
      </w:r>
    </w:p>
    <w:p w14:paraId="59688759" w14:textId="77777777" w:rsidR="00486A88" w:rsidRDefault="00486A88" w:rsidP="00486A88">
      <w:pPr>
        <w:pStyle w:val="p2"/>
      </w:pPr>
      <w:r>
        <w:t>Such practices align with modern HR approaches, which emphasise internal talent development rather than external hiring alone. However, the effectiveness depends on consistent execution across departments.</w:t>
      </w:r>
    </w:p>
    <w:p w14:paraId="33B5AAA8" w14:textId="77777777" w:rsidR="00486A88" w:rsidRDefault="00486A88" w:rsidP="00486A88">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486A88">
        <w:rPr>
          <w:rFonts w:ascii="Times New Roman" w:eastAsia="Times New Roman" w:hAnsi="Times New Roman" w:cs="Times New Roman"/>
          <w:b/>
          <w:bCs/>
          <w:kern w:val="0"/>
          <w:sz w:val="27"/>
          <w:szCs w:val="27"/>
          <w:lang w:eastAsia="en-GB"/>
          <w14:ligatures w14:val="none"/>
        </w:rPr>
        <w:t>Flexible Benefits and Wellbeing Programmes</w:t>
      </w:r>
    </w:p>
    <w:p w14:paraId="05B22375" w14:textId="2E994564" w:rsidR="00BB4750" w:rsidRDefault="00BB4750" w:rsidP="00205B8B">
      <w:pPr>
        <w:pStyle w:val="p1"/>
      </w:pPr>
      <w:r>
        <w:t>Mitie offers a range of benefits, including financial support, wellbeing programmes, and mental health services, aimed at enhancing employee experience and overall job satisfaction. These initiatives contribute significantly to improving employee retention and reducing absenteeism. In today’s workforce, employee wellbeing is widely recognised as a key driver of productivity, engagement, and organisational performance (CIPD, 2023).</w:t>
      </w:r>
    </w:p>
    <w:p w14:paraId="1E4E5857" w14:textId="328EE94B" w:rsidR="008F3C98" w:rsidRPr="00486A88" w:rsidRDefault="00BB4750" w:rsidP="007A59B6">
      <w:pPr>
        <w:pStyle w:val="p2"/>
      </w:pPr>
      <w:r>
        <w:t>Furthermore, research suggests that organisations that prioritise employee wellbeing are more likely to foster a positive work culture and higher levels of commitment. Mitie’s focus on wellbeing therefore reflects best practice, although continuous evaluation is necessary to ensure these programmes meet diverse employee needs.</w:t>
      </w:r>
    </w:p>
    <w:p w14:paraId="4BE269F4" w14:textId="77777777" w:rsidR="00486A88" w:rsidRPr="00486A88" w:rsidRDefault="00486A88" w:rsidP="00486A88">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486A88">
        <w:rPr>
          <w:rFonts w:ascii="Times New Roman" w:eastAsia="Times New Roman" w:hAnsi="Times New Roman" w:cs="Times New Roman"/>
          <w:b/>
          <w:bCs/>
          <w:kern w:val="0"/>
          <w:sz w:val="27"/>
          <w:szCs w:val="27"/>
          <w:lang w:eastAsia="en-GB"/>
          <w14:ligatures w14:val="none"/>
        </w:rPr>
        <w:t>Diversity and Inclusion Initiatives</w:t>
      </w:r>
    </w:p>
    <w:p w14:paraId="6BFEF77A" w14:textId="0441A794" w:rsidR="00486A88" w:rsidRDefault="00486A88" w:rsidP="00486A88">
      <w:pPr>
        <w:pStyle w:val="p1"/>
      </w:pPr>
      <w:r>
        <w:t xml:space="preserve">Mitie has adopted inclusive hiring practices and initiatives to support underrepresented </w:t>
      </w:r>
      <w:r>
        <w:t>groups</w:t>
      </w:r>
      <w:r>
        <w:rPr>
          <w:rStyle w:val="apple-converted-space"/>
          <w:rFonts w:eastAsiaTheme="majorEastAsia"/>
        </w:rPr>
        <w:t xml:space="preserve">. </w:t>
      </w:r>
      <w:r>
        <w:t>These include diversity training and equal opportunity policies.</w:t>
      </w:r>
    </w:p>
    <w:p w14:paraId="2F68F331" w14:textId="77777777" w:rsidR="00486A88" w:rsidRDefault="00486A88" w:rsidP="00486A88">
      <w:pPr>
        <w:pStyle w:val="p2"/>
      </w:pPr>
      <w:r>
        <w:t>However, research shows that DEI initiatives must go beyond policies to create real behavioural change. Without strong leadership commitment, such initiatives may have limited impact.</w:t>
      </w:r>
    </w:p>
    <w:p w14:paraId="69039B92" w14:textId="77777777" w:rsidR="00486A88" w:rsidRPr="00486A88" w:rsidRDefault="00486A88" w:rsidP="00486A88">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486A88">
        <w:rPr>
          <w:rFonts w:ascii="Times New Roman" w:eastAsia="Times New Roman" w:hAnsi="Times New Roman" w:cs="Times New Roman"/>
          <w:b/>
          <w:bCs/>
          <w:kern w:val="0"/>
          <w:sz w:val="27"/>
          <w:szCs w:val="27"/>
          <w:lang w:eastAsia="en-GB"/>
          <w14:ligatures w14:val="none"/>
        </w:rPr>
        <w:t>Recruitment and Employer Branding</w:t>
      </w:r>
    </w:p>
    <w:p w14:paraId="22281951" w14:textId="7A4AFFEE" w:rsidR="00486A88" w:rsidRPr="00486A88" w:rsidRDefault="00486A88" w:rsidP="00486A88">
      <w:pPr>
        <w:spacing w:before="100" w:beforeAutospacing="1" w:after="100" w:afterAutospacing="1" w:line="240" w:lineRule="auto"/>
        <w:rPr>
          <w:rFonts w:ascii="Times New Roman" w:eastAsia="Times New Roman" w:hAnsi="Times New Roman" w:cs="Times New Roman"/>
          <w:kern w:val="0"/>
          <w:lang w:eastAsia="en-GB"/>
          <w14:ligatures w14:val="none"/>
        </w:rPr>
      </w:pPr>
      <w:r w:rsidRPr="00486A88">
        <w:rPr>
          <w:rFonts w:ascii="Times New Roman" w:eastAsia="Times New Roman" w:hAnsi="Times New Roman" w:cs="Times New Roman"/>
          <w:kern w:val="0"/>
          <w:lang w:eastAsia="en-GB"/>
          <w14:ligatures w14:val="none"/>
        </w:rPr>
        <w:t xml:space="preserve">Mitie promotes itself as a “destination employer” with a strong organisational </w:t>
      </w:r>
      <w:r w:rsidR="004D635F" w:rsidRPr="00486A88">
        <w:rPr>
          <w:rFonts w:ascii="Times New Roman" w:eastAsia="Times New Roman" w:hAnsi="Times New Roman" w:cs="Times New Roman"/>
          <w:kern w:val="0"/>
          <w:lang w:eastAsia="en-GB"/>
          <w14:ligatures w14:val="none"/>
        </w:rPr>
        <w:t>culture.</w:t>
      </w:r>
      <w:r w:rsidRPr="00486A88">
        <w:rPr>
          <w:rFonts w:ascii="Times New Roman" w:eastAsia="Times New Roman" w:hAnsi="Times New Roman" w:cs="Times New Roman"/>
          <w:kern w:val="0"/>
          <w:lang w:eastAsia="en-GB"/>
          <w14:ligatures w14:val="none"/>
        </w:rPr>
        <w:t xml:space="preserve"> Employer branding is essential for attracting talent in competitive markets.</w:t>
      </w:r>
    </w:p>
    <w:p w14:paraId="77600A18" w14:textId="77777777" w:rsidR="00486A88" w:rsidRPr="00486A88" w:rsidRDefault="00486A88" w:rsidP="00486A88">
      <w:pPr>
        <w:spacing w:before="100" w:beforeAutospacing="1" w:after="100" w:afterAutospacing="1" w:line="240" w:lineRule="auto"/>
        <w:rPr>
          <w:rFonts w:ascii="Times New Roman" w:eastAsia="Times New Roman" w:hAnsi="Times New Roman" w:cs="Times New Roman"/>
          <w:kern w:val="0"/>
          <w:lang w:eastAsia="en-GB"/>
          <w14:ligatures w14:val="none"/>
        </w:rPr>
      </w:pPr>
      <w:r w:rsidRPr="00486A88">
        <w:rPr>
          <w:rFonts w:ascii="Times New Roman" w:eastAsia="Times New Roman" w:hAnsi="Times New Roman" w:cs="Times New Roman"/>
          <w:kern w:val="0"/>
          <w:lang w:eastAsia="en-GB"/>
          <w14:ligatures w14:val="none"/>
        </w:rPr>
        <w:t>However, maintaining this image requires consistent employee experience across all levels. Any mismatch between branding and reality can damage reputation.</w:t>
      </w:r>
    </w:p>
    <w:p w14:paraId="7E800241" w14:textId="77777777" w:rsidR="00486A88" w:rsidRDefault="00486A88" w:rsidP="00486A88">
      <w:pPr>
        <w:spacing w:before="100" w:beforeAutospacing="1" w:after="100" w:afterAutospacing="1" w:line="240" w:lineRule="auto"/>
        <w:rPr>
          <w:rFonts w:ascii="Times New Roman" w:eastAsia="Times New Roman" w:hAnsi="Times New Roman" w:cs="Times New Roman"/>
          <w:kern w:val="0"/>
          <w:lang w:eastAsia="en-GB"/>
          <w14:ligatures w14:val="none"/>
        </w:rPr>
      </w:pPr>
      <w:r w:rsidRPr="00486A88">
        <w:rPr>
          <w:rFonts w:ascii="Times New Roman" w:eastAsia="Times New Roman" w:hAnsi="Times New Roman" w:cs="Times New Roman"/>
          <w:kern w:val="0"/>
          <w:lang w:eastAsia="en-GB"/>
          <w14:ligatures w14:val="none"/>
        </w:rPr>
        <w:lastRenderedPageBreak/>
        <w:t>Overall, while Mitie adopts several contemporary HR practices, challenges remain in ensuring consistency, inclusivity, and effectiveness across its large workforce.</w:t>
      </w:r>
    </w:p>
    <w:p w14:paraId="6B624C64" w14:textId="77777777" w:rsidR="00041DCD" w:rsidRDefault="00486A88" w:rsidP="00486A8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486A88">
        <w:rPr>
          <w:rFonts w:ascii="Times New Roman" w:eastAsia="Times New Roman" w:hAnsi="Times New Roman" w:cs="Times New Roman"/>
          <w:b/>
          <w:bCs/>
          <w:kern w:val="0"/>
          <w:sz w:val="36"/>
          <w:szCs w:val="36"/>
          <w:lang w:eastAsia="en-GB"/>
          <w14:ligatures w14:val="none"/>
        </w:rPr>
        <w:t xml:space="preserve">5. Role of Managers in </w:t>
      </w:r>
      <w:r w:rsidR="00041DCD">
        <w:rPr>
          <w:rFonts w:ascii="Times New Roman" w:eastAsia="Times New Roman" w:hAnsi="Times New Roman" w:cs="Times New Roman"/>
          <w:b/>
          <w:bCs/>
          <w:kern w:val="0"/>
          <w:sz w:val="36"/>
          <w:szCs w:val="36"/>
          <w:lang w:eastAsia="en-GB"/>
          <w14:ligatures w14:val="none"/>
        </w:rPr>
        <w:t xml:space="preserve">HR Strategy </w:t>
      </w:r>
      <w:r w:rsidRPr="00486A88">
        <w:rPr>
          <w:rFonts w:ascii="Times New Roman" w:eastAsia="Times New Roman" w:hAnsi="Times New Roman" w:cs="Times New Roman"/>
          <w:b/>
          <w:bCs/>
          <w:kern w:val="0"/>
          <w:sz w:val="36"/>
          <w:szCs w:val="36"/>
          <w:lang w:eastAsia="en-GB"/>
          <w14:ligatures w14:val="none"/>
        </w:rPr>
        <w:t>Implementation</w:t>
      </w:r>
    </w:p>
    <w:p w14:paraId="2AEF3C7F" w14:textId="77777777" w:rsidR="00041DCD" w:rsidRDefault="00041DCD" w:rsidP="00041DCD">
      <w:pPr>
        <w:pStyle w:val="p1"/>
      </w:pPr>
      <w:r>
        <w:t>Departmental managers play a crucial role in implementing HR strategies effectively, acting as the link between strategic intent and operational execution. Their responsibilities extend beyond administrative functions to include translating HR policies into practice, managing teams, and ensuring alignment with organisational goals. According to Armstrong (2020), line managers are increasingly responsible for delivering HR practices, making their role central to organisational performance. This is particularly relevant in labour-intensive organisations such as Mitie Group plc, where service quality is directly influenced by employee performance and engagement.</w:t>
      </w:r>
    </w:p>
    <w:p w14:paraId="63AE3F48" w14:textId="77777777" w:rsidR="00041DCD" w:rsidRPr="00041DCD" w:rsidRDefault="00041DCD" w:rsidP="00041DC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041DCD">
        <w:rPr>
          <w:rFonts w:ascii="Times New Roman" w:eastAsia="Times New Roman" w:hAnsi="Times New Roman" w:cs="Times New Roman"/>
          <w:b/>
          <w:bCs/>
          <w:kern w:val="0"/>
          <w:sz w:val="27"/>
          <w:szCs w:val="27"/>
          <w:lang w:eastAsia="en-GB"/>
          <w14:ligatures w14:val="none"/>
        </w:rPr>
        <w:t>Leadership and Communication</w:t>
      </w:r>
    </w:p>
    <w:p w14:paraId="047DB0DF" w14:textId="0094C082" w:rsidR="00041DCD" w:rsidRPr="00041DCD" w:rsidRDefault="00041DCD" w:rsidP="00041DCD">
      <w:pPr>
        <w:pStyle w:val="p1"/>
        <w:rPr>
          <w:rFonts w:ascii="Arial" w:hAnsi="Arial" w:cs="Arial"/>
          <w:sz w:val="22"/>
          <w:szCs w:val="22"/>
        </w:rPr>
      </w:pPr>
      <w:r w:rsidRPr="00041DCD">
        <w:rPr>
          <w:rFonts w:ascii="Arial" w:hAnsi="Arial" w:cs="Arial"/>
          <w:sz w:val="22"/>
          <w:szCs w:val="22"/>
        </w:rPr>
        <w:t xml:space="preserve">Effective leadership and communication are fundamental to successful HR implementation. Managers must clearly communicate organisational changes, policies, and expectations to employees </w:t>
      </w:r>
      <w:r w:rsidR="004D635F" w:rsidRPr="00041DCD">
        <w:rPr>
          <w:rFonts w:ascii="Arial" w:hAnsi="Arial" w:cs="Arial"/>
          <w:sz w:val="22"/>
          <w:szCs w:val="22"/>
        </w:rPr>
        <w:t>to</w:t>
      </w:r>
      <w:r w:rsidRPr="00041DCD">
        <w:rPr>
          <w:rFonts w:ascii="Arial" w:hAnsi="Arial" w:cs="Arial"/>
          <w:sz w:val="22"/>
          <w:szCs w:val="22"/>
        </w:rPr>
        <w:t xml:space="preserve"> ensure understanding and engagement. Poor communication can result in confusion, reduced morale, and resistance to change, ultimately undermining organisational effectiveness (CIPD, 2023).</w:t>
      </w:r>
    </w:p>
    <w:p w14:paraId="57D8335F" w14:textId="19791D6C" w:rsidR="00041DCD" w:rsidRPr="004F1225" w:rsidRDefault="00486A88" w:rsidP="00041DCD">
      <w:pPr>
        <w:pStyle w:val="Heading3"/>
        <w:rPr>
          <w:rFonts w:ascii="Arial" w:eastAsia="Times New Roman" w:hAnsi="Arial" w:cs="Arial"/>
          <w:b/>
          <w:bCs/>
          <w:color w:val="0D0D0D" w:themeColor="text1" w:themeTint="F2"/>
          <w:kern w:val="0"/>
          <w:sz w:val="22"/>
          <w:szCs w:val="22"/>
          <w:lang w:eastAsia="en-GB"/>
          <w14:ligatures w14:val="none"/>
        </w:rPr>
      </w:pPr>
      <w:r w:rsidRPr="00486A88">
        <w:rPr>
          <w:rFonts w:ascii="Times New Roman" w:eastAsia="Times New Roman" w:hAnsi="Times New Roman" w:cs="Times New Roman"/>
          <w:b/>
          <w:bCs/>
          <w:kern w:val="0"/>
          <w:sz w:val="36"/>
          <w:szCs w:val="36"/>
          <w:lang w:eastAsia="en-GB"/>
          <w14:ligatures w14:val="none"/>
        </w:rPr>
        <w:t xml:space="preserve"> </w:t>
      </w:r>
      <w:r w:rsidR="00041DCD" w:rsidRPr="004F1225">
        <w:rPr>
          <w:rFonts w:ascii="Arial" w:hAnsi="Arial" w:cs="Arial"/>
          <w:color w:val="0D0D0D" w:themeColor="text1" w:themeTint="F2"/>
          <w:sz w:val="22"/>
          <w:szCs w:val="22"/>
        </w:rPr>
        <w:t>In the context of Mitie, communication gaps identified in employee feedback suggest inconsistencies in how HR strategies are conveyed and implemented across departments. This reflects a broader issue identified in the literature, where lack of managerial communication is a key barrier to employee engagement (Macey and Schneider, 2008).</w:t>
      </w:r>
      <w:r w:rsidR="00041DCD" w:rsidRPr="004F1225">
        <w:rPr>
          <w:rStyle w:val="Heading2Char"/>
          <w:rFonts w:ascii="Arial" w:hAnsi="Arial" w:cs="Arial"/>
          <w:color w:val="0D0D0D" w:themeColor="text1" w:themeTint="F2"/>
          <w:sz w:val="22"/>
          <w:szCs w:val="22"/>
        </w:rPr>
        <w:t xml:space="preserve"> </w:t>
      </w:r>
    </w:p>
    <w:p w14:paraId="42FF51FD" w14:textId="66A0EAA5" w:rsidR="00486A88" w:rsidRDefault="00041DCD" w:rsidP="00486A88">
      <w:pPr>
        <w:spacing w:before="100" w:beforeAutospacing="1" w:after="100" w:afterAutospacing="1" w:line="240" w:lineRule="auto"/>
        <w:outlineLvl w:val="1"/>
        <w:rPr>
          <w:rFonts w:ascii="Arial" w:hAnsi="Arial" w:cs="Arial"/>
          <w:kern w:val="0"/>
          <w:sz w:val="22"/>
          <w:szCs w:val="22"/>
        </w:rPr>
      </w:pPr>
      <w:r w:rsidRPr="00041DCD">
        <w:rPr>
          <w:rFonts w:ascii="Arial" w:hAnsi="Arial" w:cs="Arial"/>
          <w:kern w:val="0"/>
          <w:sz w:val="22"/>
          <w:szCs w:val="22"/>
        </w:rPr>
        <w:t xml:space="preserve">From a critical perspective, </w:t>
      </w:r>
      <w:r w:rsidRPr="00041DCD">
        <w:rPr>
          <w:rFonts w:ascii="Arial" w:hAnsi="Arial" w:cs="Arial"/>
          <w:b/>
          <w:bCs/>
          <w:kern w:val="0"/>
          <w:sz w:val="22"/>
          <w:szCs w:val="22"/>
        </w:rPr>
        <w:t>transformational leadership theory</w:t>
      </w:r>
      <w:r w:rsidRPr="00041DCD">
        <w:rPr>
          <w:rFonts w:ascii="Arial" w:hAnsi="Arial" w:cs="Arial"/>
          <w:kern w:val="0"/>
          <w:sz w:val="22"/>
          <w:szCs w:val="22"/>
        </w:rPr>
        <w:t xml:space="preserve"> highlights the importance of leaders who inspire, motivate, and engage employees through clear vision and communication (Bass, 1985). Managers who adopt this approach are more likely to gain employee commitment and reduce resistance to organisational change. Therefore, Mitie must ensure that managers are equipped with strong communication and leadership skills to effectively implement HR strategies.</w:t>
      </w:r>
    </w:p>
    <w:p w14:paraId="588C88B3" w14:textId="77777777" w:rsidR="00041DCD" w:rsidRPr="004D635F" w:rsidRDefault="00041DCD" w:rsidP="00041DCD">
      <w:pPr>
        <w:pStyle w:val="Heading3"/>
        <w:rPr>
          <w:b/>
          <w:bCs/>
          <w:color w:val="0D0D0D" w:themeColor="text1" w:themeTint="F2"/>
        </w:rPr>
      </w:pPr>
      <w:r w:rsidRPr="004D635F">
        <w:rPr>
          <w:rStyle w:val="s1"/>
          <w:b/>
          <w:bCs/>
          <w:color w:val="0D0D0D" w:themeColor="text1" w:themeTint="F2"/>
        </w:rPr>
        <w:t>Supporting Technological Adoption</w:t>
      </w:r>
    </w:p>
    <w:p w14:paraId="308AFEAB" w14:textId="77777777" w:rsidR="00041DCD" w:rsidRDefault="00041DCD" w:rsidP="00041DCD">
      <w:pPr>
        <w:pStyle w:val="p1"/>
      </w:pPr>
      <w:r>
        <w:t>Managers also play a vital role in facilitating the adoption of new technologies within the organisation. As Mitie continues to invest in digital transformation, managers must act as change agents, supporting employees in adapting to new systems and processes. This includes providing training, addressing employee concerns, and ensuring that technological changes are integrated smoothly into daily operations.</w:t>
      </w:r>
    </w:p>
    <w:p w14:paraId="5F58B7F1" w14:textId="77777777" w:rsidR="00041DCD" w:rsidRDefault="00041DCD" w:rsidP="00041DCD">
      <w:pPr>
        <w:pStyle w:val="p1"/>
      </w:pPr>
    </w:p>
    <w:p w14:paraId="2757A0B9" w14:textId="0C46709D" w:rsidR="00041DCD" w:rsidRDefault="00041DCD" w:rsidP="00041DCD">
      <w:pPr>
        <w:pStyle w:val="p1"/>
        <w:rPr>
          <w:rFonts w:eastAsiaTheme="majorEastAsia"/>
        </w:rPr>
      </w:pPr>
      <w:r>
        <w:t xml:space="preserve">Research from </w:t>
      </w:r>
      <w:r>
        <w:rPr>
          <w:rStyle w:val="s2"/>
          <w:rFonts w:eastAsiaTheme="majorEastAsia"/>
          <w:i/>
          <w:iCs/>
        </w:rPr>
        <w:t>Harvard Business Review</w:t>
      </w:r>
      <w:r>
        <w:rPr>
          <w:rStyle w:val="s1"/>
          <w:rFonts w:eastAsiaTheme="majorEastAsia"/>
        </w:rPr>
        <w:t xml:space="preserve"> indicates that digital transformation initiatives often fail not due to technological limitations but because of inadequate leadership and employee readiness (Kane et al., 2019). This highlights the importance of managerial support in overcoming resistance to change.</w:t>
      </w:r>
    </w:p>
    <w:p w14:paraId="689756D1" w14:textId="547A4B06" w:rsidR="00041DCD" w:rsidRDefault="00041DCD" w:rsidP="00041DCD">
      <w:pPr>
        <w:pStyle w:val="p1"/>
      </w:pPr>
      <w:r>
        <w:lastRenderedPageBreak/>
        <w:t>Without effective managerial involvement, technological initiatives may fail due to lack of engagement, insufficient training, or resistance from employees. In Mitie’s case, this risk is particularly significant given the diverse skill levels within its workforce.</w:t>
      </w:r>
    </w:p>
    <w:p w14:paraId="10EA6FC3" w14:textId="77777777" w:rsidR="00041DCD" w:rsidRDefault="00041DCD" w:rsidP="00041DCD">
      <w:pPr>
        <w:pStyle w:val="p2"/>
      </w:pPr>
      <w:r>
        <w:t>Critically, managers must balance the implementation of technology with consideration for employee wellbeing. Rapid technological change can create anxiety and job insecurity, which may negatively impact performance. Therefore, a supportive and inclusive approach is essential to ensure successful adoption.</w:t>
      </w:r>
    </w:p>
    <w:p w14:paraId="2B377C84" w14:textId="77777777" w:rsidR="00041DCD" w:rsidRDefault="00041DCD" w:rsidP="00041DCD">
      <w:pPr>
        <w:pStyle w:val="Heading3"/>
        <w:rPr>
          <w:rStyle w:val="s1"/>
          <w:b/>
          <w:bCs/>
          <w:color w:val="0D0D0D" w:themeColor="text1" w:themeTint="F2"/>
        </w:rPr>
      </w:pPr>
      <w:r w:rsidRPr="004D635F">
        <w:rPr>
          <w:rStyle w:val="s1"/>
          <w:b/>
          <w:bCs/>
          <w:color w:val="0D0D0D" w:themeColor="text1" w:themeTint="F2"/>
        </w:rPr>
        <w:t>Conclusion of Section</w:t>
      </w:r>
    </w:p>
    <w:p w14:paraId="579D4100" w14:textId="5656A0D4" w:rsidR="009E4FEF" w:rsidRDefault="009E4FEF" w:rsidP="00F16BE6">
      <w:pPr>
        <w:pStyle w:val="p1"/>
      </w:pPr>
      <w:r>
        <w:t>Overall, departmental managers are central to the success of HR strategies in Mitie. Their ability to communicate effectively and support technological change directly influences employee engagement, productivity, and organisational performance. Strengthening managerial capability through targeted training and leadership development is therefore essential.</w:t>
      </w:r>
    </w:p>
    <w:p w14:paraId="46D38E71" w14:textId="77777777" w:rsidR="009E4FEF" w:rsidRDefault="009E4FEF" w:rsidP="009E4FEF">
      <w:pPr>
        <w:pStyle w:val="p2"/>
      </w:pPr>
      <w:r>
        <w:t>Moreover, managers must adopt a proactive and inclusive approach, ensuring that employees feel supported during organisational change. By enhancing communication, fostering trust, and promoting continuous learning, managers can reduce resistance and improve adaptability. Ultimately, effective managerial leadership will enable Mitie to successfully implement HR strategies, drive workforce performance, and maintain a competitive advantage in a rapidly evolving business environment.</w:t>
      </w:r>
    </w:p>
    <w:p w14:paraId="374B041C" w14:textId="77777777" w:rsidR="00FC4D6D" w:rsidRPr="00FC4D6D" w:rsidRDefault="00FC4D6D" w:rsidP="00FC4D6D">
      <w:pPr>
        <w:pStyle w:val="Heading2"/>
        <w:rPr>
          <w:b/>
          <w:bCs/>
        </w:rPr>
      </w:pPr>
      <w:r w:rsidRPr="004D635F">
        <w:rPr>
          <w:rStyle w:val="s1"/>
          <w:b/>
          <w:bCs/>
          <w:color w:val="0D0D0D" w:themeColor="text1" w:themeTint="F2"/>
        </w:rPr>
        <w:t>6. Recommendations</w:t>
      </w:r>
    </w:p>
    <w:p w14:paraId="17277170" w14:textId="77777777" w:rsidR="00FC4D6D" w:rsidRPr="00FC4D6D" w:rsidRDefault="00FC4D6D" w:rsidP="00FC4D6D">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FC4D6D">
        <w:rPr>
          <w:rFonts w:ascii="Times New Roman" w:eastAsia="Times New Roman" w:hAnsi="Times New Roman" w:cs="Times New Roman"/>
          <w:kern w:val="0"/>
          <w:lang w:eastAsia="en-GB"/>
          <w14:ligatures w14:val="none"/>
        </w:rPr>
        <w:t>Invest in comprehensive digital skills training programmes.</w:t>
      </w:r>
    </w:p>
    <w:p w14:paraId="5F378617" w14:textId="77777777" w:rsidR="00FC4D6D" w:rsidRPr="00FC4D6D" w:rsidRDefault="00FC4D6D" w:rsidP="00FC4D6D">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FC4D6D">
        <w:rPr>
          <w:rFonts w:ascii="Times New Roman" w:eastAsia="Times New Roman" w:hAnsi="Times New Roman" w:cs="Times New Roman"/>
          <w:kern w:val="0"/>
          <w:lang w:eastAsia="en-GB"/>
          <w14:ligatures w14:val="none"/>
        </w:rPr>
        <w:t>Improve communication between management and employees.</w:t>
      </w:r>
    </w:p>
    <w:p w14:paraId="7020073B" w14:textId="77777777" w:rsidR="00FC4D6D" w:rsidRPr="00FC4D6D" w:rsidRDefault="00FC4D6D" w:rsidP="00FC4D6D">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FC4D6D">
        <w:rPr>
          <w:rFonts w:ascii="Times New Roman" w:eastAsia="Times New Roman" w:hAnsi="Times New Roman" w:cs="Times New Roman"/>
          <w:kern w:val="0"/>
          <w:lang w:eastAsia="en-GB"/>
          <w14:ligatures w14:val="none"/>
        </w:rPr>
        <w:t>Enhance retention through competitive rewards and career development.</w:t>
      </w:r>
    </w:p>
    <w:p w14:paraId="17C24B56" w14:textId="77777777" w:rsidR="00FC4D6D" w:rsidRPr="00FC4D6D" w:rsidRDefault="00FC4D6D" w:rsidP="00FC4D6D">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FC4D6D">
        <w:rPr>
          <w:rFonts w:ascii="Times New Roman" w:eastAsia="Times New Roman" w:hAnsi="Times New Roman" w:cs="Times New Roman"/>
          <w:kern w:val="0"/>
          <w:lang w:eastAsia="en-GB"/>
          <w14:ligatures w14:val="none"/>
        </w:rPr>
        <w:t>Strengthen inclusive leadership through DEI training.</w:t>
      </w:r>
    </w:p>
    <w:p w14:paraId="13D0E11C" w14:textId="77777777" w:rsidR="00FC4D6D" w:rsidRDefault="00FC4D6D" w:rsidP="00FC4D6D">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FC4D6D">
        <w:rPr>
          <w:rFonts w:ascii="Times New Roman" w:eastAsia="Times New Roman" w:hAnsi="Times New Roman" w:cs="Times New Roman"/>
          <w:kern w:val="0"/>
          <w:lang w:eastAsia="en-GB"/>
          <w14:ligatures w14:val="none"/>
        </w:rPr>
        <w:t>Use HR analytics to support data-driven decision-making.</w:t>
      </w:r>
    </w:p>
    <w:p w14:paraId="37F8011F" w14:textId="77777777" w:rsidR="00FC4D6D" w:rsidRDefault="00FC4D6D" w:rsidP="00FC4D6D">
      <w:pPr>
        <w:pStyle w:val="Heading2"/>
        <w:rPr>
          <w:rStyle w:val="s1"/>
          <w:b/>
          <w:bCs/>
          <w:color w:val="0D0D0D" w:themeColor="text1" w:themeTint="F2"/>
        </w:rPr>
      </w:pPr>
      <w:r w:rsidRPr="004D635F">
        <w:rPr>
          <w:rStyle w:val="s1"/>
          <w:b/>
          <w:bCs/>
          <w:color w:val="0D0D0D" w:themeColor="text1" w:themeTint="F2"/>
        </w:rPr>
        <w:t>7. Conclusion</w:t>
      </w:r>
    </w:p>
    <w:p w14:paraId="153F7606" w14:textId="76EF195C" w:rsidR="0053151A" w:rsidRPr="00F35237" w:rsidRDefault="006374EF" w:rsidP="006374EF">
      <w:pPr>
        <w:pStyle w:val="p1"/>
        <w:rPr>
          <w:rFonts w:ascii="Arial" w:hAnsi="Arial" w:cs="Arial"/>
          <w:sz w:val="22"/>
          <w:szCs w:val="22"/>
        </w:rPr>
      </w:pPr>
      <w:r w:rsidRPr="00F35237">
        <w:rPr>
          <w:rFonts w:ascii="Arial" w:hAnsi="Arial" w:cs="Arial"/>
          <w:sz w:val="22"/>
          <w:szCs w:val="22"/>
        </w:rPr>
        <w:t>This report has critically examined HR challenges in Mitie Group plc, focusing on technological change, talent management, and diversity, equity, and inclusion (DEI). While the organisation has adopted contemporary HR practices, significant challenges remain in ensuring consistent implementation across its workforce. Effective managerial involvement is essential to translate strategy into practice. By addressing these challenges, Mitie can enhance employee engagement, improve operational efficiency, strengthen organisational performance, and achieve long-term sustainability in an increasingly competitive and dynamic business environment.</w:t>
      </w:r>
    </w:p>
    <w:p w14:paraId="2338C694" w14:textId="77777777" w:rsidR="004D635F" w:rsidRPr="004D635F" w:rsidRDefault="004D635F" w:rsidP="004D635F">
      <w:pPr>
        <w:pStyle w:val="Heading2"/>
        <w:rPr>
          <w:b/>
          <w:bCs/>
          <w:color w:val="0D0D0D" w:themeColor="text1" w:themeTint="F2"/>
        </w:rPr>
      </w:pPr>
      <w:r w:rsidRPr="004D635F">
        <w:rPr>
          <w:rStyle w:val="s1"/>
          <w:b/>
          <w:bCs/>
          <w:color w:val="0D0D0D" w:themeColor="text1" w:themeTint="F2"/>
        </w:rPr>
        <w:lastRenderedPageBreak/>
        <w:t xml:space="preserve">8. References </w:t>
      </w:r>
    </w:p>
    <w:p w14:paraId="7F3BA42A" w14:textId="531FFB59" w:rsidR="004D635F" w:rsidRDefault="004D635F" w:rsidP="004D635F">
      <w:pPr>
        <w:pStyle w:val="p1"/>
        <w:rPr>
          <w:rFonts w:eastAsiaTheme="majorEastAsia"/>
        </w:rPr>
      </w:pPr>
      <w:r>
        <w:t xml:space="preserve">Armstrong, M. (2020) </w:t>
      </w:r>
      <w:r>
        <w:rPr>
          <w:rStyle w:val="s2"/>
          <w:rFonts w:eastAsiaTheme="majorEastAsia"/>
          <w:i/>
          <w:iCs/>
        </w:rPr>
        <w:t>Armstrong’s Handbook of Human Resource Management Practice</w:t>
      </w:r>
      <w:r>
        <w:rPr>
          <w:rStyle w:val="s1"/>
          <w:rFonts w:eastAsiaTheme="majorEastAsia"/>
        </w:rPr>
        <w:t>. London: Kogan Page.</w:t>
      </w:r>
    </w:p>
    <w:p w14:paraId="1575C2B6" w14:textId="0CFA7547" w:rsidR="004D635F" w:rsidRDefault="004D635F" w:rsidP="004D635F">
      <w:pPr>
        <w:pStyle w:val="p1"/>
        <w:rPr>
          <w:rFonts w:eastAsiaTheme="majorEastAsia"/>
        </w:rPr>
      </w:pPr>
      <w:r>
        <w:t xml:space="preserve">CIPD (2023) </w:t>
      </w:r>
      <w:r>
        <w:rPr>
          <w:rStyle w:val="s2"/>
          <w:rFonts w:eastAsiaTheme="majorEastAsia"/>
          <w:i/>
          <w:iCs/>
        </w:rPr>
        <w:t>Resourcing and Talent Planning Report</w:t>
      </w:r>
      <w:r>
        <w:rPr>
          <w:rStyle w:val="s1"/>
          <w:rFonts w:eastAsiaTheme="majorEastAsia"/>
        </w:rPr>
        <w:t>. London: CIPD.</w:t>
      </w:r>
    </w:p>
    <w:p w14:paraId="6E994809" w14:textId="1D0B80D2" w:rsidR="004D635F" w:rsidRDefault="004D635F" w:rsidP="004D635F">
      <w:pPr>
        <w:pStyle w:val="p1"/>
        <w:rPr>
          <w:rFonts w:eastAsiaTheme="majorEastAsia"/>
        </w:rPr>
      </w:pPr>
      <w:r>
        <w:t>Deskill</w:t>
      </w:r>
      <w:r>
        <w:t xml:space="preserve"> (2022) </w:t>
      </w:r>
      <w:r>
        <w:rPr>
          <w:rStyle w:val="s2"/>
          <w:rFonts w:eastAsiaTheme="majorEastAsia"/>
          <w:i/>
          <w:iCs/>
        </w:rPr>
        <w:t>Mitie HR Challenges Report</w:t>
      </w:r>
      <w:r>
        <w:rPr>
          <w:rStyle w:val="s1"/>
          <w:rFonts w:eastAsiaTheme="majorEastAsia"/>
        </w:rPr>
        <w:t>. Available at: https://desklib.com</w:t>
      </w:r>
    </w:p>
    <w:p w14:paraId="47A580CB" w14:textId="4FA4C82A" w:rsidR="004D635F" w:rsidRDefault="004D635F" w:rsidP="004D635F">
      <w:pPr>
        <w:pStyle w:val="p1"/>
        <w:rPr>
          <w:rFonts w:eastAsiaTheme="majorEastAsia"/>
        </w:rPr>
      </w:pPr>
      <w:r>
        <w:t xml:space="preserve">Du, L. and Lee, J. (2023) ‘Bias in AI recruitment systems’, </w:t>
      </w:r>
      <w:proofErr w:type="spellStart"/>
      <w:r>
        <w:rPr>
          <w:rStyle w:val="s2"/>
          <w:rFonts w:eastAsiaTheme="majorEastAsia"/>
          <w:i/>
          <w:iCs/>
        </w:rPr>
        <w:t>arXiv</w:t>
      </w:r>
      <w:proofErr w:type="spellEnd"/>
      <w:r>
        <w:rPr>
          <w:rStyle w:val="s1"/>
          <w:rFonts w:eastAsiaTheme="majorEastAsia"/>
        </w:rPr>
        <w:t>.</w:t>
      </w:r>
    </w:p>
    <w:p w14:paraId="58EF219E" w14:textId="7F9FE346" w:rsidR="004D635F" w:rsidRDefault="004D635F" w:rsidP="004D635F">
      <w:pPr>
        <w:pStyle w:val="p1"/>
        <w:rPr>
          <w:rFonts w:eastAsiaTheme="majorEastAsia"/>
        </w:rPr>
      </w:pPr>
      <w:r>
        <w:t xml:space="preserve">Mitie (2026) </w:t>
      </w:r>
      <w:r>
        <w:rPr>
          <w:rStyle w:val="s2"/>
          <w:rFonts w:eastAsiaTheme="majorEastAsia"/>
          <w:i/>
          <w:iCs/>
        </w:rPr>
        <w:t>UK Top Employer Recognition</w:t>
      </w:r>
      <w:r>
        <w:rPr>
          <w:rStyle w:val="s1"/>
          <w:rFonts w:eastAsiaTheme="majorEastAsia"/>
        </w:rPr>
        <w:t>. Available at: https://www.mitie.com</w:t>
      </w:r>
    </w:p>
    <w:p w14:paraId="622102B8" w14:textId="33DEE379" w:rsidR="004D635F" w:rsidRDefault="004D635F" w:rsidP="004D635F">
      <w:pPr>
        <w:pStyle w:val="p1"/>
        <w:rPr>
          <w:rFonts w:eastAsiaTheme="majorEastAsia"/>
        </w:rPr>
      </w:pPr>
      <w:r>
        <w:t xml:space="preserve">Mitie Careers (2026) </w:t>
      </w:r>
      <w:r>
        <w:rPr>
          <w:rStyle w:val="s2"/>
          <w:rFonts w:eastAsiaTheme="majorEastAsia"/>
          <w:i/>
          <w:iCs/>
        </w:rPr>
        <w:t>Working at Mitie</w:t>
      </w:r>
      <w:r>
        <w:rPr>
          <w:rStyle w:val="s1"/>
          <w:rFonts w:eastAsiaTheme="majorEastAsia"/>
        </w:rPr>
        <w:t>. Available at: https://careers.mitie.com</w:t>
      </w:r>
    </w:p>
    <w:p w14:paraId="61B8B3F1" w14:textId="08C97A25" w:rsidR="004D635F" w:rsidRDefault="004D635F" w:rsidP="004D635F">
      <w:pPr>
        <w:pStyle w:val="p1"/>
        <w:rPr>
          <w:rFonts w:eastAsiaTheme="majorEastAsia"/>
        </w:rPr>
      </w:pPr>
      <w:r>
        <w:t xml:space="preserve">Mitie Group plc (2025) </w:t>
      </w:r>
      <w:r>
        <w:rPr>
          <w:rStyle w:val="s2"/>
          <w:rFonts w:eastAsiaTheme="majorEastAsia"/>
          <w:i/>
          <w:iCs/>
        </w:rPr>
        <w:t>Annual Report and Accounts 2025</w:t>
      </w:r>
      <w:r>
        <w:rPr>
          <w:rStyle w:val="s1"/>
          <w:rFonts w:eastAsiaTheme="majorEastAsia"/>
        </w:rPr>
        <w:t>. London: Mitie Group plc.</w:t>
      </w:r>
    </w:p>
    <w:p w14:paraId="67168D54" w14:textId="345F811C" w:rsidR="004D635F" w:rsidRDefault="004D635F" w:rsidP="004D635F">
      <w:pPr>
        <w:pStyle w:val="p1"/>
        <w:rPr>
          <w:rFonts w:eastAsiaTheme="majorEastAsia"/>
        </w:rPr>
      </w:pPr>
      <w:r>
        <w:t xml:space="preserve">Reddit (2026) </w:t>
      </w:r>
      <w:r>
        <w:rPr>
          <w:rStyle w:val="s2"/>
          <w:rFonts w:eastAsiaTheme="majorEastAsia"/>
          <w:i/>
          <w:iCs/>
        </w:rPr>
        <w:t>Employee experiences at Mitie</w:t>
      </w:r>
      <w:r>
        <w:rPr>
          <w:rStyle w:val="s1"/>
          <w:rFonts w:eastAsiaTheme="majorEastAsia"/>
        </w:rPr>
        <w:t>. Available at: https://www.reddit.com</w:t>
      </w:r>
    </w:p>
    <w:p w14:paraId="08C5002F" w14:textId="4EE8D455" w:rsidR="004D635F" w:rsidRDefault="004D635F" w:rsidP="004D635F">
      <w:pPr>
        <w:pStyle w:val="p2"/>
        <w:rPr>
          <w:rFonts w:eastAsiaTheme="majorEastAsia"/>
        </w:rPr>
      </w:pPr>
      <w:r>
        <w:t xml:space="preserve">The Times (2024) </w:t>
      </w:r>
      <w:r>
        <w:rPr>
          <w:rStyle w:val="s2"/>
          <w:rFonts w:eastAsiaTheme="majorEastAsia"/>
          <w:i/>
          <w:iCs/>
        </w:rPr>
        <w:t>Employment tribunal case involving Mitie</w:t>
      </w:r>
      <w:r>
        <w:rPr>
          <w:rStyle w:val="s1"/>
          <w:rFonts w:eastAsiaTheme="majorEastAsia"/>
        </w:rPr>
        <w:t>.</w:t>
      </w:r>
    </w:p>
    <w:p w14:paraId="08A4C5AC" w14:textId="77777777" w:rsidR="004D635F" w:rsidRDefault="004D635F" w:rsidP="004D635F">
      <w:pPr>
        <w:pStyle w:val="p3"/>
        <w:rPr>
          <w:rStyle w:val="s1"/>
          <w:rFonts w:eastAsiaTheme="majorEastAsia"/>
        </w:rPr>
      </w:pPr>
      <w:r>
        <w:t xml:space="preserve">The Guardian (2026) </w:t>
      </w:r>
      <w:r>
        <w:rPr>
          <w:rStyle w:val="s2"/>
          <w:rFonts w:eastAsiaTheme="majorEastAsia"/>
          <w:i/>
          <w:iCs/>
        </w:rPr>
        <w:t>Security vetting issues involving Mitie</w:t>
      </w:r>
      <w:r>
        <w:rPr>
          <w:rStyle w:val="s1"/>
          <w:rFonts w:eastAsiaTheme="majorEastAsia"/>
        </w:rPr>
        <w:t>.</w:t>
      </w:r>
    </w:p>
    <w:p w14:paraId="5A4DDB78" w14:textId="77777777" w:rsidR="004D635F" w:rsidRPr="004D635F" w:rsidRDefault="004D635F" w:rsidP="004D635F">
      <w:pPr>
        <w:rPr>
          <w:rFonts w:ascii="Arial" w:hAnsi="Arial" w:cs="Arial"/>
          <w:b/>
          <w:bCs/>
          <w:sz w:val="22"/>
          <w:szCs w:val="22"/>
        </w:rPr>
      </w:pPr>
    </w:p>
    <w:p w14:paraId="36E94F9B" w14:textId="77777777" w:rsidR="00FC4D6D" w:rsidRPr="00FC4D6D" w:rsidRDefault="00FC4D6D" w:rsidP="00041DCD">
      <w:pPr>
        <w:pStyle w:val="p1"/>
        <w:rPr>
          <w:rFonts w:ascii="Arial" w:hAnsi="Arial" w:cs="Arial"/>
          <w:sz w:val="22"/>
          <w:szCs w:val="22"/>
        </w:rPr>
      </w:pPr>
    </w:p>
    <w:p w14:paraId="3AA0F57D" w14:textId="77777777" w:rsidR="00041DCD" w:rsidRPr="00041DCD" w:rsidRDefault="00041DCD" w:rsidP="00041DCD">
      <w:pPr>
        <w:rPr>
          <w:rFonts w:ascii="Arial" w:hAnsi="Arial" w:cs="Arial"/>
          <w:sz w:val="22"/>
          <w:szCs w:val="22"/>
        </w:rPr>
      </w:pPr>
    </w:p>
    <w:p w14:paraId="0A8A84C9" w14:textId="77777777" w:rsidR="00041DCD" w:rsidRPr="00041DCD" w:rsidRDefault="00041DCD" w:rsidP="00041DCD">
      <w:pPr>
        <w:pStyle w:val="p2"/>
        <w:rPr>
          <w:rFonts w:ascii="Arial" w:hAnsi="Arial" w:cs="Arial"/>
          <w:sz w:val="22"/>
          <w:szCs w:val="22"/>
        </w:rPr>
      </w:pPr>
    </w:p>
    <w:p w14:paraId="3C33E1A4" w14:textId="77777777" w:rsidR="00041DCD" w:rsidRPr="00486A88" w:rsidRDefault="00041DCD" w:rsidP="00486A88">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6BE12EA7" w14:textId="77777777" w:rsidR="00486A88" w:rsidRPr="00486A88" w:rsidRDefault="00486A88" w:rsidP="00486A88">
      <w:pPr>
        <w:spacing w:before="100" w:beforeAutospacing="1" w:after="100" w:afterAutospacing="1" w:line="240" w:lineRule="auto"/>
        <w:rPr>
          <w:rFonts w:ascii="Arial" w:eastAsia="Times New Roman" w:hAnsi="Arial" w:cs="Arial"/>
          <w:kern w:val="0"/>
          <w:sz w:val="22"/>
          <w:szCs w:val="22"/>
          <w:lang w:eastAsia="en-GB"/>
          <w14:ligatures w14:val="none"/>
        </w:rPr>
      </w:pPr>
    </w:p>
    <w:p w14:paraId="0E01AC8F" w14:textId="77777777" w:rsidR="00486A88" w:rsidRPr="00041DCD" w:rsidRDefault="00486A88" w:rsidP="00486A88">
      <w:pPr>
        <w:pStyle w:val="p2"/>
        <w:rPr>
          <w:rFonts w:ascii="Arial" w:hAnsi="Arial" w:cs="Arial"/>
          <w:sz w:val="22"/>
          <w:szCs w:val="22"/>
        </w:rPr>
      </w:pPr>
    </w:p>
    <w:p w14:paraId="3C199900" w14:textId="77777777" w:rsidR="00486A88" w:rsidRPr="00041DCD" w:rsidRDefault="00486A88" w:rsidP="00486A88">
      <w:pPr>
        <w:pStyle w:val="p2"/>
        <w:rPr>
          <w:rFonts w:ascii="Arial" w:hAnsi="Arial" w:cs="Arial"/>
          <w:sz w:val="22"/>
          <w:szCs w:val="22"/>
        </w:rPr>
      </w:pPr>
    </w:p>
    <w:p w14:paraId="060DD299" w14:textId="77777777" w:rsidR="00486A88" w:rsidRPr="00041DCD" w:rsidRDefault="00486A88" w:rsidP="00486A88">
      <w:pPr>
        <w:pStyle w:val="p2"/>
        <w:rPr>
          <w:rFonts w:ascii="Arial" w:hAnsi="Arial" w:cs="Arial"/>
          <w:sz w:val="22"/>
          <w:szCs w:val="22"/>
        </w:rPr>
      </w:pPr>
    </w:p>
    <w:p w14:paraId="7B58F401" w14:textId="77777777" w:rsidR="00486A88" w:rsidRPr="00041DCD" w:rsidRDefault="00486A88" w:rsidP="00486A88">
      <w:pPr>
        <w:pStyle w:val="p2"/>
        <w:rPr>
          <w:rFonts w:ascii="Arial" w:hAnsi="Arial" w:cs="Arial"/>
          <w:sz w:val="22"/>
          <w:szCs w:val="22"/>
        </w:rPr>
      </w:pPr>
    </w:p>
    <w:p w14:paraId="2422947C" w14:textId="77777777" w:rsidR="00486A88" w:rsidRPr="00041DCD" w:rsidRDefault="00486A88" w:rsidP="00486A88">
      <w:pPr>
        <w:pStyle w:val="p2"/>
        <w:rPr>
          <w:rFonts w:ascii="Arial" w:hAnsi="Arial" w:cs="Arial"/>
          <w:sz w:val="22"/>
          <w:szCs w:val="22"/>
        </w:rPr>
      </w:pPr>
    </w:p>
    <w:p w14:paraId="630A0AFB" w14:textId="77777777" w:rsidR="007234BA" w:rsidRPr="00041DCD" w:rsidRDefault="007234BA" w:rsidP="007234BA">
      <w:pPr>
        <w:pStyle w:val="p2"/>
        <w:rPr>
          <w:rFonts w:ascii="Arial" w:hAnsi="Arial" w:cs="Arial"/>
          <w:sz w:val="22"/>
          <w:szCs w:val="22"/>
        </w:rPr>
      </w:pPr>
    </w:p>
    <w:p w14:paraId="139BFA35" w14:textId="77777777" w:rsidR="007234BA" w:rsidRPr="007234BA" w:rsidRDefault="007234BA" w:rsidP="007234BA">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p>
    <w:p w14:paraId="64B8F7D9" w14:textId="77777777" w:rsidR="007234BA" w:rsidRPr="00041DCD" w:rsidRDefault="007234BA" w:rsidP="007234BA">
      <w:pPr>
        <w:pStyle w:val="p2"/>
        <w:rPr>
          <w:rFonts w:ascii="Arial" w:hAnsi="Arial" w:cs="Arial"/>
          <w:sz w:val="22"/>
          <w:szCs w:val="22"/>
        </w:rPr>
      </w:pPr>
    </w:p>
    <w:p w14:paraId="40C969D3" w14:textId="77777777" w:rsidR="007234BA" w:rsidRPr="007234BA" w:rsidRDefault="007234BA" w:rsidP="007234BA">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p>
    <w:p w14:paraId="4A9B12F3" w14:textId="77777777" w:rsidR="002C73EF" w:rsidRPr="00041DCD" w:rsidRDefault="002C73EF">
      <w:pPr>
        <w:rPr>
          <w:rFonts w:ascii="Arial" w:hAnsi="Arial" w:cs="Arial"/>
          <w:sz w:val="22"/>
          <w:szCs w:val="22"/>
        </w:rPr>
      </w:pPr>
    </w:p>
    <w:sectPr w:rsidR="002C73EF" w:rsidRPr="00041D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67853"/>
    <w:multiLevelType w:val="multilevel"/>
    <w:tmpl w:val="CAAA7780"/>
    <w:lvl w:ilvl="0">
      <w:start w:val="1"/>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1" w15:restartNumberingAfterBreak="0">
    <w:nsid w:val="66202446"/>
    <w:multiLevelType w:val="multilevel"/>
    <w:tmpl w:val="92D68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1644170">
    <w:abstractNumId w:val="0"/>
  </w:num>
  <w:num w:numId="2" w16cid:durableId="1204186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3EF"/>
    <w:rsid w:val="00041DCD"/>
    <w:rsid w:val="00085D8F"/>
    <w:rsid w:val="001223A9"/>
    <w:rsid w:val="001514F3"/>
    <w:rsid w:val="00205B8B"/>
    <w:rsid w:val="00267A22"/>
    <w:rsid w:val="00282BAD"/>
    <w:rsid w:val="0028722C"/>
    <w:rsid w:val="00296DB2"/>
    <w:rsid w:val="002A53F8"/>
    <w:rsid w:val="002C73EF"/>
    <w:rsid w:val="003B2A53"/>
    <w:rsid w:val="003C7C17"/>
    <w:rsid w:val="003E7444"/>
    <w:rsid w:val="00471132"/>
    <w:rsid w:val="00486A88"/>
    <w:rsid w:val="004B4882"/>
    <w:rsid w:val="004D635F"/>
    <w:rsid w:val="004F1225"/>
    <w:rsid w:val="005124B5"/>
    <w:rsid w:val="0053151A"/>
    <w:rsid w:val="005E3474"/>
    <w:rsid w:val="005F1865"/>
    <w:rsid w:val="0062348C"/>
    <w:rsid w:val="006374EF"/>
    <w:rsid w:val="00641D7F"/>
    <w:rsid w:val="00646DEB"/>
    <w:rsid w:val="00664BEE"/>
    <w:rsid w:val="006A0C76"/>
    <w:rsid w:val="007234BA"/>
    <w:rsid w:val="007444AE"/>
    <w:rsid w:val="007571C4"/>
    <w:rsid w:val="007A1E8B"/>
    <w:rsid w:val="007A59B6"/>
    <w:rsid w:val="00813B82"/>
    <w:rsid w:val="008538FF"/>
    <w:rsid w:val="00891763"/>
    <w:rsid w:val="008B1CD0"/>
    <w:rsid w:val="008B2D4C"/>
    <w:rsid w:val="008E068C"/>
    <w:rsid w:val="008F3C98"/>
    <w:rsid w:val="00904555"/>
    <w:rsid w:val="00907274"/>
    <w:rsid w:val="009321D0"/>
    <w:rsid w:val="009A4AAF"/>
    <w:rsid w:val="009A6C18"/>
    <w:rsid w:val="009E4FEF"/>
    <w:rsid w:val="00AD085B"/>
    <w:rsid w:val="00AF15B8"/>
    <w:rsid w:val="00B75447"/>
    <w:rsid w:val="00B90A4C"/>
    <w:rsid w:val="00BB4750"/>
    <w:rsid w:val="00BD1BE1"/>
    <w:rsid w:val="00BD3F13"/>
    <w:rsid w:val="00BF7F5D"/>
    <w:rsid w:val="00C140AF"/>
    <w:rsid w:val="00C327C0"/>
    <w:rsid w:val="00C70BC6"/>
    <w:rsid w:val="00C778BF"/>
    <w:rsid w:val="00CD7AA1"/>
    <w:rsid w:val="00D01A04"/>
    <w:rsid w:val="00D0343C"/>
    <w:rsid w:val="00D13927"/>
    <w:rsid w:val="00D23274"/>
    <w:rsid w:val="00D75C23"/>
    <w:rsid w:val="00E31F35"/>
    <w:rsid w:val="00E439B5"/>
    <w:rsid w:val="00E45B4F"/>
    <w:rsid w:val="00E96DD8"/>
    <w:rsid w:val="00EA1E87"/>
    <w:rsid w:val="00F16BE6"/>
    <w:rsid w:val="00F35237"/>
    <w:rsid w:val="00F5286A"/>
    <w:rsid w:val="00F55C4D"/>
    <w:rsid w:val="00F757FF"/>
    <w:rsid w:val="00FB5047"/>
    <w:rsid w:val="00FC4D6D"/>
    <w:rsid w:val="00FE3BDC"/>
    <w:rsid w:val="00FE54AC"/>
    <w:rsid w:val="00FF3E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3A933"/>
  <w15:chartTrackingRefBased/>
  <w15:docId w15:val="{C85B901F-603A-1E4B-AF0E-711EDAF38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73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C73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C73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73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73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73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73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73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73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73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C73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C73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73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73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73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73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73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73EF"/>
    <w:rPr>
      <w:rFonts w:eastAsiaTheme="majorEastAsia" w:cstheme="majorBidi"/>
      <w:color w:val="272727" w:themeColor="text1" w:themeTint="D8"/>
    </w:rPr>
  </w:style>
  <w:style w:type="paragraph" w:styleId="Title">
    <w:name w:val="Title"/>
    <w:basedOn w:val="Normal"/>
    <w:next w:val="Normal"/>
    <w:link w:val="TitleChar"/>
    <w:uiPriority w:val="10"/>
    <w:qFormat/>
    <w:rsid w:val="002C73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73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73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73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73EF"/>
    <w:pPr>
      <w:spacing w:before="160"/>
      <w:jc w:val="center"/>
    </w:pPr>
    <w:rPr>
      <w:i/>
      <w:iCs/>
      <w:color w:val="404040" w:themeColor="text1" w:themeTint="BF"/>
    </w:rPr>
  </w:style>
  <w:style w:type="character" w:customStyle="1" w:styleId="QuoteChar">
    <w:name w:val="Quote Char"/>
    <w:basedOn w:val="DefaultParagraphFont"/>
    <w:link w:val="Quote"/>
    <w:uiPriority w:val="29"/>
    <w:rsid w:val="002C73EF"/>
    <w:rPr>
      <w:i/>
      <w:iCs/>
      <w:color w:val="404040" w:themeColor="text1" w:themeTint="BF"/>
    </w:rPr>
  </w:style>
  <w:style w:type="paragraph" w:styleId="ListParagraph">
    <w:name w:val="List Paragraph"/>
    <w:basedOn w:val="Normal"/>
    <w:uiPriority w:val="34"/>
    <w:qFormat/>
    <w:rsid w:val="002C73EF"/>
    <w:pPr>
      <w:ind w:left="720"/>
      <w:contextualSpacing/>
    </w:pPr>
  </w:style>
  <w:style w:type="character" w:styleId="IntenseEmphasis">
    <w:name w:val="Intense Emphasis"/>
    <w:basedOn w:val="DefaultParagraphFont"/>
    <w:uiPriority w:val="21"/>
    <w:qFormat/>
    <w:rsid w:val="002C73EF"/>
    <w:rPr>
      <w:i/>
      <w:iCs/>
      <w:color w:val="0F4761" w:themeColor="accent1" w:themeShade="BF"/>
    </w:rPr>
  </w:style>
  <w:style w:type="paragraph" w:styleId="IntenseQuote">
    <w:name w:val="Intense Quote"/>
    <w:basedOn w:val="Normal"/>
    <w:next w:val="Normal"/>
    <w:link w:val="IntenseQuoteChar"/>
    <w:uiPriority w:val="30"/>
    <w:qFormat/>
    <w:rsid w:val="002C73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73EF"/>
    <w:rPr>
      <w:i/>
      <w:iCs/>
      <w:color w:val="0F4761" w:themeColor="accent1" w:themeShade="BF"/>
    </w:rPr>
  </w:style>
  <w:style w:type="character" w:styleId="IntenseReference">
    <w:name w:val="Intense Reference"/>
    <w:basedOn w:val="DefaultParagraphFont"/>
    <w:uiPriority w:val="32"/>
    <w:qFormat/>
    <w:rsid w:val="002C73EF"/>
    <w:rPr>
      <w:b/>
      <w:bCs/>
      <w:smallCaps/>
      <w:color w:val="0F4761" w:themeColor="accent1" w:themeShade="BF"/>
      <w:spacing w:val="5"/>
    </w:rPr>
  </w:style>
  <w:style w:type="character" w:customStyle="1" w:styleId="s1">
    <w:name w:val="s1"/>
    <w:basedOn w:val="DefaultParagraphFont"/>
    <w:rsid w:val="002C73EF"/>
  </w:style>
  <w:style w:type="paragraph" w:customStyle="1" w:styleId="p1">
    <w:name w:val="p1"/>
    <w:basedOn w:val="Normal"/>
    <w:rsid w:val="007234B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2">
    <w:name w:val="p2"/>
    <w:basedOn w:val="Normal"/>
    <w:rsid w:val="007234B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7234BA"/>
  </w:style>
  <w:style w:type="character" w:customStyle="1" w:styleId="s2">
    <w:name w:val="s2"/>
    <w:basedOn w:val="DefaultParagraphFont"/>
    <w:rsid w:val="00041DCD"/>
  </w:style>
  <w:style w:type="paragraph" w:customStyle="1" w:styleId="p3">
    <w:name w:val="p3"/>
    <w:basedOn w:val="Normal"/>
    <w:rsid w:val="004D635F"/>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tshumanitieshub.eu/hubs/university-of-wales/" TargetMode="Externa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259</TotalTime>
  <Pages>10</Pages>
  <Words>2435</Words>
  <Characters>13883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Jackelyn Turzar Tindugan (2429085)</dc:creator>
  <cp:keywords/>
  <dc:description/>
  <cp:lastModifiedBy>Jackelyn Turzar Tindugan (2429085)</cp:lastModifiedBy>
  <cp:revision>72</cp:revision>
  <dcterms:created xsi:type="dcterms:W3CDTF">2026-04-29T20:34:00Z</dcterms:created>
  <dcterms:modified xsi:type="dcterms:W3CDTF">2026-04-30T09:00:00Z</dcterms:modified>
</cp:coreProperties>
</file>