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2B3974D1" w:rsidR="0030311F" w:rsidRDefault="00392FFF">
      <w:pPr>
        <w:pStyle w:val="Title"/>
      </w:pPr>
      <w:r>
        <w:t>Student Name: Dorothy Tweneboah</w:t>
      </w:r>
    </w:p>
    <w:p w14:paraId="6F3014DA" w14:textId="77777777" w:rsidR="00392FFF" w:rsidRPr="00392FFF" w:rsidRDefault="00392FFF" w:rsidP="00392FFF"/>
    <w:p w14:paraId="00000002" w14:textId="57C69120" w:rsidR="0030311F" w:rsidRDefault="00392FFF">
      <w:pPr>
        <w:pStyle w:val="Title"/>
      </w:pPr>
      <w:bookmarkStart w:id="0" w:name="_hxvnpljg6kq3" w:colFirst="0" w:colLast="0"/>
      <w:bookmarkEnd w:id="0"/>
      <w:r>
        <w:t>Student Number: 2314173</w:t>
      </w:r>
    </w:p>
    <w:p w14:paraId="623F0FA3" w14:textId="77777777" w:rsidR="00392FFF" w:rsidRPr="00392FFF" w:rsidRDefault="00392FFF" w:rsidP="00392FFF"/>
    <w:p w14:paraId="00000003" w14:textId="386BCA1B" w:rsidR="0030311F" w:rsidRDefault="00392FFF">
      <w:pPr>
        <w:pStyle w:val="Title"/>
      </w:pPr>
      <w:bookmarkStart w:id="1" w:name="_o6qkipm8tf08" w:colFirst="0" w:colLast="0"/>
      <w:bookmarkEnd w:id="1"/>
      <w:r>
        <w:t>Moodle: BMHP6026</w:t>
      </w:r>
    </w:p>
    <w:p w14:paraId="7CC1FB5E" w14:textId="4065380C" w:rsidR="00392FFF" w:rsidRPr="00392FFF" w:rsidRDefault="00392FFF" w:rsidP="00392FFF">
      <w:r>
        <w:t xml:space="preserve">                                                 </w:t>
      </w:r>
    </w:p>
    <w:p w14:paraId="29B90715" w14:textId="47C30AD7" w:rsidR="00392FFF" w:rsidRPr="00392FFF" w:rsidRDefault="00392FFF" w:rsidP="00392FFF">
      <w:pPr>
        <w:rPr>
          <w:sz w:val="24"/>
          <w:szCs w:val="24"/>
        </w:rPr>
      </w:pPr>
      <w:r>
        <w:t xml:space="preserve">                                         </w:t>
      </w:r>
      <w:r w:rsidRPr="00392FFF">
        <w:rPr>
          <w:b/>
          <w:bCs/>
          <w:sz w:val="44"/>
          <w:szCs w:val="44"/>
        </w:rPr>
        <w:t>Lecturer</w:t>
      </w:r>
      <w:r>
        <w:t xml:space="preserve"> </w:t>
      </w:r>
      <w:r w:rsidR="006F337F" w:rsidRPr="00392FFF">
        <w:rPr>
          <w:sz w:val="40"/>
          <w:szCs w:val="40"/>
        </w:rPr>
        <w:t>Name</w:t>
      </w:r>
      <w:r w:rsidR="006F337F">
        <w:rPr>
          <w:sz w:val="96"/>
          <w:szCs w:val="96"/>
        </w:rPr>
        <w:t>:</w:t>
      </w:r>
      <w:r w:rsidR="006F337F" w:rsidRPr="006F337F">
        <w:rPr>
          <w:sz w:val="44"/>
          <w:szCs w:val="44"/>
        </w:rPr>
        <w:t xml:space="preserve"> </w:t>
      </w:r>
      <w:r w:rsidR="006F337F">
        <w:rPr>
          <w:sz w:val="44"/>
          <w:szCs w:val="44"/>
        </w:rPr>
        <w:t>Martin Svejda</w:t>
      </w:r>
    </w:p>
    <w:p w14:paraId="00000004" w14:textId="77777777" w:rsidR="0030311F" w:rsidRDefault="0030311F">
      <w:pPr>
        <w:pStyle w:val="Title"/>
      </w:pPr>
      <w:bookmarkStart w:id="2" w:name="_5vkzqeipv85v" w:colFirst="0" w:colLast="0"/>
      <w:bookmarkEnd w:id="2"/>
    </w:p>
    <w:p w14:paraId="00000005" w14:textId="77777777" w:rsidR="0030311F" w:rsidRDefault="0030311F">
      <w:pPr>
        <w:pStyle w:val="Title"/>
      </w:pPr>
      <w:bookmarkStart w:id="3" w:name="_649q9u88f0ub" w:colFirst="0" w:colLast="0"/>
      <w:bookmarkEnd w:id="3"/>
    </w:p>
    <w:p w14:paraId="00000006" w14:textId="77777777" w:rsidR="0030311F" w:rsidRDefault="0030311F">
      <w:pPr>
        <w:pStyle w:val="Title"/>
      </w:pPr>
      <w:bookmarkStart w:id="4" w:name="_tkf7y89gfe59" w:colFirst="0" w:colLast="0"/>
      <w:bookmarkEnd w:id="4"/>
    </w:p>
    <w:p w14:paraId="00000007" w14:textId="77777777" w:rsidR="0030311F" w:rsidRDefault="00000000">
      <w:pPr>
        <w:pStyle w:val="Title"/>
      </w:pPr>
      <w:bookmarkStart w:id="5" w:name="_j1d7n9miad1j" w:colFirst="0" w:colLast="0"/>
      <w:bookmarkEnd w:id="5"/>
      <w:r>
        <w:t>Digital Transformation in the Health and Care Professions</w:t>
      </w:r>
      <w:r>
        <w:br w:type="page"/>
      </w:r>
    </w:p>
    <w:bookmarkStart w:id="6" w:name="_v3xn6yo2n7z9" w:colFirst="0" w:colLast="0" w:displacedByCustomXml="next"/>
    <w:bookmarkEnd w:id="6" w:displacedByCustomXml="next"/>
    <w:sdt>
      <w:sdtPr>
        <w:rPr>
          <w:rFonts w:ascii="Arial" w:eastAsia="Arial" w:hAnsi="Arial" w:cs="Arial"/>
          <w:color w:val="auto"/>
          <w:sz w:val="22"/>
          <w:szCs w:val="22"/>
          <w:lang w:val="en" w:eastAsia="en-GB" w:bidi="hi-IN"/>
        </w:rPr>
        <w:id w:val="-1340847717"/>
        <w:docPartObj>
          <w:docPartGallery w:val="Table of Contents"/>
          <w:docPartUnique/>
        </w:docPartObj>
      </w:sdtPr>
      <w:sdtEndPr>
        <w:rPr>
          <w:b/>
          <w:bCs/>
          <w:noProof/>
        </w:rPr>
      </w:sdtEndPr>
      <w:sdtContent>
        <w:p w14:paraId="504A78FC" w14:textId="7CB03E82" w:rsidR="001459C2" w:rsidRPr="001459C2" w:rsidRDefault="001459C2" w:rsidP="001459C2">
          <w:pPr>
            <w:pStyle w:val="TOCHeading"/>
            <w:jc w:val="center"/>
            <w:rPr>
              <w:b/>
              <w:bCs/>
            </w:rPr>
          </w:pPr>
          <w:r w:rsidRPr="001459C2">
            <w:rPr>
              <w:b/>
              <w:bCs/>
            </w:rPr>
            <w:t>Table of Contents</w:t>
          </w:r>
        </w:p>
        <w:p w14:paraId="56917F6E" w14:textId="4022D131" w:rsidR="001459C2" w:rsidRDefault="001459C2">
          <w:pPr>
            <w:pStyle w:val="TOC1"/>
            <w:tabs>
              <w:tab w:val="right" w:leader="dot" w:pos="9350"/>
            </w:tabs>
            <w:rPr>
              <w:noProof/>
            </w:rPr>
          </w:pPr>
          <w:r>
            <w:fldChar w:fldCharType="begin"/>
          </w:r>
          <w:r>
            <w:instrText xml:space="preserve"> TOC \o "1-3" \h \z \u </w:instrText>
          </w:r>
          <w:r>
            <w:fldChar w:fldCharType="separate"/>
          </w:r>
          <w:hyperlink w:anchor="_Toc210225540" w:history="1">
            <w:r w:rsidRPr="003F6F7C">
              <w:rPr>
                <w:rStyle w:val="Hyperlink"/>
                <w:noProof/>
              </w:rPr>
              <w:t>Introduction</w:t>
            </w:r>
            <w:r>
              <w:rPr>
                <w:noProof/>
                <w:webHidden/>
              </w:rPr>
              <w:tab/>
            </w:r>
            <w:r>
              <w:rPr>
                <w:noProof/>
                <w:webHidden/>
              </w:rPr>
              <w:fldChar w:fldCharType="begin"/>
            </w:r>
            <w:r>
              <w:rPr>
                <w:noProof/>
                <w:webHidden/>
              </w:rPr>
              <w:instrText xml:space="preserve"> PAGEREF _Toc210225540 \h </w:instrText>
            </w:r>
            <w:r>
              <w:rPr>
                <w:noProof/>
                <w:webHidden/>
              </w:rPr>
            </w:r>
            <w:r>
              <w:rPr>
                <w:noProof/>
                <w:webHidden/>
              </w:rPr>
              <w:fldChar w:fldCharType="separate"/>
            </w:r>
            <w:r>
              <w:rPr>
                <w:noProof/>
                <w:webHidden/>
              </w:rPr>
              <w:t>3</w:t>
            </w:r>
            <w:r>
              <w:rPr>
                <w:noProof/>
                <w:webHidden/>
              </w:rPr>
              <w:fldChar w:fldCharType="end"/>
            </w:r>
          </w:hyperlink>
        </w:p>
        <w:p w14:paraId="26D27B0D" w14:textId="6D4503B1" w:rsidR="001459C2" w:rsidRDefault="001459C2">
          <w:pPr>
            <w:pStyle w:val="TOC1"/>
            <w:tabs>
              <w:tab w:val="right" w:leader="dot" w:pos="9350"/>
            </w:tabs>
            <w:rPr>
              <w:noProof/>
            </w:rPr>
          </w:pPr>
          <w:hyperlink w:anchor="_Toc210225541" w:history="1">
            <w:r w:rsidRPr="003F6F7C">
              <w:rPr>
                <w:rStyle w:val="Hyperlink"/>
                <w:noProof/>
              </w:rPr>
              <w:t>Innovation Overview &amp; UK Implementation</w:t>
            </w:r>
            <w:r>
              <w:rPr>
                <w:noProof/>
                <w:webHidden/>
              </w:rPr>
              <w:tab/>
            </w:r>
            <w:r>
              <w:rPr>
                <w:noProof/>
                <w:webHidden/>
              </w:rPr>
              <w:fldChar w:fldCharType="begin"/>
            </w:r>
            <w:r>
              <w:rPr>
                <w:noProof/>
                <w:webHidden/>
              </w:rPr>
              <w:instrText xml:space="preserve"> PAGEREF _Toc210225541 \h </w:instrText>
            </w:r>
            <w:r>
              <w:rPr>
                <w:noProof/>
                <w:webHidden/>
              </w:rPr>
            </w:r>
            <w:r>
              <w:rPr>
                <w:noProof/>
                <w:webHidden/>
              </w:rPr>
              <w:fldChar w:fldCharType="separate"/>
            </w:r>
            <w:r>
              <w:rPr>
                <w:noProof/>
                <w:webHidden/>
              </w:rPr>
              <w:t>3</w:t>
            </w:r>
            <w:r>
              <w:rPr>
                <w:noProof/>
                <w:webHidden/>
              </w:rPr>
              <w:fldChar w:fldCharType="end"/>
            </w:r>
          </w:hyperlink>
        </w:p>
        <w:p w14:paraId="73C75E43" w14:textId="4DB2BE7B" w:rsidR="001459C2" w:rsidRDefault="001459C2">
          <w:pPr>
            <w:pStyle w:val="TOC1"/>
            <w:tabs>
              <w:tab w:val="right" w:leader="dot" w:pos="9350"/>
            </w:tabs>
            <w:rPr>
              <w:noProof/>
            </w:rPr>
          </w:pPr>
          <w:hyperlink w:anchor="_Toc210225542" w:history="1">
            <w:r w:rsidRPr="003F6F7C">
              <w:rPr>
                <w:rStyle w:val="Hyperlink"/>
                <w:noProof/>
              </w:rPr>
              <w:t>Evidence Base &amp; Evaluation Approach</w:t>
            </w:r>
            <w:r>
              <w:rPr>
                <w:noProof/>
                <w:webHidden/>
              </w:rPr>
              <w:tab/>
            </w:r>
            <w:r>
              <w:rPr>
                <w:noProof/>
                <w:webHidden/>
              </w:rPr>
              <w:fldChar w:fldCharType="begin"/>
            </w:r>
            <w:r>
              <w:rPr>
                <w:noProof/>
                <w:webHidden/>
              </w:rPr>
              <w:instrText xml:space="preserve"> PAGEREF _Toc210225542 \h </w:instrText>
            </w:r>
            <w:r>
              <w:rPr>
                <w:noProof/>
                <w:webHidden/>
              </w:rPr>
            </w:r>
            <w:r>
              <w:rPr>
                <w:noProof/>
                <w:webHidden/>
              </w:rPr>
              <w:fldChar w:fldCharType="separate"/>
            </w:r>
            <w:r>
              <w:rPr>
                <w:noProof/>
                <w:webHidden/>
              </w:rPr>
              <w:t>4</w:t>
            </w:r>
            <w:r>
              <w:rPr>
                <w:noProof/>
                <w:webHidden/>
              </w:rPr>
              <w:fldChar w:fldCharType="end"/>
            </w:r>
          </w:hyperlink>
        </w:p>
        <w:p w14:paraId="4278278D" w14:textId="53B15D84" w:rsidR="001459C2" w:rsidRDefault="001459C2">
          <w:pPr>
            <w:pStyle w:val="TOC1"/>
            <w:tabs>
              <w:tab w:val="right" w:leader="dot" w:pos="9350"/>
            </w:tabs>
            <w:rPr>
              <w:noProof/>
            </w:rPr>
          </w:pPr>
          <w:hyperlink w:anchor="_Toc210225543" w:history="1">
            <w:r w:rsidRPr="003F6F7C">
              <w:rPr>
                <w:rStyle w:val="Hyperlink"/>
                <w:noProof/>
              </w:rPr>
              <w:t>Impact on Workforce</w:t>
            </w:r>
            <w:r>
              <w:rPr>
                <w:noProof/>
                <w:webHidden/>
              </w:rPr>
              <w:tab/>
            </w:r>
            <w:r>
              <w:rPr>
                <w:noProof/>
                <w:webHidden/>
              </w:rPr>
              <w:fldChar w:fldCharType="begin"/>
            </w:r>
            <w:r>
              <w:rPr>
                <w:noProof/>
                <w:webHidden/>
              </w:rPr>
              <w:instrText xml:space="preserve"> PAGEREF _Toc210225543 \h </w:instrText>
            </w:r>
            <w:r>
              <w:rPr>
                <w:noProof/>
                <w:webHidden/>
              </w:rPr>
            </w:r>
            <w:r>
              <w:rPr>
                <w:noProof/>
                <w:webHidden/>
              </w:rPr>
              <w:fldChar w:fldCharType="separate"/>
            </w:r>
            <w:r>
              <w:rPr>
                <w:noProof/>
                <w:webHidden/>
              </w:rPr>
              <w:t>5</w:t>
            </w:r>
            <w:r>
              <w:rPr>
                <w:noProof/>
                <w:webHidden/>
              </w:rPr>
              <w:fldChar w:fldCharType="end"/>
            </w:r>
          </w:hyperlink>
        </w:p>
        <w:p w14:paraId="169225C4" w14:textId="5894A264" w:rsidR="001459C2" w:rsidRDefault="001459C2">
          <w:pPr>
            <w:pStyle w:val="TOC1"/>
            <w:tabs>
              <w:tab w:val="right" w:leader="dot" w:pos="9350"/>
            </w:tabs>
            <w:rPr>
              <w:noProof/>
            </w:rPr>
          </w:pPr>
          <w:hyperlink w:anchor="_Toc210225544" w:history="1">
            <w:r w:rsidRPr="003F6F7C">
              <w:rPr>
                <w:rStyle w:val="Hyperlink"/>
                <w:noProof/>
              </w:rPr>
              <w:t>Impact on Service Delivery</w:t>
            </w:r>
            <w:r>
              <w:rPr>
                <w:noProof/>
                <w:webHidden/>
              </w:rPr>
              <w:tab/>
            </w:r>
            <w:r>
              <w:rPr>
                <w:noProof/>
                <w:webHidden/>
              </w:rPr>
              <w:fldChar w:fldCharType="begin"/>
            </w:r>
            <w:r>
              <w:rPr>
                <w:noProof/>
                <w:webHidden/>
              </w:rPr>
              <w:instrText xml:space="preserve"> PAGEREF _Toc210225544 \h </w:instrText>
            </w:r>
            <w:r>
              <w:rPr>
                <w:noProof/>
                <w:webHidden/>
              </w:rPr>
            </w:r>
            <w:r>
              <w:rPr>
                <w:noProof/>
                <w:webHidden/>
              </w:rPr>
              <w:fldChar w:fldCharType="separate"/>
            </w:r>
            <w:r>
              <w:rPr>
                <w:noProof/>
                <w:webHidden/>
              </w:rPr>
              <w:t>5</w:t>
            </w:r>
            <w:r>
              <w:rPr>
                <w:noProof/>
                <w:webHidden/>
              </w:rPr>
              <w:fldChar w:fldCharType="end"/>
            </w:r>
          </w:hyperlink>
        </w:p>
        <w:p w14:paraId="7FBF8600" w14:textId="3EE4B4E7" w:rsidR="001459C2" w:rsidRDefault="001459C2">
          <w:pPr>
            <w:pStyle w:val="TOC1"/>
            <w:tabs>
              <w:tab w:val="right" w:leader="dot" w:pos="9350"/>
            </w:tabs>
            <w:rPr>
              <w:noProof/>
            </w:rPr>
          </w:pPr>
          <w:hyperlink w:anchor="_Toc210225545" w:history="1">
            <w:r w:rsidRPr="003F6F7C">
              <w:rPr>
                <w:rStyle w:val="Hyperlink"/>
                <w:noProof/>
              </w:rPr>
              <w:t>Impact on Patient/Service User</w:t>
            </w:r>
            <w:r>
              <w:rPr>
                <w:noProof/>
                <w:webHidden/>
              </w:rPr>
              <w:tab/>
            </w:r>
            <w:r>
              <w:rPr>
                <w:noProof/>
                <w:webHidden/>
              </w:rPr>
              <w:fldChar w:fldCharType="begin"/>
            </w:r>
            <w:r>
              <w:rPr>
                <w:noProof/>
                <w:webHidden/>
              </w:rPr>
              <w:instrText xml:space="preserve"> PAGEREF _Toc210225545 \h </w:instrText>
            </w:r>
            <w:r>
              <w:rPr>
                <w:noProof/>
                <w:webHidden/>
              </w:rPr>
            </w:r>
            <w:r>
              <w:rPr>
                <w:noProof/>
                <w:webHidden/>
              </w:rPr>
              <w:fldChar w:fldCharType="separate"/>
            </w:r>
            <w:r>
              <w:rPr>
                <w:noProof/>
                <w:webHidden/>
              </w:rPr>
              <w:t>5</w:t>
            </w:r>
            <w:r>
              <w:rPr>
                <w:noProof/>
                <w:webHidden/>
              </w:rPr>
              <w:fldChar w:fldCharType="end"/>
            </w:r>
          </w:hyperlink>
        </w:p>
        <w:p w14:paraId="718497DF" w14:textId="0C0EE418" w:rsidR="001459C2" w:rsidRDefault="001459C2">
          <w:pPr>
            <w:pStyle w:val="TOC1"/>
            <w:tabs>
              <w:tab w:val="right" w:leader="dot" w:pos="9350"/>
            </w:tabs>
            <w:rPr>
              <w:noProof/>
            </w:rPr>
          </w:pPr>
          <w:hyperlink w:anchor="_Toc210225546" w:history="1">
            <w:r w:rsidRPr="003F6F7C">
              <w:rPr>
                <w:rStyle w:val="Hyperlink"/>
                <w:noProof/>
              </w:rPr>
              <w:t>Impact on Community</w:t>
            </w:r>
            <w:r>
              <w:rPr>
                <w:noProof/>
                <w:webHidden/>
              </w:rPr>
              <w:tab/>
            </w:r>
            <w:r>
              <w:rPr>
                <w:noProof/>
                <w:webHidden/>
              </w:rPr>
              <w:fldChar w:fldCharType="begin"/>
            </w:r>
            <w:r>
              <w:rPr>
                <w:noProof/>
                <w:webHidden/>
              </w:rPr>
              <w:instrText xml:space="preserve"> PAGEREF _Toc210225546 \h </w:instrText>
            </w:r>
            <w:r>
              <w:rPr>
                <w:noProof/>
                <w:webHidden/>
              </w:rPr>
            </w:r>
            <w:r>
              <w:rPr>
                <w:noProof/>
                <w:webHidden/>
              </w:rPr>
              <w:fldChar w:fldCharType="separate"/>
            </w:r>
            <w:r>
              <w:rPr>
                <w:noProof/>
                <w:webHidden/>
              </w:rPr>
              <w:t>6</w:t>
            </w:r>
            <w:r>
              <w:rPr>
                <w:noProof/>
                <w:webHidden/>
              </w:rPr>
              <w:fldChar w:fldCharType="end"/>
            </w:r>
          </w:hyperlink>
        </w:p>
        <w:p w14:paraId="06C3392E" w14:textId="4CA0EF56" w:rsidR="001459C2" w:rsidRDefault="001459C2">
          <w:pPr>
            <w:pStyle w:val="TOC1"/>
            <w:tabs>
              <w:tab w:val="right" w:leader="dot" w:pos="9350"/>
            </w:tabs>
            <w:rPr>
              <w:noProof/>
            </w:rPr>
          </w:pPr>
          <w:hyperlink w:anchor="_Toc210225547" w:history="1">
            <w:r w:rsidRPr="003F6F7C">
              <w:rPr>
                <w:rStyle w:val="Hyperlink"/>
                <w:noProof/>
              </w:rPr>
              <w:t>Cross</w:t>
            </w:r>
            <w:r w:rsidR="002D3C56">
              <w:rPr>
                <w:rStyle w:val="Hyperlink"/>
                <w:noProof/>
              </w:rPr>
              <w:t>-</w:t>
            </w:r>
            <w:r w:rsidRPr="003F6F7C">
              <w:rPr>
                <w:rStyle w:val="Hyperlink"/>
                <w:noProof/>
              </w:rPr>
              <w:t>Cutting Analysis</w:t>
            </w:r>
            <w:r>
              <w:rPr>
                <w:noProof/>
                <w:webHidden/>
              </w:rPr>
              <w:tab/>
            </w:r>
            <w:r>
              <w:rPr>
                <w:noProof/>
                <w:webHidden/>
              </w:rPr>
              <w:fldChar w:fldCharType="begin"/>
            </w:r>
            <w:r>
              <w:rPr>
                <w:noProof/>
                <w:webHidden/>
              </w:rPr>
              <w:instrText xml:space="preserve"> PAGEREF _Toc210225547 \h </w:instrText>
            </w:r>
            <w:r>
              <w:rPr>
                <w:noProof/>
                <w:webHidden/>
              </w:rPr>
            </w:r>
            <w:r>
              <w:rPr>
                <w:noProof/>
                <w:webHidden/>
              </w:rPr>
              <w:fldChar w:fldCharType="separate"/>
            </w:r>
            <w:r>
              <w:rPr>
                <w:noProof/>
                <w:webHidden/>
              </w:rPr>
              <w:t>6</w:t>
            </w:r>
            <w:r>
              <w:rPr>
                <w:noProof/>
                <w:webHidden/>
              </w:rPr>
              <w:fldChar w:fldCharType="end"/>
            </w:r>
          </w:hyperlink>
        </w:p>
        <w:p w14:paraId="0A75543C" w14:textId="7A5DA2DC" w:rsidR="001459C2" w:rsidRDefault="001459C2">
          <w:pPr>
            <w:pStyle w:val="TOC1"/>
            <w:tabs>
              <w:tab w:val="right" w:leader="dot" w:pos="9350"/>
            </w:tabs>
            <w:rPr>
              <w:noProof/>
            </w:rPr>
          </w:pPr>
          <w:hyperlink w:anchor="_Toc210225548" w:history="1">
            <w:r w:rsidRPr="003F6F7C">
              <w:rPr>
                <w:rStyle w:val="Hyperlink"/>
                <w:noProof/>
              </w:rPr>
              <w:t>Recommendations</w:t>
            </w:r>
            <w:r>
              <w:rPr>
                <w:noProof/>
                <w:webHidden/>
              </w:rPr>
              <w:tab/>
            </w:r>
            <w:r>
              <w:rPr>
                <w:noProof/>
                <w:webHidden/>
              </w:rPr>
              <w:fldChar w:fldCharType="begin"/>
            </w:r>
            <w:r>
              <w:rPr>
                <w:noProof/>
                <w:webHidden/>
              </w:rPr>
              <w:instrText xml:space="preserve"> PAGEREF _Toc210225548 \h </w:instrText>
            </w:r>
            <w:r>
              <w:rPr>
                <w:noProof/>
                <w:webHidden/>
              </w:rPr>
            </w:r>
            <w:r>
              <w:rPr>
                <w:noProof/>
                <w:webHidden/>
              </w:rPr>
              <w:fldChar w:fldCharType="separate"/>
            </w:r>
            <w:r>
              <w:rPr>
                <w:noProof/>
                <w:webHidden/>
              </w:rPr>
              <w:t>7</w:t>
            </w:r>
            <w:r>
              <w:rPr>
                <w:noProof/>
                <w:webHidden/>
              </w:rPr>
              <w:fldChar w:fldCharType="end"/>
            </w:r>
          </w:hyperlink>
        </w:p>
        <w:p w14:paraId="522D2FF4" w14:textId="5E79958B" w:rsidR="001459C2" w:rsidRDefault="001459C2">
          <w:pPr>
            <w:pStyle w:val="TOC1"/>
            <w:tabs>
              <w:tab w:val="right" w:leader="dot" w:pos="9350"/>
            </w:tabs>
            <w:rPr>
              <w:noProof/>
            </w:rPr>
          </w:pPr>
          <w:hyperlink w:anchor="_Toc210225549" w:history="1">
            <w:r w:rsidRPr="003F6F7C">
              <w:rPr>
                <w:rStyle w:val="Hyperlink"/>
                <w:noProof/>
              </w:rPr>
              <w:t>Conclusion</w:t>
            </w:r>
            <w:r>
              <w:rPr>
                <w:noProof/>
                <w:webHidden/>
              </w:rPr>
              <w:tab/>
            </w:r>
            <w:r>
              <w:rPr>
                <w:noProof/>
                <w:webHidden/>
              </w:rPr>
              <w:fldChar w:fldCharType="begin"/>
            </w:r>
            <w:r>
              <w:rPr>
                <w:noProof/>
                <w:webHidden/>
              </w:rPr>
              <w:instrText xml:space="preserve"> PAGEREF _Toc210225549 \h </w:instrText>
            </w:r>
            <w:r>
              <w:rPr>
                <w:noProof/>
                <w:webHidden/>
              </w:rPr>
            </w:r>
            <w:r>
              <w:rPr>
                <w:noProof/>
                <w:webHidden/>
              </w:rPr>
              <w:fldChar w:fldCharType="separate"/>
            </w:r>
            <w:r>
              <w:rPr>
                <w:noProof/>
                <w:webHidden/>
              </w:rPr>
              <w:t>8</w:t>
            </w:r>
            <w:r>
              <w:rPr>
                <w:noProof/>
                <w:webHidden/>
              </w:rPr>
              <w:fldChar w:fldCharType="end"/>
            </w:r>
          </w:hyperlink>
        </w:p>
        <w:p w14:paraId="2A957949" w14:textId="11FCE3C7" w:rsidR="001459C2" w:rsidRDefault="001459C2">
          <w:pPr>
            <w:pStyle w:val="TOC1"/>
            <w:tabs>
              <w:tab w:val="right" w:leader="dot" w:pos="9350"/>
            </w:tabs>
            <w:rPr>
              <w:noProof/>
            </w:rPr>
          </w:pPr>
          <w:hyperlink w:anchor="_Toc210225550" w:history="1">
            <w:r w:rsidRPr="003F6F7C">
              <w:rPr>
                <w:rStyle w:val="Hyperlink"/>
                <w:noProof/>
              </w:rPr>
              <w:t>Reference</w:t>
            </w:r>
            <w:r>
              <w:rPr>
                <w:noProof/>
                <w:webHidden/>
              </w:rPr>
              <w:tab/>
            </w:r>
            <w:r>
              <w:rPr>
                <w:noProof/>
                <w:webHidden/>
              </w:rPr>
              <w:fldChar w:fldCharType="begin"/>
            </w:r>
            <w:r>
              <w:rPr>
                <w:noProof/>
                <w:webHidden/>
              </w:rPr>
              <w:instrText xml:space="preserve"> PAGEREF _Toc210225550 \h </w:instrText>
            </w:r>
            <w:r>
              <w:rPr>
                <w:noProof/>
                <w:webHidden/>
              </w:rPr>
            </w:r>
            <w:r>
              <w:rPr>
                <w:noProof/>
                <w:webHidden/>
              </w:rPr>
              <w:fldChar w:fldCharType="separate"/>
            </w:r>
            <w:r>
              <w:rPr>
                <w:noProof/>
                <w:webHidden/>
              </w:rPr>
              <w:t>9</w:t>
            </w:r>
            <w:r>
              <w:rPr>
                <w:noProof/>
                <w:webHidden/>
              </w:rPr>
              <w:fldChar w:fldCharType="end"/>
            </w:r>
          </w:hyperlink>
        </w:p>
        <w:p w14:paraId="541037B5" w14:textId="2DBB120D" w:rsidR="001459C2" w:rsidRDefault="001459C2">
          <w:r>
            <w:rPr>
              <w:b/>
              <w:bCs/>
              <w:noProof/>
            </w:rPr>
            <w:fldChar w:fldCharType="end"/>
          </w:r>
        </w:p>
      </w:sdtContent>
    </w:sdt>
    <w:p w14:paraId="00000013" w14:textId="77777777" w:rsidR="0030311F" w:rsidRDefault="00000000">
      <w:pPr>
        <w:pStyle w:val="Heading1"/>
      </w:pPr>
      <w:r>
        <w:br w:type="page"/>
      </w:r>
    </w:p>
    <w:p w14:paraId="00000014" w14:textId="77777777" w:rsidR="0030311F" w:rsidRDefault="00000000">
      <w:pPr>
        <w:pStyle w:val="Heading1"/>
      </w:pPr>
      <w:bookmarkStart w:id="7" w:name="_Toc210225540"/>
      <w:r>
        <w:lastRenderedPageBreak/>
        <w:t>Introduction</w:t>
      </w:r>
      <w:bookmarkEnd w:id="7"/>
    </w:p>
    <w:p w14:paraId="00000015" w14:textId="3106DAFA" w:rsidR="0030311F" w:rsidRDefault="00000000">
      <w:r>
        <w:t xml:space="preserve">This report evaluates the NHS App as England’s national “digital front door” introduced in 2019, focusing on its implementation and impacts within the last decade (Reidy </w:t>
      </w:r>
      <w:r w:rsidR="001459C2" w:rsidRPr="001459C2">
        <w:rPr>
          <w:i/>
          <w:iCs/>
        </w:rPr>
        <w:t>et al</w:t>
      </w:r>
      <w:r>
        <w:t xml:space="preserve">., 2025). Positioned by NHS England as a core capability in a “mobile‑first” operating model, the App enables access to GP records, repeat prescription ordering, appointment management, secure messaging, and 111 Online integration (NHS England, 2024). By December 2023, 33.6 million adults had registered, monthly logins had risen by 53% to 25.8 million, and usage spanned record access, 3.1 million repeat prescriptions in December, secondary‑care appointment management, and messaging coverage across 97% of GP practices (NHS England, 2024). The analysis critically appraises effects across workforce, service delivery, patient experience, and community, balancing efficiencies and access gains with variability and inclusion challenges evidenced during national roll‑out (Reidy </w:t>
      </w:r>
      <w:r w:rsidR="001459C2" w:rsidRPr="001459C2">
        <w:rPr>
          <w:i/>
          <w:iCs/>
        </w:rPr>
        <w:t>et al</w:t>
      </w:r>
      <w:r>
        <w:t xml:space="preserve">., 2025; NHS England, 2024). Evidence selection </w:t>
      </w:r>
      <w:proofErr w:type="spellStart"/>
      <w:r>
        <w:t>prioritises</w:t>
      </w:r>
      <w:proofErr w:type="spellEnd"/>
      <w:r>
        <w:t xml:space="preserve"> recent peer‑reviewed research and official UK sources and considers public support for digital transformation and responsible data use (</w:t>
      </w:r>
      <w:r w:rsidR="002D3C56">
        <w:t>TBIGC</w:t>
      </w:r>
      <w:r>
        <w:t xml:space="preserve">, 2024). In doing so, the report addresses professional practice and service‑user implications while </w:t>
      </w:r>
      <w:proofErr w:type="gramStart"/>
      <w:r>
        <w:t>situating</w:t>
      </w:r>
      <w:proofErr w:type="gramEnd"/>
      <w:r>
        <w:t xml:space="preserve"> the NHS App within current national digital strategy and delivery priorities (NHS England, 2024).</w:t>
      </w:r>
    </w:p>
    <w:p w14:paraId="00000016" w14:textId="77777777" w:rsidR="0030311F" w:rsidRDefault="00000000">
      <w:pPr>
        <w:pStyle w:val="Heading1"/>
      </w:pPr>
      <w:bookmarkStart w:id="8" w:name="_Toc210225541"/>
      <w:r>
        <w:t>Innovation Overview &amp; UK Implementation</w:t>
      </w:r>
      <w:bookmarkEnd w:id="8"/>
    </w:p>
    <w:p w14:paraId="00000017" w14:textId="2EB2D29E" w:rsidR="0030311F" w:rsidRDefault="00000000">
      <w:r>
        <w:t>The NHS App is England’s national “digital front door” introduced in 2019 to provide secure access to core NHS services including GP record access, repeat prescription ordering, appointment management, and 111 Online, forming a central pillar of NHS England’s mobile‑first service model (NHS England, 2024; Reidy</w:t>
      </w:r>
      <w:r>
        <w:rPr>
          <w:i/>
        </w:rPr>
        <w:t xml:space="preserve"> </w:t>
      </w:r>
      <w:r w:rsidR="001459C2" w:rsidRPr="001459C2">
        <w:rPr>
          <w:i/>
          <w:iCs/>
        </w:rPr>
        <w:t>et al</w:t>
      </w:r>
      <w:r>
        <w:rPr>
          <w:i/>
        </w:rPr>
        <w:t>.,</w:t>
      </w:r>
      <w:r>
        <w:t xml:space="preserve"> 2025). Implementation has been centrally coordinated by NHS England, with progressive feature rollout and deep integration across primary care systems to enable patients to view records, request prescriptions, manage appointments, and receive practice communications within a standardized interface (NHS England, 2024). By December 2023, 33.6 million adults had registered for the NHS App, with monthly logins rising 53% year‑on‑year to 25.8 million, evidencing large‑scale adoption suitable for impact evaluation (NHS England, 2024). Usage metrics further indicate operational penetration, including 3.1 million repeat prescriptions processed in December 2023 and two‑way messaging coverage across 97% of GP practices, linking patient engagement directly to administrative workflows (NHS England, 2024). NHS England positions the App as a key platform for digital access to care, with delivery updates highlighting its role in streamlining interactions and supporting patient‑facing digital services across the pathway (NHS England, 2024). Qualitative evaluation describes how </w:t>
      </w:r>
      <w:r>
        <w:lastRenderedPageBreak/>
        <w:t xml:space="preserve">implementation and evolution were shaped by policy, user needs, and iterative design choices, illuminating both benefits and constraints encountered by staff and patients during national scale‑up (Reidy </w:t>
      </w:r>
      <w:r w:rsidR="001459C2" w:rsidRPr="001459C2">
        <w:rPr>
          <w:i/>
          <w:iCs/>
        </w:rPr>
        <w:t>et al</w:t>
      </w:r>
      <w:r>
        <w:t>., 2025). Collectively, these features and adoption patterns provide a robust basis to examine effects on workforce roles and workloads, service throughput and safety, patient experience and inclusion, and community‑level access, consistent with current national digital delivery priorities.</w:t>
      </w:r>
    </w:p>
    <w:p w14:paraId="00000018" w14:textId="77777777" w:rsidR="0030311F" w:rsidRDefault="00000000">
      <w:pPr>
        <w:pStyle w:val="Heading1"/>
      </w:pPr>
      <w:bookmarkStart w:id="9" w:name="_Toc210225542"/>
      <w:r>
        <w:t>Evidence Base &amp; Evaluation Approach</w:t>
      </w:r>
      <w:bookmarkEnd w:id="9"/>
    </w:p>
    <w:p w14:paraId="00000019" w14:textId="6CE14BB5" w:rsidR="0030311F" w:rsidRDefault="00000000">
      <w:r>
        <w:t xml:space="preserve">This evaluation </w:t>
      </w:r>
      <w:proofErr w:type="spellStart"/>
      <w:r>
        <w:t>synthesises</w:t>
      </w:r>
      <w:proofErr w:type="spellEnd"/>
      <w:r>
        <w:t xml:space="preserve"> operational metrics and delivery updates from NHS England with peer‑reviewed research to ensure recency, UK relevance, and methodological triangulation (NHS England, 2024). Operational adoption, feature </w:t>
      </w:r>
      <w:proofErr w:type="spellStart"/>
      <w:r>
        <w:t>utilisation</w:t>
      </w:r>
      <w:proofErr w:type="spellEnd"/>
      <w:r>
        <w:t xml:space="preserve">, and pathway integration are described using NHS England board papers and transformation delivery updates that report registrations, logins, repeat prescriptions, secure messaging coverage, and appointment functionality (NHS England, 2024). Implementation mechanisms and stakeholder experiences are examined through qualitative evaluation of the NHS App’s evolution and national scale‑up to illuminate contextual facilitators, barriers, and unintended consequences (Reidy </w:t>
      </w:r>
      <w:r w:rsidR="001459C2" w:rsidRPr="001459C2">
        <w:rPr>
          <w:i/>
          <w:iCs/>
        </w:rPr>
        <w:t>et al</w:t>
      </w:r>
      <w:r>
        <w:rPr>
          <w:i/>
        </w:rPr>
        <w:t>.,</w:t>
      </w:r>
      <w:r>
        <w:t xml:space="preserve"> 2025). Equity impacts are assessed using national analysis of digital </w:t>
      </w:r>
      <w:proofErr w:type="spellStart"/>
      <w:r>
        <w:t>utilisation</w:t>
      </w:r>
      <w:proofErr w:type="spellEnd"/>
      <w:r>
        <w:t xml:space="preserve"> and deprivation that quantifies NHS App uptake differentials across primary care populations in England (Zhang </w:t>
      </w:r>
      <w:r w:rsidR="001459C2" w:rsidRPr="001459C2">
        <w:rPr>
          <w:i/>
          <w:iCs/>
        </w:rPr>
        <w:t>et al</w:t>
      </w:r>
      <w:r>
        <w:rPr>
          <w:i/>
        </w:rPr>
        <w:t xml:space="preserve">., </w:t>
      </w:r>
      <w:r>
        <w:t xml:space="preserve">2023). Effectiveness and economic claims are appraised against the NICE Evidence Standards Framework for digital health technologies, updated to encompass AI and data‑driven tools and to align with regulatory expectations (NICE, 2024). Data protection and cyber assurance considerations reference the NHS Data Security and Protection Toolkit 2024–25 standard and the sector’s transition towards the Cyber Assessment Framework, to situate information governance within current requirements (NHS Standards, 2024; National Data Guardian &amp; NHS England, 2024). Outcomes </w:t>
      </w:r>
      <w:proofErr w:type="spellStart"/>
      <w:r>
        <w:t>prioritised</w:t>
      </w:r>
      <w:proofErr w:type="spellEnd"/>
      <w:r>
        <w:t xml:space="preserve"> include workforce administrative burden proxies, service throughput and access (appointment transactions and record access), patient experience, and inclusion metrics, with secondary attention to governance and safety posture (NICE, 2024). Limitations acknowledged include heterogeneity of local implementation, evolving feature sets, and confounding at system level, which are addressed through triangulation of quantitative usage data with qualitative insights and framework‑based appraisal.</w:t>
      </w:r>
    </w:p>
    <w:p w14:paraId="0000001A" w14:textId="77777777" w:rsidR="0030311F" w:rsidRDefault="00000000">
      <w:pPr>
        <w:pStyle w:val="Heading1"/>
      </w:pPr>
      <w:bookmarkStart w:id="10" w:name="_Toc210225543"/>
      <w:r>
        <w:lastRenderedPageBreak/>
        <w:t>Impact on Workforce</w:t>
      </w:r>
      <w:bookmarkEnd w:id="10"/>
    </w:p>
    <w:p w14:paraId="0000001B" w14:textId="64DF61E9" w:rsidR="0030311F" w:rsidRDefault="00000000">
      <w:r>
        <w:t>Self</w:t>
      </w:r>
      <w:r w:rsidR="002D3C56">
        <w:t>-</w:t>
      </w:r>
      <w:r>
        <w:t xml:space="preserve">service transactions via the NHS App </w:t>
      </w:r>
      <w:r w:rsidR="001459C2">
        <w:t>include</w:t>
      </w:r>
      <w:r>
        <w:t xml:space="preserve"> repeat prescription ordering, appointment management, and secure messaging shift administrative workload away from telephony and front</w:t>
      </w:r>
      <w:r w:rsidR="002D3C56">
        <w:t>-</w:t>
      </w:r>
      <w:r>
        <w:t xml:space="preserve">desk channels, evidenced by 3.1 million repeat prescriptions in December 2023 and 52 million messages sent in 2023 (NHS England, 2024). Messaging availability across 97% of GP practices and a 53% year‑on‑year rise to 25.8 million monthly logins suggest integration of digital communications and records access into staff workflows, with qualitative evaluation reporting evolving roles and mixed staff experiences during national scale‑up (NHS England, 2024; Reidy </w:t>
      </w:r>
      <w:r w:rsidR="001459C2" w:rsidRPr="001459C2">
        <w:rPr>
          <w:i/>
          <w:iCs/>
        </w:rPr>
        <w:t>et al</w:t>
      </w:r>
      <w:r>
        <w:t>., 2025). Channel shift has generated cash‑releasing and time‑saving benefits NHS reporting attributes approximately £1.1 million savings in 2023/24 from app messaging versus SMS/letters though impact is contingent on local implementation and patient mix (NHS England, 2025)</w:t>
      </w:r>
    </w:p>
    <w:p w14:paraId="0000001C" w14:textId="77777777" w:rsidR="0030311F" w:rsidRDefault="00000000">
      <w:pPr>
        <w:pStyle w:val="Heading1"/>
      </w:pPr>
      <w:bookmarkStart w:id="11" w:name="_Toc210225544"/>
      <w:r>
        <w:t>Impact on Service Delivery</w:t>
      </w:r>
      <w:bookmarkEnd w:id="11"/>
    </w:p>
    <w:p w14:paraId="0000001D" w14:textId="1B13B8B3" w:rsidR="0030311F" w:rsidRDefault="00000000">
      <w:r>
        <w:t xml:space="preserve">At pathway level, the NHS App supports access and throughput, with around 4 million secondary‑care appointments viewed/managed in December 2023 and prospective GP record access expanded to 24 million accounts across 5,205 practices, enabling more timely information and self‑management (NHS England, 2024). Integration </w:t>
      </w:r>
      <w:r w:rsidR="001459C2">
        <w:t>spans of</w:t>
      </w:r>
      <w:r>
        <w:t xml:space="preserve"> primary and urgent care, with 3.1 million repeat prescriptions processed in December 2023 and 111 Online made available to 100% of fully verified users, indicating end‑to‑end digital touchpoints that can reduce delays and unnecessary contacts (NHS England, 2024). Nonetheless, NHS delivery updates note ongoing feature rollouts and local heterogeneity, implying variable real‑world gains across services and regions (NHS England, 2024).</w:t>
      </w:r>
    </w:p>
    <w:p w14:paraId="0000001E" w14:textId="77777777" w:rsidR="0030311F" w:rsidRDefault="00000000">
      <w:pPr>
        <w:pStyle w:val="Heading1"/>
      </w:pPr>
      <w:bookmarkStart w:id="12" w:name="_Toc210225545"/>
      <w:r>
        <w:t>Impact on Patient/Service User</w:t>
      </w:r>
      <w:bookmarkEnd w:id="12"/>
    </w:p>
    <w:p w14:paraId="0000001F" w14:textId="23872E46" w:rsidR="0030311F" w:rsidRDefault="00000000">
      <w:r>
        <w:t>For patients and service users, expanded record access, digital prescriptions, vaccine booking, and appointment management provide convenience and agency, reflected in 33.6 million registrations and a 53% increase to 25.8 million monthly logins by late 2023 (NHS England, 2024). Public polling indicates broad support for NHS digital transformation and an appetite for responsible data use, which can facilitate acceptance and sustained engagement when privacy and usability are addressed (</w:t>
      </w:r>
      <w:r w:rsidR="002D3C56">
        <w:t>TBIGC</w:t>
      </w:r>
      <w:r>
        <w:t xml:space="preserve">, 2024). However, national analysis shows lower NHS App activation in more deprived populations equating to about 4.27 million patients </w:t>
      </w:r>
      <w:r w:rsidR="001459C2">
        <w:t>signaling</w:t>
      </w:r>
      <w:r>
        <w:t xml:space="preserve"> digital inclusion gaps that may shape experience and access without targeted mitigation (Zhang </w:t>
      </w:r>
      <w:r w:rsidR="001459C2" w:rsidRPr="001459C2">
        <w:rPr>
          <w:i/>
          <w:iCs/>
        </w:rPr>
        <w:t>et al</w:t>
      </w:r>
      <w:r>
        <w:rPr>
          <w:i/>
        </w:rPr>
        <w:t>.,</w:t>
      </w:r>
      <w:r>
        <w:t xml:space="preserve"> 2023).</w:t>
      </w:r>
    </w:p>
    <w:p w14:paraId="00000020" w14:textId="77777777" w:rsidR="0030311F" w:rsidRDefault="00000000">
      <w:pPr>
        <w:pStyle w:val="Heading1"/>
      </w:pPr>
      <w:bookmarkStart w:id="13" w:name="_Toc210225546"/>
      <w:r>
        <w:lastRenderedPageBreak/>
        <w:t>Impact on Community</w:t>
      </w:r>
      <w:bookmarkEnd w:id="13"/>
    </w:p>
    <w:p w14:paraId="00000021" w14:textId="10F353D1" w:rsidR="0030311F" w:rsidRDefault="00000000">
      <w:r>
        <w:t>National availability of the NHS App enables access to core services across geographies, with the 2024 introduction of digital prescription barcodes allowing collection from any community pharmacy without prior nomination, reducing dependence on paper tokens and supporting more convenient medicine access for diverse populations (Pharmaceutical Journal, 2024; NHS England, 2024). Carers and family members can support community</w:t>
      </w:r>
      <w:r w:rsidR="002D3C56">
        <w:t>-</w:t>
      </w:r>
      <w:r>
        <w:t xml:space="preserve">based care through linked profiles (proxy access), which permit managing appointments and repeat prescriptions on behalf of others once enabled by the GP practice, improving continuity for households and those with caregiving responsibilities (NHS, 2024; NHS England, 2023). For care homes, NHS England guidance enables </w:t>
      </w:r>
      <w:proofErr w:type="spellStart"/>
      <w:r>
        <w:t>authorised</w:t>
      </w:r>
      <w:proofErr w:type="spellEnd"/>
      <w:r>
        <w:t xml:space="preserve"> staff to order medications and, where appropriate, access essential elements of residents’ records via proxy accounts, streamlining coordination between general practice, community pharmacies, and care providers while maintaining local safeguards (NHS England, 2023).</w:t>
      </w:r>
    </w:p>
    <w:p w14:paraId="00000023" w14:textId="550A88BD" w:rsidR="0030311F" w:rsidRDefault="00000000">
      <w:r>
        <w:t>Visibility of elective waiting</w:t>
      </w:r>
      <w:r w:rsidR="002D3C56">
        <w:t>-</w:t>
      </w:r>
      <w:r>
        <w:t xml:space="preserve">time information within the App improves transparency and planning for communities, supporting more informed navigation of local services and potentially smoothing demand across providers (NHS England, 2024). Nonetheless, community benefits are uneven: national analysis shows lower activation and use of the NHS App among more deprived populations, indicating a persistent digital inclusion gap requiring targeted outreach, support, and accessible design to avoid widening inequalities (Zhang </w:t>
      </w:r>
      <w:r w:rsidR="001459C2" w:rsidRPr="001459C2">
        <w:rPr>
          <w:i/>
          <w:iCs/>
        </w:rPr>
        <w:t>et al</w:t>
      </w:r>
      <w:r>
        <w:rPr>
          <w:i/>
        </w:rPr>
        <w:t>.,</w:t>
      </w:r>
      <w:r>
        <w:t xml:space="preserve"> 2023). Public attitudes remain broadly supportive of NHS digital transformation, suggesting community uptake can be strengthened when usability and data stewardship are clearly communicated and delivered in practice (</w:t>
      </w:r>
      <w:r w:rsidR="002D3C56">
        <w:t>TBIGC</w:t>
      </w:r>
      <w:r>
        <w:t xml:space="preserve">, 2024). </w:t>
      </w:r>
    </w:p>
    <w:p w14:paraId="00000024" w14:textId="1ACD9B2C" w:rsidR="0030311F" w:rsidRDefault="00000000">
      <w:pPr>
        <w:pStyle w:val="Heading1"/>
      </w:pPr>
      <w:bookmarkStart w:id="14" w:name="_Toc210225547"/>
      <w:r>
        <w:t>Cross</w:t>
      </w:r>
      <w:r w:rsidR="002D3C56">
        <w:t>-</w:t>
      </w:r>
      <w:r>
        <w:t>Cutting Analysis</w:t>
      </w:r>
      <w:bookmarkEnd w:id="14"/>
    </w:p>
    <w:p w14:paraId="00000025" w14:textId="2054F2D1" w:rsidR="0030311F" w:rsidRDefault="00000000">
      <w:r>
        <w:t xml:space="preserve">Overall benefits include streamlined access, channel shift from phone to digital, and strengthened patient agency, but these coexist with persistent inequalities in activation and use that risk widening access gaps without targeted support (Zhang </w:t>
      </w:r>
      <w:r w:rsidR="001459C2" w:rsidRPr="001459C2">
        <w:rPr>
          <w:i/>
          <w:iCs/>
        </w:rPr>
        <w:t>et al</w:t>
      </w:r>
      <w:r>
        <w:t xml:space="preserve">., 2023; </w:t>
      </w:r>
      <w:r w:rsidR="002D3C56">
        <w:t>TBIGC</w:t>
      </w:r>
      <w:r>
        <w:t xml:space="preserve">, 2024). Effectiveness and economic claims should be interpreted against proportionate evidence standards for digital health technologies, using the NICE Evidence Standards Framework to judge outcome robustness and </w:t>
      </w:r>
      <w:proofErr w:type="spellStart"/>
      <w:r>
        <w:t>generalisability</w:t>
      </w:r>
      <w:proofErr w:type="spellEnd"/>
      <w:r>
        <w:t xml:space="preserve"> across settings (NICE, 2024).</w:t>
      </w:r>
    </w:p>
    <w:p w14:paraId="4871AB05" w14:textId="77777777" w:rsidR="001459C2" w:rsidRDefault="00000000">
      <w:r>
        <w:t xml:space="preserve">Data governance and security expectations have tightened, with the NHS Data Security and Protection Toolkit transitioning to the National Cyber Security Centre’s Cyber Assessment </w:t>
      </w:r>
      <w:r>
        <w:lastRenderedPageBreak/>
        <w:t xml:space="preserve">Framework, reinforcing systematic risk management, protection, detection, and incident response for patient data and digital services (Digital Health, 2024; NCSC, 2024). In parallel, UK GDPR requirements </w:t>
      </w:r>
      <w:proofErr w:type="spellStart"/>
      <w:r>
        <w:t>emphasise</w:t>
      </w:r>
      <w:proofErr w:type="spellEnd"/>
      <w:r>
        <w:t xml:space="preserve"> lawfulness, transparency, data </w:t>
      </w:r>
      <w:proofErr w:type="spellStart"/>
      <w:r>
        <w:t>minimisation</w:t>
      </w:r>
      <w:proofErr w:type="spellEnd"/>
      <w:r>
        <w:t>, and DPIAs for high‑risk processing, which are central to maintaining trust in large‑scale health apps (ICO, 2024).</w:t>
      </w:r>
      <w:r w:rsidR="001459C2">
        <w:t xml:space="preserve"> </w:t>
      </w:r>
    </w:p>
    <w:p w14:paraId="00000027" w14:textId="365A7CC7" w:rsidR="0030311F" w:rsidRDefault="00000000">
      <w:r>
        <w:t xml:space="preserve">Evidence gaps remain around real‑world outcomes, equity impacts, and unintended consequences, underlining calls for better, </w:t>
      </w:r>
      <w:proofErr w:type="spellStart"/>
      <w:r>
        <w:t>standardised</w:t>
      </w:r>
      <w:proofErr w:type="spellEnd"/>
      <w:r>
        <w:t xml:space="preserve"> data from digital apps to inform service improvement and safety monitoring at scale (BMJ, 2023). Balancing benefits with risks therefore </w:t>
      </w:r>
      <w:proofErr w:type="gramStart"/>
      <w:r>
        <w:t>depends</w:t>
      </w:r>
      <w:proofErr w:type="gramEnd"/>
      <w:r>
        <w:t xml:space="preserve"> on continuous evaluation against NICE standards, robust cyber and privacy controls aligned to CAF, and targeted inclusion strategies to ensure gains are equitably distributed (NICE, 2024; NCSC, 2024).</w:t>
      </w:r>
    </w:p>
    <w:p w14:paraId="00000028" w14:textId="77777777" w:rsidR="0030311F" w:rsidRDefault="00000000">
      <w:pPr>
        <w:pStyle w:val="Heading1"/>
      </w:pPr>
      <w:bookmarkStart w:id="15" w:name="_Toc210225548"/>
      <w:r>
        <w:t>Recommendations</w:t>
      </w:r>
      <w:bookmarkEnd w:id="15"/>
    </w:p>
    <w:p w14:paraId="00000029" w14:textId="77777777" w:rsidR="0030311F" w:rsidRDefault="00000000">
      <w:r>
        <w:t xml:space="preserve">Based on the analysis done in this report the following recommendations can be </w:t>
      </w:r>
      <w:proofErr w:type="gramStart"/>
      <w:r>
        <w:t>formulated</w:t>
      </w:r>
      <w:proofErr w:type="gramEnd"/>
      <w:r>
        <w:t>:</w:t>
      </w:r>
    </w:p>
    <w:p w14:paraId="0000002A" w14:textId="0B9FF159" w:rsidR="0030311F" w:rsidRDefault="001459C2">
      <w:pPr>
        <w:numPr>
          <w:ilvl w:val="0"/>
          <w:numId w:val="1"/>
        </w:numPr>
        <w:spacing w:after="0"/>
      </w:pPr>
      <w:r>
        <w:t>They should scale channel shift by defaulting to in‑app messaging with notifications enabled and by expanding two‑way messaging and appointment management, using evidence of £1.1m savings in 2023/24 as a benchmark for local business cases (NHS England, 2024; Digital Health, 2024).</w:t>
      </w:r>
    </w:p>
    <w:p w14:paraId="0000002B" w14:textId="16562E13" w:rsidR="0030311F" w:rsidRDefault="001459C2">
      <w:pPr>
        <w:numPr>
          <w:ilvl w:val="0"/>
          <w:numId w:val="1"/>
        </w:numPr>
        <w:spacing w:after="0"/>
      </w:pPr>
      <w:r>
        <w:t xml:space="preserve">They should embed proportionate, routine evaluation against the NICE Evidence Standards Framework, including outcome and economic measures at deployment sites, to substantiate effectiveness and value and to address known evidence gaps in real‑world digital </w:t>
      </w:r>
      <w:proofErr w:type="spellStart"/>
      <w:r>
        <w:t>programmes</w:t>
      </w:r>
      <w:proofErr w:type="spellEnd"/>
      <w:r>
        <w:t xml:space="preserve"> (NICE, 2024; BMJ, 2023).</w:t>
      </w:r>
    </w:p>
    <w:p w14:paraId="0000002C" w14:textId="1C5DDB75" w:rsidR="0030311F" w:rsidRDefault="001459C2">
      <w:pPr>
        <w:numPr>
          <w:ilvl w:val="0"/>
          <w:numId w:val="1"/>
        </w:numPr>
        <w:spacing w:after="0"/>
      </w:pPr>
      <w:r>
        <w:t xml:space="preserve">They should close digital inclusion gaps through targeted outreach in high‑deprivation areas, assisted registration and onboarding at practices and pharmacies, and sustained usability improvements for low‑literacy users, responding to documented lower activation among deprived populations (Zhang </w:t>
      </w:r>
      <w:r w:rsidRPr="001459C2">
        <w:rPr>
          <w:i/>
          <w:iCs/>
        </w:rPr>
        <w:t>et al</w:t>
      </w:r>
      <w:r>
        <w:rPr>
          <w:i/>
        </w:rPr>
        <w:t xml:space="preserve">., </w:t>
      </w:r>
      <w:r>
        <w:t>2023).</w:t>
      </w:r>
    </w:p>
    <w:p w14:paraId="0000002D" w14:textId="1741795D" w:rsidR="0030311F" w:rsidRDefault="001459C2">
      <w:pPr>
        <w:numPr>
          <w:ilvl w:val="0"/>
          <w:numId w:val="1"/>
        </w:numPr>
        <w:spacing w:after="0"/>
      </w:pPr>
      <w:r>
        <w:t xml:space="preserve">They should systematically </w:t>
      </w:r>
      <w:proofErr w:type="spellStart"/>
      <w:r>
        <w:t>operationalise</w:t>
      </w:r>
      <w:proofErr w:type="spellEnd"/>
      <w:r>
        <w:t xml:space="preserve"> proxy access for carers and care homes with clear workflows, role‑based controls, and auditing to support medicines management and appointment coordination while safeguarding access rights (NHS, 2024; NHS England, 2023).</w:t>
      </w:r>
    </w:p>
    <w:p w14:paraId="0000002E" w14:textId="44A2BC94" w:rsidR="0030311F" w:rsidRDefault="001459C2">
      <w:pPr>
        <w:numPr>
          <w:ilvl w:val="0"/>
          <w:numId w:val="1"/>
        </w:numPr>
        <w:spacing w:after="0"/>
      </w:pPr>
      <w:r>
        <w:t>They need to strengthen privacy and security by aligning service assurance to the NCSC Cyber Assessment Framework and completing DPIAs for high‑risk processing, with user‑facing transparency on data used to maintain trust at scale (NCSC, 2024; ICO, 2025).</w:t>
      </w:r>
    </w:p>
    <w:p w14:paraId="00000030" w14:textId="77777777" w:rsidR="0030311F" w:rsidRDefault="00000000">
      <w:pPr>
        <w:pStyle w:val="Heading1"/>
      </w:pPr>
      <w:bookmarkStart w:id="16" w:name="_Toc210225549"/>
      <w:r>
        <w:lastRenderedPageBreak/>
        <w:t>Conclusion</w:t>
      </w:r>
      <w:bookmarkEnd w:id="16"/>
    </w:p>
    <w:p w14:paraId="00000031" w14:textId="654DE631" w:rsidR="0030311F" w:rsidRDefault="00000000">
      <w:r>
        <w:t>The NHS App has delivered substantial system</w:t>
      </w:r>
      <w:r w:rsidR="002D3C56">
        <w:t>-</w:t>
      </w:r>
      <w:r>
        <w:t xml:space="preserve">level value as a national digital access point by driving high adoption and sustained use across core functions such as prescriptions, appointments, records access, and messaging, though impacts vary by local implementation and pathway maturity. </w:t>
      </w:r>
      <w:proofErr w:type="spellStart"/>
      <w:r>
        <w:t>Realising</w:t>
      </w:r>
      <w:proofErr w:type="spellEnd"/>
      <w:r>
        <w:t xml:space="preserve"> sustained benefits requires closing documented inclusion gaps in activation and use, alongside clear user</w:t>
      </w:r>
      <w:r w:rsidR="002D3C56">
        <w:t>-</w:t>
      </w:r>
      <w:r>
        <w:t>facing communication and support to avoid widening inequalities. To ensure effectiveness, value, and public trust at scale, ongoing evaluation should be proportionate to risk and aligned to the NICE Evidence Standards Framework, while privacy and security assurance should reflect current regulatory expectations and transparency duties in health and social care.</w:t>
      </w:r>
    </w:p>
    <w:p w14:paraId="00000032" w14:textId="77777777" w:rsidR="0030311F" w:rsidRDefault="00000000">
      <w:pPr>
        <w:pStyle w:val="Heading1"/>
      </w:pPr>
      <w:bookmarkStart w:id="17" w:name="_weuer4rofrpk" w:colFirst="0" w:colLast="0"/>
      <w:bookmarkEnd w:id="17"/>
      <w:r>
        <w:br w:type="page"/>
      </w:r>
    </w:p>
    <w:p w14:paraId="00000033" w14:textId="77777777" w:rsidR="0030311F" w:rsidRDefault="00000000">
      <w:pPr>
        <w:pStyle w:val="Heading1"/>
      </w:pPr>
      <w:bookmarkStart w:id="18" w:name="_Toc210225550"/>
      <w:r>
        <w:lastRenderedPageBreak/>
        <w:t>Reference</w:t>
      </w:r>
      <w:bookmarkEnd w:id="18"/>
    </w:p>
    <w:p w14:paraId="00000034" w14:textId="6765DE9D" w:rsidR="0030311F" w:rsidRDefault="00000000">
      <w:pPr>
        <w:spacing w:before="240" w:after="120"/>
      </w:pPr>
      <w:r>
        <w:t xml:space="preserve">Digital Health (2024) NHS England to adopt new cyber security framework. Available at: </w:t>
      </w:r>
      <w:hyperlink r:id="rId7">
        <w:r w:rsidR="0030311F">
          <w:rPr>
            <w:color w:val="1155CC"/>
            <w:u w:val="single"/>
          </w:rPr>
          <w:t>https://www.digitalhealth.net/2024/09/nhs</w:t>
        </w:r>
        <w:r w:rsidR="002D3C56">
          <w:rPr>
            <w:color w:val="1155CC"/>
            <w:u w:val="single"/>
          </w:rPr>
          <w:t>-</w:t>
        </w:r>
        <w:r w:rsidR="0030311F">
          <w:rPr>
            <w:color w:val="1155CC"/>
            <w:u w:val="single"/>
          </w:rPr>
          <w:t>england</w:t>
        </w:r>
        <w:r w:rsidR="002D3C56">
          <w:rPr>
            <w:color w:val="1155CC"/>
            <w:u w:val="single"/>
          </w:rPr>
          <w:t>-</w:t>
        </w:r>
        <w:r w:rsidR="0030311F">
          <w:rPr>
            <w:color w:val="1155CC"/>
            <w:u w:val="single"/>
          </w:rPr>
          <w:t>to</w:t>
        </w:r>
        <w:r w:rsidR="002D3C56">
          <w:rPr>
            <w:color w:val="1155CC"/>
            <w:u w:val="single"/>
          </w:rPr>
          <w:t>-</w:t>
        </w:r>
        <w:r w:rsidR="0030311F">
          <w:rPr>
            <w:color w:val="1155CC"/>
            <w:u w:val="single"/>
          </w:rPr>
          <w:t>adopt</w:t>
        </w:r>
        <w:r w:rsidR="002D3C56">
          <w:rPr>
            <w:color w:val="1155CC"/>
            <w:u w:val="single"/>
          </w:rPr>
          <w:t>-</w:t>
        </w:r>
        <w:r w:rsidR="0030311F">
          <w:rPr>
            <w:color w:val="1155CC"/>
            <w:u w:val="single"/>
          </w:rPr>
          <w:t>new</w:t>
        </w:r>
        <w:r w:rsidR="002D3C56">
          <w:rPr>
            <w:color w:val="1155CC"/>
            <w:u w:val="single"/>
          </w:rPr>
          <w:t>-</w:t>
        </w:r>
        <w:r w:rsidR="0030311F">
          <w:rPr>
            <w:color w:val="1155CC"/>
            <w:u w:val="single"/>
          </w:rPr>
          <w:t>cyber</w:t>
        </w:r>
        <w:r w:rsidR="002D3C56">
          <w:rPr>
            <w:color w:val="1155CC"/>
            <w:u w:val="single"/>
          </w:rPr>
          <w:t>-</w:t>
        </w:r>
        <w:r w:rsidR="0030311F">
          <w:rPr>
            <w:color w:val="1155CC"/>
            <w:u w:val="single"/>
          </w:rPr>
          <w:t>security</w:t>
        </w:r>
        <w:r w:rsidR="002D3C56">
          <w:rPr>
            <w:color w:val="1155CC"/>
            <w:u w:val="single"/>
          </w:rPr>
          <w:t>-</w:t>
        </w:r>
        <w:r w:rsidR="0030311F">
          <w:rPr>
            <w:color w:val="1155CC"/>
            <w:u w:val="single"/>
          </w:rPr>
          <w:t>framework/</w:t>
        </w:r>
      </w:hyperlink>
      <w:r>
        <w:t xml:space="preserve"> (Accessed: 1 October 2025).</w:t>
      </w:r>
    </w:p>
    <w:p w14:paraId="00000035" w14:textId="0DA0D7D9" w:rsidR="0030311F" w:rsidRDefault="00000000">
      <w:pPr>
        <w:spacing w:before="240" w:after="120"/>
      </w:pPr>
      <w:r>
        <w:t xml:space="preserve">Information Commissioner’s Office (2024) Transparency in health and social care. Available at: </w:t>
      </w:r>
      <w:hyperlink r:id="rId8">
        <w:r w:rsidR="0030311F">
          <w:rPr>
            <w:color w:val="1155CC"/>
            <w:u w:val="single"/>
          </w:rPr>
          <w:t>https://ico.org.uk/for</w:t>
        </w:r>
        <w:r w:rsidR="002D3C56">
          <w:rPr>
            <w:color w:val="1155CC"/>
            <w:u w:val="single"/>
          </w:rPr>
          <w:t>-</w:t>
        </w:r>
        <w:r w:rsidR="0030311F">
          <w:rPr>
            <w:color w:val="1155CC"/>
            <w:u w:val="single"/>
          </w:rPr>
          <w:t>organisations/uk</w:t>
        </w:r>
        <w:r w:rsidR="002D3C56">
          <w:rPr>
            <w:color w:val="1155CC"/>
            <w:u w:val="single"/>
          </w:rPr>
          <w:t>-</w:t>
        </w:r>
        <w:r w:rsidR="0030311F">
          <w:rPr>
            <w:color w:val="1155CC"/>
            <w:u w:val="single"/>
          </w:rPr>
          <w:t>gdpr</w:t>
        </w:r>
        <w:r w:rsidR="002D3C56">
          <w:rPr>
            <w:color w:val="1155CC"/>
            <w:u w:val="single"/>
          </w:rPr>
          <w:t>-</w:t>
        </w:r>
        <w:r w:rsidR="0030311F">
          <w:rPr>
            <w:color w:val="1155CC"/>
            <w:u w:val="single"/>
          </w:rPr>
          <w:t>guidance</w:t>
        </w:r>
        <w:r w:rsidR="002D3C56">
          <w:rPr>
            <w:color w:val="1155CC"/>
            <w:u w:val="single"/>
          </w:rPr>
          <w:t>-</w:t>
        </w:r>
        <w:r w:rsidR="0030311F">
          <w:rPr>
            <w:color w:val="1155CC"/>
            <w:u w:val="single"/>
          </w:rPr>
          <w:t>and</w:t>
        </w:r>
        <w:r w:rsidR="002D3C56">
          <w:rPr>
            <w:color w:val="1155CC"/>
            <w:u w:val="single"/>
          </w:rPr>
          <w:t>-</w:t>
        </w:r>
        <w:r w:rsidR="0030311F">
          <w:rPr>
            <w:color w:val="1155CC"/>
            <w:u w:val="single"/>
          </w:rPr>
          <w:t>resources/data</w:t>
        </w:r>
        <w:r w:rsidR="002D3C56">
          <w:rPr>
            <w:color w:val="1155CC"/>
            <w:u w:val="single"/>
          </w:rPr>
          <w:t>-</w:t>
        </w:r>
        <w:r w:rsidR="0030311F">
          <w:rPr>
            <w:color w:val="1155CC"/>
            <w:u w:val="single"/>
          </w:rPr>
          <w:t>protection</w:t>
        </w:r>
        <w:r w:rsidR="002D3C56">
          <w:rPr>
            <w:color w:val="1155CC"/>
            <w:u w:val="single"/>
          </w:rPr>
          <w:t>-</w:t>
        </w:r>
        <w:r w:rsidR="0030311F">
          <w:rPr>
            <w:color w:val="1155CC"/>
            <w:u w:val="single"/>
          </w:rPr>
          <w:t>principles/transparency</w:t>
        </w:r>
        <w:r w:rsidR="002D3C56">
          <w:rPr>
            <w:color w:val="1155CC"/>
            <w:u w:val="single"/>
          </w:rPr>
          <w:t>-</w:t>
        </w:r>
        <w:r w:rsidR="0030311F">
          <w:rPr>
            <w:color w:val="1155CC"/>
            <w:u w:val="single"/>
          </w:rPr>
          <w:t>in</w:t>
        </w:r>
        <w:r w:rsidR="002D3C56">
          <w:rPr>
            <w:color w:val="1155CC"/>
            <w:u w:val="single"/>
          </w:rPr>
          <w:t>-</w:t>
        </w:r>
        <w:r w:rsidR="0030311F">
          <w:rPr>
            <w:color w:val="1155CC"/>
            <w:u w:val="single"/>
          </w:rPr>
          <w:t>health</w:t>
        </w:r>
        <w:r w:rsidR="002D3C56">
          <w:rPr>
            <w:color w:val="1155CC"/>
            <w:u w:val="single"/>
          </w:rPr>
          <w:t>-</w:t>
        </w:r>
        <w:r w:rsidR="0030311F">
          <w:rPr>
            <w:color w:val="1155CC"/>
            <w:u w:val="single"/>
          </w:rPr>
          <w:t>and</w:t>
        </w:r>
        <w:r w:rsidR="002D3C56">
          <w:rPr>
            <w:color w:val="1155CC"/>
            <w:u w:val="single"/>
          </w:rPr>
          <w:t>-</w:t>
        </w:r>
        <w:r w:rsidR="0030311F">
          <w:rPr>
            <w:color w:val="1155CC"/>
            <w:u w:val="single"/>
          </w:rPr>
          <w:t>social</w:t>
        </w:r>
        <w:r w:rsidR="002D3C56">
          <w:rPr>
            <w:color w:val="1155CC"/>
            <w:u w:val="single"/>
          </w:rPr>
          <w:t>-</w:t>
        </w:r>
        <w:r w:rsidR="0030311F">
          <w:rPr>
            <w:color w:val="1155CC"/>
            <w:u w:val="single"/>
          </w:rPr>
          <w:t>care/</w:t>
        </w:r>
      </w:hyperlink>
      <w:r>
        <w:t xml:space="preserve"> (Accessed: 1 October 2025).</w:t>
      </w:r>
    </w:p>
    <w:p w14:paraId="00000036" w14:textId="17136A25" w:rsidR="0030311F" w:rsidRDefault="00000000">
      <w:pPr>
        <w:spacing w:before="240" w:after="120"/>
      </w:pPr>
      <w:r>
        <w:t xml:space="preserve">Information Commissioner’s Office (2025) UK GDPR guidance and resources. Available at: </w:t>
      </w:r>
      <w:hyperlink r:id="rId9">
        <w:r w:rsidR="0030311F">
          <w:rPr>
            <w:color w:val="1155CC"/>
            <w:u w:val="single"/>
          </w:rPr>
          <w:t>https://ico.org.uk/for</w:t>
        </w:r>
        <w:r w:rsidR="002D3C56">
          <w:rPr>
            <w:color w:val="1155CC"/>
            <w:u w:val="single"/>
          </w:rPr>
          <w:t>-</w:t>
        </w:r>
        <w:r w:rsidR="0030311F">
          <w:rPr>
            <w:color w:val="1155CC"/>
            <w:u w:val="single"/>
          </w:rPr>
          <w:t>organisations/uk</w:t>
        </w:r>
        <w:r w:rsidR="002D3C56">
          <w:rPr>
            <w:color w:val="1155CC"/>
            <w:u w:val="single"/>
          </w:rPr>
          <w:t>-</w:t>
        </w:r>
        <w:r w:rsidR="0030311F">
          <w:rPr>
            <w:color w:val="1155CC"/>
            <w:u w:val="single"/>
          </w:rPr>
          <w:t>gdpr</w:t>
        </w:r>
        <w:r w:rsidR="002D3C56">
          <w:rPr>
            <w:color w:val="1155CC"/>
            <w:u w:val="single"/>
          </w:rPr>
          <w:t>-</w:t>
        </w:r>
        <w:r w:rsidR="0030311F">
          <w:rPr>
            <w:color w:val="1155CC"/>
            <w:u w:val="single"/>
          </w:rPr>
          <w:t>guidance</w:t>
        </w:r>
        <w:r w:rsidR="002D3C56">
          <w:rPr>
            <w:color w:val="1155CC"/>
            <w:u w:val="single"/>
          </w:rPr>
          <w:t>-</w:t>
        </w:r>
        <w:r w:rsidR="0030311F">
          <w:rPr>
            <w:color w:val="1155CC"/>
            <w:u w:val="single"/>
          </w:rPr>
          <w:t>and</w:t>
        </w:r>
        <w:r w:rsidR="002D3C56">
          <w:rPr>
            <w:color w:val="1155CC"/>
            <w:u w:val="single"/>
          </w:rPr>
          <w:t>-</w:t>
        </w:r>
        <w:r w:rsidR="0030311F">
          <w:rPr>
            <w:color w:val="1155CC"/>
            <w:u w:val="single"/>
          </w:rPr>
          <w:t>resources/</w:t>
        </w:r>
      </w:hyperlink>
      <w:r>
        <w:t xml:space="preserve"> (Accessed: 1 October 2025).</w:t>
      </w:r>
    </w:p>
    <w:p w14:paraId="00000037" w14:textId="508C80C2" w:rsidR="0030311F" w:rsidRDefault="00000000">
      <w:pPr>
        <w:spacing w:before="240" w:after="120"/>
      </w:pPr>
      <w:r>
        <w:t xml:space="preserve">National Cyber Security Centre (2024) Cyber Assessment Framework: Introduction to the CAF. Available at: </w:t>
      </w:r>
      <w:hyperlink r:id="rId10">
        <w:r w:rsidR="0030311F">
          <w:rPr>
            <w:color w:val="1155CC"/>
            <w:u w:val="single"/>
          </w:rPr>
          <w:t>https://www.ncsc.gov.uk/collection/cyber</w:t>
        </w:r>
        <w:r w:rsidR="002D3C56">
          <w:rPr>
            <w:color w:val="1155CC"/>
            <w:u w:val="single"/>
          </w:rPr>
          <w:t>-</w:t>
        </w:r>
        <w:r w:rsidR="0030311F">
          <w:rPr>
            <w:color w:val="1155CC"/>
            <w:u w:val="single"/>
          </w:rPr>
          <w:t>assessment</w:t>
        </w:r>
        <w:r w:rsidR="002D3C56">
          <w:rPr>
            <w:color w:val="1155CC"/>
            <w:u w:val="single"/>
          </w:rPr>
          <w:t>-</w:t>
        </w:r>
        <w:r w:rsidR="0030311F">
          <w:rPr>
            <w:color w:val="1155CC"/>
            <w:u w:val="single"/>
          </w:rPr>
          <w:t>framework/introduction</w:t>
        </w:r>
        <w:r w:rsidR="002D3C56">
          <w:rPr>
            <w:color w:val="1155CC"/>
            <w:u w:val="single"/>
          </w:rPr>
          <w:t>-</w:t>
        </w:r>
        <w:r w:rsidR="0030311F">
          <w:rPr>
            <w:color w:val="1155CC"/>
            <w:u w:val="single"/>
          </w:rPr>
          <w:t>to</w:t>
        </w:r>
        <w:r w:rsidR="002D3C56">
          <w:rPr>
            <w:color w:val="1155CC"/>
            <w:u w:val="single"/>
          </w:rPr>
          <w:t>-</w:t>
        </w:r>
        <w:r w:rsidR="0030311F">
          <w:rPr>
            <w:color w:val="1155CC"/>
            <w:u w:val="single"/>
          </w:rPr>
          <w:t>caf</w:t>
        </w:r>
      </w:hyperlink>
      <w:r>
        <w:t xml:space="preserve"> (Accessed: 1 October 2025).</w:t>
      </w:r>
    </w:p>
    <w:p w14:paraId="00000038" w14:textId="21074E02" w:rsidR="0030311F" w:rsidRDefault="00000000">
      <w:pPr>
        <w:spacing w:before="240" w:after="120"/>
      </w:pPr>
      <w:r>
        <w:t xml:space="preserve">NHS (2024) Manage health services for others – linked profiles in the NHS App. Available at: </w:t>
      </w:r>
      <w:hyperlink r:id="rId11">
        <w:r w:rsidR="0030311F">
          <w:rPr>
            <w:color w:val="1155CC"/>
            <w:u w:val="single"/>
          </w:rPr>
          <w:t>https://www.nhs.uk/nhs</w:t>
        </w:r>
        <w:r w:rsidR="002D3C56">
          <w:rPr>
            <w:color w:val="1155CC"/>
            <w:u w:val="single"/>
          </w:rPr>
          <w:t>-</w:t>
        </w:r>
        <w:r w:rsidR="0030311F">
          <w:rPr>
            <w:color w:val="1155CC"/>
            <w:u w:val="single"/>
          </w:rPr>
          <w:t>app/nhs</w:t>
        </w:r>
        <w:r w:rsidR="002D3C56">
          <w:rPr>
            <w:color w:val="1155CC"/>
            <w:u w:val="single"/>
          </w:rPr>
          <w:t>-</w:t>
        </w:r>
        <w:r w:rsidR="0030311F">
          <w:rPr>
            <w:color w:val="1155CC"/>
            <w:u w:val="single"/>
          </w:rPr>
          <w:t>app</w:t>
        </w:r>
        <w:r w:rsidR="002D3C56">
          <w:rPr>
            <w:color w:val="1155CC"/>
            <w:u w:val="single"/>
          </w:rPr>
          <w:t>-</w:t>
        </w:r>
        <w:r w:rsidR="0030311F">
          <w:rPr>
            <w:color w:val="1155CC"/>
            <w:u w:val="single"/>
          </w:rPr>
          <w:t>help</w:t>
        </w:r>
        <w:r w:rsidR="002D3C56">
          <w:rPr>
            <w:color w:val="1155CC"/>
            <w:u w:val="single"/>
          </w:rPr>
          <w:t>-</w:t>
        </w:r>
        <w:r w:rsidR="0030311F">
          <w:rPr>
            <w:color w:val="1155CC"/>
            <w:u w:val="single"/>
          </w:rPr>
          <w:t>and</w:t>
        </w:r>
        <w:r w:rsidR="002D3C56">
          <w:rPr>
            <w:color w:val="1155CC"/>
            <w:u w:val="single"/>
          </w:rPr>
          <w:t>-</w:t>
        </w:r>
        <w:r w:rsidR="0030311F">
          <w:rPr>
            <w:color w:val="1155CC"/>
            <w:u w:val="single"/>
          </w:rPr>
          <w:t>support/linked</w:t>
        </w:r>
        <w:r w:rsidR="002D3C56">
          <w:rPr>
            <w:color w:val="1155CC"/>
            <w:u w:val="single"/>
          </w:rPr>
          <w:t>-</w:t>
        </w:r>
        <w:r w:rsidR="0030311F">
          <w:rPr>
            <w:color w:val="1155CC"/>
            <w:u w:val="single"/>
          </w:rPr>
          <w:t>profiles</w:t>
        </w:r>
        <w:r w:rsidR="002D3C56">
          <w:rPr>
            <w:color w:val="1155CC"/>
            <w:u w:val="single"/>
          </w:rPr>
          <w:t>-</w:t>
        </w:r>
        <w:r w:rsidR="0030311F">
          <w:rPr>
            <w:color w:val="1155CC"/>
            <w:u w:val="single"/>
          </w:rPr>
          <w:t>in</w:t>
        </w:r>
        <w:r w:rsidR="002D3C56">
          <w:rPr>
            <w:color w:val="1155CC"/>
            <w:u w:val="single"/>
          </w:rPr>
          <w:t>-</w:t>
        </w:r>
        <w:r w:rsidR="0030311F">
          <w:rPr>
            <w:color w:val="1155CC"/>
            <w:u w:val="single"/>
          </w:rPr>
          <w:t>the</w:t>
        </w:r>
        <w:r w:rsidR="002D3C56">
          <w:rPr>
            <w:color w:val="1155CC"/>
            <w:u w:val="single"/>
          </w:rPr>
          <w:t>-</w:t>
        </w:r>
        <w:r w:rsidR="0030311F">
          <w:rPr>
            <w:color w:val="1155CC"/>
            <w:u w:val="single"/>
          </w:rPr>
          <w:t>nhs</w:t>
        </w:r>
        <w:r w:rsidR="002D3C56">
          <w:rPr>
            <w:color w:val="1155CC"/>
            <w:u w:val="single"/>
          </w:rPr>
          <w:t>-</w:t>
        </w:r>
        <w:r w:rsidR="0030311F">
          <w:rPr>
            <w:color w:val="1155CC"/>
            <w:u w:val="single"/>
          </w:rPr>
          <w:t>app/</w:t>
        </w:r>
      </w:hyperlink>
      <w:r>
        <w:t xml:space="preserve"> (Accessed: 1 October 2025).</w:t>
      </w:r>
    </w:p>
    <w:p w14:paraId="00000039" w14:textId="5AB862AA" w:rsidR="0030311F" w:rsidRDefault="00000000">
      <w:pPr>
        <w:spacing w:before="240" w:after="120"/>
      </w:pPr>
      <w:r>
        <w:t xml:space="preserve">NHS England (2023) How proxy access works (care homes and GP practices). Available at: </w:t>
      </w:r>
      <w:hyperlink r:id="rId12">
        <w:r w:rsidR="0030311F">
          <w:rPr>
            <w:color w:val="1155CC"/>
            <w:u w:val="single"/>
          </w:rPr>
          <w:t>https://www.england.nhs.uk/ourwork/clinical</w:t>
        </w:r>
        <w:r w:rsidR="002D3C56">
          <w:rPr>
            <w:color w:val="1155CC"/>
            <w:u w:val="single"/>
          </w:rPr>
          <w:t>-</w:t>
        </w:r>
        <w:r w:rsidR="0030311F">
          <w:rPr>
            <w:color w:val="1155CC"/>
            <w:u w:val="single"/>
          </w:rPr>
          <w:t>policy/proxy</w:t>
        </w:r>
        <w:r w:rsidR="002D3C56">
          <w:rPr>
            <w:color w:val="1155CC"/>
            <w:u w:val="single"/>
          </w:rPr>
          <w:t>-</w:t>
        </w:r>
        <w:r w:rsidR="0030311F">
          <w:rPr>
            <w:color w:val="1155CC"/>
            <w:u w:val="single"/>
          </w:rPr>
          <w:t>access</w:t>
        </w:r>
        <w:r w:rsidR="002D3C56">
          <w:rPr>
            <w:color w:val="1155CC"/>
            <w:u w:val="single"/>
          </w:rPr>
          <w:t>-</w:t>
        </w:r>
        <w:r w:rsidR="0030311F">
          <w:rPr>
            <w:color w:val="1155CC"/>
            <w:u w:val="single"/>
          </w:rPr>
          <w:t>to</w:t>
        </w:r>
        <w:r w:rsidR="002D3C56">
          <w:rPr>
            <w:color w:val="1155CC"/>
            <w:u w:val="single"/>
          </w:rPr>
          <w:t>-</w:t>
        </w:r>
        <w:r w:rsidR="0030311F">
          <w:rPr>
            <w:color w:val="1155CC"/>
            <w:u w:val="single"/>
          </w:rPr>
          <w:t>gp</w:t>
        </w:r>
        <w:r w:rsidR="002D3C56">
          <w:rPr>
            <w:color w:val="1155CC"/>
            <w:u w:val="single"/>
          </w:rPr>
          <w:t>-</w:t>
        </w:r>
        <w:r w:rsidR="0030311F">
          <w:rPr>
            <w:color w:val="1155CC"/>
            <w:u w:val="single"/>
          </w:rPr>
          <w:t>online</w:t>
        </w:r>
        <w:r w:rsidR="002D3C56">
          <w:rPr>
            <w:color w:val="1155CC"/>
            <w:u w:val="single"/>
          </w:rPr>
          <w:t>-</w:t>
        </w:r>
        <w:r w:rsidR="0030311F">
          <w:rPr>
            <w:color w:val="1155CC"/>
            <w:u w:val="single"/>
          </w:rPr>
          <w:t>services</w:t>
        </w:r>
        <w:r w:rsidR="002D3C56">
          <w:rPr>
            <w:color w:val="1155CC"/>
            <w:u w:val="single"/>
          </w:rPr>
          <w:t>-</w:t>
        </w:r>
        <w:r w:rsidR="0030311F">
          <w:rPr>
            <w:color w:val="1155CC"/>
            <w:u w:val="single"/>
          </w:rPr>
          <w:t>by</w:t>
        </w:r>
        <w:r w:rsidR="002D3C56">
          <w:rPr>
            <w:color w:val="1155CC"/>
            <w:u w:val="single"/>
          </w:rPr>
          <w:t>-</w:t>
        </w:r>
        <w:r w:rsidR="0030311F">
          <w:rPr>
            <w:color w:val="1155CC"/>
            <w:u w:val="single"/>
          </w:rPr>
          <w:t>care</w:t>
        </w:r>
        <w:r w:rsidR="002D3C56">
          <w:rPr>
            <w:color w:val="1155CC"/>
            <w:u w:val="single"/>
          </w:rPr>
          <w:t>-</w:t>
        </w:r>
        <w:r w:rsidR="0030311F">
          <w:rPr>
            <w:color w:val="1155CC"/>
            <w:u w:val="single"/>
          </w:rPr>
          <w:t>home</w:t>
        </w:r>
        <w:r w:rsidR="002D3C56">
          <w:rPr>
            <w:color w:val="1155CC"/>
            <w:u w:val="single"/>
          </w:rPr>
          <w:t>-</w:t>
        </w:r>
        <w:r w:rsidR="0030311F">
          <w:rPr>
            <w:color w:val="1155CC"/>
            <w:u w:val="single"/>
          </w:rPr>
          <w:t>staff</w:t>
        </w:r>
        <w:r w:rsidR="002D3C56">
          <w:rPr>
            <w:color w:val="1155CC"/>
            <w:u w:val="single"/>
          </w:rPr>
          <w:t>-</w:t>
        </w:r>
        <w:r w:rsidR="0030311F">
          <w:rPr>
            <w:color w:val="1155CC"/>
            <w:u w:val="single"/>
          </w:rPr>
          <w:t>guidance</w:t>
        </w:r>
        <w:r w:rsidR="002D3C56">
          <w:rPr>
            <w:color w:val="1155CC"/>
            <w:u w:val="single"/>
          </w:rPr>
          <w:t>-</w:t>
        </w:r>
        <w:r w:rsidR="0030311F">
          <w:rPr>
            <w:color w:val="1155CC"/>
            <w:u w:val="single"/>
          </w:rPr>
          <w:t>for</w:t>
        </w:r>
        <w:r w:rsidR="002D3C56">
          <w:rPr>
            <w:color w:val="1155CC"/>
            <w:u w:val="single"/>
          </w:rPr>
          <w:t>-</w:t>
        </w:r>
        <w:r w:rsidR="0030311F">
          <w:rPr>
            <w:color w:val="1155CC"/>
            <w:u w:val="single"/>
          </w:rPr>
          <w:t>care</w:t>
        </w:r>
        <w:r w:rsidR="002D3C56">
          <w:rPr>
            <w:color w:val="1155CC"/>
            <w:u w:val="single"/>
          </w:rPr>
          <w:t>-</w:t>
        </w:r>
        <w:r w:rsidR="0030311F">
          <w:rPr>
            <w:color w:val="1155CC"/>
            <w:u w:val="single"/>
          </w:rPr>
          <w:t>homes</w:t>
        </w:r>
        <w:r w:rsidR="002D3C56">
          <w:rPr>
            <w:color w:val="1155CC"/>
            <w:u w:val="single"/>
          </w:rPr>
          <w:t>-</w:t>
        </w:r>
        <w:r w:rsidR="0030311F">
          <w:rPr>
            <w:color w:val="1155CC"/>
            <w:u w:val="single"/>
          </w:rPr>
          <w:t>and</w:t>
        </w:r>
        <w:r w:rsidR="002D3C56">
          <w:rPr>
            <w:color w:val="1155CC"/>
            <w:u w:val="single"/>
          </w:rPr>
          <w:t>-</w:t>
        </w:r>
        <w:r w:rsidR="0030311F">
          <w:rPr>
            <w:color w:val="1155CC"/>
            <w:u w:val="single"/>
          </w:rPr>
          <w:t>gp</w:t>
        </w:r>
        <w:r w:rsidR="002D3C56">
          <w:rPr>
            <w:color w:val="1155CC"/>
            <w:u w:val="single"/>
          </w:rPr>
          <w:t>-</w:t>
        </w:r>
        <w:r w:rsidR="0030311F">
          <w:rPr>
            <w:color w:val="1155CC"/>
            <w:u w:val="single"/>
          </w:rPr>
          <w:t>practices/how</w:t>
        </w:r>
        <w:r w:rsidR="002D3C56">
          <w:rPr>
            <w:color w:val="1155CC"/>
            <w:u w:val="single"/>
          </w:rPr>
          <w:t>-</w:t>
        </w:r>
        <w:r w:rsidR="0030311F">
          <w:rPr>
            <w:color w:val="1155CC"/>
            <w:u w:val="single"/>
          </w:rPr>
          <w:t>proxy</w:t>
        </w:r>
        <w:r w:rsidR="002D3C56">
          <w:rPr>
            <w:color w:val="1155CC"/>
            <w:u w:val="single"/>
          </w:rPr>
          <w:t>-</w:t>
        </w:r>
        <w:r w:rsidR="0030311F">
          <w:rPr>
            <w:color w:val="1155CC"/>
            <w:u w:val="single"/>
          </w:rPr>
          <w:t>access</w:t>
        </w:r>
        <w:r w:rsidR="002D3C56">
          <w:rPr>
            <w:color w:val="1155CC"/>
            <w:u w:val="single"/>
          </w:rPr>
          <w:t>-</w:t>
        </w:r>
        <w:r w:rsidR="0030311F">
          <w:rPr>
            <w:color w:val="1155CC"/>
            <w:u w:val="single"/>
          </w:rPr>
          <w:t>works/</w:t>
        </w:r>
      </w:hyperlink>
      <w:r>
        <w:t xml:space="preserve"> (Accessed: 1 October 2025).</w:t>
      </w:r>
    </w:p>
    <w:p w14:paraId="0000003A" w14:textId="5B5E55DB" w:rsidR="0030311F" w:rsidRDefault="00000000">
      <w:pPr>
        <w:spacing w:before="240" w:after="120"/>
      </w:pPr>
      <w:r>
        <w:t xml:space="preserve">NHS England (2023) Proxy access. Available at: </w:t>
      </w:r>
      <w:hyperlink r:id="rId13">
        <w:r w:rsidR="0030311F">
          <w:rPr>
            <w:color w:val="1155CC"/>
            <w:u w:val="single"/>
          </w:rPr>
          <w:t>https://www.england.nhs.uk/long</w:t>
        </w:r>
        <w:r w:rsidR="002D3C56">
          <w:rPr>
            <w:color w:val="1155CC"/>
            <w:u w:val="single"/>
          </w:rPr>
          <w:t>-</w:t>
        </w:r>
        <w:r w:rsidR="0030311F">
          <w:rPr>
            <w:color w:val="1155CC"/>
            <w:u w:val="single"/>
          </w:rPr>
          <w:t>read/proxy</w:t>
        </w:r>
        <w:r w:rsidR="002D3C56">
          <w:rPr>
            <w:color w:val="1155CC"/>
            <w:u w:val="single"/>
          </w:rPr>
          <w:t>-</w:t>
        </w:r>
        <w:r w:rsidR="0030311F">
          <w:rPr>
            <w:color w:val="1155CC"/>
            <w:u w:val="single"/>
          </w:rPr>
          <w:t>access/</w:t>
        </w:r>
      </w:hyperlink>
      <w:r>
        <w:t xml:space="preserve"> (Accessed: 1 October 2025).</w:t>
      </w:r>
    </w:p>
    <w:p w14:paraId="0000003B" w14:textId="7704EAF8" w:rsidR="0030311F" w:rsidRDefault="00000000">
      <w:pPr>
        <w:spacing w:before="240" w:after="120"/>
      </w:pPr>
      <w:r>
        <w:t xml:space="preserve">NHS England (2024a) NHS App update. Available at: </w:t>
      </w:r>
      <w:hyperlink r:id="rId14">
        <w:r w:rsidR="0030311F">
          <w:rPr>
            <w:color w:val="1155CC"/>
            <w:u w:val="single"/>
          </w:rPr>
          <w:t>https://www.england.nhs.uk/wp</w:t>
        </w:r>
        <w:r w:rsidR="002D3C56">
          <w:rPr>
            <w:color w:val="1155CC"/>
            <w:u w:val="single"/>
          </w:rPr>
          <w:t>-</w:t>
        </w:r>
        <w:r w:rsidR="0030311F">
          <w:rPr>
            <w:color w:val="1155CC"/>
            <w:u w:val="single"/>
          </w:rPr>
          <w:t>content/uploads/2024/01/item</w:t>
        </w:r>
        <w:r w:rsidR="002D3C56">
          <w:rPr>
            <w:color w:val="1155CC"/>
            <w:u w:val="single"/>
          </w:rPr>
          <w:t>-</w:t>
        </w:r>
        <w:r w:rsidR="0030311F">
          <w:rPr>
            <w:color w:val="1155CC"/>
            <w:u w:val="single"/>
          </w:rPr>
          <w:t>8</w:t>
        </w:r>
        <w:r w:rsidR="002D3C56">
          <w:rPr>
            <w:color w:val="1155CC"/>
            <w:u w:val="single"/>
          </w:rPr>
          <w:t>-</w:t>
        </w:r>
        <w:r w:rsidR="0030311F">
          <w:rPr>
            <w:color w:val="1155CC"/>
            <w:u w:val="single"/>
          </w:rPr>
          <w:t>annex</w:t>
        </w:r>
        <w:r w:rsidR="002D3C56">
          <w:rPr>
            <w:color w:val="1155CC"/>
            <w:u w:val="single"/>
          </w:rPr>
          <w:t>-</w:t>
        </w:r>
        <w:r w:rsidR="0030311F">
          <w:rPr>
            <w:color w:val="1155CC"/>
            <w:u w:val="single"/>
          </w:rPr>
          <w:t>nhs</w:t>
        </w:r>
        <w:r w:rsidR="002D3C56">
          <w:rPr>
            <w:color w:val="1155CC"/>
            <w:u w:val="single"/>
          </w:rPr>
          <w:t>-</w:t>
        </w:r>
        <w:r w:rsidR="0030311F">
          <w:rPr>
            <w:color w:val="1155CC"/>
            <w:u w:val="single"/>
          </w:rPr>
          <w:t>app.pdf</w:t>
        </w:r>
      </w:hyperlink>
      <w:r>
        <w:t xml:space="preserve"> (Accessed: 1 October 2025).</w:t>
      </w:r>
    </w:p>
    <w:p w14:paraId="0000003C" w14:textId="1E27E884" w:rsidR="0030311F" w:rsidRDefault="00000000">
      <w:pPr>
        <w:spacing w:before="240" w:after="120"/>
      </w:pPr>
      <w:r>
        <w:t xml:space="preserve">NHS England (2024b) Transformation and innovation delivery update. Available at: </w:t>
      </w:r>
      <w:hyperlink r:id="rId15">
        <w:r w:rsidR="0030311F">
          <w:rPr>
            <w:color w:val="1155CC"/>
            <w:u w:val="single"/>
          </w:rPr>
          <w:t>https://www.england.nhs.uk/long</w:t>
        </w:r>
        <w:r w:rsidR="002D3C56">
          <w:rPr>
            <w:color w:val="1155CC"/>
            <w:u w:val="single"/>
          </w:rPr>
          <w:t>-</w:t>
        </w:r>
        <w:r w:rsidR="0030311F">
          <w:rPr>
            <w:color w:val="1155CC"/>
            <w:u w:val="single"/>
          </w:rPr>
          <w:t>read/transformation</w:t>
        </w:r>
        <w:r w:rsidR="002D3C56">
          <w:rPr>
            <w:color w:val="1155CC"/>
            <w:u w:val="single"/>
          </w:rPr>
          <w:t>-</w:t>
        </w:r>
        <w:r w:rsidR="0030311F">
          <w:rPr>
            <w:color w:val="1155CC"/>
            <w:u w:val="single"/>
          </w:rPr>
          <w:t>and</w:t>
        </w:r>
        <w:r w:rsidR="002D3C56">
          <w:rPr>
            <w:color w:val="1155CC"/>
            <w:u w:val="single"/>
          </w:rPr>
          <w:t>-</w:t>
        </w:r>
        <w:r w:rsidR="0030311F">
          <w:rPr>
            <w:color w:val="1155CC"/>
            <w:u w:val="single"/>
          </w:rPr>
          <w:t>innovation</w:t>
        </w:r>
        <w:r w:rsidR="002D3C56">
          <w:rPr>
            <w:color w:val="1155CC"/>
            <w:u w:val="single"/>
          </w:rPr>
          <w:t>-</w:t>
        </w:r>
        <w:r w:rsidR="0030311F">
          <w:rPr>
            <w:color w:val="1155CC"/>
            <w:u w:val="single"/>
          </w:rPr>
          <w:t>delivery</w:t>
        </w:r>
        <w:r w:rsidR="002D3C56">
          <w:rPr>
            <w:color w:val="1155CC"/>
            <w:u w:val="single"/>
          </w:rPr>
          <w:t>-</w:t>
        </w:r>
        <w:r w:rsidR="0030311F">
          <w:rPr>
            <w:color w:val="1155CC"/>
            <w:u w:val="single"/>
          </w:rPr>
          <w:t>update/</w:t>
        </w:r>
      </w:hyperlink>
      <w:r>
        <w:t xml:space="preserve"> (Accessed: 1 October 2025).</w:t>
      </w:r>
    </w:p>
    <w:p w14:paraId="0000003D" w14:textId="182FC915" w:rsidR="0030311F" w:rsidRDefault="00000000">
      <w:pPr>
        <w:spacing w:before="240" w:after="120"/>
      </w:pPr>
      <w:r>
        <w:lastRenderedPageBreak/>
        <w:t xml:space="preserve">NHS England (2024c) Digital prescriptions go live in NHS App. Available at: </w:t>
      </w:r>
      <w:hyperlink r:id="rId16">
        <w:r w:rsidR="0030311F">
          <w:rPr>
            <w:color w:val="1155CC"/>
            <w:u w:val="single"/>
          </w:rPr>
          <w:t>https://www.england.nhs.uk/2024/01/digital</w:t>
        </w:r>
        <w:r w:rsidR="002D3C56">
          <w:rPr>
            <w:color w:val="1155CC"/>
            <w:u w:val="single"/>
          </w:rPr>
          <w:t>-</w:t>
        </w:r>
        <w:r w:rsidR="0030311F">
          <w:rPr>
            <w:color w:val="1155CC"/>
            <w:u w:val="single"/>
          </w:rPr>
          <w:t>prescriptions</w:t>
        </w:r>
        <w:r w:rsidR="002D3C56">
          <w:rPr>
            <w:color w:val="1155CC"/>
            <w:u w:val="single"/>
          </w:rPr>
          <w:t>-</w:t>
        </w:r>
        <w:r w:rsidR="0030311F">
          <w:rPr>
            <w:color w:val="1155CC"/>
            <w:u w:val="single"/>
          </w:rPr>
          <w:t>go</w:t>
        </w:r>
        <w:r w:rsidR="002D3C56">
          <w:rPr>
            <w:color w:val="1155CC"/>
            <w:u w:val="single"/>
          </w:rPr>
          <w:t>-</w:t>
        </w:r>
        <w:r w:rsidR="0030311F">
          <w:rPr>
            <w:color w:val="1155CC"/>
            <w:u w:val="single"/>
          </w:rPr>
          <w:t>live</w:t>
        </w:r>
        <w:r w:rsidR="002D3C56">
          <w:rPr>
            <w:color w:val="1155CC"/>
            <w:u w:val="single"/>
          </w:rPr>
          <w:t>-</w:t>
        </w:r>
        <w:r w:rsidR="0030311F">
          <w:rPr>
            <w:color w:val="1155CC"/>
            <w:u w:val="single"/>
          </w:rPr>
          <w:t>in</w:t>
        </w:r>
        <w:r w:rsidR="002D3C56">
          <w:rPr>
            <w:color w:val="1155CC"/>
            <w:u w:val="single"/>
          </w:rPr>
          <w:t>-</w:t>
        </w:r>
        <w:r w:rsidR="0030311F">
          <w:rPr>
            <w:color w:val="1155CC"/>
            <w:u w:val="single"/>
          </w:rPr>
          <w:t>nhs</w:t>
        </w:r>
        <w:r w:rsidR="002D3C56">
          <w:rPr>
            <w:color w:val="1155CC"/>
            <w:u w:val="single"/>
          </w:rPr>
          <w:t>-</w:t>
        </w:r>
        <w:r w:rsidR="0030311F">
          <w:rPr>
            <w:color w:val="1155CC"/>
            <w:u w:val="single"/>
          </w:rPr>
          <w:t>app/</w:t>
        </w:r>
      </w:hyperlink>
      <w:r>
        <w:t xml:space="preserve"> (Accessed: 1 October 2025).</w:t>
      </w:r>
    </w:p>
    <w:p w14:paraId="0000003E" w14:textId="70F2546A" w:rsidR="0030311F" w:rsidRDefault="00000000">
      <w:pPr>
        <w:spacing w:before="240" w:after="120"/>
      </w:pPr>
      <w:r>
        <w:t xml:space="preserve">NHS England (2024d) NHS App messaging saved NHS more than £1 </w:t>
      </w:r>
      <w:proofErr w:type="gramStart"/>
      <w:r>
        <w:t>million in</w:t>
      </w:r>
      <w:proofErr w:type="gramEnd"/>
      <w:r>
        <w:t xml:space="preserve"> last year. Available at: </w:t>
      </w:r>
      <w:hyperlink r:id="rId17">
        <w:r w:rsidR="0030311F">
          <w:rPr>
            <w:color w:val="1155CC"/>
            <w:u w:val="single"/>
          </w:rPr>
          <w:t>https://www.england.nhs.uk/2024/05/nhs</w:t>
        </w:r>
        <w:r w:rsidR="002D3C56">
          <w:rPr>
            <w:color w:val="1155CC"/>
            <w:u w:val="single"/>
          </w:rPr>
          <w:t>-</w:t>
        </w:r>
        <w:r w:rsidR="0030311F">
          <w:rPr>
            <w:color w:val="1155CC"/>
            <w:u w:val="single"/>
          </w:rPr>
          <w:t>app</w:t>
        </w:r>
        <w:r w:rsidR="002D3C56">
          <w:rPr>
            <w:color w:val="1155CC"/>
            <w:u w:val="single"/>
          </w:rPr>
          <w:t>-</w:t>
        </w:r>
        <w:r w:rsidR="0030311F">
          <w:rPr>
            <w:color w:val="1155CC"/>
            <w:u w:val="single"/>
          </w:rPr>
          <w:t>messaging</w:t>
        </w:r>
        <w:r w:rsidR="002D3C56">
          <w:rPr>
            <w:color w:val="1155CC"/>
            <w:u w:val="single"/>
          </w:rPr>
          <w:t>-</w:t>
        </w:r>
        <w:r w:rsidR="0030311F">
          <w:rPr>
            <w:color w:val="1155CC"/>
            <w:u w:val="single"/>
          </w:rPr>
          <w:t>saved</w:t>
        </w:r>
        <w:r w:rsidR="002D3C56">
          <w:rPr>
            <w:color w:val="1155CC"/>
            <w:u w:val="single"/>
          </w:rPr>
          <w:t>-</w:t>
        </w:r>
        <w:r w:rsidR="0030311F">
          <w:rPr>
            <w:color w:val="1155CC"/>
            <w:u w:val="single"/>
          </w:rPr>
          <w:t>nhs</w:t>
        </w:r>
        <w:r w:rsidR="002D3C56">
          <w:rPr>
            <w:color w:val="1155CC"/>
            <w:u w:val="single"/>
          </w:rPr>
          <w:t>-</w:t>
        </w:r>
        <w:r w:rsidR="0030311F">
          <w:rPr>
            <w:color w:val="1155CC"/>
            <w:u w:val="single"/>
          </w:rPr>
          <w:t>more</w:t>
        </w:r>
        <w:r w:rsidR="002D3C56">
          <w:rPr>
            <w:color w:val="1155CC"/>
            <w:u w:val="single"/>
          </w:rPr>
          <w:t>-</w:t>
        </w:r>
        <w:r w:rsidR="0030311F">
          <w:rPr>
            <w:color w:val="1155CC"/>
            <w:u w:val="single"/>
          </w:rPr>
          <w:t>than</w:t>
        </w:r>
        <w:r w:rsidR="002D3C56">
          <w:rPr>
            <w:color w:val="1155CC"/>
            <w:u w:val="single"/>
          </w:rPr>
          <w:t>-</w:t>
        </w:r>
        <w:r w:rsidR="0030311F">
          <w:rPr>
            <w:color w:val="1155CC"/>
            <w:u w:val="single"/>
          </w:rPr>
          <w:t>1</w:t>
        </w:r>
        <w:r w:rsidR="002D3C56">
          <w:rPr>
            <w:color w:val="1155CC"/>
            <w:u w:val="single"/>
          </w:rPr>
          <w:t>-</w:t>
        </w:r>
        <w:r w:rsidR="0030311F">
          <w:rPr>
            <w:color w:val="1155CC"/>
            <w:u w:val="single"/>
          </w:rPr>
          <w:t>million</w:t>
        </w:r>
        <w:r w:rsidR="002D3C56">
          <w:rPr>
            <w:color w:val="1155CC"/>
            <w:u w:val="single"/>
          </w:rPr>
          <w:t>-</w:t>
        </w:r>
        <w:r w:rsidR="0030311F">
          <w:rPr>
            <w:color w:val="1155CC"/>
            <w:u w:val="single"/>
          </w:rPr>
          <w:t>in</w:t>
        </w:r>
        <w:r w:rsidR="002D3C56">
          <w:rPr>
            <w:color w:val="1155CC"/>
            <w:u w:val="single"/>
          </w:rPr>
          <w:t>-</w:t>
        </w:r>
        <w:r w:rsidR="0030311F">
          <w:rPr>
            <w:color w:val="1155CC"/>
            <w:u w:val="single"/>
          </w:rPr>
          <w:t>last</w:t>
        </w:r>
        <w:r w:rsidR="002D3C56">
          <w:rPr>
            <w:color w:val="1155CC"/>
            <w:u w:val="single"/>
          </w:rPr>
          <w:t>-</w:t>
        </w:r>
        <w:r w:rsidR="0030311F">
          <w:rPr>
            <w:color w:val="1155CC"/>
            <w:u w:val="single"/>
          </w:rPr>
          <w:t>year/</w:t>
        </w:r>
      </w:hyperlink>
      <w:r>
        <w:t xml:space="preserve"> (Accessed: 1 October 2025).</w:t>
      </w:r>
    </w:p>
    <w:p w14:paraId="0000003F" w14:textId="6DDCFA8A" w:rsidR="0030311F" w:rsidRDefault="00000000">
      <w:pPr>
        <w:spacing w:before="240" w:after="120"/>
      </w:pPr>
      <w:r>
        <w:t xml:space="preserve">NHS England (2025) GP online services. Available at: </w:t>
      </w:r>
      <w:hyperlink r:id="rId18">
        <w:r w:rsidR="0030311F">
          <w:rPr>
            <w:color w:val="1155CC"/>
            <w:u w:val="single"/>
          </w:rPr>
          <w:t>https://www.england.nhs.uk/category/gp</w:t>
        </w:r>
        <w:r w:rsidR="002D3C56">
          <w:rPr>
            <w:color w:val="1155CC"/>
            <w:u w:val="single"/>
          </w:rPr>
          <w:t>-</w:t>
        </w:r>
        <w:r w:rsidR="0030311F">
          <w:rPr>
            <w:color w:val="1155CC"/>
            <w:u w:val="single"/>
          </w:rPr>
          <w:t>online</w:t>
        </w:r>
        <w:r w:rsidR="002D3C56">
          <w:rPr>
            <w:color w:val="1155CC"/>
            <w:u w:val="single"/>
          </w:rPr>
          <w:t>-</w:t>
        </w:r>
        <w:r w:rsidR="0030311F">
          <w:rPr>
            <w:color w:val="1155CC"/>
            <w:u w:val="single"/>
          </w:rPr>
          <w:t>services/</w:t>
        </w:r>
      </w:hyperlink>
      <w:r>
        <w:t xml:space="preserve"> (Accessed: 1 October 2025).</w:t>
      </w:r>
    </w:p>
    <w:p w14:paraId="00000040" w14:textId="34A5D936" w:rsidR="0030311F" w:rsidRDefault="00000000">
      <w:pPr>
        <w:spacing w:before="240" w:after="120"/>
      </w:pPr>
      <w:r>
        <w:t xml:space="preserve">NICE (2024) Evidence standards framework for digital health technologies. Available at: </w:t>
      </w:r>
      <w:hyperlink r:id="rId19">
        <w:r w:rsidR="0030311F">
          <w:rPr>
            <w:color w:val="1155CC"/>
            <w:u w:val="single"/>
          </w:rPr>
          <w:t>https://www.nice.org.uk/what</w:t>
        </w:r>
        <w:r w:rsidR="002D3C56">
          <w:rPr>
            <w:color w:val="1155CC"/>
            <w:u w:val="single"/>
          </w:rPr>
          <w:t>-</w:t>
        </w:r>
        <w:r w:rsidR="0030311F">
          <w:rPr>
            <w:color w:val="1155CC"/>
            <w:u w:val="single"/>
          </w:rPr>
          <w:t>nice</w:t>
        </w:r>
        <w:r w:rsidR="002D3C56">
          <w:rPr>
            <w:color w:val="1155CC"/>
            <w:u w:val="single"/>
          </w:rPr>
          <w:t>-</w:t>
        </w:r>
        <w:r w:rsidR="0030311F">
          <w:rPr>
            <w:color w:val="1155CC"/>
            <w:u w:val="single"/>
          </w:rPr>
          <w:t>does/digital</w:t>
        </w:r>
        <w:r w:rsidR="002D3C56">
          <w:rPr>
            <w:color w:val="1155CC"/>
            <w:u w:val="single"/>
          </w:rPr>
          <w:t>-</w:t>
        </w:r>
        <w:r w:rsidR="0030311F">
          <w:rPr>
            <w:color w:val="1155CC"/>
            <w:u w:val="single"/>
          </w:rPr>
          <w:t>health/evidence</w:t>
        </w:r>
        <w:r w:rsidR="002D3C56">
          <w:rPr>
            <w:color w:val="1155CC"/>
            <w:u w:val="single"/>
          </w:rPr>
          <w:t>-</w:t>
        </w:r>
        <w:r w:rsidR="0030311F">
          <w:rPr>
            <w:color w:val="1155CC"/>
            <w:u w:val="single"/>
          </w:rPr>
          <w:t>standards</w:t>
        </w:r>
        <w:r w:rsidR="002D3C56">
          <w:rPr>
            <w:color w:val="1155CC"/>
            <w:u w:val="single"/>
          </w:rPr>
          <w:t>-</w:t>
        </w:r>
        <w:r w:rsidR="0030311F">
          <w:rPr>
            <w:color w:val="1155CC"/>
            <w:u w:val="single"/>
          </w:rPr>
          <w:t>framework</w:t>
        </w:r>
        <w:r w:rsidR="002D3C56">
          <w:rPr>
            <w:color w:val="1155CC"/>
            <w:u w:val="single"/>
          </w:rPr>
          <w:t>-</w:t>
        </w:r>
        <w:r w:rsidR="0030311F">
          <w:rPr>
            <w:color w:val="1155CC"/>
            <w:u w:val="single"/>
          </w:rPr>
          <w:t>esf</w:t>
        </w:r>
        <w:r w:rsidR="002D3C56">
          <w:rPr>
            <w:color w:val="1155CC"/>
            <w:u w:val="single"/>
          </w:rPr>
          <w:t>-</w:t>
        </w:r>
        <w:r w:rsidR="0030311F">
          <w:rPr>
            <w:color w:val="1155CC"/>
            <w:u w:val="single"/>
          </w:rPr>
          <w:t>for</w:t>
        </w:r>
        <w:r w:rsidR="002D3C56">
          <w:rPr>
            <w:color w:val="1155CC"/>
            <w:u w:val="single"/>
          </w:rPr>
          <w:t>-</w:t>
        </w:r>
        <w:r w:rsidR="0030311F">
          <w:rPr>
            <w:color w:val="1155CC"/>
            <w:u w:val="single"/>
          </w:rPr>
          <w:t>digital</w:t>
        </w:r>
        <w:r w:rsidR="002D3C56">
          <w:rPr>
            <w:color w:val="1155CC"/>
            <w:u w:val="single"/>
          </w:rPr>
          <w:t>-</w:t>
        </w:r>
        <w:r w:rsidR="0030311F">
          <w:rPr>
            <w:color w:val="1155CC"/>
            <w:u w:val="single"/>
          </w:rPr>
          <w:t>health</w:t>
        </w:r>
        <w:r w:rsidR="002D3C56">
          <w:rPr>
            <w:color w:val="1155CC"/>
            <w:u w:val="single"/>
          </w:rPr>
          <w:t>-</w:t>
        </w:r>
        <w:r w:rsidR="0030311F">
          <w:rPr>
            <w:color w:val="1155CC"/>
            <w:u w:val="single"/>
          </w:rPr>
          <w:t>technologies</w:t>
        </w:r>
      </w:hyperlink>
      <w:r>
        <w:t xml:space="preserve"> (Accessed: 1 October 2025).</w:t>
      </w:r>
    </w:p>
    <w:p w14:paraId="00000041" w14:textId="246EC67D" w:rsidR="0030311F" w:rsidRDefault="00000000">
      <w:pPr>
        <w:spacing w:before="240" w:after="120"/>
      </w:pPr>
      <w:r>
        <w:t xml:space="preserve">Pharmaceutical Journal (2024) Patients can now use NHS App to collect prescriptions from any community pharmacy. Available at: </w:t>
      </w:r>
      <w:hyperlink r:id="rId20">
        <w:r w:rsidR="0030311F">
          <w:rPr>
            <w:color w:val="1155CC"/>
            <w:u w:val="single"/>
          </w:rPr>
          <w:t>https://pharmaceutical</w:t>
        </w:r>
        <w:r w:rsidR="002D3C56">
          <w:rPr>
            <w:color w:val="1155CC"/>
            <w:u w:val="single"/>
          </w:rPr>
          <w:t>-</w:t>
        </w:r>
        <w:r w:rsidR="0030311F">
          <w:rPr>
            <w:color w:val="1155CC"/>
            <w:u w:val="single"/>
          </w:rPr>
          <w:t>journal.com/article/news/patients</w:t>
        </w:r>
        <w:r w:rsidR="002D3C56">
          <w:rPr>
            <w:color w:val="1155CC"/>
            <w:u w:val="single"/>
          </w:rPr>
          <w:t>-</w:t>
        </w:r>
        <w:r w:rsidR="0030311F">
          <w:rPr>
            <w:color w:val="1155CC"/>
            <w:u w:val="single"/>
          </w:rPr>
          <w:t>can</w:t>
        </w:r>
        <w:r w:rsidR="002D3C56">
          <w:rPr>
            <w:color w:val="1155CC"/>
            <w:u w:val="single"/>
          </w:rPr>
          <w:t>-</w:t>
        </w:r>
        <w:r w:rsidR="0030311F">
          <w:rPr>
            <w:color w:val="1155CC"/>
            <w:u w:val="single"/>
          </w:rPr>
          <w:t>now</w:t>
        </w:r>
        <w:r w:rsidR="002D3C56">
          <w:rPr>
            <w:color w:val="1155CC"/>
            <w:u w:val="single"/>
          </w:rPr>
          <w:t>-</w:t>
        </w:r>
        <w:r w:rsidR="0030311F">
          <w:rPr>
            <w:color w:val="1155CC"/>
            <w:u w:val="single"/>
          </w:rPr>
          <w:t>use</w:t>
        </w:r>
        <w:r w:rsidR="002D3C56">
          <w:rPr>
            <w:color w:val="1155CC"/>
            <w:u w:val="single"/>
          </w:rPr>
          <w:t>-</w:t>
        </w:r>
        <w:r w:rsidR="0030311F">
          <w:rPr>
            <w:color w:val="1155CC"/>
            <w:u w:val="single"/>
          </w:rPr>
          <w:t>nhs</w:t>
        </w:r>
        <w:r w:rsidR="002D3C56">
          <w:rPr>
            <w:color w:val="1155CC"/>
            <w:u w:val="single"/>
          </w:rPr>
          <w:t>-</w:t>
        </w:r>
        <w:r w:rsidR="0030311F">
          <w:rPr>
            <w:color w:val="1155CC"/>
            <w:u w:val="single"/>
          </w:rPr>
          <w:t>app</w:t>
        </w:r>
        <w:r w:rsidR="002D3C56">
          <w:rPr>
            <w:color w:val="1155CC"/>
            <w:u w:val="single"/>
          </w:rPr>
          <w:t>-</w:t>
        </w:r>
        <w:r w:rsidR="0030311F">
          <w:rPr>
            <w:color w:val="1155CC"/>
            <w:u w:val="single"/>
          </w:rPr>
          <w:t>to</w:t>
        </w:r>
        <w:r w:rsidR="002D3C56">
          <w:rPr>
            <w:color w:val="1155CC"/>
            <w:u w:val="single"/>
          </w:rPr>
          <w:t>-</w:t>
        </w:r>
        <w:r w:rsidR="0030311F">
          <w:rPr>
            <w:color w:val="1155CC"/>
            <w:u w:val="single"/>
          </w:rPr>
          <w:t>collect</w:t>
        </w:r>
        <w:r w:rsidR="002D3C56">
          <w:rPr>
            <w:color w:val="1155CC"/>
            <w:u w:val="single"/>
          </w:rPr>
          <w:t>-</w:t>
        </w:r>
        <w:r w:rsidR="0030311F">
          <w:rPr>
            <w:color w:val="1155CC"/>
            <w:u w:val="single"/>
          </w:rPr>
          <w:t>prescriptions</w:t>
        </w:r>
        <w:r w:rsidR="002D3C56">
          <w:rPr>
            <w:color w:val="1155CC"/>
            <w:u w:val="single"/>
          </w:rPr>
          <w:t>-</w:t>
        </w:r>
        <w:r w:rsidR="0030311F">
          <w:rPr>
            <w:color w:val="1155CC"/>
            <w:u w:val="single"/>
          </w:rPr>
          <w:t>from</w:t>
        </w:r>
        <w:r w:rsidR="002D3C56">
          <w:rPr>
            <w:color w:val="1155CC"/>
            <w:u w:val="single"/>
          </w:rPr>
          <w:t>-</w:t>
        </w:r>
        <w:r w:rsidR="0030311F">
          <w:rPr>
            <w:color w:val="1155CC"/>
            <w:u w:val="single"/>
          </w:rPr>
          <w:t>any</w:t>
        </w:r>
        <w:r w:rsidR="002D3C56">
          <w:rPr>
            <w:color w:val="1155CC"/>
            <w:u w:val="single"/>
          </w:rPr>
          <w:t>-</w:t>
        </w:r>
        <w:r w:rsidR="0030311F">
          <w:rPr>
            <w:color w:val="1155CC"/>
            <w:u w:val="single"/>
          </w:rPr>
          <w:t>community</w:t>
        </w:r>
        <w:r w:rsidR="002D3C56">
          <w:rPr>
            <w:color w:val="1155CC"/>
            <w:u w:val="single"/>
          </w:rPr>
          <w:t>-</w:t>
        </w:r>
        <w:r w:rsidR="0030311F">
          <w:rPr>
            <w:color w:val="1155CC"/>
            <w:u w:val="single"/>
          </w:rPr>
          <w:t>pharmacy</w:t>
        </w:r>
      </w:hyperlink>
      <w:r>
        <w:t xml:space="preserve"> (Accessed: 1 October 2025).</w:t>
      </w:r>
    </w:p>
    <w:p w14:paraId="00000042" w14:textId="2FC70F24" w:rsidR="0030311F" w:rsidRDefault="00000000">
      <w:pPr>
        <w:spacing w:before="240" w:after="120"/>
      </w:pPr>
      <w:r>
        <w:t xml:space="preserve">Reidy, T., </w:t>
      </w:r>
      <w:r w:rsidR="001459C2" w:rsidRPr="001459C2">
        <w:rPr>
          <w:i/>
          <w:iCs/>
        </w:rPr>
        <w:t>et al</w:t>
      </w:r>
      <w:r>
        <w:t xml:space="preserve">. (2025) Qualitative evaluation of the implementation and evolution of the NHS App in England. Available at: </w:t>
      </w:r>
      <w:hyperlink r:id="rId21">
        <w:r w:rsidR="0030311F">
          <w:rPr>
            <w:color w:val="1155CC"/>
            <w:u w:val="single"/>
          </w:rPr>
          <w:t>https://pmc.ncbi.nlm.nih.gov/articles/PMC11752663/</w:t>
        </w:r>
      </w:hyperlink>
      <w:r>
        <w:t xml:space="preserve"> (Accessed: 1 October 2025).</w:t>
      </w:r>
    </w:p>
    <w:p w14:paraId="00000043" w14:textId="3985D119" w:rsidR="0030311F" w:rsidRDefault="002D3C56">
      <w:pPr>
        <w:spacing w:before="240" w:after="120"/>
      </w:pPr>
      <w:r>
        <w:t xml:space="preserve">TBIGC (2024) New polling reveals public support for NHS digital transformation. Available at: </w:t>
      </w:r>
      <w:hyperlink r:id="rId22">
        <w:r w:rsidR="0030311F">
          <w:rPr>
            <w:color w:val="1155CC"/>
            <w:u w:val="single"/>
          </w:rPr>
          <w:t>https://institute.global/insights/public</w:t>
        </w:r>
        <w:r>
          <w:rPr>
            <w:color w:val="1155CC"/>
            <w:u w:val="single"/>
          </w:rPr>
          <w:t>-</w:t>
        </w:r>
        <w:r w:rsidR="0030311F">
          <w:rPr>
            <w:color w:val="1155CC"/>
            <w:u w:val="single"/>
          </w:rPr>
          <w:t>services/new</w:t>
        </w:r>
        <w:r>
          <w:rPr>
            <w:color w:val="1155CC"/>
            <w:u w:val="single"/>
          </w:rPr>
          <w:t>-</w:t>
        </w:r>
        <w:r w:rsidR="0030311F">
          <w:rPr>
            <w:color w:val="1155CC"/>
            <w:u w:val="single"/>
          </w:rPr>
          <w:t>polling</w:t>
        </w:r>
        <w:r>
          <w:rPr>
            <w:color w:val="1155CC"/>
            <w:u w:val="single"/>
          </w:rPr>
          <w:t>-</w:t>
        </w:r>
        <w:r w:rsidR="0030311F">
          <w:rPr>
            <w:color w:val="1155CC"/>
            <w:u w:val="single"/>
          </w:rPr>
          <w:t>reveals</w:t>
        </w:r>
        <w:r>
          <w:rPr>
            <w:color w:val="1155CC"/>
            <w:u w:val="single"/>
          </w:rPr>
          <w:t>-</w:t>
        </w:r>
        <w:r w:rsidR="0030311F">
          <w:rPr>
            <w:color w:val="1155CC"/>
            <w:u w:val="single"/>
          </w:rPr>
          <w:t>public</w:t>
        </w:r>
        <w:r>
          <w:rPr>
            <w:color w:val="1155CC"/>
            <w:u w:val="single"/>
          </w:rPr>
          <w:t>-</w:t>
        </w:r>
        <w:r w:rsidR="0030311F">
          <w:rPr>
            <w:color w:val="1155CC"/>
            <w:u w:val="single"/>
          </w:rPr>
          <w:t>support</w:t>
        </w:r>
        <w:r>
          <w:rPr>
            <w:color w:val="1155CC"/>
            <w:u w:val="single"/>
          </w:rPr>
          <w:t>-</w:t>
        </w:r>
        <w:r w:rsidR="0030311F">
          <w:rPr>
            <w:color w:val="1155CC"/>
            <w:u w:val="single"/>
          </w:rPr>
          <w:t>for</w:t>
        </w:r>
        <w:r>
          <w:rPr>
            <w:color w:val="1155CC"/>
            <w:u w:val="single"/>
          </w:rPr>
          <w:t>-</w:t>
        </w:r>
        <w:r w:rsidR="0030311F">
          <w:rPr>
            <w:color w:val="1155CC"/>
            <w:u w:val="single"/>
          </w:rPr>
          <w:t>nhs</w:t>
        </w:r>
        <w:r>
          <w:rPr>
            <w:color w:val="1155CC"/>
            <w:u w:val="single"/>
          </w:rPr>
          <w:t>-</w:t>
        </w:r>
        <w:r w:rsidR="0030311F">
          <w:rPr>
            <w:color w:val="1155CC"/>
            <w:u w:val="single"/>
          </w:rPr>
          <w:t>digital</w:t>
        </w:r>
        <w:r>
          <w:rPr>
            <w:color w:val="1155CC"/>
            <w:u w:val="single"/>
          </w:rPr>
          <w:t>-</w:t>
        </w:r>
        <w:r w:rsidR="0030311F">
          <w:rPr>
            <w:color w:val="1155CC"/>
            <w:u w:val="single"/>
          </w:rPr>
          <w:t>transformation</w:t>
        </w:r>
      </w:hyperlink>
      <w:r>
        <w:t xml:space="preserve"> (Accessed: 1 October 2025).</w:t>
      </w:r>
    </w:p>
    <w:p w14:paraId="00000044" w14:textId="77777777" w:rsidR="0030311F" w:rsidRDefault="00000000">
      <w:pPr>
        <w:spacing w:before="240" w:after="120"/>
      </w:pPr>
      <w:r>
        <w:t xml:space="preserve">‘Quantifying digital health inequality across a national healthcare system’ (2023) BMJ Health &amp; Care Informatics, 30(1), e100809. Available at: </w:t>
      </w:r>
      <w:hyperlink r:id="rId23">
        <w:r w:rsidR="0030311F">
          <w:rPr>
            <w:color w:val="1155CC"/>
            <w:u w:val="single"/>
          </w:rPr>
          <w:t>https://informatics.bmj.com/content/30/1/e100809</w:t>
        </w:r>
      </w:hyperlink>
      <w:r>
        <w:t xml:space="preserve"> (Accessed: 1 October 2025).</w:t>
      </w:r>
    </w:p>
    <w:p w14:paraId="00000045" w14:textId="77777777" w:rsidR="0030311F" w:rsidRDefault="0030311F"/>
    <w:sectPr w:rsidR="0030311F">
      <w:footerReference w:type="default" r:id="rId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E8949" w14:textId="77777777" w:rsidR="00656C6F" w:rsidRDefault="00656C6F">
      <w:pPr>
        <w:spacing w:after="0" w:line="240" w:lineRule="auto"/>
      </w:pPr>
      <w:r>
        <w:separator/>
      </w:r>
    </w:p>
  </w:endnote>
  <w:endnote w:type="continuationSeparator" w:id="0">
    <w:p w14:paraId="51D5BB9E" w14:textId="77777777" w:rsidR="00656C6F" w:rsidRDefault="00656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B Garamond">
    <w:charset w:val="00"/>
    <w:family w:val="auto"/>
    <w:pitch w:val="variable"/>
    <w:sig w:usb0="E00002FF" w:usb1="02000413" w:usb2="00000000" w:usb3="00000000" w:csb0="0000019F" w:csb1="00000000"/>
  </w:font>
  <w:font w:name="Calibri">
    <w:panose1 w:val="020F0502020204030204"/>
    <w:charset w:val="00"/>
    <w:family w:val="swiss"/>
    <w:pitch w:val="variable"/>
    <w:sig w:usb0="E4002EFF" w:usb1="C200247B" w:usb2="00000009" w:usb3="00000000" w:csb0="000001FF" w:csb1="00000000"/>
    <w:embedRegular r:id="rId1" w:fontKey="{11328F73-A0E4-486A-A99A-38956BDCE8CF}"/>
    <w:embedBold r:id="rId2" w:fontKey="{4231B038-4350-43EA-A391-E831126D4C65}"/>
  </w:font>
  <w:font w:name="Mangal">
    <w:panose1 w:val="00000400000000000000"/>
    <w:charset w:val="00"/>
    <w:family w:val="roman"/>
    <w:pitch w:val="variable"/>
    <w:sig w:usb0="00008003" w:usb1="00000000" w:usb2="00000000" w:usb3="00000000" w:csb0="00000001" w:csb1="00000000"/>
    <w:embedRegular r:id="rId3" w:fontKey="{17E69808-C730-4394-B2B0-C1DEAA8FDE48}"/>
    <w:embedBold r:id="rId4" w:fontKey="{904EDDD5-5783-416F-B855-2A2EBB9B2EE4}"/>
  </w:font>
  <w:font w:name="Cambria">
    <w:panose1 w:val="02040503050406030204"/>
    <w:charset w:val="00"/>
    <w:family w:val="roman"/>
    <w:pitch w:val="variable"/>
    <w:sig w:usb0="E00006FF" w:usb1="420024FF" w:usb2="02000000" w:usb3="00000000" w:csb0="0000019F" w:csb1="00000000"/>
    <w:embedRegular r:id="rId5" w:fontKey="{42EB8BD7-D0E9-48FA-A8FC-579E3F06E6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6" w14:textId="25DF57A7" w:rsidR="0030311F" w:rsidRDefault="00000000">
    <w:pPr>
      <w:jc w:val="right"/>
    </w:pPr>
    <w:r>
      <w:fldChar w:fldCharType="begin"/>
    </w:r>
    <w:r>
      <w:instrText>PAGE</w:instrText>
    </w:r>
    <w:r>
      <w:fldChar w:fldCharType="separate"/>
    </w:r>
    <w:r w:rsidR="001459C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C17BB" w14:textId="77777777" w:rsidR="00656C6F" w:rsidRDefault="00656C6F">
      <w:pPr>
        <w:spacing w:after="0" w:line="240" w:lineRule="auto"/>
      </w:pPr>
      <w:r>
        <w:separator/>
      </w:r>
    </w:p>
  </w:footnote>
  <w:footnote w:type="continuationSeparator" w:id="0">
    <w:p w14:paraId="4CA73DA4" w14:textId="77777777" w:rsidR="00656C6F" w:rsidRDefault="00656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2079A6"/>
    <w:multiLevelType w:val="multilevel"/>
    <w:tmpl w:val="F66426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487601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11F"/>
    <w:rsid w:val="00056E50"/>
    <w:rsid w:val="001459C2"/>
    <w:rsid w:val="00216E1D"/>
    <w:rsid w:val="002D3C56"/>
    <w:rsid w:val="0030311F"/>
    <w:rsid w:val="00392FFF"/>
    <w:rsid w:val="00656C6F"/>
    <w:rsid w:val="006F337F"/>
    <w:rsid w:val="007977C9"/>
    <w:rsid w:val="007D5C2F"/>
    <w:rsid w:val="00AB4309"/>
    <w:rsid w:val="00BD7EEA"/>
    <w:rsid w:val="00E6462F"/>
    <w:rsid w:val="00F93C7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1588"/>
  <w15:docId w15:val="{37ACA385-B995-433A-A0DB-F6DE1F29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hi-IN"/>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rFonts w:ascii="EB Garamond" w:eastAsia="EB Garamond" w:hAnsi="EB Garamond" w:cs="EB Garamond"/>
      <w:b/>
      <w:i/>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jc w:val="center"/>
    </w:pPr>
    <w:rPr>
      <w:i/>
      <w:color w:val="666666"/>
      <w:sz w:val="30"/>
      <w:szCs w:val="30"/>
    </w:rPr>
  </w:style>
  <w:style w:type="paragraph" w:styleId="TOCHeading">
    <w:name w:val="TOC Heading"/>
    <w:basedOn w:val="Heading1"/>
    <w:next w:val="Normal"/>
    <w:uiPriority w:val="39"/>
    <w:unhideWhenUsed/>
    <w:qFormat/>
    <w:rsid w:val="001459C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1459C2"/>
    <w:pPr>
      <w:spacing w:after="100"/>
    </w:pPr>
    <w:rPr>
      <w:rFonts w:cs="Mangal"/>
      <w:szCs w:val="20"/>
    </w:rPr>
  </w:style>
  <w:style w:type="character" w:styleId="Hyperlink">
    <w:name w:val="Hyperlink"/>
    <w:basedOn w:val="DefaultParagraphFont"/>
    <w:uiPriority w:val="99"/>
    <w:unhideWhenUsed/>
    <w:rsid w:val="001459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data-protection-principles/transparency-in-health-and-social-care/" TargetMode="External"/><Relationship Id="rId13" Type="http://schemas.openxmlformats.org/officeDocument/2006/relationships/hyperlink" Target="https://www.england.nhs.uk/long-read/proxy-access/" TargetMode="External"/><Relationship Id="rId18" Type="http://schemas.openxmlformats.org/officeDocument/2006/relationships/hyperlink" Target="https://www.england.nhs.uk/category/gp-online-servic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mc.ncbi.nlm.nih.gov/articles/PMC11752663/" TargetMode="External"/><Relationship Id="rId7" Type="http://schemas.openxmlformats.org/officeDocument/2006/relationships/hyperlink" Target="https://www.digitalhealth.net/2024/09/nhs-england-to-adopt-new-cyber-security-framework/" TargetMode="External"/><Relationship Id="rId12" Type="http://schemas.openxmlformats.org/officeDocument/2006/relationships/hyperlink" Target="https://www.england.nhs.uk/ourwork/clinical-policy/proxy-access-to-gp-online-services-by-care-home-staff-guidance-for-care-homes-and-gp-practices/how-proxy-access-works/" TargetMode="External"/><Relationship Id="rId17" Type="http://schemas.openxmlformats.org/officeDocument/2006/relationships/hyperlink" Target="https://www.england.nhs.uk/2024/05/nhs-app-messaging-saved-nhs-more-than-1-million-in-last-yea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ngland.nhs.uk/2024/01/digital-prescriptions-go-live-in-nhs-app/" TargetMode="External"/><Relationship Id="rId20" Type="http://schemas.openxmlformats.org/officeDocument/2006/relationships/hyperlink" Target="https://pharmaceutical-journal.com/article/news/patients-can-now-use-nhs-app-to-collect-prescriptions-from-any-community-pharma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nhs-app/nhs-app-help-and-support/linked-profiles-in-the-nhs-app/"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ngland.nhs.uk/long-read/transformation-and-innovation-delivery-update/" TargetMode="External"/><Relationship Id="rId23" Type="http://schemas.openxmlformats.org/officeDocument/2006/relationships/hyperlink" Target="https://informatics.bmj.com/content/30/1/e100809" TargetMode="External"/><Relationship Id="rId10" Type="http://schemas.openxmlformats.org/officeDocument/2006/relationships/hyperlink" Target="https://www.ncsc.gov.uk/collection/cyber-assessment-framework/introduction-to-caf" TargetMode="External"/><Relationship Id="rId19" Type="http://schemas.openxmlformats.org/officeDocument/2006/relationships/hyperlink" Target="https://www.nice.org.uk/what-nice-does/digital-health/evidence-standards-framework-esf-for-digital-health-technologies" TargetMode="External"/><Relationship Id="rId4" Type="http://schemas.openxmlformats.org/officeDocument/2006/relationships/webSettings" Target="webSettings.xml"/><Relationship Id="rId9" Type="http://schemas.openxmlformats.org/officeDocument/2006/relationships/hyperlink" Target="https://ico.org.uk/for-organisations/uk-gdpr-guidance-and-resources/" TargetMode="External"/><Relationship Id="rId14" Type="http://schemas.openxmlformats.org/officeDocument/2006/relationships/hyperlink" Target="https://www.england.nhs.uk/wp-content/uploads/2024/01/item-8-annex-nhs-app.pdf" TargetMode="External"/><Relationship Id="rId22" Type="http://schemas.openxmlformats.org/officeDocument/2006/relationships/hyperlink" Target="https://institute.global/insights/public-services/new-polling-reveals-public-support-for-nhs-digital-transforma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Dorothy Kodua Tweneboah (2314173)</cp:lastModifiedBy>
  <cp:revision>4</cp:revision>
  <dcterms:created xsi:type="dcterms:W3CDTF">2025-10-22T20:32:00Z</dcterms:created>
  <dcterms:modified xsi:type="dcterms:W3CDTF">2025-10-22T20:38:00Z</dcterms:modified>
</cp:coreProperties>
</file>