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5CB6E20" w:rsidP="7269CF6C" w:rsidRDefault="55CB6E20" w14:paraId="1F33D7C1" w14:textId="215480A8">
      <w:pPr>
        <w:pStyle w:val="Normal"/>
        <w:spacing w:before="322" w:beforeAutospacing="off" w:after="322" w:afterAutospacing="off"/>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pPr>
      <w:r w:rsidRPr="7269CF6C" w:rsidR="68D35DC2">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t xml:space="preserve">Assignment title: </w:t>
      </w:r>
      <w:r w:rsidRPr="7269CF6C" w:rsidR="407FF870">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t>Essay</w:t>
      </w:r>
    </w:p>
    <w:p w:rsidR="55CB6E20" w:rsidP="7269CF6C" w:rsidRDefault="55CB6E20" w14:paraId="3D6772C2" w14:textId="2F6924A6">
      <w:pPr>
        <w:spacing w:before="322" w:beforeAutospacing="off" w:after="322" w:afterAutospacing="off"/>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pPr>
      <w:r w:rsidRPr="7269CF6C" w:rsidR="68D35DC2">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t>Component</w:t>
      </w:r>
      <w:r w:rsidRPr="7269CF6C" w:rsidR="68D35DC2">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t>: 2</w:t>
      </w:r>
    </w:p>
    <w:p w:rsidR="55CB6E20" w:rsidP="7269CF6C" w:rsidRDefault="55CB6E20" w14:paraId="4BFDA814" w14:textId="68748E7C">
      <w:pPr>
        <w:spacing w:before="322" w:beforeAutospacing="off" w:after="322" w:afterAutospacing="off"/>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pPr>
      <w:r w:rsidRPr="7269CF6C" w:rsidR="68D35DC2">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t xml:space="preserve">Module title: </w:t>
      </w:r>
      <w:r w:rsidRPr="7269CF6C" w:rsidR="70EE808C">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t>Global Business Environment</w:t>
      </w:r>
    </w:p>
    <w:p w:rsidR="55CB6E20" w:rsidP="7269CF6C" w:rsidRDefault="55CB6E20" w14:paraId="3A493AB1" w14:textId="532ED0C2">
      <w:pPr>
        <w:pStyle w:val="Normal"/>
        <w:spacing w:before="299" w:beforeAutospacing="off" w:after="299" w:afterAutospacing="off"/>
        <w:rPr>
          <w:rFonts w:ascii="Arial" w:hAnsi="Arial" w:eastAsia="Arial" w:cs="Arial" w:asciiTheme="minorAscii" w:hAnsiTheme="minorAscii" w:eastAsiaTheme="minorAscii" w:cstheme="minorAscii"/>
          <w:b w:val="0"/>
          <w:bCs w:val="0"/>
          <w:noProof w:val="0"/>
          <w:color w:val="0F4761" w:themeColor="accent1" w:themeTint="FF" w:themeShade="BF"/>
          <w:sz w:val="28"/>
          <w:szCs w:val="28"/>
          <w:lang w:val="en-GB"/>
        </w:rPr>
      </w:pPr>
      <w:r w:rsidRPr="7269CF6C" w:rsidR="68D35DC2">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t xml:space="preserve">Module Leader: </w:t>
      </w:r>
      <w:r w:rsidRPr="7269CF6C" w:rsidR="134A3325">
        <w:rPr>
          <w:rFonts w:ascii="Arial" w:hAnsi="Arial" w:eastAsia="Arial" w:cs="Arial" w:asciiTheme="minorAscii" w:hAnsiTheme="minorAscii" w:eastAsiaTheme="minorAscii" w:cstheme="minorAscii"/>
          <w:b w:val="0"/>
          <w:bCs w:val="0"/>
          <w:i w:val="1"/>
          <w:iCs w:val="1"/>
          <w:caps w:val="0"/>
          <w:smallCaps w:val="0"/>
          <w:noProof w:val="0"/>
          <w:color w:val="0F4761" w:themeColor="accent1" w:themeTint="FF" w:themeShade="BF"/>
          <w:sz w:val="28"/>
          <w:szCs w:val="28"/>
          <w:lang w:val="en-GB"/>
        </w:rPr>
        <w:t xml:space="preserve">Dr. Seyed Navid </w:t>
      </w:r>
      <w:r w:rsidRPr="7269CF6C" w:rsidR="134A3325">
        <w:rPr>
          <w:rFonts w:ascii="Arial" w:hAnsi="Arial" w:eastAsia="Arial" w:cs="Arial" w:asciiTheme="minorAscii" w:hAnsiTheme="minorAscii" w:eastAsiaTheme="minorAscii" w:cstheme="minorAscii"/>
          <w:b w:val="0"/>
          <w:bCs w:val="0"/>
          <w:i w:val="1"/>
          <w:iCs w:val="1"/>
          <w:caps w:val="0"/>
          <w:smallCaps w:val="0"/>
          <w:noProof w:val="0"/>
          <w:color w:val="0F4761" w:themeColor="accent1" w:themeTint="FF" w:themeShade="BF"/>
          <w:sz w:val="28"/>
          <w:szCs w:val="28"/>
          <w:lang w:val="en-GB"/>
        </w:rPr>
        <w:t>Nasirpourosgoei</w:t>
      </w:r>
      <w:r w:rsidRPr="7269CF6C" w:rsidR="134A3325">
        <w:rPr>
          <w:rFonts w:ascii="Arial" w:hAnsi="Arial" w:eastAsia="Arial" w:cs="Arial" w:asciiTheme="minorAscii" w:hAnsiTheme="minorAscii" w:eastAsiaTheme="minorAscii" w:cstheme="minorAscii"/>
          <w:b w:val="0"/>
          <w:bCs w:val="0"/>
          <w:i w:val="1"/>
          <w:iCs w:val="1"/>
          <w:caps w:val="0"/>
          <w:smallCaps w:val="0"/>
          <w:noProof w:val="0"/>
          <w:color w:val="0F4761" w:themeColor="accent1" w:themeTint="FF" w:themeShade="BF"/>
          <w:sz w:val="28"/>
          <w:szCs w:val="28"/>
          <w:lang w:val="en-GB"/>
        </w:rPr>
        <w:t xml:space="preserve"> </w:t>
      </w:r>
      <w:r w:rsidRPr="7269CF6C" w:rsidR="134A3325">
        <w:rPr>
          <w:rFonts w:ascii="Arial" w:hAnsi="Arial" w:eastAsia="Arial" w:cs="Arial" w:asciiTheme="minorAscii" w:hAnsiTheme="minorAscii" w:eastAsiaTheme="minorAscii" w:cstheme="minorAscii"/>
          <w:b w:val="0"/>
          <w:bCs w:val="0"/>
          <w:noProof w:val="0"/>
          <w:color w:val="0F4761" w:themeColor="accent1" w:themeTint="FF" w:themeShade="BF"/>
          <w:sz w:val="28"/>
          <w:szCs w:val="28"/>
          <w:lang w:val="en-GB"/>
        </w:rPr>
        <w:t xml:space="preserve"> </w:t>
      </w:r>
    </w:p>
    <w:p w:rsidR="55CB6E20" w:rsidP="7269CF6C" w:rsidRDefault="55CB6E20" w14:paraId="0962C4FA" w14:textId="05C2B978">
      <w:pPr>
        <w:pStyle w:val="Heading1"/>
        <w:keepNext w:val="1"/>
        <w:keepLines w:val="1"/>
        <w:shd w:val="clear" w:color="auto" w:fill="FFFFFF" w:themeFill="background1"/>
        <w:spacing w:before="0" w:beforeAutospacing="off" w:after="120" w:afterAutospacing="off"/>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F4761" w:themeColor="accent1" w:themeTint="FF" w:themeShade="BF"/>
          <w:sz w:val="28"/>
          <w:szCs w:val="28"/>
          <w:lang w:val="en-GB"/>
        </w:rPr>
      </w:pPr>
      <w:r w:rsidRPr="7269CF6C" w:rsidR="68D35DC2">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t>Module number:</w:t>
      </w:r>
      <w:r w:rsidRPr="7269CF6C" w:rsidR="2396EE31">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t xml:space="preserve"> LCBB 4</w:t>
      </w:r>
      <w:r w:rsidRPr="7269CF6C" w:rsidR="6B11DF54">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t>016</w:t>
      </w:r>
    </w:p>
    <w:p w:rsidR="55CB6E20" w:rsidP="7269CF6C" w:rsidRDefault="55CB6E20" w14:paraId="488B4C13" w14:textId="692DFF2B">
      <w:pPr>
        <w:spacing w:before="299" w:beforeAutospacing="off" w:after="299" w:afterAutospacing="off"/>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pPr>
      <w:r w:rsidRPr="7269CF6C" w:rsidR="68D35DC2">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t>Student name: Shamima Akter Rumi</w:t>
      </w:r>
    </w:p>
    <w:p w:rsidR="55CB6E20" w:rsidP="7269CF6C" w:rsidRDefault="55CB6E20" w14:paraId="5FC8ECCA" w14:textId="588551A5">
      <w:pPr>
        <w:spacing w:before="299" w:beforeAutospacing="off" w:after="299" w:afterAutospacing="off"/>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pPr>
      <w:r w:rsidRPr="7269CF6C" w:rsidR="68D35DC2">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t>Student number: 2223220</w:t>
      </w:r>
    </w:p>
    <w:p w:rsidR="55CB6E20" w:rsidP="7269CF6C" w:rsidRDefault="55CB6E20" w14:paraId="398D6515" w14:textId="7D2E3322">
      <w:pPr>
        <w:pStyle w:val="Normal"/>
        <w:rPr>
          <w:noProof w:val="0"/>
          <w:lang w:val="en-GB"/>
        </w:rPr>
      </w:pPr>
    </w:p>
    <w:p w:rsidR="55CB6E20" w:rsidP="7269CF6C" w:rsidRDefault="55CB6E20" w14:paraId="2A3A789D" w14:textId="0351F100">
      <w:pPr>
        <w:pStyle w:val="Heading1"/>
        <w:spacing w:before="322" w:beforeAutospacing="off" w:after="322" w:afterAutospacing="off"/>
        <w:rPr>
          <w:rFonts w:ascii="Arial" w:hAnsi="Arial" w:eastAsia="Arial" w:cs="Arial"/>
          <w:b w:val="1"/>
          <w:bCs w:val="1"/>
          <w:noProof w:val="0"/>
          <w:sz w:val="28"/>
          <w:szCs w:val="28"/>
          <w:lang w:val="en-GB"/>
        </w:rPr>
      </w:pPr>
    </w:p>
    <w:p w:rsidR="55CB6E20" w:rsidP="7269CF6C" w:rsidRDefault="55CB6E20" w14:paraId="60BA2EE6" w14:textId="29558307">
      <w:pPr>
        <w:pStyle w:val="Heading1"/>
        <w:spacing w:before="322" w:beforeAutospacing="off" w:after="322" w:afterAutospacing="off"/>
        <w:rPr>
          <w:rFonts w:ascii="Arial" w:hAnsi="Arial" w:eastAsia="Arial" w:cs="Arial"/>
          <w:b w:val="1"/>
          <w:bCs w:val="1"/>
          <w:noProof w:val="0"/>
          <w:sz w:val="28"/>
          <w:szCs w:val="28"/>
          <w:lang w:val="en-GB"/>
        </w:rPr>
      </w:pPr>
    </w:p>
    <w:p w:rsidR="55CB6E20" w:rsidP="7269CF6C" w:rsidRDefault="55CB6E20" w14:paraId="2398D37C" w14:textId="25A0B498">
      <w:pPr>
        <w:pStyle w:val="Heading1"/>
        <w:spacing w:before="322" w:beforeAutospacing="off" w:after="322" w:afterAutospacing="off"/>
        <w:rPr>
          <w:rFonts w:ascii="Arial" w:hAnsi="Arial" w:eastAsia="Arial" w:cs="Arial"/>
          <w:b w:val="1"/>
          <w:bCs w:val="1"/>
          <w:noProof w:val="0"/>
          <w:sz w:val="28"/>
          <w:szCs w:val="28"/>
          <w:lang w:val="en-GB"/>
        </w:rPr>
      </w:pPr>
    </w:p>
    <w:p w:rsidR="55CB6E20" w:rsidP="7269CF6C" w:rsidRDefault="55CB6E20" w14:paraId="70391F47" w14:textId="6666CA5D">
      <w:pPr>
        <w:pStyle w:val="Heading1"/>
        <w:spacing w:before="322" w:beforeAutospacing="off" w:after="322" w:afterAutospacing="off"/>
        <w:rPr>
          <w:rFonts w:ascii="Arial" w:hAnsi="Arial" w:eastAsia="Arial" w:cs="Arial"/>
          <w:b w:val="1"/>
          <w:bCs w:val="1"/>
          <w:noProof w:val="0"/>
          <w:sz w:val="28"/>
          <w:szCs w:val="28"/>
          <w:lang w:val="en-GB"/>
        </w:rPr>
      </w:pPr>
    </w:p>
    <w:p w:rsidR="55CB6E20" w:rsidP="7269CF6C" w:rsidRDefault="55CB6E20" w14:paraId="58C6B138" w14:textId="7537BB1B">
      <w:pPr>
        <w:pStyle w:val="Heading1"/>
        <w:spacing w:before="322" w:beforeAutospacing="off" w:after="322" w:afterAutospacing="off"/>
        <w:rPr>
          <w:rFonts w:ascii="Arial" w:hAnsi="Arial" w:eastAsia="Arial" w:cs="Arial"/>
          <w:b w:val="1"/>
          <w:bCs w:val="1"/>
          <w:noProof w:val="0"/>
          <w:sz w:val="28"/>
          <w:szCs w:val="28"/>
          <w:lang w:val="en-GB"/>
        </w:rPr>
      </w:pPr>
    </w:p>
    <w:p w:rsidR="55CB6E20" w:rsidP="7269CF6C" w:rsidRDefault="55CB6E20" w14:paraId="37CF6332" w14:textId="4E190E11">
      <w:pPr>
        <w:pStyle w:val="Heading1"/>
        <w:spacing w:before="322" w:beforeAutospacing="off" w:after="322" w:afterAutospacing="off"/>
        <w:rPr>
          <w:rFonts w:ascii="Arial" w:hAnsi="Arial" w:eastAsia="Arial" w:cs="Arial"/>
          <w:b w:val="1"/>
          <w:bCs w:val="1"/>
          <w:noProof w:val="0"/>
          <w:sz w:val="28"/>
          <w:szCs w:val="28"/>
          <w:lang w:val="en-GB"/>
        </w:rPr>
      </w:pPr>
    </w:p>
    <w:p w:rsidR="55CB6E20" w:rsidP="7269CF6C" w:rsidRDefault="55CB6E20" w14:paraId="57B918E4" w14:textId="256FE0C5">
      <w:pPr>
        <w:pStyle w:val="Heading1"/>
        <w:spacing w:before="322" w:beforeAutospacing="off" w:after="322" w:afterAutospacing="off"/>
        <w:rPr>
          <w:rFonts w:ascii="Arial" w:hAnsi="Arial" w:eastAsia="Arial" w:cs="Arial"/>
          <w:b w:val="1"/>
          <w:bCs w:val="1"/>
          <w:noProof w:val="0"/>
          <w:sz w:val="28"/>
          <w:szCs w:val="28"/>
          <w:lang w:val="en-GB"/>
        </w:rPr>
      </w:pPr>
    </w:p>
    <w:p w:rsidR="55CB6E20" w:rsidP="7269CF6C" w:rsidRDefault="55CB6E20" w14:paraId="7CDF509E" w14:textId="548D7DB8">
      <w:pPr>
        <w:pStyle w:val="Heading1"/>
        <w:spacing w:before="322" w:beforeAutospacing="off" w:after="322" w:afterAutospacing="off"/>
        <w:rPr>
          <w:rFonts w:ascii="Arial" w:hAnsi="Arial" w:eastAsia="Arial" w:cs="Arial"/>
          <w:b w:val="0"/>
          <w:bCs w:val="0"/>
          <w:noProof w:val="0"/>
          <w:color w:val="0F4761" w:themeColor="accent1" w:themeTint="FF" w:themeShade="BF"/>
          <w:sz w:val="28"/>
          <w:szCs w:val="28"/>
          <w:lang w:val="en-GB"/>
        </w:rPr>
      </w:pPr>
    </w:p>
    <w:p w:rsidR="55CB6E20" w:rsidP="7269CF6C" w:rsidRDefault="55CB6E20" w14:paraId="05B6FFD5" w14:textId="2D47A04C">
      <w:pPr>
        <w:pStyle w:val="Heading1"/>
        <w:spacing w:before="322" w:beforeAutospacing="off" w:after="322" w:afterAutospacing="off"/>
        <w:rPr>
          <w:rFonts w:ascii="Arial" w:hAnsi="Arial" w:eastAsia="Arial" w:cs="Arial"/>
          <w:b w:val="0"/>
          <w:bCs w:val="0"/>
          <w:noProof w:val="0"/>
          <w:color w:val="0F4761" w:themeColor="accent1" w:themeTint="FF" w:themeShade="BF"/>
          <w:sz w:val="28"/>
          <w:szCs w:val="28"/>
          <w:lang w:val="en-GB"/>
        </w:rPr>
      </w:pPr>
    </w:p>
    <w:p w:rsidR="55CB6E20" w:rsidP="7269CF6C" w:rsidRDefault="55CB6E20" w14:paraId="18E33423" w14:textId="0F2B26BD">
      <w:pPr>
        <w:pStyle w:val="Heading1"/>
        <w:spacing w:before="322" w:beforeAutospacing="off" w:after="322" w:afterAutospacing="off"/>
        <w:rPr>
          <w:rFonts w:ascii="Arial" w:hAnsi="Arial" w:eastAsia="Arial" w:cs="Arial"/>
          <w:b w:val="0"/>
          <w:bCs w:val="0"/>
          <w:noProof w:val="0"/>
          <w:color w:val="0F4761" w:themeColor="accent1" w:themeTint="FF" w:themeShade="BF"/>
          <w:sz w:val="28"/>
          <w:szCs w:val="28"/>
          <w:lang w:val="en-GB"/>
        </w:rPr>
      </w:pPr>
    </w:p>
    <w:p w:rsidR="55CB6E20" w:rsidP="7269CF6C" w:rsidRDefault="55CB6E20" w14:paraId="670132C7" w14:textId="4542B52D">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pPr>
      <w:r w:rsidRPr="7269CF6C" w:rsidR="2262CC4F">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t>Table of content</w:t>
      </w:r>
      <w:r w:rsidRPr="7269CF6C" w:rsidR="6F430A9E">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t>s</w:t>
      </w:r>
    </w:p>
    <w:p w:rsidR="55CB6E20" w:rsidP="7269CF6C" w:rsidRDefault="55CB6E20" w14:paraId="2FD89300" w14:textId="58FF7662">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pPr>
      <w:r w:rsidRPr="7269CF6C" w:rsidR="2262CC4F">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t>Introduction.............................</w:t>
      </w:r>
      <w:r w:rsidRPr="7269CF6C" w:rsidR="194022A0">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t>..........................................................</w:t>
      </w:r>
    </w:p>
    <w:p w:rsidR="55CB6E20" w:rsidP="7269CF6C" w:rsidRDefault="55CB6E20" w14:paraId="22896B8A" w14:textId="24B2E287">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pPr>
      <w:r w:rsidRPr="7269CF6C" w:rsidR="43CEBB0C">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t>Globalisation’s Dual Impact on Unilever</w:t>
      </w:r>
      <w:r w:rsidRPr="7269CF6C" w:rsidR="7F8AC9F4">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t>...........................................</w:t>
      </w:r>
    </w:p>
    <w:p w:rsidR="55CB6E20" w:rsidP="7269CF6C" w:rsidRDefault="55CB6E20" w14:paraId="2B8177ED" w14:textId="1DD5132B">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pPr>
      <w:r w:rsidRPr="7269CF6C" w:rsidR="43CEBB0C">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t>Analysis of Global Forces Affecting Unilever</w:t>
      </w:r>
      <w:r w:rsidRPr="7269CF6C" w:rsidR="48DCDAD1">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t>...................................</w:t>
      </w:r>
    </w:p>
    <w:p w:rsidR="55CB6E20" w:rsidP="7269CF6C" w:rsidRDefault="55CB6E20" w14:paraId="6FE9FA90" w14:textId="08DD6927">
      <w:pPr>
        <w:pStyle w:val="Heading3"/>
        <w:spacing w:before="281" w:beforeAutospacing="off" w:after="281" w:afterAutospacing="off"/>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pPr>
      <w:r w:rsidRPr="7269CF6C" w:rsidR="43CEBB0C">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t>Strategic Implications</w:t>
      </w:r>
      <w:r w:rsidRPr="7269CF6C" w:rsidR="7D7DC98A">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t>....................................</w:t>
      </w:r>
      <w:r w:rsidRPr="7269CF6C" w:rsidR="7BA6B97A">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t>...................................</w:t>
      </w:r>
    </w:p>
    <w:p w:rsidR="55CB6E20" w:rsidP="7269CF6C" w:rsidRDefault="55CB6E20" w14:paraId="23674DE0" w14:textId="542F24D0">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pPr>
      <w:r w:rsidRPr="7269CF6C" w:rsidR="7D7DC98A">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t>Strategic Recommendations.....................</w:t>
      </w:r>
      <w:r w:rsidRPr="7269CF6C" w:rsidR="144BDF8A">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t>...................................</w:t>
      </w:r>
    </w:p>
    <w:p w:rsidR="55CB6E20" w:rsidP="7269CF6C" w:rsidRDefault="55CB6E20" w14:paraId="516D459E" w14:textId="371846A9">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pPr>
      <w:r w:rsidRPr="7269CF6C" w:rsidR="7D7DC98A">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t>Conclusion..................................................</w:t>
      </w:r>
      <w:r w:rsidRPr="7269CF6C" w:rsidR="5B892A1F">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t>...................................</w:t>
      </w:r>
    </w:p>
    <w:p w:rsidR="55CB6E20" w:rsidP="7269CF6C" w:rsidRDefault="55CB6E20" w14:paraId="6BEEBF2C" w14:textId="30348A5C">
      <w:pPr>
        <w:pStyle w:val="Normal"/>
        <w:rPr>
          <w:rFonts w:ascii="Arial" w:hAnsi="Arial" w:eastAsia="Arial" w:cs="Arial"/>
          <w:b w:val="1"/>
          <w:bCs w:val="1"/>
          <w:noProof w:val="0"/>
          <w:color w:val="0F4761" w:themeColor="accent1" w:themeTint="FF" w:themeShade="BF"/>
          <w:sz w:val="28"/>
          <w:szCs w:val="28"/>
          <w:lang w:val="en-GB"/>
        </w:rPr>
      </w:pPr>
      <w:r w:rsidRPr="7269CF6C" w:rsidR="7D7DC98A">
        <w:rPr>
          <w:rFonts w:ascii="Arial" w:hAnsi="Arial" w:eastAsia="Arial" w:cs="Arial" w:asciiTheme="minorAscii" w:hAnsiTheme="minorAscii" w:eastAsiaTheme="minorAscii" w:cstheme="minorAscii"/>
          <w:b w:val="1"/>
          <w:bCs w:val="1"/>
          <w:noProof w:val="0"/>
          <w:color w:val="0F4761" w:themeColor="accent1" w:themeTint="FF" w:themeShade="BF"/>
          <w:sz w:val="24"/>
          <w:szCs w:val="24"/>
          <w:lang w:val="en-GB"/>
        </w:rPr>
        <w:t>References...</w:t>
      </w:r>
      <w:r w:rsidRPr="7269CF6C" w:rsidR="7D7DC98A">
        <w:rPr>
          <w:b w:val="0"/>
          <w:bCs w:val="0"/>
          <w:noProof w:val="0"/>
          <w:color w:val="0F4761" w:themeColor="accent1" w:themeTint="FF" w:themeShade="BF"/>
          <w:sz w:val="28"/>
          <w:szCs w:val="28"/>
          <w:lang w:val="en-GB"/>
        </w:rPr>
        <w:t>.............................................................</w:t>
      </w:r>
      <w:r w:rsidRPr="7269CF6C" w:rsidR="1DEB3814">
        <w:rPr>
          <w:b w:val="0"/>
          <w:bCs w:val="0"/>
          <w:noProof w:val="0"/>
          <w:color w:val="0F4761" w:themeColor="accent1" w:themeTint="FF" w:themeShade="BF"/>
          <w:sz w:val="28"/>
          <w:szCs w:val="28"/>
          <w:lang w:val="en-GB"/>
        </w:rPr>
        <w:t>...................</w:t>
      </w:r>
    </w:p>
    <w:p w:rsidR="55CB6E20" w:rsidP="7269CF6C" w:rsidRDefault="55CB6E20" w14:paraId="23C6A543" w14:textId="44A42DF7">
      <w:pPr>
        <w:pStyle w:val="Normal"/>
        <w:rPr>
          <w:rFonts w:ascii="Arial" w:hAnsi="Arial" w:eastAsia="Arial" w:cs="Arial"/>
          <w:b w:val="1"/>
          <w:bCs w:val="1"/>
          <w:noProof w:val="0"/>
          <w:color w:val="0F4761" w:themeColor="accent1" w:themeTint="FF" w:themeShade="BF"/>
          <w:sz w:val="28"/>
          <w:szCs w:val="28"/>
          <w:lang w:val="en-GB"/>
        </w:rPr>
      </w:pPr>
    </w:p>
    <w:p w:rsidR="55CB6E20" w:rsidP="7269CF6C" w:rsidRDefault="55CB6E20" w14:paraId="07BB86FF" w14:textId="1A4543B5">
      <w:pPr>
        <w:pStyle w:val="Normal"/>
        <w:rPr>
          <w:rFonts w:ascii="Arial" w:hAnsi="Arial" w:eastAsia="Arial" w:cs="Arial"/>
          <w:b w:val="1"/>
          <w:bCs w:val="1"/>
          <w:noProof w:val="0"/>
          <w:color w:val="0F4761" w:themeColor="accent1" w:themeTint="FF" w:themeShade="BF"/>
          <w:sz w:val="28"/>
          <w:szCs w:val="28"/>
          <w:lang w:val="en-GB"/>
        </w:rPr>
      </w:pPr>
    </w:p>
    <w:p w:rsidR="55CB6E20" w:rsidP="7269CF6C" w:rsidRDefault="55CB6E20" w14:paraId="272A4C37" w14:textId="0CD6E028">
      <w:pPr>
        <w:pStyle w:val="Normal"/>
        <w:rPr>
          <w:rFonts w:ascii="Arial" w:hAnsi="Arial" w:eastAsia="Arial" w:cs="Arial"/>
          <w:b w:val="1"/>
          <w:bCs w:val="1"/>
          <w:noProof w:val="0"/>
          <w:color w:val="0F4761" w:themeColor="accent1" w:themeTint="FF" w:themeShade="BF"/>
          <w:sz w:val="28"/>
          <w:szCs w:val="28"/>
          <w:lang w:val="en-GB"/>
        </w:rPr>
      </w:pPr>
    </w:p>
    <w:p w:rsidR="55CB6E20" w:rsidP="7269CF6C" w:rsidRDefault="55CB6E20" w14:paraId="6ED20678" w14:textId="4D939DBA">
      <w:pPr>
        <w:pStyle w:val="Normal"/>
        <w:rPr>
          <w:rFonts w:ascii="Arial" w:hAnsi="Arial" w:eastAsia="Arial" w:cs="Arial"/>
          <w:b w:val="1"/>
          <w:bCs w:val="1"/>
          <w:noProof w:val="0"/>
          <w:color w:val="0F4761" w:themeColor="accent1" w:themeTint="FF" w:themeShade="BF"/>
          <w:sz w:val="28"/>
          <w:szCs w:val="28"/>
          <w:lang w:val="en-GB"/>
        </w:rPr>
      </w:pPr>
      <w:r w:rsidRPr="7269CF6C" w:rsidR="4CF8004E">
        <w:rPr>
          <w:rFonts w:ascii="Arial" w:hAnsi="Arial" w:eastAsia="Arial" w:cs="Arial"/>
          <w:b w:val="1"/>
          <w:bCs w:val="1"/>
          <w:noProof w:val="0"/>
          <w:color w:val="0F4761" w:themeColor="accent1" w:themeTint="FF" w:themeShade="BF"/>
          <w:sz w:val="28"/>
          <w:szCs w:val="28"/>
          <w:lang w:val="en-GB"/>
        </w:rPr>
        <w:t>Globalisation and Major Forces Shaping the Global Business Environment: The Case of Unilever</w:t>
      </w:r>
    </w:p>
    <w:p w:rsidR="55CB6E20" w:rsidP="7269CF6C" w:rsidRDefault="55CB6E20" w14:paraId="682A7317" w14:textId="0D09EA47">
      <w:pPr>
        <w:pStyle w:val="Normal"/>
        <w:rPr>
          <w:rFonts w:ascii="Arial" w:hAnsi="Arial" w:eastAsia="Arial" w:cs="Arial"/>
          <w:b w:val="1"/>
          <w:bCs w:val="1"/>
          <w:noProof w:val="0"/>
          <w:sz w:val="28"/>
          <w:szCs w:val="28"/>
          <w:lang w:val="en-GB"/>
        </w:rPr>
      </w:pPr>
    </w:p>
    <w:p w:rsidR="55CB6E20" w:rsidP="7269CF6C" w:rsidRDefault="55CB6E20" w14:paraId="204DEBCD" w14:textId="48E059E1">
      <w:pPr>
        <w:pStyle w:val="Normal"/>
        <w:rPr>
          <w:rFonts w:ascii="Arial" w:hAnsi="Arial" w:eastAsia="Arial" w:cs="Arial"/>
          <w:b w:val="1"/>
          <w:bCs w:val="1"/>
          <w:noProof w:val="0"/>
          <w:sz w:val="28"/>
          <w:szCs w:val="28"/>
          <w:lang w:val="en-GB"/>
        </w:rPr>
      </w:pPr>
    </w:p>
    <w:p w:rsidR="55CB6E20" w:rsidP="7269CF6C" w:rsidRDefault="55CB6E20" w14:paraId="58780742" w14:textId="4790D28B">
      <w:pPr>
        <w:pStyle w:val="Normal"/>
        <w:rPr>
          <w:rFonts w:ascii="Arial" w:hAnsi="Arial" w:eastAsia="Arial" w:cs="Arial"/>
          <w:b w:val="1"/>
          <w:bCs w:val="1"/>
          <w:noProof w:val="0"/>
          <w:sz w:val="28"/>
          <w:szCs w:val="28"/>
          <w:lang w:val="en-GB"/>
        </w:rPr>
      </w:pPr>
    </w:p>
    <w:p w:rsidR="55CB6E20" w:rsidP="7269CF6C" w:rsidRDefault="55CB6E20" w14:paraId="061D4DD3" w14:textId="65C2990C">
      <w:pPr>
        <w:pStyle w:val="Normal"/>
        <w:rPr>
          <w:rFonts w:ascii="Arial" w:hAnsi="Arial" w:eastAsia="Arial" w:cs="Arial"/>
          <w:b w:val="1"/>
          <w:bCs w:val="1"/>
          <w:noProof w:val="0"/>
          <w:sz w:val="24"/>
          <w:szCs w:val="24"/>
          <w:lang w:val="en-GB"/>
        </w:rPr>
      </w:pPr>
      <w:r w:rsidRPr="7269CF6C" w:rsidR="4CF8004E">
        <w:rPr>
          <w:rFonts w:ascii="Arial" w:hAnsi="Arial" w:eastAsia="Arial" w:cs="Arial"/>
          <w:b w:val="1"/>
          <w:bCs w:val="1"/>
          <w:noProof w:val="0"/>
          <w:sz w:val="24"/>
          <w:szCs w:val="24"/>
          <w:lang w:val="en-GB"/>
        </w:rPr>
        <w:t>Introduction</w:t>
      </w:r>
    </w:p>
    <w:p w:rsidR="13AA2A2A" w:rsidP="00A0461A" w:rsidRDefault="13AA2A2A" w14:paraId="6BD682ED" w14:textId="3C35EE60">
      <w:pPr>
        <w:spacing w:before="240" w:beforeAutospacing="off" w:after="240" w:afterAutospacing="off"/>
      </w:pPr>
      <w:r w:rsidRPr="00A0461A" w:rsidR="13AA2A2A">
        <w:rPr>
          <w:rFonts w:ascii="Arial" w:hAnsi="Arial" w:eastAsia="Arial" w:cs="Arial"/>
          <w:noProof w:val="0"/>
          <w:sz w:val="22"/>
          <w:szCs w:val="22"/>
          <w:lang w:val="en-GB"/>
        </w:rPr>
        <w:t>Globalisation refers to the increasing interconnectedness of economies, societies, and cultures across the world through trade, investment, technology, and human mobility (Hill, 2020). It has fundamentally reshaped the way organisations operate, creating opportunities for international expansion, knowledge exchange, and innovation while also introducing challenges in regulatory compliance, cultural adaptation, and geopolitical risk management. In today’s global economy, understanding these dynamics is essential for businesses seeking sustainable competitive advantage.</w:t>
      </w:r>
    </w:p>
    <w:p w:rsidR="13AA2A2A" w:rsidP="00A0461A" w:rsidRDefault="13AA2A2A" w14:paraId="7D7D959F" w14:textId="3BFBDC59">
      <w:pPr>
        <w:spacing w:before="240" w:beforeAutospacing="off" w:after="240" w:afterAutospacing="off"/>
      </w:pPr>
      <w:r w:rsidRPr="00A0461A" w:rsidR="13AA2A2A">
        <w:rPr>
          <w:rFonts w:ascii="Arial" w:hAnsi="Arial" w:eastAsia="Arial" w:cs="Arial"/>
          <w:noProof w:val="0"/>
          <w:sz w:val="22"/>
          <w:szCs w:val="22"/>
          <w:lang w:val="en-GB"/>
        </w:rPr>
        <w:t xml:space="preserve">This essay critically examines the influence of globalisation on a UK-based multinational organisation, </w:t>
      </w:r>
      <w:r w:rsidRPr="00A0461A" w:rsidR="13AA2A2A">
        <w:rPr>
          <w:rFonts w:ascii="Arial" w:hAnsi="Arial" w:eastAsia="Arial" w:cs="Arial"/>
          <w:b w:val="1"/>
          <w:bCs w:val="1"/>
          <w:noProof w:val="0"/>
          <w:sz w:val="22"/>
          <w:szCs w:val="22"/>
          <w:lang w:val="en-GB"/>
        </w:rPr>
        <w:t>Unilever</w:t>
      </w:r>
      <w:r w:rsidRPr="00A0461A" w:rsidR="13AA2A2A">
        <w:rPr>
          <w:rFonts w:ascii="Arial" w:hAnsi="Arial" w:eastAsia="Arial" w:cs="Arial"/>
          <w:noProof w:val="0"/>
          <w:sz w:val="22"/>
          <w:szCs w:val="22"/>
          <w:lang w:val="en-GB"/>
        </w:rPr>
        <w:t>, which operates in over 190 countries and manages more than 400 brands across food, beverages, and personal care (Unilever PLC, 2023). The analysis explores the benefits and challenges of globalisation, evaluates the major global forces shaping Unilever’s strategies and operations, and provides strategic recommendations to leverage global opportunities while mitigating risks.</w:t>
      </w:r>
      <w:r w:rsidRPr="00A0461A" w:rsidR="13AA2A2A">
        <w:rPr>
          <w:rFonts w:ascii="Arial" w:hAnsi="Arial" w:eastAsia="Arial" w:cs="Arial"/>
          <w:noProof w:val="0"/>
          <w:sz w:val="22"/>
          <w:szCs w:val="22"/>
          <w:lang w:val="en-GB"/>
        </w:rPr>
        <w:t xml:space="preserve"> </w:t>
      </w:r>
    </w:p>
    <w:p w:rsidR="00A0461A" w:rsidP="00A0461A" w:rsidRDefault="00A0461A" w14:paraId="37933CD3" w14:textId="7EC40D6F">
      <w:pPr>
        <w:spacing w:before="240" w:beforeAutospacing="off" w:after="240" w:afterAutospacing="off"/>
        <w:rPr>
          <w:rFonts w:ascii="Arial" w:hAnsi="Arial" w:eastAsia="Arial" w:cs="Arial"/>
          <w:noProof w:val="0"/>
          <w:sz w:val="22"/>
          <w:szCs w:val="22"/>
          <w:lang w:val="en-GB"/>
        </w:rPr>
      </w:pPr>
    </w:p>
    <w:p w:rsidR="00A0461A" w:rsidRDefault="00A0461A" w14:paraId="78331D20" w14:textId="26784D04"/>
    <w:p w:rsidR="3600875B" w:rsidP="7269CF6C" w:rsidRDefault="3600875B" w14:paraId="743414DF" w14:textId="61838043">
      <w:pPr>
        <w:pStyle w:val="Heading2"/>
        <w:spacing w:before="299" w:beforeAutospacing="off" w:after="299" w:afterAutospacing="off"/>
        <w:rPr>
          <w:rFonts w:ascii="Arial" w:hAnsi="Arial" w:eastAsia="Arial" w:cs="Arial"/>
          <w:b w:val="1"/>
          <w:bCs w:val="1"/>
          <w:noProof w:val="0"/>
          <w:sz w:val="28"/>
          <w:szCs w:val="28"/>
          <w:lang w:val="en-GB"/>
        </w:rPr>
      </w:pPr>
      <w:r w:rsidRPr="7269CF6C" w:rsidR="48C2712D">
        <w:rPr>
          <w:rFonts w:ascii="Arial" w:hAnsi="Arial" w:eastAsia="Arial" w:cs="Arial"/>
          <w:b w:val="1"/>
          <w:bCs w:val="1"/>
          <w:noProof w:val="0"/>
          <w:sz w:val="28"/>
          <w:szCs w:val="28"/>
          <w:lang w:val="en-GB"/>
        </w:rPr>
        <w:t>Globalisation’s Dual Impact on Unilever</w:t>
      </w:r>
    </w:p>
    <w:p w:rsidR="3600875B" w:rsidP="7269CF6C" w:rsidRDefault="3600875B" w14:paraId="101D2048" w14:textId="5CB0FAD9">
      <w:pPr>
        <w:pStyle w:val="Heading3"/>
        <w:spacing w:before="281" w:beforeAutospacing="off" w:after="281" w:afterAutospacing="off"/>
        <w:rPr>
          <w:rFonts w:ascii="Arial" w:hAnsi="Arial" w:eastAsia="Arial" w:cs="Arial"/>
          <w:b w:val="1"/>
          <w:bCs w:val="1"/>
          <w:noProof w:val="0"/>
          <w:sz w:val="24"/>
          <w:szCs w:val="24"/>
          <w:lang w:val="en-GB"/>
        </w:rPr>
      </w:pPr>
      <w:r w:rsidRPr="7269CF6C" w:rsidR="48C2712D">
        <w:rPr>
          <w:rFonts w:ascii="Arial" w:hAnsi="Arial" w:eastAsia="Arial" w:cs="Arial"/>
          <w:b w:val="1"/>
          <w:bCs w:val="1"/>
          <w:noProof w:val="0"/>
          <w:sz w:val="24"/>
          <w:szCs w:val="24"/>
          <w:lang w:val="en-GB"/>
        </w:rPr>
        <w:t>Benefits of Globalisation</w:t>
      </w:r>
    </w:p>
    <w:p w:rsidR="3600875B" w:rsidP="00A0461A" w:rsidRDefault="3600875B" w14:paraId="0AB7382C" w14:textId="1D6159A2">
      <w:pPr>
        <w:spacing w:before="240" w:beforeAutospacing="off" w:after="240" w:afterAutospacing="off"/>
      </w:pPr>
      <w:r w:rsidRPr="00A0461A" w:rsidR="3600875B">
        <w:rPr>
          <w:rFonts w:ascii="Arial" w:hAnsi="Arial" w:eastAsia="Arial" w:cs="Arial"/>
          <w:noProof w:val="0"/>
          <w:sz w:val="22"/>
          <w:szCs w:val="22"/>
          <w:lang w:val="en-GB"/>
        </w:rPr>
        <w:t xml:space="preserve">One of the primary benefits of globalisation for Unilever is </w:t>
      </w:r>
      <w:r w:rsidRPr="00A0461A" w:rsidR="3600875B">
        <w:rPr>
          <w:rFonts w:ascii="Arial" w:hAnsi="Arial" w:eastAsia="Arial" w:cs="Arial"/>
          <w:b w:val="1"/>
          <w:bCs w:val="1"/>
          <w:noProof w:val="0"/>
          <w:sz w:val="22"/>
          <w:szCs w:val="22"/>
          <w:lang w:val="en-GB"/>
        </w:rPr>
        <w:t>market expansion and revenue diversification</w:t>
      </w:r>
      <w:r w:rsidRPr="00A0461A" w:rsidR="3600875B">
        <w:rPr>
          <w:rFonts w:ascii="Arial" w:hAnsi="Arial" w:eastAsia="Arial" w:cs="Arial"/>
          <w:noProof w:val="0"/>
          <w:sz w:val="22"/>
          <w:szCs w:val="22"/>
          <w:lang w:val="en-GB"/>
        </w:rPr>
        <w:t>. Globalisation allows Unilever to operate across diverse markets, including developed economies like the UK and Germany, and emerging markets such as India, Brazil, and Nigeria. The ability to reach multiple regions reduces dependence on any single market and allows the company to capture revenue from growing middle-class populations (Rugman &amp; Collinson, 2012). For example, Dove’s tailored marketing campaigns in Asia focus on local beauty standards, enhancing brand resonance.</w:t>
      </w:r>
    </w:p>
    <w:p w:rsidR="3600875B" w:rsidP="00A0461A" w:rsidRDefault="3600875B" w14:paraId="1386E784" w14:textId="04EB8265">
      <w:pPr>
        <w:spacing w:before="240" w:beforeAutospacing="off" w:after="240" w:afterAutospacing="off"/>
      </w:pPr>
      <w:r w:rsidRPr="00A0461A" w:rsidR="3600875B">
        <w:rPr>
          <w:rFonts w:ascii="Arial" w:hAnsi="Arial" w:eastAsia="Arial" w:cs="Arial"/>
          <w:b w:val="1"/>
          <w:bCs w:val="1"/>
          <w:noProof w:val="0"/>
          <w:sz w:val="22"/>
          <w:szCs w:val="22"/>
          <w:lang w:val="en-GB"/>
        </w:rPr>
        <w:t>Economies of scale</w:t>
      </w:r>
      <w:r w:rsidRPr="00A0461A" w:rsidR="3600875B">
        <w:rPr>
          <w:rFonts w:ascii="Arial" w:hAnsi="Arial" w:eastAsia="Arial" w:cs="Arial"/>
          <w:noProof w:val="0"/>
          <w:sz w:val="22"/>
          <w:szCs w:val="22"/>
          <w:lang w:val="en-GB"/>
        </w:rPr>
        <w:t xml:space="preserve"> are another major benefit. By standardising production, procurement, and logistics across countries, Unilever can reduce costs and increase operational efficiency (Ghemawat, 2007). Its global sourcing of raw materials such as tea, palm oil, and packaging materials allows bulk procurement at lower costs while mitigating risks associated with single-region dependency.</w:t>
      </w:r>
    </w:p>
    <w:p w:rsidR="3600875B" w:rsidP="00A0461A" w:rsidRDefault="3600875B" w14:paraId="647F2BFD" w14:textId="4AF1D441">
      <w:pPr>
        <w:spacing w:before="240" w:beforeAutospacing="off" w:after="240" w:afterAutospacing="off"/>
      </w:pPr>
      <w:r w:rsidRPr="00A0461A" w:rsidR="3600875B">
        <w:rPr>
          <w:rFonts w:ascii="Arial" w:hAnsi="Arial" w:eastAsia="Arial" w:cs="Arial"/>
          <w:noProof w:val="0"/>
          <w:sz w:val="22"/>
          <w:szCs w:val="22"/>
          <w:lang w:val="en-GB"/>
        </w:rPr>
        <w:t xml:space="preserve">Globalisation also promotes </w:t>
      </w:r>
      <w:r w:rsidRPr="00A0461A" w:rsidR="3600875B">
        <w:rPr>
          <w:rFonts w:ascii="Arial" w:hAnsi="Arial" w:eastAsia="Arial" w:cs="Arial"/>
          <w:b w:val="1"/>
          <w:bCs w:val="1"/>
          <w:noProof w:val="0"/>
          <w:sz w:val="22"/>
          <w:szCs w:val="22"/>
          <w:lang w:val="en-GB"/>
        </w:rPr>
        <w:t>innovation and knowledge transfer</w:t>
      </w:r>
      <w:r w:rsidRPr="00A0461A" w:rsidR="3600875B">
        <w:rPr>
          <w:rFonts w:ascii="Arial" w:hAnsi="Arial" w:eastAsia="Arial" w:cs="Arial"/>
          <w:noProof w:val="0"/>
          <w:sz w:val="22"/>
          <w:szCs w:val="22"/>
          <w:lang w:val="en-GB"/>
        </w:rPr>
        <w:t>. Unilever’s worldwide R&amp;D network facilitates the development of products tailored to regional preferences and regulatory standards. For example, its R&amp;D facilities in India have developed water-efficient products suitable for regions with limited access to clean water (Cavusgil et al., 2014). Exposure to global talent enables cross-pollination of ideas, which is critical for product development and sustainability initiatives.</w:t>
      </w:r>
    </w:p>
    <w:p w:rsidR="3600875B" w:rsidP="00A0461A" w:rsidRDefault="3600875B" w14:paraId="7B916BF0" w14:textId="49CCD08C">
      <w:pPr>
        <w:spacing w:before="240" w:beforeAutospacing="off" w:after="240" w:afterAutospacing="off"/>
      </w:pPr>
      <w:r w:rsidRPr="00A0461A" w:rsidR="3600875B">
        <w:rPr>
          <w:rFonts w:ascii="Arial" w:hAnsi="Arial" w:eastAsia="Arial" w:cs="Arial"/>
          <w:noProof w:val="0"/>
          <w:sz w:val="22"/>
          <w:szCs w:val="22"/>
          <w:lang w:val="en-GB"/>
        </w:rPr>
        <w:t xml:space="preserve">Additionally, globalisation enables </w:t>
      </w:r>
      <w:r w:rsidRPr="00A0461A" w:rsidR="3600875B">
        <w:rPr>
          <w:rFonts w:ascii="Arial" w:hAnsi="Arial" w:eastAsia="Arial" w:cs="Arial"/>
          <w:b w:val="1"/>
          <w:bCs w:val="1"/>
          <w:noProof w:val="0"/>
          <w:sz w:val="22"/>
          <w:szCs w:val="22"/>
          <w:lang w:val="en-GB"/>
        </w:rPr>
        <w:t>supply chain optimisation</w:t>
      </w:r>
      <w:r w:rsidRPr="00A0461A" w:rsidR="3600875B">
        <w:rPr>
          <w:rFonts w:ascii="Arial" w:hAnsi="Arial" w:eastAsia="Arial" w:cs="Arial"/>
          <w:noProof w:val="0"/>
          <w:sz w:val="22"/>
          <w:szCs w:val="22"/>
          <w:lang w:val="en-GB"/>
        </w:rPr>
        <w:t>. Unilever manages one of the largest integrated supply chains in the world, spanning sourcing, production, distribution, and retail. By leveraging global logistics and distribution networks, the company can respond flexibly to demand fluctuations, ensuring product availability worldwide (Prahalad &amp; Hamel, 1990).</w:t>
      </w:r>
    </w:p>
    <w:p w:rsidR="3600875B" w:rsidP="7269CF6C" w:rsidRDefault="3600875B" w14:paraId="54CD9A52" w14:textId="6ED7CC48">
      <w:pPr>
        <w:pStyle w:val="Heading3"/>
        <w:spacing w:before="281" w:beforeAutospacing="off" w:after="281" w:afterAutospacing="off"/>
        <w:rPr>
          <w:rFonts w:ascii="Arial" w:hAnsi="Arial" w:eastAsia="Arial" w:cs="Arial"/>
          <w:b w:val="1"/>
          <w:bCs w:val="1"/>
          <w:noProof w:val="0"/>
          <w:sz w:val="24"/>
          <w:szCs w:val="24"/>
          <w:lang w:val="en-GB"/>
        </w:rPr>
      </w:pPr>
      <w:r w:rsidRPr="7269CF6C" w:rsidR="48C2712D">
        <w:rPr>
          <w:rFonts w:ascii="Arial" w:hAnsi="Arial" w:eastAsia="Arial" w:cs="Arial"/>
          <w:b w:val="1"/>
          <w:bCs w:val="1"/>
          <w:noProof w:val="0"/>
          <w:sz w:val="24"/>
          <w:szCs w:val="24"/>
          <w:lang w:val="en-GB"/>
        </w:rPr>
        <w:t>Challenges of Globalisation</w:t>
      </w:r>
    </w:p>
    <w:p w:rsidR="3600875B" w:rsidP="00A0461A" w:rsidRDefault="3600875B" w14:paraId="5A877309" w14:textId="0D544723">
      <w:pPr>
        <w:spacing w:before="240" w:beforeAutospacing="off" w:after="240" w:afterAutospacing="off"/>
      </w:pPr>
      <w:r w:rsidRPr="00A0461A" w:rsidR="3600875B">
        <w:rPr>
          <w:rFonts w:ascii="Arial" w:hAnsi="Arial" w:eastAsia="Arial" w:cs="Arial"/>
          <w:noProof w:val="0"/>
          <w:sz w:val="22"/>
          <w:szCs w:val="22"/>
          <w:lang w:val="en-GB"/>
        </w:rPr>
        <w:t xml:space="preserve">Despite these advantages, globalisation introduces significant </w:t>
      </w:r>
      <w:r w:rsidRPr="00A0461A" w:rsidR="3600875B">
        <w:rPr>
          <w:rFonts w:ascii="Arial" w:hAnsi="Arial" w:eastAsia="Arial" w:cs="Arial"/>
          <w:b w:val="1"/>
          <w:bCs w:val="1"/>
          <w:noProof w:val="0"/>
          <w:sz w:val="22"/>
          <w:szCs w:val="22"/>
          <w:lang w:val="en-GB"/>
        </w:rPr>
        <w:t>strategic and operational challenges</w:t>
      </w:r>
      <w:r w:rsidRPr="00A0461A" w:rsidR="3600875B">
        <w:rPr>
          <w:rFonts w:ascii="Arial" w:hAnsi="Arial" w:eastAsia="Arial" w:cs="Arial"/>
          <w:noProof w:val="0"/>
          <w:sz w:val="22"/>
          <w:szCs w:val="22"/>
          <w:lang w:val="en-GB"/>
        </w:rPr>
        <w:t xml:space="preserve">. </w:t>
      </w:r>
      <w:r w:rsidRPr="00A0461A" w:rsidR="3600875B">
        <w:rPr>
          <w:rFonts w:ascii="Arial" w:hAnsi="Arial" w:eastAsia="Arial" w:cs="Arial"/>
          <w:b w:val="1"/>
          <w:bCs w:val="1"/>
          <w:noProof w:val="0"/>
          <w:sz w:val="22"/>
          <w:szCs w:val="22"/>
          <w:lang w:val="en-GB"/>
        </w:rPr>
        <w:t>Regulatory complexity</w:t>
      </w:r>
      <w:r w:rsidRPr="00A0461A" w:rsidR="3600875B">
        <w:rPr>
          <w:rFonts w:ascii="Arial" w:hAnsi="Arial" w:eastAsia="Arial" w:cs="Arial"/>
          <w:noProof w:val="0"/>
          <w:sz w:val="22"/>
          <w:szCs w:val="22"/>
          <w:lang w:val="en-GB"/>
        </w:rPr>
        <w:t xml:space="preserve"> is a major issue; Unilever must navigate diverse regulations across multiple jurisdictions, including EU food safety standards, US FDA requirements, and environmental compliance rules in emerging markets (Hill, 2020). Compliance failures could result in fines, reputational damage, and disruption to operations.</w:t>
      </w:r>
    </w:p>
    <w:p w:rsidR="3600875B" w:rsidP="00A0461A" w:rsidRDefault="3600875B" w14:paraId="1E1C3C21" w14:textId="30D84C44">
      <w:pPr>
        <w:spacing w:before="240" w:beforeAutospacing="off" w:after="240" w:afterAutospacing="off"/>
      </w:pPr>
      <w:r w:rsidRPr="00A0461A" w:rsidR="3600875B">
        <w:rPr>
          <w:rFonts w:ascii="Arial" w:hAnsi="Arial" w:eastAsia="Arial" w:cs="Arial"/>
          <w:b w:val="1"/>
          <w:bCs w:val="1"/>
          <w:noProof w:val="0"/>
          <w:sz w:val="22"/>
          <w:szCs w:val="22"/>
          <w:lang w:val="en-GB"/>
        </w:rPr>
        <w:t>Cultural differences</w:t>
      </w:r>
      <w:r w:rsidRPr="00A0461A" w:rsidR="3600875B">
        <w:rPr>
          <w:rFonts w:ascii="Arial" w:hAnsi="Arial" w:eastAsia="Arial" w:cs="Arial"/>
          <w:noProof w:val="0"/>
          <w:sz w:val="22"/>
          <w:szCs w:val="22"/>
          <w:lang w:val="en-GB"/>
        </w:rPr>
        <w:t xml:space="preserve"> pose another challenge. Products must be adapted for local tastes, preferences, and norms. For instance, Knorr soups require different flavour profiles for Asian and European consumers, while marketing campaigns must align with local cultural values (Rugman &amp; Collinson, 2012). Failure to adapt can limit market penetration and brand acceptance.</w:t>
      </w:r>
    </w:p>
    <w:p w:rsidR="3600875B" w:rsidP="00A0461A" w:rsidRDefault="3600875B" w14:paraId="01018393" w14:textId="3C3A89EB">
      <w:pPr>
        <w:spacing w:before="240" w:beforeAutospacing="off" w:after="240" w:afterAutospacing="off"/>
      </w:pPr>
      <w:r w:rsidRPr="00A0461A" w:rsidR="3600875B">
        <w:rPr>
          <w:rFonts w:ascii="Arial" w:hAnsi="Arial" w:eastAsia="Arial" w:cs="Arial"/>
          <w:b w:val="1"/>
          <w:bCs w:val="1"/>
          <w:noProof w:val="0"/>
          <w:sz w:val="22"/>
          <w:szCs w:val="22"/>
          <w:lang w:val="en-GB"/>
        </w:rPr>
        <w:t>Political and economic risks</w:t>
      </w:r>
      <w:r w:rsidRPr="00A0461A" w:rsidR="3600875B">
        <w:rPr>
          <w:rFonts w:ascii="Arial" w:hAnsi="Arial" w:eastAsia="Arial" w:cs="Arial"/>
          <w:noProof w:val="0"/>
          <w:sz w:val="22"/>
          <w:szCs w:val="22"/>
          <w:lang w:val="en-GB"/>
        </w:rPr>
        <w:t xml:space="preserve"> are also prominent. Brexit created uncertainties in trade between the UK and EU, requiring Unilever to adjust supply chains and pricing strategies (Unilever PLC, 2023). Additionally, political instability in regions where raw materials are sourced, such as palm oil from Indonesia and Malaysia, can disrupt supply and increase costs.</w:t>
      </w:r>
    </w:p>
    <w:p w:rsidR="3600875B" w:rsidP="00A0461A" w:rsidRDefault="3600875B" w14:paraId="16F9B4DB" w14:textId="5B12C637">
      <w:pPr>
        <w:spacing w:before="240" w:beforeAutospacing="off" w:after="240" w:afterAutospacing="off"/>
      </w:pPr>
      <w:r w:rsidRPr="00A0461A" w:rsidR="3600875B">
        <w:rPr>
          <w:rFonts w:ascii="Arial" w:hAnsi="Arial" w:eastAsia="Arial" w:cs="Arial"/>
          <w:b w:val="1"/>
          <w:bCs w:val="1"/>
          <w:noProof w:val="0"/>
          <w:sz w:val="22"/>
          <w:szCs w:val="22"/>
          <w:lang w:val="en-GB"/>
        </w:rPr>
        <w:t>Environmental and social pressures</w:t>
      </w:r>
      <w:r w:rsidRPr="00A0461A" w:rsidR="3600875B">
        <w:rPr>
          <w:rFonts w:ascii="Arial" w:hAnsi="Arial" w:eastAsia="Arial" w:cs="Arial"/>
          <w:noProof w:val="0"/>
          <w:sz w:val="22"/>
          <w:szCs w:val="22"/>
          <w:lang w:val="en-GB"/>
        </w:rPr>
        <w:t xml:space="preserve"> are heightened by globalisation. Consumers, NGOs, and governments increasingly demand environmentally sustainable practices and ethical sourcing. Unilever’s Sustainable Living Plan demonstrates the company’s response, including efforts to reduce carbon emissions, improve water efficiency, and source 100% of its agricultural raw materials sustainably (Unilever PLC, 2023).</w:t>
      </w:r>
    </w:p>
    <w:p w:rsidR="3600875B" w:rsidP="00A0461A" w:rsidRDefault="3600875B" w14:paraId="07FF787D" w14:textId="270CF961">
      <w:pPr>
        <w:spacing w:before="240" w:beforeAutospacing="off" w:after="240" w:afterAutospacing="off"/>
      </w:pPr>
      <w:r w:rsidRPr="00A0461A" w:rsidR="3600875B">
        <w:rPr>
          <w:rFonts w:ascii="Arial" w:hAnsi="Arial" w:eastAsia="Arial" w:cs="Arial"/>
          <w:b w:val="1"/>
          <w:bCs w:val="1"/>
          <w:noProof w:val="0"/>
          <w:sz w:val="22"/>
          <w:szCs w:val="22"/>
          <w:lang w:val="en-GB"/>
        </w:rPr>
        <w:t>Competition intensification</w:t>
      </w:r>
      <w:r w:rsidRPr="00A0461A" w:rsidR="3600875B">
        <w:rPr>
          <w:rFonts w:ascii="Arial" w:hAnsi="Arial" w:eastAsia="Arial" w:cs="Arial"/>
          <w:noProof w:val="0"/>
          <w:sz w:val="22"/>
          <w:szCs w:val="22"/>
          <w:lang w:val="en-GB"/>
        </w:rPr>
        <w:t xml:space="preserve"> is another challenge. Globalisation exposes Unilever to multinational competitors like Nestlé and Procter &amp; Gamble, as well as agile local brands in emerging markets. This forces continuous innovation and marketing investment to maintain market share (Hill, 2020).</w:t>
      </w:r>
    </w:p>
    <w:p w:rsidR="00A0461A" w:rsidP="00A0461A" w:rsidRDefault="00A0461A" w14:paraId="78992005" w14:textId="779AD3E5">
      <w:pPr>
        <w:spacing w:before="240" w:beforeAutospacing="off" w:after="240" w:afterAutospacing="off"/>
        <w:rPr>
          <w:rFonts w:ascii="Arial" w:hAnsi="Arial" w:eastAsia="Arial" w:cs="Arial"/>
          <w:b w:val="0"/>
          <w:bCs w:val="0"/>
          <w:noProof w:val="0"/>
          <w:sz w:val="22"/>
          <w:szCs w:val="22"/>
          <w:lang w:val="en-GB"/>
        </w:rPr>
      </w:pPr>
    </w:p>
    <w:p w:rsidR="00A0461A" w:rsidP="00A0461A" w:rsidRDefault="00A0461A" w14:paraId="60FF5D7D" w14:textId="7E26AF06">
      <w:pPr>
        <w:rPr>
          <w:b w:val="0"/>
          <w:bCs w:val="0"/>
          <w:sz w:val="22"/>
          <w:szCs w:val="22"/>
        </w:rPr>
      </w:pPr>
    </w:p>
    <w:p w:rsidR="00A0461A" w:rsidP="00A0461A" w:rsidRDefault="00A0461A" w14:paraId="0403D2D0" w14:textId="43448E70">
      <w:pPr>
        <w:spacing w:before="240" w:beforeAutospacing="off" w:after="240" w:afterAutospacing="off"/>
        <w:rPr>
          <w:rFonts w:ascii="Arial" w:hAnsi="Arial" w:eastAsia="Arial" w:cs="Arial"/>
          <w:noProof w:val="0"/>
          <w:sz w:val="22"/>
          <w:szCs w:val="22"/>
          <w:lang w:val="en-GB"/>
        </w:rPr>
      </w:pPr>
    </w:p>
    <w:p w:rsidR="27993FC2" w:rsidP="5C4E2373" w:rsidRDefault="27993FC2" w14:paraId="404B2803" w14:textId="4555CE7E">
      <w:pPr>
        <w:spacing w:before="240" w:beforeAutospacing="off" w:after="240" w:afterAutospacing="off"/>
        <w:rPr>
          <w:rFonts w:ascii="Arial" w:hAnsi="Arial" w:eastAsia="Arial" w:cs="Arial"/>
          <w:noProof w:val="0"/>
          <w:sz w:val="22"/>
          <w:szCs w:val="22"/>
          <w:lang w:val="en-GB"/>
        </w:rPr>
      </w:pPr>
    </w:p>
    <w:p w:rsidR="27993FC2" w:rsidP="7269CF6C" w:rsidRDefault="27993FC2" w14:paraId="661117C2" w14:textId="13DC0EF9">
      <w:pPr>
        <w:pStyle w:val="Heading2"/>
        <w:spacing w:before="299" w:beforeAutospacing="off" w:after="299" w:afterAutospacing="off"/>
        <w:rPr>
          <w:rFonts w:ascii="Arial" w:hAnsi="Arial" w:eastAsia="Arial" w:cs="Arial"/>
          <w:b w:val="1"/>
          <w:bCs w:val="1"/>
          <w:noProof w:val="0"/>
          <w:sz w:val="28"/>
          <w:szCs w:val="28"/>
          <w:lang w:val="en-GB"/>
        </w:rPr>
      </w:pPr>
      <w:r w:rsidRPr="7269CF6C" w:rsidR="29A1CCE6">
        <w:rPr>
          <w:rFonts w:ascii="Arial" w:hAnsi="Arial" w:eastAsia="Arial" w:cs="Arial"/>
          <w:b w:val="1"/>
          <w:bCs w:val="1"/>
          <w:noProof w:val="0"/>
          <w:sz w:val="28"/>
          <w:szCs w:val="28"/>
          <w:lang w:val="en-GB"/>
        </w:rPr>
        <w:t>Analysis of Global Forces Affecting Unilever</w:t>
      </w:r>
    </w:p>
    <w:p w:rsidR="27993FC2" w:rsidP="7269CF6C" w:rsidRDefault="27993FC2" w14:paraId="57205DC7" w14:textId="6C01D190">
      <w:pPr>
        <w:pStyle w:val="Heading3"/>
        <w:spacing w:before="281" w:beforeAutospacing="off" w:after="281" w:afterAutospacing="off"/>
        <w:rPr>
          <w:rFonts w:ascii="Arial" w:hAnsi="Arial" w:eastAsia="Arial" w:cs="Arial"/>
          <w:b w:val="1"/>
          <w:bCs w:val="1"/>
          <w:noProof w:val="0"/>
          <w:sz w:val="24"/>
          <w:szCs w:val="24"/>
          <w:lang w:val="en-GB"/>
        </w:rPr>
      </w:pPr>
      <w:r w:rsidRPr="7269CF6C" w:rsidR="29A1CCE6">
        <w:rPr>
          <w:rFonts w:ascii="Arial" w:hAnsi="Arial" w:eastAsia="Arial" w:cs="Arial"/>
          <w:b w:val="1"/>
          <w:bCs w:val="1"/>
          <w:noProof w:val="0"/>
          <w:sz w:val="24"/>
          <w:szCs w:val="24"/>
          <w:lang w:val="en-GB"/>
        </w:rPr>
        <w:t>Positive Global Forces</w:t>
      </w:r>
    </w:p>
    <w:p w:rsidR="27993FC2" w:rsidP="00A0461A" w:rsidRDefault="27993FC2" w14:paraId="5D8F216B" w14:textId="6F8762F0">
      <w:pPr>
        <w:spacing w:before="240" w:beforeAutospacing="off" w:after="240" w:afterAutospacing="off"/>
      </w:pPr>
      <w:r w:rsidRPr="3F0B91E7" w:rsidR="4A9C7166">
        <w:rPr>
          <w:rFonts w:ascii="Arial" w:hAnsi="Arial" w:eastAsia="Arial" w:cs="Arial"/>
          <w:b w:val="1"/>
          <w:bCs w:val="1"/>
          <w:noProof w:val="0"/>
          <w:sz w:val="22"/>
          <w:szCs w:val="22"/>
          <w:lang w:val="en-GB"/>
        </w:rPr>
        <w:t>Technological advancements</w:t>
      </w:r>
      <w:r w:rsidRPr="3F0B91E7" w:rsidR="4A9C7166">
        <w:rPr>
          <w:rFonts w:ascii="Arial" w:hAnsi="Arial" w:eastAsia="Arial" w:cs="Arial"/>
          <w:noProof w:val="0"/>
          <w:sz w:val="22"/>
          <w:szCs w:val="22"/>
          <w:lang w:val="en-GB"/>
        </w:rPr>
        <w:t xml:space="preserve"> have transformed operations and consumer engagement. Digital platforms, AI-driven supply chain management, and e-commerce channels enable Unilever to track consumer preferences, optimise inventory, and personalise marketing campaigns (</w:t>
      </w:r>
      <w:r w:rsidRPr="3F0B91E7" w:rsidR="4A9C7166">
        <w:rPr>
          <w:rFonts w:ascii="Arial" w:hAnsi="Arial" w:eastAsia="Arial" w:cs="Arial"/>
          <w:noProof w:val="0"/>
          <w:sz w:val="22"/>
          <w:szCs w:val="22"/>
          <w:lang w:val="en-GB"/>
        </w:rPr>
        <w:t>Cavusgil</w:t>
      </w:r>
      <w:r w:rsidRPr="3F0B91E7" w:rsidR="4A9C7166">
        <w:rPr>
          <w:rFonts w:ascii="Arial" w:hAnsi="Arial" w:eastAsia="Arial" w:cs="Arial"/>
          <w:noProof w:val="0"/>
          <w:sz w:val="22"/>
          <w:szCs w:val="22"/>
          <w:lang w:val="en-GB"/>
        </w:rPr>
        <w:t xml:space="preserve"> et al., 2014). For example, its digital campaign “</w:t>
      </w:r>
      <w:r w:rsidRPr="3F0B91E7" w:rsidR="4A9C7166">
        <w:rPr>
          <w:rFonts w:ascii="Arial" w:hAnsi="Arial" w:eastAsia="Arial" w:cs="Arial"/>
          <w:noProof w:val="0"/>
          <w:sz w:val="22"/>
          <w:szCs w:val="22"/>
          <w:lang w:val="en-GB"/>
        </w:rPr>
        <w:t>DoveSelfEsteemProject</w:t>
      </w:r>
      <w:r w:rsidRPr="3F0B91E7" w:rsidR="4A9C7166">
        <w:rPr>
          <w:rFonts w:ascii="Arial" w:hAnsi="Arial" w:eastAsia="Arial" w:cs="Arial"/>
          <w:noProof w:val="0"/>
          <w:sz w:val="22"/>
          <w:szCs w:val="22"/>
          <w:lang w:val="en-GB"/>
        </w:rPr>
        <w:t xml:space="preserve">” </w:t>
      </w:r>
      <w:r w:rsidRPr="3F0B91E7" w:rsidR="4A9C7166">
        <w:rPr>
          <w:rFonts w:ascii="Arial" w:hAnsi="Arial" w:eastAsia="Arial" w:cs="Arial"/>
          <w:noProof w:val="0"/>
          <w:sz w:val="22"/>
          <w:szCs w:val="22"/>
          <w:lang w:val="en-GB"/>
        </w:rPr>
        <w:t>leverages</w:t>
      </w:r>
      <w:r w:rsidRPr="3F0B91E7" w:rsidR="4A9C7166">
        <w:rPr>
          <w:rFonts w:ascii="Arial" w:hAnsi="Arial" w:eastAsia="Arial" w:cs="Arial"/>
          <w:noProof w:val="0"/>
          <w:sz w:val="22"/>
          <w:szCs w:val="22"/>
          <w:lang w:val="en-GB"/>
        </w:rPr>
        <w:t xml:space="preserve"> social media analytics to target campaigns in multiple countries, improving engagement and brand loyalty.</w:t>
      </w:r>
    </w:p>
    <w:p w:rsidR="27993FC2" w:rsidP="00A0461A" w:rsidRDefault="27993FC2" w14:paraId="4C8E438F" w14:textId="54BB5575">
      <w:pPr>
        <w:spacing w:before="240" w:beforeAutospacing="off" w:after="240" w:afterAutospacing="off"/>
      </w:pPr>
      <w:r w:rsidRPr="00A0461A" w:rsidR="27993FC2">
        <w:rPr>
          <w:rFonts w:ascii="Arial" w:hAnsi="Arial" w:eastAsia="Arial" w:cs="Arial"/>
          <w:b w:val="1"/>
          <w:bCs w:val="1"/>
          <w:noProof w:val="0"/>
          <w:sz w:val="22"/>
          <w:szCs w:val="22"/>
          <w:lang w:val="en-GB"/>
        </w:rPr>
        <w:t>Global trade agreements</w:t>
      </w:r>
      <w:r w:rsidRPr="00A0461A" w:rsidR="27993FC2">
        <w:rPr>
          <w:rFonts w:ascii="Arial" w:hAnsi="Arial" w:eastAsia="Arial" w:cs="Arial"/>
          <w:noProof w:val="0"/>
          <w:sz w:val="22"/>
          <w:szCs w:val="22"/>
          <w:lang w:val="en-GB"/>
        </w:rPr>
        <w:t xml:space="preserve"> such as WTO rules and bilateral free trade agreements reduce barriers to entry, enabling Unilever to operate seamlessly across borders (WTO, 2022). Such frameworks allow the company to import raw materials efficiently and export finished goods to diverse markets without heavy tariffs.</w:t>
      </w:r>
    </w:p>
    <w:p w:rsidR="27993FC2" w:rsidP="00A0461A" w:rsidRDefault="27993FC2" w14:paraId="5A22A320" w14:textId="5AA013F5">
      <w:pPr>
        <w:spacing w:before="240" w:beforeAutospacing="off" w:after="240" w:afterAutospacing="off"/>
      </w:pPr>
      <w:r w:rsidRPr="00A0461A" w:rsidR="27993FC2">
        <w:rPr>
          <w:rFonts w:ascii="Arial" w:hAnsi="Arial" w:eastAsia="Arial" w:cs="Arial"/>
          <w:b w:val="1"/>
          <w:bCs w:val="1"/>
          <w:noProof w:val="0"/>
          <w:sz w:val="22"/>
          <w:szCs w:val="22"/>
          <w:lang w:val="en-GB"/>
        </w:rPr>
        <w:t>Cultural diversity</w:t>
      </w:r>
      <w:r w:rsidRPr="00A0461A" w:rsidR="27993FC2">
        <w:rPr>
          <w:rFonts w:ascii="Arial" w:hAnsi="Arial" w:eastAsia="Arial" w:cs="Arial"/>
          <w:noProof w:val="0"/>
          <w:sz w:val="22"/>
          <w:szCs w:val="22"/>
          <w:lang w:val="en-GB"/>
        </w:rPr>
        <w:t xml:space="preserve"> within Unilever’s workforce fosters innovation. Cross-functional teams from different regions collaborate on product development, marketing strategies, and sustainability initiatives. This diversity supports creativity and ensures products meet the needs of multiple consumer segments (Hill, 2020).</w:t>
      </w:r>
    </w:p>
    <w:p w:rsidR="27993FC2" w:rsidP="7269CF6C" w:rsidRDefault="27993FC2" w14:paraId="5F7D0B63" w14:textId="09F0A98D">
      <w:pPr>
        <w:pStyle w:val="Heading3"/>
        <w:spacing w:before="281" w:beforeAutospacing="off" w:after="281" w:afterAutospacing="off"/>
        <w:rPr>
          <w:rFonts w:ascii="Arial" w:hAnsi="Arial" w:eastAsia="Arial" w:cs="Arial"/>
          <w:b w:val="1"/>
          <w:bCs w:val="1"/>
          <w:noProof w:val="0"/>
          <w:sz w:val="24"/>
          <w:szCs w:val="24"/>
          <w:lang w:val="en-GB"/>
        </w:rPr>
      </w:pPr>
      <w:r w:rsidRPr="7269CF6C" w:rsidR="29A1CCE6">
        <w:rPr>
          <w:rFonts w:ascii="Arial" w:hAnsi="Arial" w:eastAsia="Arial" w:cs="Arial"/>
          <w:b w:val="1"/>
          <w:bCs w:val="1"/>
          <w:noProof w:val="0"/>
          <w:sz w:val="24"/>
          <w:szCs w:val="24"/>
          <w:lang w:val="en-GB"/>
        </w:rPr>
        <w:t>Negative Global Forces</w:t>
      </w:r>
    </w:p>
    <w:p w:rsidR="27993FC2" w:rsidP="00A0461A" w:rsidRDefault="27993FC2" w14:paraId="4AEFE7F7" w14:textId="33DC639A">
      <w:pPr>
        <w:spacing w:before="240" w:beforeAutospacing="off" w:after="240" w:afterAutospacing="off"/>
      </w:pPr>
      <w:r w:rsidRPr="00A0461A" w:rsidR="27993FC2">
        <w:rPr>
          <w:rFonts w:ascii="Arial" w:hAnsi="Arial" w:eastAsia="Arial" w:cs="Arial"/>
          <w:b w:val="1"/>
          <w:bCs w:val="1"/>
          <w:noProof w:val="0"/>
          <w:sz w:val="22"/>
          <w:szCs w:val="22"/>
          <w:lang w:val="en-GB"/>
        </w:rPr>
        <w:t>Global conflicts and geopolitical instability</w:t>
      </w:r>
      <w:r w:rsidRPr="00A0461A" w:rsidR="27993FC2">
        <w:rPr>
          <w:rFonts w:ascii="Arial" w:hAnsi="Arial" w:eastAsia="Arial" w:cs="Arial"/>
          <w:noProof w:val="0"/>
          <w:sz w:val="22"/>
          <w:szCs w:val="22"/>
          <w:lang w:val="en-GB"/>
        </w:rPr>
        <w:t xml:space="preserve"> affect supply chains and operational risk. Conflicts in palm oil-producing regions or political instability in the Middle East can disrupt raw material sourcing, necessitating contingency planning and diversification (Unilever PLC, 2023).</w:t>
      </w:r>
    </w:p>
    <w:p w:rsidR="27993FC2" w:rsidP="00A0461A" w:rsidRDefault="27993FC2" w14:paraId="48C28F16" w14:textId="4570C570">
      <w:pPr>
        <w:spacing w:before="240" w:beforeAutospacing="off" w:after="240" w:afterAutospacing="off"/>
      </w:pPr>
      <w:r w:rsidRPr="00A0461A" w:rsidR="27993FC2">
        <w:rPr>
          <w:rFonts w:ascii="Arial" w:hAnsi="Arial" w:eastAsia="Arial" w:cs="Arial"/>
          <w:b w:val="1"/>
          <w:bCs w:val="1"/>
          <w:noProof w:val="0"/>
          <w:sz w:val="22"/>
          <w:szCs w:val="22"/>
          <w:lang w:val="en-GB"/>
        </w:rPr>
        <w:t>Economic inequality</w:t>
      </w:r>
      <w:r w:rsidRPr="00A0461A" w:rsidR="27993FC2">
        <w:rPr>
          <w:rFonts w:ascii="Arial" w:hAnsi="Arial" w:eastAsia="Arial" w:cs="Arial"/>
          <w:noProof w:val="0"/>
          <w:sz w:val="22"/>
          <w:szCs w:val="22"/>
          <w:lang w:val="en-GB"/>
        </w:rPr>
        <w:t xml:space="preserve"> in developing markets affects demand and requires pricing strategies that balance affordability with profitability. For example, in low-income regions, Unilever markets smaller pack sizes at lower prices, ensuring accessibility without undermining margins (Cavusgil et al., 2014).</w:t>
      </w:r>
    </w:p>
    <w:p w:rsidR="27993FC2" w:rsidP="00A0461A" w:rsidRDefault="27993FC2" w14:paraId="02708D09" w14:textId="1B739FC9">
      <w:pPr>
        <w:spacing w:before="240" w:beforeAutospacing="off" w:after="240" w:afterAutospacing="off"/>
      </w:pPr>
      <w:r w:rsidRPr="00A0461A" w:rsidR="27993FC2">
        <w:rPr>
          <w:rFonts w:ascii="Arial" w:hAnsi="Arial" w:eastAsia="Arial" w:cs="Arial"/>
          <w:b w:val="1"/>
          <w:bCs w:val="1"/>
          <w:noProof w:val="0"/>
          <w:sz w:val="22"/>
          <w:szCs w:val="22"/>
          <w:lang w:val="en-GB"/>
        </w:rPr>
        <w:t>Environmental and climate pressures</w:t>
      </w:r>
      <w:r w:rsidRPr="00A0461A" w:rsidR="27993FC2">
        <w:rPr>
          <w:rFonts w:ascii="Arial" w:hAnsi="Arial" w:eastAsia="Arial" w:cs="Arial"/>
          <w:noProof w:val="0"/>
          <w:sz w:val="22"/>
          <w:szCs w:val="22"/>
          <w:lang w:val="en-GB"/>
        </w:rPr>
        <w:t xml:space="preserve"> are increasingly critical. Regulatory requirements and consumer expectations push Unilever to reduce carbon emissions, plastic packaging, and water consumption in production. Failure to address these pressures could harm the company’s reputation and limit access to environmentally conscious consumers (Prahalad &amp; Hamel, 1990).</w:t>
      </w:r>
    </w:p>
    <w:p w:rsidR="27993FC2" w:rsidP="00A0461A" w:rsidRDefault="27993FC2" w14:paraId="16E7C05E" w14:textId="4B366326">
      <w:pPr>
        <w:spacing w:before="240" w:beforeAutospacing="off" w:after="240" w:afterAutospacing="off"/>
      </w:pPr>
      <w:r w:rsidRPr="00A0461A" w:rsidR="27993FC2">
        <w:rPr>
          <w:rFonts w:ascii="Arial" w:hAnsi="Arial" w:eastAsia="Arial" w:cs="Arial"/>
          <w:b w:val="1"/>
          <w:bCs w:val="1"/>
          <w:noProof w:val="0"/>
          <w:sz w:val="22"/>
          <w:szCs w:val="22"/>
          <w:lang w:val="en-GB"/>
        </w:rPr>
        <w:t>Technological disruption</w:t>
      </w:r>
      <w:r w:rsidRPr="00A0461A" w:rsidR="27993FC2">
        <w:rPr>
          <w:rFonts w:ascii="Arial" w:hAnsi="Arial" w:eastAsia="Arial" w:cs="Arial"/>
          <w:noProof w:val="0"/>
          <w:sz w:val="22"/>
          <w:szCs w:val="22"/>
          <w:lang w:val="en-GB"/>
        </w:rPr>
        <w:t xml:space="preserve"> can also be a challenge. Competitors investing in advanced automation or AI-driven marketing may gain efficiency or consumer insights faster, requiring Unilever to continuously upgrade its systems (Ghemawat, 2007).</w:t>
      </w:r>
    </w:p>
    <w:p w:rsidR="00A0461A" w:rsidP="00A0461A" w:rsidRDefault="00A0461A" w14:paraId="50652297" w14:textId="60E06024">
      <w:pPr>
        <w:spacing w:before="240" w:beforeAutospacing="off" w:after="240" w:afterAutospacing="off"/>
        <w:rPr>
          <w:rFonts w:ascii="Arial" w:hAnsi="Arial" w:eastAsia="Arial" w:cs="Arial"/>
          <w:b w:val="0"/>
          <w:bCs w:val="0"/>
          <w:noProof w:val="0"/>
          <w:sz w:val="22"/>
          <w:szCs w:val="22"/>
          <w:lang w:val="en-GB"/>
        </w:rPr>
      </w:pPr>
    </w:p>
    <w:p w:rsidR="55CB6E20" w:rsidP="7269CF6C" w:rsidRDefault="55CB6E20" w14:paraId="36311540" w14:textId="2716784C">
      <w:pPr>
        <w:pStyle w:val="Heading3"/>
        <w:spacing w:before="281" w:beforeAutospacing="off" w:after="281" w:afterAutospacing="off"/>
        <w:rPr>
          <w:rFonts w:ascii="Arial" w:hAnsi="Arial" w:eastAsia="Arial" w:cs="Arial"/>
          <w:b w:val="1"/>
          <w:bCs w:val="1"/>
          <w:noProof w:val="0"/>
          <w:sz w:val="28"/>
          <w:szCs w:val="28"/>
          <w:lang w:val="en-GB"/>
        </w:rPr>
      </w:pPr>
      <w:r w:rsidRPr="7269CF6C" w:rsidR="4CF8004E">
        <w:rPr>
          <w:rFonts w:ascii="Arial" w:hAnsi="Arial" w:eastAsia="Arial" w:cs="Arial"/>
          <w:b w:val="1"/>
          <w:bCs w:val="1"/>
          <w:noProof w:val="0"/>
          <w:sz w:val="28"/>
          <w:szCs w:val="28"/>
          <w:lang w:val="en-GB"/>
        </w:rPr>
        <w:t>Strategic Implications</w:t>
      </w:r>
    </w:p>
    <w:p w:rsidR="55CB6E20" w:rsidP="00A0461A" w:rsidRDefault="55CB6E20" w14:paraId="3353F5F4" w14:textId="150519D6">
      <w:pPr>
        <w:spacing w:before="240" w:beforeAutospacing="off" w:after="240" w:afterAutospacing="off"/>
        <w:rPr>
          <w:rFonts w:ascii="Arial" w:hAnsi="Arial" w:eastAsia="Arial" w:cs="Arial"/>
          <w:b w:val="0"/>
          <w:bCs w:val="0"/>
          <w:noProof w:val="0"/>
          <w:sz w:val="22"/>
          <w:szCs w:val="22"/>
          <w:lang w:val="en-GB"/>
        </w:rPr>
      </w:pPr>
      <w:r w:rsidRPr="00A0461A" w:rsidR="55CB6E20">
        <w:rPr>
          <w:rFonts w:ascii="Arial" w:hAnsi="Arial" w:eastAsia="Arial" w:cs="Arial"/>
          <w:b w:val="0"/>
          <w:bCs w:val="0"/>
          <w:noProof w:val="0"/>
          <w:sz w:val="22"/>
          <w:szCs w:val="22"/>
          <w:lang w:val="en-GB"/>
        </w:rPr>
        <w:t xml:space="preserve">These forces affect Unilever’s </w:t>
      </w:r>
      <w:r w:rsidRPr="00A0461A" w:rsidR="55CB6E20">
        <w:rPr>
          <w:rFonts w:ascii="Arial" w:hAnsi="Arial" w:eastAsia="Arial" w:cs="Arial"/>
          <w:b w:val="0"/>
          <w:bCs w:val="0"/>
          <w:noProof w:val="0"/>
          <w:sz w:val="22"/>
          <w:szCs w:val="22"/>
          <w:lang w:val="en-GB"/>
        </w:rPr>
        <w:t>market positioning</w:t>
      </w:r>
      <w:r w:rsidRPr="00A0461A" w:rsidR="55CB6E20">
        <w:rPr>
          <w:rFonts w:ascii="Arial" w:hAnsi="Arial" w:eastAsia="Arial" w:cs="Arial"/>
          <w:b w:val="0"/>
          <w:bCs w:val="0"/>
          <w:noProof w:val="0"/>
          <w:sz w:val="22"/>
          <w:szCs w:val="22"/>
          <w:lang w:val="en-GB"/>
        </w:rPr>
        <w:t>, requiring a balance between global brand identity and local relevance. Its innovation strategy must account for cultural preferences and sustainability trends. Workforce dynamics are influenced by the need for cross-cultural management skills, and global competitiveness depends on effectively navigating geopolitical and economic risks (Ghemawat, 2007).</w:t>
      </w:r>
    </w:p>
    <w:p w:rsidR="55CB6E20" w:rsidP="00A0461A" w:rsidRDefault="55CB6E20" w14:paraId="5CC6482C" w14:textId="5E33B086">
      <w:pPr>
        <w:spacing w:before="240" w:beforeAutospacing="off" w:after="240" w:afterAutospacing="off"/>
        <w:rPr>
          <w:rFonts w:ascii="Arial" w:hAnsi="Arial" w:eastAsia="Arial" w:cs="Arial"/>
          <w:b w:val="0"/>
          <w:bCs w:val="0"/>
          <w:noProof w:val="0"/>
          <w:sz w:val="22"/>
          <w:szCs w:val="22"/>
          <w:lang w:val="en-GB"/>
        </w:rPr>
      </w:pPr>
      <w:r w:rsidRPr="00A0461A" w:rsidR="55CB6E20">
        <w:rPr>
          <w:rFonts w:ascii="Arial" w:hAnsi="Arial" w:eastAsia="Arial" w:cs="Arial"/>
          <w:b w:val="0"/>
          <w:bCs w:val="0"/>
          <w:noProof w:val="0"/>
          <w:sz w:val="22"/>
          <w:szCs w:val="22"/>
          <w:lang w:val="en-GB"/>
        </w:rPr>
        <w:t>Stakeholder management tools</w:t>
      </w:r>
      <w:r w:rsidRPr="00A0461A" w:rsidR="55CB6E20">
        <w:rPr>
          <w:rFonts w:ascii="Arial" w:hAnsi="Arial" w:eastAsia="Arial" w:cs="Arial"/>
          <w:b w:val="0"/>
          <w:bCs w:val="0"/>
          <w:noProof w:val="0"/>
          <w:sz w:val="22"/>
          <w:szCs w:val="22"/>
          <w:lang w:val="en-GB"/>
        </w:rPr>
        <w:t xml:space="preserve">, such as </w:t>
      </w:r>
      <w:r w:rsidRPr="00A0461A" w:rsidR="55CB6E20">
        <w:rPr>
          <w:rFonts w:ascii="Arial" w:hAnsi="Arial" w:eastAsia="Arial" w:cs="Arial"/>
          <w:b w:val="0"/>
          <w:bCs w:val="0"/>
          <w:noProof w:val="0"/>
          <w:sz w:val="22"/>
          <w:szCs w:val="22"/>
          <w:lang w:val="en-GB"/>
        </w:rPr>
        <w:t>Mendelow’s Power–Interest Grid</w:t>
      </w:r>
      <w:r w:rsidRPr="00A0461A" w:rsidR="55CB6E20">
        <w:rPr>
          <w:rFonts w:ascii="Arial" w:hAnsi="Arial" w:eastAsia="Arial" w:cs="Arial"/>
          <w:b w:val="0"/>
          <w:bCs w:val="0"/>
          <w:noProof w:val="0"/>
          <w:sz w:val="22"/>
          <w:szCs w:val="22"/>
          <w:lang w:val="en-GB"/>
        </w:rPr>
        <w:t xml:space="preserve">, help Unilever prioritise engagement with high-power, high-interest stakeholders, including regulators, investors, and NGOs (Mendelow, 1991). Similarly, </w:t>
      </w:r>
      <w:r w:rsidRPr="00A0461A" w:rsidR="55CB6E20">
        <w:rPr>
          <w:rFonts w:ascii="Arial" w:hAnsi="Arial" w:eastAsia="Arial" w:cs="Arial"/>
          <w:b w:val="0"/>
          <w:bCs w:val="0"/>
          <w:noProof w:val="0"/>
          <w:sz w:val="22"/>
          <w:szCs w:val="22"/>
          <w:lang w:val="en-GB"/>
        </w:rPr>
        <w:t>Porter’s Diamond Model</w:t>
      </w:r>
      <w:r w:rsidRPr="00A0461A" w:rsidR="55CB6E20">
        <w:rPr>
          <w:rFonts w:ascii="Arial" w:hAnsi="Arial" w:eastAsia="Arial" w:cs="Arial"/>
          <w:b w:val="0"/>
          <w:bCs w:val="0"/>
          <w:noProof w:val="0"/>
          <w:sz w:val="22"/>
          <w:szCs w:val="22"/>
          <w:lang w:val="en-GB"/>
        </w:rPr>
        <w:t xml:space="preserve"> </w:t>
      </w:r>
      <w:r w:rsidRPr="00A0461A" w:rsidR="55CB6E20">
        <w:rPr>
          <w:rFonts w:ascii="Arial" w:hAnsi="Arial" w:eastAsia="Arial" w:cs="Arial"/>
          <w:b w:val="0"/>
          <w:bCs w:val="0"/>
          <w:noProof w:val="0"/>
          <w:sz w:val="22"/>
          <w:szCs w:val="22"/>
          <w:lang w:val="en-GB"/>
        </w:rPr>
        <w:t>identifies</w:t>
      </w:r>
      <w:r w:rsidRPr="00A0461A" w:rsidR="55CB6E20">
        <w:rPr>
          <w:rFonts w:ascii="Arial" w:hAnsi="Arial" w:eastAsia="Arial" w:cs="Arial"/>
          <w:b w:val="0"/>
          <w:bCs w:val="0"/>
          <w:noProof w:val="0"/>
          <w:sz w:val="22"/>
          <w:szCs w:val="22"/>
          <w:lang w:val="en-GB"/>
        </w:rPr>
        <w:t xml:space="preserve"> factors that enhance Unilever’s global competitiveness, including its highly skilled workforce, advanced infrastructure, and related supporting industries like packaging and </w:t>
      </w:r>
      <w:r w:rsidRPr="00A0461A" w:rsidR="55CB6E20">
        <w:rPr>
          <w:rFonts w:ascii="Arial" w:hAnsi="Arial" w:eastAsia="Arial" w:cs="Arial"/>
          <w:b w:val="0"/>
          <w:bCs w:val="0"/>
          <w:noProof w:val="0"/>
          <w:sz w:val="22"/>
          <w:szCs w:val="22"/>
          <w:lang w:val="en-GB"/>
        </w:rPr>
        <w:t>logistics</w:t>
      </w:r>
      <w:r w:rsidRPr="00A0461A" w:rsidR="55CB6E20">
        <w:rPr>
          <w:rFonts w:ascii="Arial" w:hAnsi="Arial" w:eastAsia="Arial" w:cs="Arial"/>
          <w:b w:val="0"/>
          <w:bCs w:val="0"/>
          <w:noProof w:val="0"/>
          <w:sz w:val="22"/>
          <w:szCs w:val="22"/>
          <w:lang w:val="en-GB"/>
        </w:rPr>
        <w:t xml:space="preserve"> (Porter, 1990).</w:t>
      </w:r>
    </w:p>
    <w:p w:rsidR="00A0461A" w:rsidRDefault="00A0461A" w14:paraId="0FF13566" w14:textId="4C3E024B"/>
    <w:p w:rsidR="55CB6E20" w:rsidP="7269CF6C" w:rsidRDefault="55CB6E20" w14:paraId="463A5040" w14:textId="773F5780">
      <w:pPr>
        <w:pStyle w:val="Heading2"/>
        <w:spacing w:before="299" w:beforeAutospacing="off" w:after="299" w:afterAutospacing="off"/>
        <w:rPr>
          <w:rFonts w:ascii="Arial" w:hAnsi="Arial" w:eastAsia="Arial" w:cs="Arial"/>
          <w:b w:val="1"/>
          <w:bCs w:val="1"/>
          <w:noProof w:val="0"/>
          <w:sz w:val="28"/>
          <w:szCs w:val="28"/>
          <w:lang w:val="en-GB"/>
        </w:rPr>
      </w:pPr>
      <w:r w:rsidRPr="7269CF6C" w:rsidR="4CF8004E">
        <w:rPr>
          <w:rFonts w:ascii="Arial" w:hAnsi="Arial" w:eastAsia="Arial" w:cs="Arial"/>
          <w:b w:val="1"/>
          <w:bCs w:val="1"/>
          <w:noProof w:val="0"/>
          <w:sz w:val="28"/>
          <w:szCs w:val="28"/>
          <w:lang w:val="en-GB"/>
        </w:rPr>
        <w:t>Strategic Recommendations</w:t>
      </w:r>
    </w:p>
    <w:p w:rsidR="55CB6E20" w:rsidP="00A0461A" w:rsidRDefault="55CB6E20" w14:paraId="31B749BF" w14:textId="38F90916">
      <w:pPr>
        <w:spacing w:before="240" w:beforeAutospacing="off" w:after="240" w:afterAutospacing="off"/>
        <w:rPr>
          <w:rFonts w:ascii="Arial" w:hAnsi="Arial" w:eastAsia="Arial" w:cs="Arial"/>
          <w:b w:val="0"/>
          <w:bCs w:val="0"/>
          <w:noProof w:val="0"/>
          <w:sz w:val="22"/>
          <w:szCs w:val="22"/>
          <w:lang w:val="en-GB"/>
        </w:rPr>
      </w:pPr>
      <w:r w:rsidRPr="00A0461A" w:rsidR="55CB6E20">
        <w:rPr>
          <w:rFonts w:ascii="Arial" w:hAnsi="Arial" w:eastAsia="Arial" w:cs="Arial"/>
          <w:b w:val="0"/>
          <w:bCs w:val="0"/>
          <w:noProof w:val="0"/>
          <w:sz w:val="22"/>
          <w:szCs w:val="22"/>
          <w:lang w:val="en-GB"/>
        </w:rPr>
        <w:t>To capitalise on globalisation, Unilever should:</w:t>
      </w:r>
    </w:p>
    <w:p w:rsidR="55CB6E20" w:rsidP="00A0461A" w:rsidRDefault="55CB6E20" w14:paraId="1AB69231" w14:textId="0E45CCCD">
      <w:pPr>
        <w:pStyle w:val="ListParagraph"/>
        <w:numPr>
          <w:ilvl w:val="0"/>
          <w:numId w:val="1"/>
        </w:numPr>
        <w:spacing w:before="240" w:beforeAutospacing="off" w:after="240" w:afterAutospacing="off"/>
        <w:rPr>
          <w:rFonts w:ascii="Arial" w:hAnsi="Arial" w:eastAsia="Arial" w:cs="Arial"/>
          <w:b w:val="0"/>
          <w:bCs w:val="0"/>
          <w:noProof w:val="0"/>
          <w:sz w:val="22"/>
          <w:szCs w:val="22"/>
          <w:lang w:val="en-GB"/>
        </w:rPr>
      </w:pPr>
      <w:r w:rsidRPr="00A0461A" w:rsidR="55CB6E20">
        <w:rPr>
          <w:rFonts w:ascii="Arial" w:hAnsi="Arial" w:eastAsia="Arial" w:cs="Arial"/>
          <w:b w:val="1"/>
          <w:bCs w:val="1"/>
          <w:noProof w:val="0"/>
          <w:sz w:val="22"/>
          <w:szCs w:val="22"/>
          <w:lang w:val="en-GB"/>
        </w:rPr>
        <w:t>Leverage technology</w:t>
      </w:r>
      <w:r w:rsidRPr="00A0461A" w:rsidR="55CB6E20">
        <w:rPr>
          <w:rFonts w:ascii="Arial" w:hAnsi="Arial" w:eastAsia="Arial" w:cs="Arial"/>
          <w:b w:val="1"/>
          <w:bCs w:val="1"/>
          <w:noProof w:val="0"/>
          <w:sz w:val="22"/>
          <w:szCs w:val="22"/>
          <w:lang w:val="en-GB"/>
        </w:rPr>
        <w:t>:</w:t>
      </w:r>
      <w:r w:rsidRPr="00A0461A" w:rsidR="55CB6E20">
        <w:rPr>
          <w:rFonts w:ascii="Arial" w:hAnsi="Arial" w:eastAsia="Arial" w:cs="Arial"/>
          <w:b w:val="0"/>
          <w:bCs w:val="0"/>
          <w:noProof w:val="0"/>
          <w:sz w:val="22"/>
          <w:szCs w:val="22"/>
          <w:lang w:val="en-GB"/>
        </w:rPr>
        <w:t xml:space="preserve"> Expand e-commerce channels and integrate AI for supply chain management and consumer insights, improving efficiency and responsiveness (</w:t>
      </w:r>
      <w:r w:rsidRPr="00A0461A" w:rsidR="55CB6E20">
        <w:rPr>
          <w:rFonts w:ascii="Arial" w:hAnsi="Arial" w:eastAsia="Arial" w:cs="Arial"/>
          <w:b w:val="0"/>
          <w:bCs w:val="0"/>
          <w:noProof w:val="0"/>
          <w:sz w:val="22"/>
          <w:szCs w:val="22"/>
          <w:lang w:val="en-GB"/>
        </w:rPr>
        <w:t>Cavusgil</w:t>
      </w:r>
      <w:r w:rsidRPr="00A0461A" w:rsidR="55CB6E20">
        <w:rPr>
          <w:rFonts w:ascii="Arial" w:hAnsi="Arial" w:eastAsia="Arial" w:cs="Arial"/>
          <w:b w:val="0"/>
          <w:bCs w:val="0"/>
          <w:noProof w:val="0"/>
          <w:sz w:val="22"/>
          <w:szCs w:val="22"/>
          <w:lang w:val="en-GB"/>
        </w:rPr>
        <w:t xml:space="preserve"> et al., 2014).</w:t>
      </w:r>
    </w:p>
    <w:p w:rsidR="00A0461A" w:rsidP="00A0461A" w:rsidRDefault="00A0461A" w14:paraId="6DC94BF4" w14:textId="1169F782">
      <w:pPr>
        <w:pStyle w:val="ListParagraph"/>
        <w:spacing w:before="240" w:beforeAutospacing="off" w:after="240" w:afterAutospacing="off"/>
        <w:ind w:left="720"/>
        <w:rPr>
          <w:rFonts w:ascii="Arial" w:hAnsi="Arial" w:eastAsia="Arial" w:cs="Arial"/>
          <w:b w:val="0"/>
          <w:bCs w:val="0"/>
          <w:noProof w:val="0"/>
          <w:sz w:val="22"/>
          <w:szCs w:val="22"/>
          <w:lang w:val="en-GB"/>
        </w:rPr>
      </w:pPr>
    </w:p>
    <w:p w:rsidR="55CB6E20" w:rsidP="00A0461A" w:rsidRDefault="55CB6E20" w14:paraId="3D2119EC" w14:textId="27FD3DAC">
      <w:pPr>
        <w:pStyle w:val="ListParagraph"/>
        <w:numPr>
          <w:ilvl w:val="0"/>
          <w:numId w:val="1"/>
        </w:numPr>
        <w:spacing w:before="240" w:beforeAutospacing="off" w:after="240" w:afterAutospacing="off"/>
        <w:rPr>
          <w:rFonts w:ascii="Arial" w:hAnsi="Arial" w:eastAsia="Arial" w:cs="Arial"/>
          <w:b w:val="0"/>
          <w:bCs w:val="0"/>
          <w:noProof w:val="0"/>
          <w:sz w:val="22"/>
          <w:szCs w:val="22"/>
          <w:lang w:val="en-GB"/>
        </w:rPr>
      </w:pPr>
      <w:r w:rsidRPr="00A0461A" w:rsidR="55CB6E20">
        <w:rPr>
          <w:rFonts w:ascii="Arial" w:hAnsi="Arial" w:eastAsia="Arial" w:cs="Arial"/>
          <w:b w:val="1"/>
          <w:bCs w:val="1"/>
          <w:noProof w:val="0"/>
          <w:sz w:val="22"/>
          <w:szCs w:val="22"/>
          <w:lang w:val="en-GB"/>
        </w:rPr>
        <w:t>Invest in sustainability</w:t>
      </w:r>
      <w:r w:rsidRPr="00A0461A" w:rsidR="55CB6E20">
        <w:rPr>
          <w:rFonts w:ascii="Arial" w:hAnsi="Arial" w:eastAsia="Arial" w:cs="Arial"/>
          <w:b w:val="0"/>
          <w:bCs w:val="0"/>
          <w:noProof w:val="0"/>
          <w:sz w:val="22"/>
          <w:szCs w:val="22"/>
          <w:lang w:val="en-GB"/>
        </w:rPr>
        <w:t xml:space="preserve">: </w:t>
      </w:r>
      <w:r w:rsidRPr="00A0461A" w:rsidR="55CB6E20">
        <w:rPr>
          <w:rFonts w:ascii="Arial" w:hAnsi="Arial" w:eastAsia="Arial" w:cs="Arial"/>
          <w:b w:val="0"/>
          <w:bCs w:val="0"/>
          <w:noProof w:val="0"/>
          <w:sz w:val="22"/>
          <w:szCs w:val="22"/>
          <w:lang w:val="en-GB"/>
        </w:rPr>
        <w:t>Maintain</w:t>
      </w:r>
      <w:r w:rsidRPr="00A0461A" w:rsidR="55CB6E20">
        <w:rPr>
          <w:rFonts w:ascii="Arial" w:hAnsi="Arial" w:eastAsia="Arial" w:cs="Arial"/>
          <w:b w:val="0"/>
          <w:bCs w:val="0"/>
          <w:noProof w:val="0"/>
          <w:sz w:val="22"/>
          <w:szCs w:val="22"/>
          <w:lang w:val="en-GB"/>
        </w:rPr>
        <w:t xml:space="preserve"> a commitment to carbon-neutral production, eco-friendly packaging, and </w:t>
      </w:r>
      <w:r w:rsidRPr="00A0461A" w:rsidR="188F0D0E">
        <w:rPr>
          <w:rFonts w:ascii="Arial" w:hAnsi="Arial" w:eastAsia="Arial" w:cs="Arial"/>
          <w:b w:val="0"/>
          <w:bCs w:val="0"/>
          <w:noProof w:val="0"/>
          <w:sz w:val="22"/>
          <w:szCs w:val="22"/>
          <w:lang w:val="en-GB"/>
        </w:rPr>
        <w:t>fair-trade</w:t>
      </w:r>
      <w:r w:rsidRPr="00A0461A" w:rsidR="55CB6E20">
        <w:rPr>
          <w:rFonts w:ascii="Arial" w:hAnsi="Arial" w:eastAsia="Arial" w:cs="Arial"/>
          <w:b w:val="0"/>
          <w:bCs w:val="0"/>
          <w:noProof w:val="0"/>
          <w:sz w:val="22"/>
          <w:szCs w:val="22"/>
          <w:lang w:val="en-GB"/>
        </w:rPr>
        <w:t xml:space="preserve"> sourcing to meet global regulatory standards and consumer expectations (Unilever PLC, 2023).</w:t>
      </w:r>
    </w:p>
    <w:p w:rsidR="00A0461A" w:rsidP="00A0461A" w:rsidRDefault="00A0461A" w14:paraId="5C31DCFA" w14:textId="0B580A6F">
      <w:pPr>
        <w:pStyle w:val="ListParagraph"/>
        <w:spacing w:before="240" w:beforeAutospacing="off" w:after="240" w:afterAutospacing="off"/>
        <w:ind w:left="720"/>
        <w:rPr>
          <w:rFonts w:ascii="Arial" w:hAnsi="Arial" w:eastAsia="Arial" w:cs="Arial"/>
          <w:b w:val="0"/>
          <w:bCs w:val="0"/>
          <w:noProof w:val="0"/>
          <w:sz w:val="22"/>
          <w:szCs w:val="22"/>
          <w:lang w:val="en-GB"/>
        </w:rPr>
      </w:pPr>
    </w:p>
    <w:p w:rsidR="55CB6E20" w:rsidP="00A0461A" w:rsidRDefault="55CB6E20" w14:paraId="0D6ED3FF" w14:textId="1D142E21">
      <w:pPr>
        <w:pStyle w:val="ListParagraph"/>
        <w:numPr>
          <w:ilvl w:val="0"/>
          <w:numId w:val="1"/>
        </w:numPr>
        <w:spacing w:before="240" w:beforeAutospacing="off" w:after="240" w:afterAutospacing="off"/>
        <w:rPr>
          <w:rFonts w:ascii="Arial" w:hAnsi="Arial" w:eastAsia="Arial" w:cs="Arial"/>
          <w:b w:val="0"/>
          <w:bCs w:val="0"/>
          <w:noProof w:val="0"/>
          <w:sz w:val="22"/>
          <w:szCs w:val="22"/>
          <w:lang w:val="en-GB"/>
        </w:rPr>
      </w:pPr>
      <w:r w:rsidRPr="00A0461A" w:rsidR="55CB6E20">
        <w:rPr>
          <w:rFonts w:ascii="Arial" w:hAnsi="Arial" w:eastAsia="Arial" w:cs="Arial"/>
          <w:b w:val="1"/>
          <w:bCs w:val="1"/>
          <w:noProof w:val="0"/>
          <w:sz w:val="22"/>
          <w:szCs w:val="22"/>
          <w:lang w:val="en-GB"/>
        </w:rPr>
        <w:t>Enhance stakeholder engagement</w:t>
      </w:r>
      <w:r w:rsidRPr="00A0461A" w:rsidR="55CB6E20">
        <w:rPr>
          <w:rFonts w:ascii="Arial" w:hAnsi="Arial" w:eastAsia="Arial" w:cs="Arial"/>
          <w:b w:val="1"/>
          <w:bCs w:val="1"/>
          <w:noProof w:val="0"/>
          <w:sz w:val="22"/>
          <w:szCs w:val="22"/>
          <w:lang w:val="en-GB"/>
        </w:rPr>
        <w:t xml:space="preserve">: </w:t>
      </w:r>
      <w:r w:rsidRPr="00A0461A" w:rsidR="55CB6E20">
        <w:rPr>
          <w:rFonts w:ascii="Arial" w:hAnsi="Arial" w:eastAsia="Arial" w:cs="Arial"/>
          <w:b w:val="0"/>
          <w:bCs w:val="0"/>
          <w:noProof w:val="0"/>
          <w:sz w:val="22"/>
          <w:szCs w:val="22"/>
          <w:lang w:val="en-GB"/>
        </w:rPr>
        <w:t xml:space="preserve">Apply Mendelow’s grid to </w:t>
      </w:r>
      <w:r w:rsidRPr="00A0461A" w:rsidR="55CB6E20">
        <w:rPr>
          <w:rFonts w:ascii="Arial" w:hAnsi="Arial" w:eastAsia="Arial" w:cs="Arial"/>
          <w:b w:val="0"/>
          <w:bCs w:val="0"/>
          <w:noProof w:val="0"/>
          <w:sz w:val="22"/>
          <w:szCs w:val="22"/>
          <w:lang w:val="en-GB"/>
        </w:rPr>
        <w:t>monitor</w:t>
      </w:r>
      <w:r w:rsidRPr="00A0461A" w:rsidR="55CB6E20">
        <w:rPr>
          <w:rFonts w:ascii="Arial" w:hAnsi="Arial" w:eastAsia="Arial" w:cs="Arial"/>
          <w:b w:val="0"/>
          <w:bCs w:val="0"/>
          <w:noProof w:val="0"/>
          <w:sz w:val="22"/>
          <w:szCs w:val="22"/>
          <w:lang w:val="en-GB"/>
        </w:rPr>
        <w:t xml:space="preserve"> and communicate with key stakeholders strategically, reducing conflicts and enhancing brand reputation (Mendelow, 1991).</w:t>
      </w:r>
    </w:p>
    <w:p w:rsidR="00A0461A" w:rsidP="00A0461A" w:rsidRDefault="00A0461A" w14:paraId="41E11C61" w14:textId="0E356942">
      <w:pPr>
        <w:pStyle w:val="ListParagraph"/>
        <w:spacing w:before="240" w:beforeAutospacing="off" w:after="240" w:afterAutospacing="off"/>
        <w:ind w:left="720"/>
        <w:rPr>
          <w:rFonts w:ascii="Arial" w:hAnsi="Arial" w:eastAsia="Arial" w:cs="Arial"/>
          <w:b w:val="1"/>
          <w:bCs w:val="1"/>
          <w:noProof w:val="0"/>
          <w:sz w:val="22"/>
          <w:szCs w:val="22"/>
          <w:lang w:val="en-GB"/>
        </w:rPr>
      </w:pPr>
    </w:p>
    <w:p w:rsidR="55CB6E20" w:rsidP="00A0461A" w:rsidRDefault="55CB6E20" w14:paraId="555F6A1E" w14:textId="43B95F2F">
      <w:pPr>
        <w:pStyle w:val="ListParagraph"/>
        <w:numPr>
          <w:ilvl w:val="0"/>
          <w:numId w:val="1"/>
        </w:numPr>
        <w:spacing w:before="240" w:beforeAutospacing="off" w:after="240" w:afterAutospacing="off"/>
        <w:rPr>
          <w:rFonts w:ascii="Arial" w:hAnsi="Arial" w:eastAsia="Arial" w:cs="Arial"/>
          <w:b w:val="0"/>
          <w:bCs w:val="0"/>
          <w:noProof w:val="0"/>
          <w:sz w:val="22"/>
          <w:szCs w:val="22"/>
          <w:lang w:val="en-GB"/>
        </w:rPr>
      </w:pPr>
      <w:r w:rsidRPr="00A0461A" w:rsidR="55CB6E20">
        <w:rPr>
          <w:rFonts w:ascii="Arial" w:hAnsi="Arial" w:eastAsia="Arial" w:cs="Arial"/>
          <w:b w:val="1"/>
          <w:bCs w:val="1"/>
          <w:noProof w:val="0"/>
          <w:sz w:val="22"/>
          <w:szCs w:val="22"/>
          <w:lang w:val="en-GB"/>
        </w:rPr>
        <w:t>Localise products and marketing</w:t>
      </w:r>
      <w:r w:rsidRPr="00A0461A" w:rsidR="55CB6E20">
        <w:rPr>
          <w:rFonts w:ascii="Arial" w:hAnsi="Arial" w:eastAsia="Arial" w:cs="Arial"/>
          <w:b w:val="1"/>
          <w:bCs w:val="1"/>
          <w:noProof w:val="0"/>
          <w:sz w:val="22"/>
          <w:szCs w:val="22"/>
          <w:lang w:val="en-GB"/>
        </w:rPr>
        <w:t>:</w:t>
      </w:r>
      <w:r w:rsidRPr="00A0461A" w:rsidR="55CB6E20">
        <w:rPr>
          <w:rFonts w:ascii="Arial" w:hAnsi="Arial" w:eastAsia="Arial" w:cs="Arial"/>
          <w:b w:val="0"/>
          <w:bCs w:val="0"/>
          <w:noProof w:val="0"/>
          <w:sz w:val="22"/>
          <w:szCs w:val="22"/>
          <w:lang w:val="en-GB"/>
        </w:rPr>
        <w:t xml:space="preserve"> Adapt product offerings and promotional campaigns to local cultural preferences, increasing relevance and market share (Rugman &amp; Collinson, 2012).</w:t>
      </w:r>
    </w:p>
    <w:p w:rsidR="00A0461A" w:rsidP="00A0461A" w:rsidRDefault="00A0461A" w14:paraId="0FF56053" w14:textId="0D30BAD3">
      <w:pPr>
        <w:pStyle w:val="ListParagraph"/>
        <w:spacing w:before="240" w:beforeAutospacing="off" w:after="240" w:afterAutospacing="off"/>
        <w:ind w:left="720"/>
        <w:rPr>
          <w:rFonts w:ascii="Arial" w:hAnsi="Arial" w:eastAsia="Arial" w:cs="Arial"/>
          <w:b w:val="1"/>
          <w:bCs w:val="1"/>
          <w:noProof w:val="0"/>
          <w:sz w:val="22"/>
          <w:szCs w:val="22"/>
          <w:lang w:val="en-GB"/>
        </w:rPr>
      </w:pPr>
    </w:p>
    <w:p w:rsidR="55CB6E20" w:rsidP="00A0461A" w:rsidRDefault="55CB6E20" w14:paraId="02928B35" w14:textId="116F0558">
      <w:pPr>
        <w:pStyle w:val="ListParagraph"/>
        <w:numPr>
          <w:ilvl w:val="0"/>
          <w:numId w:val="1"/>
        </w:numPr>
        <w:spacing w:before="240" w:beforeAutospacing="off" w:after="240" w:afterAutospacing="off"/>
        <w:rPr>
          <w:rFonts w:ascii="Arial" w:hAnsi="Arial" w:eastAsia="Arial" w:cs="Arial"/>
          <w:b w:val="0"/>
          <w:bCs w:val="0"/>
          <w:noProof w:val="0"/>
          <w:sz w:val="22"/>
          <w:szCs w:val="22"/>
          <w:lang w:val="en-GB"/>
        </w:rPr>
      </w:pPr>
      <w:r w:rsidRPr="55D3126F" w:rsidR="524DC7C7">
        <w:rPr>
          <w:rFonts w:ascii="Arial" w:hAnsi="Arial" w:eastAsia="Arial" w:cs="Arial"/>
          <w:b w:val="1"/>
          <w:bCs w:val="1"/>
          <w:noProof w:val="0"/>
          <w:sz w:val="22"/>
          <w:szCs w:val="22"/>
          <w:lang w:val="en-GB"/>
        </w:rPr>
        <w:t>Diversify supply chains</w:t>
      </w:r>
      <w:r w:rsidRPr="55D3126F" w:rsidR="524DC7C7">
        <w:rPr>
          <w:rFonts w:ascii="Arial" w:hAnsi="Arial" w:eastAsia="Arial" w:cs="Arial"/>
          <w:b w:val="1"/>
          <w:bCs w:val="1"/>
          <w:noProof w:val="0"/>
          <w:sz w:val="22"/>
          <w:szCs w:val="22"/>
          <w:lang w:val="en-GB"/>
        </w:rPr>
        <w:t xml:space="preserve">: </w:t>
      </w:r>
      <w:r w:rsidRPr="55D3126F" w:rsidR="524DC7C7">
        <w:rPr>
          <w:rFonts w:ascii="Arial" w:hAnsi="Arial" w:eastAsia="Arial" w:cs="Arial"/>
          <w:b w:val="0"/>
          <w:bCs w:val="0"/>
          <w:noProof w:val="0"/>
          <w:sz w:val="22"/>
          <w:szCs w:val="22"/>
          <w:lang w:val="en-GB"/>
        </w:rPr>
        <w:t>Reduce dependency on single regions by sourcing inputs from multiple countries, mitigating risks from geopolitical instability or natural disasters (Ghemawat, 2007).</w:t>
      </w:r>
    </w:p>
    <w:p w:rsidR="00A0461A" w:rsidP="55D3126F" w:rsidRDefault="00A0461A" w14:paraId="1379ADBF" w14:textId="2681DA1C">
      <w:pPr>
        <w:spacing w:before="240" w:beforeAutospacing="off" w:after="240" w:afterAutospacing="off"/>
      </w:pPr>
      <w:r w:rsidRPr="55D3126F" w:rsidR="6C25C5FF">
        <w:rPr>
          <w:rFonts w:ascii="Arial" w:hAnsi="Arial" w:eastAsia="Arial" w:cs="Arial"/>
          <w:noProof w:val="0"/>
          <w:sz w:val="24"/>
          <w:szCs w:val="24"/>
          <w:lang w:val="en-GB"/>
        </w:rPr>
        <w:t>Beyond operational and market considerations, globalisation has also reshaped Unilever’s corporate governance and organisational structure. As a multinational enterprise operating across diverse institutional environments, Unilever must balance global integration with local responsiveness. This reflects Bartlett and Ghoshal’s (1989) transnational strategy model, which emphasises simultaneous global efficiency, local adaptation, and worldwide learning. Unilever’s decentralised management structure allows regional subsidiaries to tailor products and marketing strategies to local conditions, while maintaining centralised oversight of brand positioning and sustainability commitments. This hybrid approach enhances flexibility but increases coordination complexity and management costs.</w:t>
      </w:r>
    </w:p>
    <w:p w:rsidR="00A0461A" w:rsidP="55D3126F" w:rsidRDefault="00A0461A" w14:paraId="184998DF" w14:textId="7DC76088">
      <w:pPr>
        <w:spacing w:before="240" w:beforeAutospacing="off" w:after="240" w:afterAutospacing="off"/>
      </w:pPr>
      <w:r w:rsidRPr="55D3126F" w:rsidR="6C25C5FF">
        <w:rPr>
          <w:rFonts w:ascii="Arial" w:hAnsi="Arial" w:eastAsia="Arial" w:cs="Arial"/>
          <w:noProof w:val="0"/>
          <w:sz w:val="24"/>
          <w:szCs w:val="24"/>
          <w:lang w:val="en-GB"/>
        </w:rPr>
        <w:t>Furthermore, globalisation has intensified scrutiny from global civil society and activist groups. International NGOs increasingly monitor multinational corporations’ environmental practices, labour standards, and ethical sourcing policies. Campaigns relating to palm oil sourcing and plastic waste demonstrate how reputational risk can rapidly escalate across global media platforms. Consequently, transparency and Environmental, Social and Governance (ESG) reporting have become strategic priorities rather than optional disclosures. Investors now assess firms not only on financial performance but also on sustainability metrics, reflecting the rise of responsible investment trends.</w:t>
      </w:r>
    </w:p>
    <w:p w:rsidR="00A0461A" w:rsidP="55D3126F" w:rsidRDefault="00A0461A" w14:paraId="1E5802B1" w14:textId="64329B93">
      <w:pPr>
        <w:spacing w:before="240" w:beforeAutospacing="off" w:after="240" w:afterAutospacing="off"/>
      </w:pPr>
      <w:r w:rsidRPr="55D3126F" w:rsidR="6C25C5FF">
        <w:rPr>
          <w:rFonts w:ascii="Arial" w:hAnsi="Arial" w:eastAsia="Arial" w:cs="Arial"/>
          <w:noProof w:val="0"/>
          <w:sz w:val="24"/>
          <w:szCs w:val="24"/>
          <w:lang w:val="en-GB"/>
        </w:rPr>
        <w:t>Currency fluctuations also represent a critical macroeconomic force. Operating in multiple currencies exposes Unilever to exchange rate volatility, which affects revenue translation, cost structures, and profitability. Effective hedging strategies and geographic revenue diversification are therefore essential components of financial risk management.</w:t>
      </w:r>
    </w:p>
    <w:p w:rsidR="00A0461A" w:rsidP="55D3126F" w:rsidRDefault="00A0461A" w14:paraId="527010F6" w14:textId="60CA6679">
      <w:pPr>
        <w:spacing w:before="240" w:beforeAutospacing="off" w:after="240" w:afterAutospacing="off"/>
      </w:pPr>
      <w:r w:rsidRPr="55D3126F" w:rsidR="6C25C5FF">
        <w:rPr>
          <w:rFonts w:ascii="Arial" w:hAnsi="Arial" w:eastAsia="Arial" w:cs="Arial"/>
          <w:noProof w:val="0"/>
          <w:sz w:val="24"/>
          <w:szCs w:val="24"/>
          <w:lang w:val="en-GB"/>
        </w:rPr>
        <w:t>Overall, globalisation has transformed Unilever into a highly interconnected enterprise where strategic decisions must account for economic, political, technological, social, and environmental interdependencies. The ability to anticipate and respond to these complex global forces determines long-term competitiveness and resilience.</w:t>
      </w:r>
    </w:p>
    <w:p w:rsidR="00A0461A" w:rsidRDefault="00A0461A" w14:paraId="4B807F9F" w14:textId="4A96C95B"/>
    <w:p w:rsidR="55CB6E20" w:rsidP="7269CF6C" w:rsidRDefault="55CB6E20" w14:paraId="19B8017B" w14:textId="2FD78B40">
      <w:pPr>
        <w:pStyle w:val="Heading2"/>
        <w:spacing w:before="299" w:beforeAutospacing="off" w:after="299" w:afterAutospacing="off"/>
        <w:rPr>
          <w:rFonts w:ascii="Arial" w:hAnsi="Arial" w:eastAsia="Arial" w:cs="Arial"/>
          <w:b w:val="1"/>
          <w:bCs w:val="1"/>
          <w:noProof w:val="0"/>
          <w:sz w:val="28"/>
          <w:szCs w:val="28"/>
          <w:lang w:val="en-GB"/>
        </w:rPr>
      </w:pPr>
      <w:r w:rsidRPr="7269CF6C" w:rsidR="4CF8004E">
        <w:rPr>
          <w:rFonts w:ascii="Arial" w:hAnsi="Arial" w:eastAsia="Arial" w:cs="Arial"/>
          <w:b w:val="1"/>
          <w:bCs w:val="1"/>
          <w:noProof w:val="0"/>
          <w:sz w:val="28"/>
          <w:szCs w:val="28"/>
          <w:lang w:val="en-GB"/>
        </w:rPr>
        <w:t>Conclusion</w:t>
      </w:r>
    </w:p>
    <w:p w:rsidR="55CB6E20" w:rsidP="00A0461A" w:rsidRDefault="55CB6E20" w14:paraId="7DBC158E" w14:textId="496C1BA7">
      <w:pPr>
        <w:spacing w:before="240" w:beforeAutospacing="off" w:after="240" w:afterAutospacing="off"/>
      </w:pPr>
      <w:r w:rsidRPr="00A0461A" w:rsidR="55CB6E20">
        <w:rPr>
          <w:rFonts w:ascii="Arial" w:hAnsi="Arial" w:eastAsia="Arial" w:cs="Arial"/>
          <w:noProof w:val="0"/>
          <w:sz w:val="22"/>
          <w:szCs w:val="22"/>
          <w:lang w:val="en-GB"/>
        </w:rPr>
        <w:t xml:space="preserve">Globalisation offers significant benefits to Unilever, including access to international markets, economies of scale, innovation opportunities, and improved supply chain efficiency. However, it also introduces challenges, such as regulatory complexity, cultural diversity, geopolitical risks, and environmental pressures. By critically analysing the major global forces and applying strategic tools like Mendelow’s Power–Interest Grid and Porter’s Diamond, Unilever can manage risks effectively while </w:t>
      </w:r>
      <w:r w:rsidRPr="00A0461A" w:rsidR="55CB6E20">
        <w:rPr>
          <w:rFonts w:ascii="Arial" w:hAnsi="Arial" w:eastAsia="Arial" w:cs="Arial"/>
          <w:noProof w:val="0"/>
          <w:sz w:val="22"/>
          <w:szCs w:val="22"/>
          <w:lang w:val="en-GB"/>
        </w:rPr>
        <w:t>leveraging</w:t>
      </w:r>
      <w:r w:rsidRPr="00A0461A" w:rsidR="55CB6E20">
        <w:rPr>
          <w:rFonts w:ascii="Arial" w:hAnsi="Arial" w:eastAsia="Arial" w:cs="Arial"/>
          <w:noProof w:val="0"/>
          <w:sz w:val="22"/>
          <w:szCs w:val="22"/>
          <w:lang w:val="en-GB"/>
        </w:rPr>
        <w:t xml:space="preserve"> globalisation’s opportunities. Understanding these dynamics is crucial for sustaining competitive advantage, optimising operations, and ensuring long-term success in the international business environment.</w:t>
      </w:r>
    </w:p>
    <w:p w:rsidR="00A0461A" w:rsidRDefault="00A0461A" w14:paraId="7C474CAB" w14:textId="039A435E"/>
    <w:p w:rsidR="55CB6E20" w:rsidP="7269CF6C" w:rsidRDefault="55CB6E20" w14:paraId="32EE2AB6" w14:textId="1A5E27D6">
      <w:pPr>
        <w:pStyle w:val="Heading2"/>
        <w:spacing w:before="299" w:beforeAutospacing="off" w:after="299" w:afterAutospacing="off"/>
        <w:rPr>
          <w:rFonts w:ascii="Arial" w:hAnsi="Arial" w:eastAsia="Arial" w:cs="Arial"/>
          <w:b w:val="1"/>
          <w:bCs w:val="1"/>
          <w:noProof w:val="0"/>
          <w:sz w:val="28"/>
          <w:szCs w:val="28"/>
          <w:lang w:val="en-GB"/>
        </w:rPr>
      </w:pPr>
    </w:p>
    <w:p w:rsidR="55CB6E20" w:rsidP="7269CF6C" w:rsidRDefault="55CB6E20" w14:paraId="6757AE52" w14:textId="7E213FB3">
      <w:pPr>
        <w:pStyle w:val="Heading2"/>
        <w:spacing w:before="299" w:beforeAutospacing="off" w:after="299" w:afterAutospacing="off"/>
        <w:rPr>
          <w:rFonts w:ascii="Arial" w:hAnsi="Arial" w:eastAsia="Arial" w:cs="Arial"/>
          <w:b w:val="1"/>
          <w:bCs w:val="1"/>
          <w:noProof w:val="0"/>
          <w:sz w:val="28"/>
          <w:szCs w:val="28"/>
          <w:lang w:val="en-GB"/>
        </w:rPr>
      </w:pPr>
    </w:p>
    <w:p w:rsidR="55CB6E20" w:rsidP="7269CF6C" w:rsidRDefault="55CB6E20" w14:paraId="31BF5B1B" w14:textId="718F6B91">
      <w:pPr>
        <w:pStyle w:val="Heading2"/>
        <w:spacing w:before="299" w:beforeAutospacing="off" w:after="299" w:afterAutospacing="off"/>
        <w:rPr>
          <w:rFonts w:ascii="Arial" w:hAnsi="Arial" w:eastAsia="Arial" w:cs="Arial"/>
          <w:b w:val="1"/>
          <w:bCs w:val="1"/>
          <w:noProof w:val="0"/>
          <w:sz w:val="28"/>
          <w:szCs w:val="28"/>
          <w:lang w:val="en-GB"/>
        </w:rPr>
      </w:pPr>
    </w:p>
    <w:p w:rsidR="55CB6E20" w:rsidP="7269CF6C" w:rsidRDefault="55CB6E20" w14:paraId="7D06D936" w14:textId="20E8B72B">
      <w:pPr>
        <w:pStyle w:val="Heading2"/>
        <w:spacing w:before="299" w:beforeAutospacing="off" w:after="299" w:afterAutospacing="off"/>
        <w:rPr>
          <w:rFonts w:ascii="Arial" w:hAnsi="Arial" w:eastAsia="Arial" w:cs="Arial"/>
          <w:b w:val="1"/>
          <w:bCs w:val="1"/>
          <w:noProof w:val="0"/>
          <w:sz w:val="28"/>
          <w:szCs w:val="28"/>
          <w:lang w:val="en-GB"/>
        </w:rPr>
      </w:pPr>
    </w:p>
    <w:p w:rsidR="55CB6E20" w:rsidP="7269CF6C" w:rsidRDefault="55CB6E20" w14:paraId="14EAFEEB" w14:textId="5FE9124A">
      <w:pPr>
        <w:pStyle w:val="Heading2"/>
        <w:spacing w:before="299" w:beforeAutospacing="off" w:after="299" w:afterAutospacing="off"/>
        <w:rPr>
          <w:rFonts w:ascii="Arial" w:hAnsi="Arial" w:eastAsia="Arial" w:cs="Arial"/>
          <w:b w:val="1"/>
          <w:bCs w:val="1"/>
          <w:noProof w:val="0"/>
          <w:sz w:val="28"/>
          <w:szCs w:val="28"/>
          <w:lang w:val="en-GB"/>
        </w:rPr>
      </w:pPr>
      <w:r w:rsidRPr="7269CF6C" w:rsidR="5CDB84B5">
        <w:rPr>
          <w:rFonts w:ascii="Arial" w:hAnsi="Arial" w:eastAsia="Arial" w:cs="Arial"/>
          <w:b w:val="1"/>
          <w:bCs w:val="1"/>
          <w:noProof w:val="0"/>
          <w:sz w:val="28"/>
          <w:szCs w:val="28"/>
          <w:lang w:val="en-GB"/>
        </w:rPr>
        <w:t>References</w:t>
      </w:r>
      <w:r w:rsidRPr="7269CF6C" w:rsidR="5CDB84B5">
        <w:rPr>
          <w:rFonts w:ascii="Arial" w:hAnsi="Arial" w:eastAsia="Arial" w:cs="Arial"/>
          <w:b w:val="1"/>
          <w:bCs w:val="1"/>
          <w:noProof w:val="0"/>
          <w:sz w:val="36"/>
          <w:szCs w:val="36"/>
          <w:lang w:val="en-GB"/>
        </w:rPr>
        <w:t xml:space="preserve"> </w:t>
      </w:r>
    </w:p>
    <w:p w:rsidR="16BAED6D" w:rsidP="55D3126F" w:rsidRDefault="16BAED6D" w14:paraId="3D9DF2FF" w14:textId="3FBD6FE8">
      <w:pPr>
        <w:pStyle w:val="Normal"/>
      </w:pPr>
      <w:r w:rsidRPr="55D3126F" w:rsidR="16BAED6D">
        <w:rPr>
          <w:rFonts w:ascii="Arial" w:hAnsi="Arial" w:eastAsia="Arial" w:cs="Arial"/>
          <w:noProof w:val="0"/>
          <w:sz w:val="24"/>
          <w:szCs w:val="24"/>
          <w:lang w:val="en-GB"/>
        </w:rPr>
        <w:t xml:space="preserve">Bartlett, C.A. and Ghoshal, S. (1989) </w:t>
      </w:r>
      <w:r w:rsidRPr="55D3126F" w:rsidR="16BAED6D">
        <w:rPr>
          <w:rFonts w:ascii="Arial" w:hAnsi="Arial" w:eastAsia="Arial" w:cs="Arial"/>
          <w:i w:val="1"/>
          <w:iCs w:val="1"/>
          <w:noProof w:val="0"/>
          <w:sz w:val="24"/>
          <w:szCs w:val="24"/>
          <w:lang w:val="en-GB"/>
        </w:rPr>
        <w:t>Managing across borders: The transnational solution</w:t>
      </w:r>
      <w:r w:rsidRPr="55D3126F" w:rsidR="16BAED6D">
        <w:rPr>
          <w:rFonts w:ascii="Arial" w:hAnsi="Arial" w:eastAsia="Arial" w:cs="Arial"/>
          <w:noProof w:val="0"/>
          <w:sz w:val="24"/>
          <w:szCs w:val="24"/>
          <w:lang w:val="en-GB"/>
        </w:rPr>
        <w:t>. Boston, MA: Harvard Business School Press.</w:t>
      </w:r>
    </w:p>
    <w:p w:rsidR="411FF1E4" w:rsidP="00A0461A" w:rsidRDefault="411FF1E4" w14:paraId="525B3CC5" w14:textId="68B57CCA">
      <w:pPr>
        <w:spacing w:before="240" w:beforeAutospacing="off" w:after="240" w:afterAutospacing="off"/>
      </w:pPr>
      <w:r w:rsidRPr="00A0461A" w:rsidR="411FF1E4">
        <w:rPr>
          <w:rFonts w:ascii="Arial" w:hAnsi="Arial" w:eastAsia="Arial" w:cs="Arial"/>
          <w:noProof w:val="0"/>
          <w:sz w:val="22"/>
          <w:szCs w:val="22"/>
          <w:lang w:val="en-GB"/>
        </w:rPr>
        <w:t xml:space="preserve">Cavusgil, S., Knight, G. &amp; Riesenberger, J., 2014. </w:t>
      </w:r>
      <w:r w:rsidRPr="00A0461A" w:rsidR="411FF1E4">
        <w:rPr>
          <w:rFonts w:ascii="Arial" w:hAnsi="Arial" w:eastAsia="Arial" w:cs="Arial"/>
          <w:i w:val="1"/>
          <w:iCs w:val="1"/>
          <w:noProof w:val="0"/>
          <w:sz w:val="22"/>
          <w:szCs w:val="22"/>
          <w:lang w:val="en-GB"/>
        </w:rPr>
        <w:t>International Business: Strategy, Management, and the New Realities</w:t>
      </w:r>
      <w:r w:rsidRPr="00A0461A" w:rsidR="411FF1E4">
        <w:rPr>
          <w:rFonts w:ascii="Arial" w:hAnsi="Arial" w:eastAsia="Arial" w:cs="Arial"/>
          <w:noProof w:val="0"/>
          <w:sz w:val="22"/>
          <w:szCs w:val="22"/>
          <w:lang w:val="en-GB"/>
        </w:rPr>
        <w:t>. 3rd ed. Pearson.</w:t>
      </w:r>
    </w:p>
    <w:p w:rsidR="411FF1E4" w:rsidP="00A0461A" w:rsidRDefault="411FF1E4" w14:paraId="67487B49" w14:textId="3C8752FE">
      <w:pPr>
        <w:spacing w:before="240" w:beforeAutospacing="off" w:after="240" w:afterAutospacing="off"/>
      </w:pPr>
      <w:r w:rsidRPr="00A0461A" w:rsidR="411FF1E4">
        <w:rPr>
          <w:rFonts w:ascii="Arial" w:hAnsi="Arial" w:eastAsia="Arial" w:cs="Arial"/>
          <w:noProof w:val="0"/>
          <w:sz w:val="22"/>
          <w:szCs w:val="22"/>
          <w:lang w:val="en-GB"/>
        </w:rPr>
        <w:t xml:space="preserve">Ghemawat, P., 2007. </w:t>
      </w:r>
      <w:r w:rsidRPr="00A0461A" w:rsidR="411FF1E4">
        <w:rPr>
          <w:rFonts w:ascii="Arial" w:hAnsi="Arial" w:eastAsia="Arial" w:cs="Arial"/>
          <w:i w:val="1"/>
          <w:iCs w:val="1"/>
          <w:noProof w:val="0"/>
          <w:sz w:val="22"/>
          <w:szCs w:val="22"/>
          <w:lang w:val="en-GB"/>
        </w:rPr>
        <w:t>Redefining Global Strategy</w:t>
      </w:r>
      <w:r w:rsidRPr="00A0461A" w:rsidR="411FF1E4">
        <w:rPr>
          <w:rFonts w:ascii="Arial" w:hAnsi="Arial" w:eastAsia="Arial" w:cs="Arial"/>
          <w:noProof w:val="0"/>
          <w:sz w:val="22"/>
          <w:szCs w:val="22"/>
          <w:lang w:val="en-GB"/>
        </w:rPr>
        <w:t>. Harvard Business Press.</w:t>
      </w:r>
    </w:p>
    <w:p w:rsidR="411FF1E4" w:rsidP="00A0461A" w:rsidRDefault="411FF1E4" w14:paraId="767610B4" w14:textId="2A62E2FD">
      <w:pPr>
        <w:spacing w:before="240" w:beforeAutospacing="off" w:after="240" w:afterAutospacing="off"/>
      </w:pPr>
      <w:r w:rsidRPr="00A0461A" w:rsidR="411FF1E4">
        <w:rPr>
          <w:rFonts w:ascii="Arial" w:hAnsi="Arial" w:eastAsia="Arial" w:cs="Arial"/>
          <w:noProof w:val="0"/>
          <w:sz w:val="22"/>
          <w:szCs w:val="22"/>
          <w:lang w:val="en-GB"/>
        </w:rPr>
        <w:t xml:space="preserve">Hill, C., 2020. </w:t>
      </w:r>
      <w:r w:rsidRPr="00A0461A" w:rsidR="411FF1E4">
        <w:rPr>
          <w:rFonts w:ascii="Arial" w:hAnsi="Arial" w:eastAsia="Arial" w:cs="Arial"/>
          <w:i w:val="1"/>
          <w:iCs w:val="1"/>
          <w:noProof w:val="0"/>
          <w:sz w:val="22"/>
          <w:szCs w:val="22"/>
          <w:lang w:val="en-GB"/>
        </w:rPr>
        <w:t>International Business: Competing in the Global Marketplace</w:t>
      </w:r>
      <w:r w:rsidRPr="00A0461A" w:rsidR="411FF1E4">
        <w:rPr>
          <w:rFonts w:ascii="Arial" w:hAnsi="Arial" w:eastAsia="Arial" w:cs="Arial"/>
          <w:noProof w:val="0"/>
          <w:sz w:val="22"/>
          <w:szCs w:val="22"/>
          <w:lang w:val="en-GB"/>
        </w:rPr>
        <w:t>. 12th ed. McGraw-Hill.</w:t>
      </w:r>
    </w:p>
    <w:p w:rsidR="411FF1E4" w:rsidP="00A0461A" w:rsidRDefault="411FF1E4" w14:paraId="14E7458B" w14:textId="7ACE11A8">
      <w:pPr>
        <w:spacing w:before="240" w:beforeAutospacing="off" w:after="240" w:afterAutospacing="off"/>
      </w:pPr>
      <w:r w:rsidRPr="00A0461A" w:rsidR="411FF1E4">
        <w:rPr>
          <w:rFonts w:ascii="Arial" w:hAnsi="Arial" w:eastAsia="Arial" w:cs="Arial"/>
          <w:noProof w:val="0"/>
          <w:sz w:val="22"/>
          <w:szCs w:val="22"/>
          <w:lang w:val="en-GB"/>
        </w:rPr>
        <w:t xml:space="preserve">Mendelow, A., 1991. </w:t>
      </w:r>
      <w:r w:rsidRPr="00A0461A" w:rsidR="411FF1E4">
        <w:rPr>
          <w:rFonts w:ascii="Arial" w:hAnsi="Arial" w:eastAsia="Arial" w:cs="Arial"/>
          <w:i w:val="1"/>
          <w:iCs w:val="1"/>
          <w:noProof w:val="0"/>
          <w:sz w:val="22"/>
          <w:szCs w:val="22"/>
          <w:lang w:val="en-GB"/>
        </w:rPr>
        <w:t>Stakeholder Mapping</w:t>
      </w:r>
      <w:r w:rsidRPr="00A0461A" w:rsidR="411FF1E4">
        <w:rPr>
          <w:rFonts w:ascii="Arial" w:hAnsi="Arial" w:eastAsia="Arial" w:cs="Arial"/>
          <w:noProof w:val="0"/>
          <w:sz w:val="22"/>
          <w:szCs w:val="22"/>
          <w:lang w:val="en-GB"/>
        </w:rPr>
        <w:t>. London: Institute of Strategic Management.</w:t>
      </w:r>
    </w:p>
    <w:p w:rsidR="411FF1E4" w:rsidP="00A0461A" w:rsidRDefault="411FF1E4" w14:paraId="2C41C8C8" w14:textId="2992CD97">
      <w:pPr>
        <w:spacing w:before="240" w:beforeAutospacing="off" w:after="240" w:afterAutospacing="off"/>
      </w:pPr>
      <w:r w:rsidRPr="00A0461A" w:rsidR="411FF1E4">
        <w:rPr>
          <w:rFonts w:ascii="Arial" w:hAnsi="Arial" w:eastAsia="Arial" w:cs="Arial"/>
          <w:noProof w:val="0"/>
          <w:sz w:val="22"/>
          <w:szCs w:val="22"/>
          <w:lang w:val="en-GB"/>
        </w:rPr>
        <w:t xml:space="preserve">Porter, M.E., 1990. </w:t>
      </w:r>
      <w:r w:rsidRPr="00A0461A" w:rsidR="411FF1E4">
        <w:rPr>
          <w:rFonts w:ascii="Arial" w:hAnsi="Arial" w:eastAsia="Arial" w:cs="Arial"/>
          <w:i w:val="1"/>
          <w:iCs w:val="1"/>
          <w:noProof w:val="0"/>
          <w:sz w:val="22"/>
          <w:szCs w:val="22"/>
          <w:lang w:val="en-GB"/>
        </w:rPr>
        <w:t>The Competitive Advantage of Nations</w:t>
      </w:r>
      <w:r w:rsidRPr="00A0461A" w:rsidR="411FF1E4">
        <w:rPr>
          <w:rFonts w:ascii="Arial" w:hAnsi="Arial" w:eastAsia="Arial" w:cs="Arial"/>
          <w:noProof w:val="0"/>
          <w:sz w:val="22"/>
          <w:szCs w:val="22"/>
          <w:lang w:val="en-GB"/>
        </w:rPr>
        <w:t>. Free Press.</w:t>
      </w:r>
    </w:p>
    <w:p w:rsidR="411FF1E4" w:rsidP="00A0461A" w:rsidRDefault="411FF1E4" w14:paraId="32D1C29F" w14:textId="6F7D8D89">
      <w:pPr>
        <w:spacing w:before="240" w:beforeAutospacing="off" w:after="240" w:afterAutospacing="off"/>
      </w:pPr>
      <w:r w:rsidRPr="00A0461A" w:rsidR="411FF1E4">
        <w:rPr>
          <w:rFonts w:ascii="Arial" w:hAnsi="Arial" w:eastAsia="Arial" w:cs="Arial"/>
          <w:noProof w:val="0"/>
          <w:sz w:val="22"/>
          <w:szCs w:val="22"/>
          <w:lang w:val="en-GB"/>
        </w:rPr>
        <w:t xml:space="preserve">Prahalad, C. &amp; Hamel, G., 1990. The Core Competence of the Corporation. </w:t>
      </w:r>
      <w:r w:rsidRPr="00A0461A" w:rsidR="411FF1E4">
        <w:rPr>
          <w:rFonts w:ascii="Arial" w:hAnsi="Arial" w:eastAsia="Arial" w:cs="Arial"/>
          <w:i w:val="1"/>
          <w:iCs w:val="1"/>
          <w:noProof w:val="0"/>
          <w:sz w:val="22"/>
          <w:szCs w:val="22"/>
          <w:lang w:val="en-GB"/>
        </w:rPr>
        <w:t>Harvard Business Review</w:t>
      </w:r>
      <w:r w:rsidRPr="00A0461A" w:rsidR="411FF1E4">
        <w:rPr>
          <w:rFonts w:ascii="Arial" w:hAnsi="Arial" w:eastAsia="Arial" w:cs="Arial"/>
          <w:noProof w:val="0"/>
          <w:sz w:val="22"/>
          <w:szCs w:val="22"/>
          <w:lang w:val="en-GB"/>
        </w:rPr>
        <w:t>, 68(3), pp.79–91.</w:t>
      </w:r>
    </w:p>
    <w:p w:rsidR="411FF1E4" w:rsidP="00A0461A" w:rsidRDefault="411FF1E4" w14:paraId="1001529B" w14:textId="77B03B78">
      <w:pPr>
        <w:spacing w:before="240" w:beforeAutospacing="off" w:after="240" w:afterAutospacing="off"/>
      </w:pPr>
      <w:r w:rsidRPr="00A0461A" w:rsidR="411FF1E4">
        <w:rPr>
          <w:rFonts w:ascii="Arial" w:hAnsi="Arial" w:eastAsia="Arial" w:cs="Arial"/>
          <w:noProof w:val="0"/>
          <w:sz w:val="22"/>
          <w:szCs w:val="22"/>
          <w:lang w:val="en-GB"/>
        </w:rPr>
        <w:t xml:space="preserve">Rugman, A. &amp; Collinson, S., 2012. </w:t>
      </w:r>
      <w:r w:rsidRPr="00A0461A" w:rsidR="411FF1E4">
        <w:rPr>
          <w:rFonts w:ascii="Arial" w:hAnsi="Arial" w:eastAsia="Arial" w:cs="Arial"/>
          <w:i w:val="1"/>
          <w:iCs w:val="1"/>
          <w:noProof w:val="0"/>
          <w:sz w:val="22"/>
          <w:szCs w:val="22"/>
          <w:lang w:val="en-GB"/>
        </w:rPr>
        <w:t>International Business</w:t>
      </w:r>
      <w:r w:rsidRPr="00A0461A" w:rsidR="411FF1E4">
        <w:rPr>
          <w:rFonts w:ascii="Arial" w:hAnsi="Arial" w:eastAsia="Arial" w:cs="Arial"/>
          <w:noProof w:val="0"/>
          <w:sz w:val="22"/>
          <w:szCs w:val="22"/>
          <w:lang w:val="en-GB"/>
        </w:rPr>
        <w:t>. 6th ed. Harlow: Pearson.</w:t>
      </w:r>
    </w:p>
    <w:p w:rsidR="411FF1E4" w:rsidP="00A0461A" w:rsidRDefault="411FF1E4" w14:paraId="71DCFE3F" w14:textId="1E44C49B">
      <w:pPr>
        <w:spacing w:before="240" w:beforeAutospacing="off" w:after="240" w:afterAutospacing="off"/>
      </w:pPr>
      <w:r w:rsidRPr="00A0461A" w:rsidR="411FF1E4">
        <w:rPr>
          <w:rFonts w:ascii="Arial" w:hAnsi="Arial" w:eastAsia="Arial" w:cs="Arial"/>
          <w:noProof w:val="0"/>
          <w:sz w:val="22"/>
          <w:szCs w:val="22"/>
          <w:lang w:val="en-GB"/>
        </w:rPr>
        <w:t xml:space="preserve">Unilever PLC, 2023. </w:t>
      </w:r>
      <w:r w:rsidRPr="00A0461A" w:rsidR="411FF1E4">
        <w:rPr>
          <w:rFonts w:ascii="Arial" w:hAnsi="Arial" w:eastAsia="Arial" w:cs="Arial"/>
          <w:i w:val="1"/>
          <w:iCs w:val="1"/>
          <w:noProof w:val="0"/>
          <w:sz w:val="22"/>
          <w:szCs w:val="22"/>
          <w:lang w:val="en-GB"/>
        </w:rPr>
        <w:t>Annual Report and Accounts 2023</w:t>
      </w:r>
      <w:r w:rsidRPr="00A0461A" w:rsidR="411FF1E4">
        <w:rPr>
          <w:rFonts w:ascii="Arial" w:hAnsi="Arial" w:eastAsia="Arial" w:cs="Arial"/>
          <w:noProof w:val="0"/>
          <w:sz w:val="22"/>
          <w:szCs w:val="22"/>
          <w:lang w:val="en-GB"/>
        </w:rPr>
        <w:t xml:space="preserve">. [online] Available at: </w:t>
      </w:r>
      <w:hyperlink r:id="R94a362cb0aca495d">
        <w:r w:rsidRPr="00A0461A" w:rsidR="411FF1E4">
          <w:rPr>
            <w:rStyle w:val="Hyperlink"/>
            <w:rFonts w:ascii="Arial" w:hAnsi="Arial" w:eastAsia="Arial" w:cs="Arial"/>
            <w:noProof w:val="0"/>
            <w:sz w:val="22"/>
            <w:szCs w:val="22"/>
            <w:lang w:val="en-GB"/>
          </w:rPr>
          <w:t>https://www.unilever.com/investor-relations/</w:t>
        </w:r>
      </w:hyperlink>
      <w:r w:rsidRPr="00A0461A" w:rsidR="411FF1E4">
        <w:rPr>
          <w:rFonts w:ascii="Arial" w:hAnsi="Arial" w:eastAsia="Arial" w:cs="Arial"/>
          <w:noProof w:val="0"/>
          <w:sz w:val="22"/>
          <w:szCs w:val="22"/>
          <w:lang w:val="en-GB"/>
        </w:rPr>
        <w:t xml:space="preserve"> [Accessed 17 Feb 2026].</w:t>
      </w:r>
    </w:p>
    <w:p w:rsidR="411FF1E4" w:rsidP="00A0461A" w:rsidRDefault="411FF1E4" w14:paraId="32C3D1BD" w14:textId="06CE5E6B">
      <w:pPr>
        <w:spacing w:before="240" w:beforeAutospacing="off" w:after="240" w:afterAutospacing="off"/>
      </w:pPr>
      <w:r w:rsidRPr="00A0461A" w:rsidR="411FF1E4">
        <w:rPr>
          <w:rFonts w:ascii="Arial" w:hAnsi="Arial" w:eastAsia="Arial" w:cs="Arial"/>
          <w:noProof w:val="0"/>
          <w:sz w:val="22"/>
          <w:szCs w:val="22"/>
          <w:lang w:val="en-GB"/>
        </w:rPr>
        <w:t xml:space="preserve">WTO, 2022. </w:t>
      </w:r>
      <w:r w:rsidRPr="00A0461A" w:rsidR="411FF1E4">
        <w:rPr>
          <w:rFonts w:ascii="Arial" w:hAnsi="Arial" w:eastAsia="Arial" w:cs="Arial"/>
          <w:i w:val="1"/>
          <w:iCs w:val="1"/>
          <w:noProof w:val="0"/>
          <w:sz w:val="22"/>
          <w:szCs w:val="22"/>
          <w:lang w:val="en-GB"/>
        </w:rPr>
        <w:t>World Trade Report 2022</w:t>
      </w:r>
      <w:r w:rsidRPr="00A0461A" w:rsidR="411FF1E4">
        <w:rPr>
          <w:rFonts w:ascii="Arial" w:hAnsi="Arial" w:eastAsia="Arial" w:cs="Arial"/>
          <w:noProof w:val="0"/>
          <w:sz w:val="22"/>
          <w:szCs w:val="22"/>
          <w:lang w:val="en-GB"/>
        </w:rPr>
        <w:t xml:space="preserve">. [online] Available at: </w:t>
      </w:r>
      <w:hyperlink r:id="R3ccb888cb297438e">
        <w:r w:rsidRPr="00A0461A" w:rsidR="411FF1E4">
          <w:rPr>
            <w:rStyle w:val="Hyperlink"/>
            <w:rFonts w:ascii="Arial" w:hAnsi="Arial" w:eastAsia="Arial" w:cs="Arial"/>
            <w:noProof w:val="0"/>
            <w:sz w:val="22"/>
            <w:szCs w:val="22"/>
            <w:lang w:val="en-GB"/>
          </w:rPr>
          <w:t>https://www.wto.org/</w:t>
        </w:r>
      </w:hyperlink>
      <w:r w:rsidRPr="00A0461A" w:rsidR="411FF1E4">
        <w:rPr>
          <w:rFonts w:ascii="Arial" w:hAnsi="Arial" w:eastAsia="Arial" w:cs="Arial"/>
          <w:noProof w:val="0"/>
          <w:sz w:val="22"/>
          <w:szCs w:val="22"/>
          <w:lang w:val="en-GB"/>
        </w:rPr>
        <w:t xml:space="preserve"> [Accessed 17 Feb 2026].</w:t>
      </w:r>
    </w:p>
    <w:p w:rsidR="00A0461A" w:rsidP="00A0461A" w:rsidRDefault="00A0461A" w14:paraId="2FE63FAB" w14:textId="6ABD953F">
      <w:pPr>
        <w:rPr>
          <w:color w:val="auto"/>
          <w:sz w:val="22"/>
          <w:szCs w:val="22"/>
        </w:rPr>
      </w:pPr>
    </w:p>
    <w:p w:rsidR="55D3126F" w:rsidP="55D3126F" w:rsidRDefault="55D3126F" w14:paraId="14801DC9" w14:textId="3413F0A5">
      <w:pPr>
        <w:rPr>
          <w:color w:val="auto"/>
          <w:sz w:val="22"/>
          <w:szCs w:val="22"/>
        </w:rPr>
      </w:pPr>
    </w:p>
    <w:p w:rsidR="55D3126F" w:rsidP="55D3126F" w:rsidRDefault="55D3126F" w14:paraId="061D5E7D" w14:textId="1AD27E2F">
      <w:pPr>
        <w:spacing w:before="240" w:beforeAutospacing="off" w:after="240" w:afterAutospacing="off"/>
        <w:rPr>
          <w:rFonts w:ascii="Arial" w:hAnsi="Arial" w:eastAsia="Arial" w:cs="Arial"/>
          <w:noProof w:val="0"/>
          <w:sz w:val="22"/>
          <w:szCs w:val="22"/>
          <w:lang w:val="en-GB"/>
        </w:rPr>
      </w:pPr>
    </w:p>
    <w:p w:rsidR="55D3126F" w:rsidP="55D3126F" w:rsidRDefault="55D3126F" w14:paraId="3E219F33" w14:textId="06093FF6">
      <w:pPr>
        <w:spacing w:before="240" w:beforeAutospacing="off" w:after="240" w:afterAutospacing="off"/>
        <w:rPr>
          <w:rFonts w:ascii="Arial" w:hAnsi="Arial" w:eastAsia="Arial" w:cs="Arial"/>
          <w:noProof w:val="0"/>
          <w:sz w:val="22"/>
          <w:szCs w:val="22"/>
          <w:lang w:val="en-GB"/>
        </w:rPr>
      </w:pPr>
    </w:p>
    <w:p w:rsidR="55D3126F" w:rsidP="55D3126F" w:rsidRDefault="55D3126F" w14:paraId="0859A604" w14:textId="3E6C5E37">
      <w:pPr>
        <w:spacing w:before="240" w:beforeAutospacing="off" w:after="240" w:afterAutospacing="off"/>
        <w:rPr>
          <w:rFonts w:ascii="Arial" w:hAnsi="Arial" w:eastAsia="Arial" w:cs="Arial"/>
          <w:noProof w:val="0"/>
          <w:sz w:val="22"/>
          <w:szCs w:val="22"/>
          <w:lang w:val="en-GB"/>
        </w:rPr>
      </w:pPr>
    </w:p>
    <w:p w:rsidR="55D3126F" w:rsidP="55D3126F" w:rsidRDefault="55D3126F" w14:paraId="0D94C33F" w14:textId="57D2B3F0">
      <w:pPr>
        <w:spacing w:before="240" w:beforeAutospacing="off" w:after="240" w:afterAutospacing="off"/>
        <w:rPr>
          <w:rFonts w:ascii="Arial" w:hAnsi="Arial" w:eastAsia="Arial" w:cs="Arial"/>
          <w:noProof w:val="0"/>
          <w:sz w:val="22"/>
          <w:szCs w:val="22"/>
          <w:lang w:val="en-GB"/>
        </w:rPr>
      </w:pPr>
    </w:p>
    <w:p w:rsidR="55D3126F" w:rsidP="55D3126F" w:rsidRDefault="55D3126F" w14:paraId="74A97EAC" w14:textId="0AC71906">
      <w:pPr>
        <w:spacing w:before="240" w:beforeAutospacing="off" w:after="240" w:afterAutospacing="off"/>
        <w:rPr>
          <w:rFonts w:ascii="Arial" w:hAnsi="Arial" w:eastAsia="Arial" w:cs="Arial"/>
          <w:noProof w:val="0"/>
          <w:sz w:val="22"/>
          <w:szCs w:val="22"/>
          <w:lang w:val="en-GB"/>
        </w:rPr>
      </w:pPr>
    </w:p>
    <w:p w:rsidR="6FACC0FA" w:rsidP="2353704F" w:rsidRDefault="6FACC0FA" w14:paraId="1E260C6C" w14:textId="6CAB65BB">
      <w:pPr>
        <w:spacing w:before="240" w:beforeAutospacing="off" w:after="240" w:afterAutospacing="off"/>
        <w:rPr>
          <w:rFonts w:ascii="Arial" w:hAnsi="Arial" w:eastAsia="Arial" w:cs="Arial"/>
          <w:noProof w:val="0"/>
          <w:sz w:val="22"/>
          <w:szCs w:val="22"/>
          <w:lang w:val="en-GB"/>
        </w:rPr>
      </w:pPr>
    </w:p>
    <w:p w:rsidR="55D3126F" w:rsidRDefault="55D3126F" w14:paraId="2FF802D0" w14:textId="5EFAB403"/>
    <w:p w:rsidR="6FACC0FA" w:rsidP="2353704F" w:rsidRDefault="6FACC0FA" w14:paraId="7E54002A" w14:textId="3F50C7D3">
      <w:pPr>
        <w:pStyle w:val="Heading3"/>
        <w:spacing w:before="299" w:beforeAutospacing="off" w:after="299" w:afterAutospacing="off"/>
        <w:rPr>
          <w:rFonts w:ascii="Arial" w:hAnsi="Arial" w:eastAsia="Arial" w:cs="Arial"/>
          <w:b w:val="1"/>
          <w:bCs w:val="1"/>
          <w:noProof w:val="0"/>
          <w:sz w:val="36"/>
          <w:szCs w:val="36"/>
          <w:lang w:val="en-GB"/>
        </w:rPr>
      </w:pPr>
    </w:p>
    <w:p w:rsidR="55D3126F" w:rsidP="55D3126F" w:rsidRDefault="55D3126F" w14:paraId="326BABE6" w14:textId="70766CA1">
      <w:pPr>
        <w:rPr>
          <w:color w:val="auto"/>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r0PA7pVDcXayiz" int2:id="SnstdgiZ">
      <int2:state int2:type="spell" int2:value="Rejected"/>
    </int2:textHash>
    <int2:textHash int2:hashCode="3HRPk7ElccoSab" int2:id="hEvhdjCY">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ae519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4E7DF3"/>
    <w:rsid w:val="00A0461A"/>
    <w:rsid w:val="05BF738C"/>
    <w:rsid w:val="061E3675"/>
    <w:rsid w:val="063D2F04"/>
    <w:rsid w:val="068091F8"/>
    <w:rsid w:val="07CF8A22"/>
    <w:rsid w:val="08005627"/>
    <w:rsid w:val="08C74FE1"/>
    <w:rsid w:val="0FB43FC2"/>
    <w:rsid w:val="102CE58A"/>
    <w:rsid w:val="1146FC43"/>
    <w:rsid w:val="134A3325"/>
    <w:rsid w:val="13AA2A2A"/>
    <w:rsid w:val="14119ACA"/>
    <w:rsid w:val="144BDF8A"/>
    <w:rsid w:val="168AE56C"/>
    <w:rsid w:val="16BAED6D"/>
    <w:rsid w:val="188F0D0E"/>
    <w:rsid w:val="194022A0"/>
    <w:rsid w:val="19409F02"/>
    <w:rsid w:val="1944A7E9"/>
    <w:rsid w:val="1B5A93D1"/>
    <w:rsid w:val="1BC864B6"/>
    <w:rsid w:val="1BFC8222"/>
    <w:rsid w:val="1DC788C0"/>
    <w:rsid w:val="1DEB3814"/>
    <w:rsid w:val="2262CC4F"/>
    <w:rsid w:val="2353704F"/>
    <w:rsid w:val="2396EE31"/>
    <w:rsid w:val="27993FC2"/>
    <w:rsid w:val="28DED981"/>
    <w:rsid w:val="29749D9B"/>
    <w:rsid w:val="29A1CCE6"/>
    <w:rsid w:val="2A628BD9"/>
    <w:rsid w:val="2C3CAE4D"/>
    <w:rsid w:val="2CD568B8"/>
    <w:rsid w:val="2FB2F7BE"/>
    <w:rsid w:val="32F6244D"/>
    <w:rsid w:val="33302549"/>
    <w:rsid w:val="35534DD8"/>
    <w:rsid w:val="3600875B"/>
    <w:rsid w:val="3659AA02"/>
    <w:rsid w:val="3F053319"/>
    <w:rsid w:val="3F0B91E7"/>
    <w:rsid w:val="402B9A4F"/>
    <w:rsid w:val="407FF870"/>
    <w:rsid w:val="411FF1E4"/>
    <w:rsid w:val="43CEBB0C"/>
    <w:rsid w:val="44887F0F"/>
    <w:rsid w:val="44A7A0AF"/>
    <w:rsid w:val="48C2712D"/>
    <w:rsid w:val="48DCDAD1"/>
    <w:rsid w:val="4A9C7166"/>
    <w:rsid w:val="4CEA9B07"/>
    <w:rsid w:val="4CF8004E"/>
    <w:rsid w:val="4D6756FF"/>
    <w:rsid w:val="4E58EB12"/>
    <w:rsid w:val="4F95945F"/>
    <w:rsid w:val="524DC7C7"/>
    <w:rsid w:val="55CB6E20"/>
    <w:rsid w:val="55D3126F"/>
    <w:rsid w:val="55E259C5"/>
    <w:rsid w:val="594E7DF3"/>
    <w:rsid w:val="596E8467"/>
    <w:rsid w:val="5A0B3B30"/>
    <w:rsid w:val="5B892A1F"/>
    <w:rsid w:val="5C4E2373"/>
    <w:rsid w:val="5CDB84B5"/>
    <w:rsid w:val="5D1BFEBC"/>
    <w:rsid w:val="5EB5D446"/>
    <w:rsid w:val="6434EF5D"/>
    <w:rsid w:val="6617453E"/>
    <w:rsid w:val="67A01FB8"/>
    <w:rsid w:val="68D35DC2"/>
    <w:rsid w:val="69B631D9"/>
    <w:rsid w:val="6AF343D2"/>
    <w:rsid w:val="6B11DF54"/>
    <w:rsid w:val="6C25C5FF"/>
    <w:rsid w:val="6D896131"/>
    <w:rsid w:val="6DB2A581"/>
    <w:rsid w:val="6F430A9E"/>
    <w:rsid w:val="6FACC0FA"/>
    <w:rsid w:val="70EE808C"/>
    <w:rsid w:val="7170E56B"/>
    <w:rsid w:val="7269CF6C"/>
    <w:rsid w:val="72A84D7B"/>
    <w:rsid w:val="75EC69BE"/>
    <w:rsid w:val="774C407C"/>
    <w:rsid w:val="79A94EA6"/>
    <w:rsid w:val="7B046FDF"/>
    <w:rsid w:val="7BA6B97A"/>
    <w:rsid w:val="7D7DC98A"/>
    <w:rsid w:val="7D861388"/>
    <w:rsid w:val="7F8AC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82EDD"/>
  <w15:chartTrackingRefBased/>
  <w15:docId w15:val="{88A2BD92-E988-4BE2-958A-A9650A7483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0A0461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0A0461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0A0461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0A0461A"/>
    <w:pPr>
      <w:spacing/>
      <w:ind w:left="720"/>
      <w:contextualSpacing/>
    </w:pPr>
  </w:style>
  <w:style w:type="character" w:styleId="Hyperlink">
    <w:uiPriority w:val="99"/>
    <w:name w:val="Hyperlink"/>
    <w:basedOn w:val="DefaultParagraphFont"/>
    <w:unhideWhenUsed/>
    <w:rsid w:val="00A0461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unilever.com/investor-relations/" TargetMode="External" Id="R94a362cb0aca495d" /><Relationship Type="http://schemas.openxmlformats.org/officeDocument/2006/relationships/hyperlink" Target="https://www.wto.org/" TargetMode="External" Id="R3ccb888cb297438e" /><Relationship Type="http://schemas.microsoft.com/office/2020/10/relationships/intelligence" Target="/word/intelligence2.xml" Id="R788ae086908941f4" /><Relationship Type="http://schemas.openxmlformats.org/officeDocument/2006/relationships/numbering" Target="/word/numbering.xml" Id="R1d23308279e84c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Shamima Akter Rumi (2223220)</dc:creator>
  <keywords/>
  <dc:description/>
  <lastModifiedBy>Shamima Akter Rumi (2223220)</lastModifiedBy>
  <revision>7</revision>
  <dcterms:created xsi:type="dcterms:W3CDTF">2026-02-17T13:23:51.2193637Z</dcterms:created>
  <dcterms:modified xsi:type="dcterms:W3CDTF">2026-03-26T07:29:38.1131734Z</dcterms:modified>
</coreProperties>
</file>