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2280B" w:rsidRPr="00CC2387" w:rsidRDefault="0042280B" w:rsidP="00CC2387">
      <w:pPr>
        <w:spacing w:line="360" w:lineRule="auto"/>
        <w:jc w:val="center"/>
        <w:rPr>
          <w:rFonts w:ascii="Arial" w:hAnsi="Arial" w:cs="Arial"/>
          <w:sz w:val="24"/>
          <w:szCs w:val="24"/>
        </w:rPr>
      </w:pPr>
      <w:proofErr w:type="spellStart"/>
      <w:r w:rsidRPr="00CC2387">
        <w:rPr>
          <w:rFonts w:ascii="Arial" w:hAnsi="Arial" w:cs="Arial"/>
          <w:sz w:val="24"/>
          <w:szCs w:val="24"/>
        </w:rPr>
        <w:t>Programme</w:t>
      </w:r>
      <w:proofErr w:type="spellEnd"/>
      <w:r w:rsidRPr="00CC2387">
        <w:rPr>
          <w:rFonts w:ascii="Arial" w:hAnsi="Arial" w:cs="Arial"/>
          <w:sz w:val="24"/>
          <w:szCs w:val="24"/>
        </w:rPr>
        <w:t>: BA in Business Management</w:t>
      </w:r>
    </w:p>
    <w:p w:rsidR="0042280B" w:rsidRPr="00CC2387" w:rsidRDefault="0042280B" w:rsidP="00CC2387">
      <w:pPr>
        <w:spacing w:line="360" w:lineRule="auto"/>
        <w:jc w:val="center"/>
        <w:rPr>
          <w:rFonts w:ascii="Arial" w:hAnsi="Arial" w:cs="Arial"/>
          <w:sz w:val="24"/>
          <w:szCs w:val="24"/>
        </w:rPr>
      </w:pPr>
      <w:r w:rsidRPr="00CC2387">
        <w:rPr>
          <w:rFonts w:ascii="Arial" w:hAnsi="Arial" w:cs="Arial"/>
          <w:sz w:val="24"/>
          <w:szCs w:val="24"/>
        </w:rPr>
        <w:t>Module: Project Management</w:t>
      </w:r>
    </w:p>
    <w:p w:rsidR="0042280B" w:rsidRPr="00CC2387" w:rsidRDefault="0042280B" w:rsidP="00CC2387">
      <w:pPr>
        <w:spacing w:line="360" w:lineRule="auto"/>
        <w:jc w:val="center"/>
        <w:rPr>
          <w:rFonts w:ascii="Arial" w:hAnsi="Arial" w:cs="Arial"/>
          <w:sz w:val="24"/>
          <w:szCs w:val="24"/>
        </w:rPr>
      </w:pPr>
      <w:r w:rsidRPr="00CC2387">
        <w:rPr>
          <w:rFonts w:ascii="Arial" w:hAnsi="Arial" w:cs="Arial"/>
          <w:sz w:val="24"/>
          <w:szCs w:val="24"/>
        </w:rPr>
        <w:t>Module code: LCBB5005</w:t>
      </w:r>
    </w:p>
    <w:p w:rsidR="00C80A35" w:rsidRPr="00CC2387" w:rsidRDefault="0042280B" w:rsidP="00C80A35">
      <w:pPr>
        <w:spacing w:line="360" w:lineRule="auto"/>
        <w:jc w:val="center"/>
        <w:rPr>
          <w:rFonts w:ascii="Arial" w:hAnsi="Arial" w:cs="Arial"/>
          <w:sz w:val="24"/>
          <w:szCs w:val="24"/>
        </w:rPr>
      </w:pPr>
      <w:r w:rsidRPr="00CC2387">
        <w:rPr>
          <w:rFonts w:ascii="Arial" w:hAnsi="Arial" w:cs="Arial"/>
          <w:sz w:val="24"/>
          <w:szCs w:val="24"/>
        </w:rPr>
        <w:t>NAME:</w:t>
      </w:r>
      <w:r w:rsidR="00C80A35">
        <w:rPr>
          <w:rFonts w:ascii="Arial" w:hAnsi="Arial" w:cs="Arial"/>
          <w:sz w:val="24"/>
          <w:szCs w:val="24"/>
        </w:rPr>
        <w:t xml:space="preserve"> Irina </w:t>
      </w:r>
      <w:proofErr w:type="spellStart"/>
      <w:r w:rsidR="00C80A35">
        <w:rPr>
          <w:rFonts w:ascii="Arial" w:hAnsi="Arial" w:cs="Arial"/>
          <w:sz w:val="24"/>
          <w:szCs w:val="24"/>
        </w:rPr>
        <w:t>Caraus</w:t>
      </w:r>
      <w:proofErr w:type="spellEnd"/>
    </w:p>
    <w:p w:rsidR="00E14DD3" w:rsidRDefault="0042280B" w:rsidP="00CC2387">
      <w:pPr>
        <w:spacing w:line="360" w:lineRule="auto"/>
        <w:jc w:val="center"/>
        <w:rPr>
          <w:rFonts w:ascii="Arial" w:hAnsi="Arial" w:cs="Arial"/>
          <w:sz w:val="24"/>
          <w:szCs w:val="24"/>
        </w:rPr>
      </w:pPr>
      <w:r w:rsidRPr="00CC2387">
        <w:rPr>
          <w:rFonts w:ascii="Arial" w:hAnsi="Arial" w:cs="Arial"/>
          <w:sz w:val="24"/>
          <w:szCs w:val="24"/>
        </w:rPr>
        <w:t xml:space="preserve">ID: </w:t>
      </w:r>
      <w:r w:rsidR="00C80A35">
        <w:rPr>
          <w:rFonts w:ascii="Arial" w:hAnsi="Arial" w:cs="Arial"/>
          <w:sz w:val="24"/>
          <w:szCs w:val="24"/>
        </w:rPr>
        <w:t>2114611</w:t>
      </w:r>
    </w:p>
    <w:p w:rsidR="00E14DD3" w:rsidRDefault="00E14DD3">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419795413"/>
        <w:docPartObj>
          <w:docPartGallery w:val="Table of Contents"/>
          <w:docPartUnique/>
        </w:docPartObj>
      </w:sdtPr>
      <w:sdtEndPr>
        <w:rPr>
          <w:b/>
          <w:bCs/>
          <w:noProof/>
        </w:rPr>
      </w:sdtEndPr>
      <w:sdtContent>
        <w:p w:rsidR="00E14DD3" w:rsidRDefault="00E14DD3">
          <w:pPr>
            <w:pStyle w:val="TOCHeading"/>
          </w:pPr>
          <w:r>
            <w:t>Table of Contents</w:t>
          </w:r>
        </w:p>
        <w:p w:rsidR="00E14DD3" w:rsidRDefault="00E14DD3">
          <w:pPr>
            <w:pStyle w:val="TOC1"/>
            <w:tabs>
              <w:tab w:val="right" w:leader="dot" w:pos="9350"/>
            </w:tabs>
            <w:rPr>
              <w:noProof/>
            </w:rPr>
          </w:pPr>
          <w:r>
            <w:fldChar w:fldCharType="begin"/>
          </w:r>
          <w:r>
            <w:instrText xml:space="preserve"> TOC \o "1-3" \h \z \u </w:instrText>
          </w:r>
          <w:r>
            <w:fldChar w:fldCharType="separate"/>
          </w:r>
          <w:hyperlink w:anchor="_Toc140022589" w:history="1">
            <w:r w:rsidRPr="000B5C22">
              <w:rPr>
                <w:rStyle w:val="Hyperlink"/>
                <w:rFonts w:ascii="Arial" w:hAnsi="Arial" w:cs="Arial"/>
                <w:noProof/>
              </w:rPr>
              <w:t>Part 01: Introduction</w:t>
            </w:r>
            <w:r>
              <w:rPr>
                <w:noProof/>
                <w:webHidden/>
              </w:rPr>
              <w:tab/>
            </w:r>
            <w:r>
              <w:rPr>
                <w:noProof/>
                <w:webHidden/>
              </w:rPr>
              <w:fldChar w:fldCharType="begin"/>
            </w:r>
            <w:r>
              <w:rPr>
                <w:noProof/>
                <w:webHidden/>
              </w:rPr>
              <w:instrText xml:space="preserve"> PAGEREF _Toc140022589 \h </w:instrText>
            </w:r>
            <w:r>
              <w:rPr>
                <w:noProof/>
                <w:webHidden/>
              </w:rPr>
            </w:r>
            <w:r>
              <w:rPr>
                <w:noProof/>
                <w:webHidden/>
              </w:rPr>
              <w:fldChar w:fldCharType="separate"/>
            </w:r>
            <w:r>
              <w:rPr>
                <w:noProof/>
                <w:webHidden/>
              </w:rPr>
              <w:t>3</w:t>
            </w:r>
            <w:r>
              <w:rPr>
                <w:noProof/>
                <w:webHidden/>
              </w:rPr>
              <w:fldChar w:fldCharType="end"/>
            </w:r>
          </w:hyperlink>
        </w:p>
        <w:p w:rsidR="00E14DD3" w:rsidRDefault="00F0022E">
          <w:pPr>
            <w:pStyle w:val="TOC1"/>
            <w:tabs>
              <w:tab w:val="right" w:leader="dot" w:pos="9350"/>
            </w:tabs>
            <w:rPr>
              <w:noProof/>
            </w:rPr>
          </w:pPr>
          <w:hyperlink w:anchor="_Toc140022590" w:history="1">
            <w:r w:rsidR="00E14DD3" w:rsidRPr="000B5C22">
              <w:rPr>
                <w:rStyle w:val="Hyperlink"/>
                <w:rFonts w:ascii="Arial" w:hAnsi="Arial" w:cs="Arial"/>
                <w:noProof/>
              </w:rPr>
              <w:t>Part 02: The Body</w:t>
            </w:r>
            <w:r w:rsidR="00E14DD3">
              <w:rPr>
                <w:noProof/>
                <w:webHidden/>
              </w:rPr>
              <w:tab/>
            </w:r>
            <w:r w:rsidR="00E14DD3">
              <w:rPr>
                <w:noProof/>
                <w:webHidden/>
              </w:rPr>
              <w:fldChar w:fldCharType="begin"/>
            </w:r>
            <w:r w:rsidR="00E14DD3">
              <w:rPr>
                <w:noProof/>
                <w:webHidden/>
              </w:rPr>
              <w:instrText xml:space="preserve"> PAGEREF _Toc140022590 \h </w:instrText>
            </w:r>
            <w:r w:rsidR="00E14DD3">
              <w:rPr>
                <w:noProof/>
                <w:webHidden/>
              </w:rPr>
            </w:r>
            <w:r w:rsidR="00E14DD3">
              <w:rPr>
                <w:noProof/>
                <w:webHidden/>
              </w:rPr>
              <w:fldChar w:fldCharType="separate"/>
            </w:r>
            <w:r w:rsidR="00E14DD3">
              <w:rPr>
                <w:noProof/>
                <w:webHidden/>
              </w:rPr>
              <w:t>3</w:t>
            </w:r>
            <w:r w:rsidR="00E14DD3">
              <w:rPr>
                <w:noProof/>
                <w:webHidden/>
              </w:rPr>
              <w:fldChar w:fldCharType="end"/>
            </w:r>
          </w:hyperlink>
        </w:p>
        <w:p w:rsidR="00E14DD3" w:rsidRDefault="00F0022E">
          <w:pPr>
            <w:pStyle w:val="TOC2"/>
            <w:tabs>
              <w:tab w:val="right" w:leader="dot" w:pos="9350"/>
            </w:tabs>
            <w:rPr>
              <w:noProof/>
            </w:rPr>
          </w:pPr>
          <w:hyperlink w:anchor="_Toc140022591" w:history="1">
            <w:r w:rsidR="00E14DD3" w:rsidRPr="000B5C22">
              <w:rPr>
                <w:rStyle w:val="Hyperlink"/>
                <w:rFonts w:ascii="Arial" w:hAnsi="Arial" w:cs="Arial"/>
                <w:noProof/>
              </w:rPr>
              <w:t>Section 1: Detailed Narrative on the Project's Current Progress</w:t>
            </w:r>
            <w:r w:rsidR="00E14DD3">
              <w:rPr>
                <w:noProof/>
                <w:webHidden/>
              </w:rPr>
              <w:tab/>
            </w:r>
            <w:r w:rsidR="00E14DD3">
              <w:rPr>
                <w:noProof/>
                <w:webHidden/>
              </w:rPr>
              <w:fldChar w:fldCharType="begin"/>
            </w:r>
            <w:r w:rsidR="00E14DD3">
              <w:rPr>
                <w:noProof/>
                <w:webHidden/>
              </w:rPr>
              <w:instrText xml:space="preserve"> PAGEREF _Toc140022591 \h </w:instrText>
            </w:r>
            <w:r w:rsidR="00E14DD3">
              <w:rPr>
                <w:noProof/>
                <w:webHidden/>
              </w:rPr>
            </w:r>
            <w:r w:rsidR="00E14DD3">
              <w:rPr>
                <w:noProof/>
                <w:webHidden/>
              </w:rPr>
              <w:fldChar w:fldCharType="separate"/>
            </w:r>
            <w:r w:rsidR="00E14DD3">
              <w:rPr>
                <w:noProof/>
                <w:webHidden/>
              </w:rPr>
              <w:t>3</w:t>
            </w:r>
            <w:r w:rsidR="00E14DD3">
              <w:rPr>
                <w:noProof/>
                <w:webHidden/>
              </w:rPr>
              <w:fldChar w:fldCharType="end"/>
            </w:r>
          </w:hyperlink>
        </w:p>
        <w:p w:rsidR="00E14DD3" w:rsidRDefault="00F0022E">
          <w:pPr>
            <w:pStyle w:val="TOC3"/>
            <w:tabs>
              <w:tab w:val="right" w:leader="dot" w:pos="9350"/>
            </w:tabs>
            <w:rPr>
              <w:noProof/>
            </w:rPr>
          </w:pPr>
          <w:hyperlink w:anchor="_Toc140022592" w:history="1">
            <w:r w:rsidR="00E14DD3" w:rsidRPr="000B5C22">
              <w:rPr>
                <w:rStyle w:val="Hyperlink"/>
                <w:rFonts w:ascii="Arial" w:hAnsi="Arial" w:cs="Arial"/>
                <w:noProof/>
              </w:rPr>
              <w:t>1.1 Budget Analysis: Evaluating Financial Sustainability</w:t>
            </w:r>
            <w:r w:rsidR="00E14DD3">
              <w:rPr>
                <w:noProof/>
                <w:webHidden/>
              </w:rPr>
              <w:tab/>
            </w:r>
            <w:r w:rsidR="00E14DD3">
              <w:rPr>
                <w:noProof/>
                <w:webHidden/>
              </w:rPr>
              <w:fldChar w:fldCharType="begin"/>
            </w:r>
            <w:r w:rsidR="00E14DD3">
              <w:rPr>
                <w:noProof/>
                <w:webHidden/>
              </w:rPr>
              <w:instrText xml:space="preserve"> PAGEREF _Toc140022592 \h </w:instrText>
            </w:r>
            <w:r w:rsidR="00E14DD3">
              <w:rPr>
                <w:noProof/>
                <w:webHidden/>
              </w:rPr>
            </w:r>
            <w:r w:rsidR="00E14DD3">
              <w:rPr>
                <w:noProof/>
                <w:webHidden/>
              </w:rPr>
              <w:fldChar w:fldCharType="separate"/>
            </w:r>
            <w:r w:rsidR="00E14DD3">
              <w:rPr>
                <w:noProof/>
                <w:webHidden/>
              </w:rPr>
              <w:t>3</w:t>
            </w:r>
            <w:r w:rsidR="00E14DD3">
              <w:rPr>
                <w:noProof/>
                <w:webHidden/>
              </w:rPr>
              <w:fldChar w:fldCharType="end"/>
            </w:r>
          </w:hyperlink>
        </w:p>
        <w:p w:rsidR="00E14DD3" w:rsidRDefault="00F0022E">
          <w:pPr>
            <w:pStyle w:val="TOC3"/>
            <w:tabs>
              <w:tab w:val="right" w:leader="dot" w:pos="9350"/>
            </w:tabs>
            <w:rPr>
              <w:noProof/>
            </w:rPr>
          </w:pPr>
          <w:hyperlink w:anchor="_Toc140022593" w:history="1">
            <w:r w:rsidR="00E14DD3" w:rsidRPr="000B5C22">
              <w:rPr>
                <w:rStyle w:val="Hyperlink"/>
                <w:rFonts w:ascii="Arial" w:hAnsi="Arial" w:cs="Arial"/>
                <w:noProof/>
              </w:rPr>
              <w:t>1.2 Timeline Assessment: Analyzing Delays and Setbacks</w:t>
            </w:r>
            <w:r w:rsidR="00E14DD3">
              <w:rPr>
                <w:noProof/>
                <w:webHidden/>
              </w:rPr>
              <w:tab/>
            </w:r>
            <w:r w:rsidR="00E14DD3">
              <w:rPr>
                <w:noProof/>
                <w:webHidden/>
              </w:rPr>
              <w:fldChar w:fldCharType="begin"/>
            </w:r>
            <w:r w:rsidR="00E14DD3">
              <w:rPr>
                <w:noProof/>
                <w:webHidden/>
              </w:rPr>
              <w:instrText xml:space="preserve"> PAGEREF _Toc140022593 \h </w:instrText>
            </w:r>
            <w:r w:rsidR="00E14DD3">
              <w:rPr>
                <w:noProof/>
                <w:webHidden/>
              </w:rPr>
            </w:r>
            <w:r w:rsidR="00E14DD3">
              <w:rPr>
                <w:noProof/>
                <w:webHidden/>
              </w:rPr>
              <w:fldChar w:fldCharType="separate"/>
            </w:r>
            <w:r w:rsidR="00E14DD3">
              <w:rPr>
                <w:noProof/>
                <w:webHidden/>
              </w:rPr>
              <w:t>4</w:t>
            </w:r>
            <w:r w:rsidR="00E14DD3">
              <w:rPr>
                <w:noProof/>
                <w:webHidden/>
              </w:rPr>
              <w:fldChar w:fldCharType="end"/>
            </w:r>
          </w:hyperlink>
        </w:p>
        <w:p w:rsidR="00E14DD3" w:rsidRDefault="00F0022E">
          <w:pPr>
            <w:pStyle w:val="TOC3"/>
            <w:tabs>
              <w:tab w:val="right" w:leader="dot" w:pos="9350"/>
            </w:tabs>
            <w:rPr>
              <w:noProof/>
            </w:rPr>
          </w:pPr>
          <w:hyperlink w:anchor="_Toc140022594" w:history="1">
            <w:r w:rsidR="00E14DD3" w:rsidRPr="000B5C22">
              <w:rPr>
                <w:rStyle w:val="Hyperlink"/>
                <w:rFonts w:ascii="Arial" w:hAnsi="Arial" w:cs="Arial"/>
                <w:noProof/>
              </w:rPr>
              <w:t>1.3 Quality Evaluation: Ensuring Safe and Reliable Operations</w:t>
            </w:r>
            <w:r w:rsidR="00E14DD3">
              <w:rPr>
                <w:noProof/>
                <w:webHidden/>
              </w:rPr>
              <w:tab/>
            </w:r>
            <w:r w:rsidR="00E14DD3">
              <w:rPr>
                <w:noProof/>
                <w:webHidden/>
              </w:rPr>
              <w:fldChar w:fldCharType="begin"/>
            </w:r>
            <w:r w:rsidR="00E14DD3">
              <w:rPr>
                <w:noProof/>
                <w:webHidden/>
              </w:rPr>
              <w:instrText xml:space="preserve"> PAGEREF _Toc140022594 \h </w:instrText>
            </w:r>
            <w:r w:rsidR="00E14DD3">
              <w:rPr>
                <w:noProof/>
                <w:webHidden/>
              </w:rPr>
            </w:r>
            <w:r w:rsidR="00E14DD3">
              <w:rPr>
                <w:noProof/>
                <w:webHidden/>
              </w:rPr>
              <w:fldChar w:fldCharType="separate"/>
            </w:r>
            <w:r w:rsidR="00E14DD3">
              <w:rPr>
                <w:noProof/>
                <w:webHidden/>
              </w:rPr>
              <w:t>6</w:t>
            </w:r>
            <w:r w:rsidR="00E14DD3">
              <w:rPr>
                <w:noProof/>
                <w:webHidden/>
              </w:rPr>
              <w:fldChar w:fldCharType="end"/>
            </w:r>
          </w:hyperlink>
        </w:p>
        <w:p w:rsidR="00E14DD3" w:rsidRDefault="00F0022E">
          <w:pPr>
            <w:pStyle w:val="TOC3"/>
            <w:tabs>
              <w:tab w:val="right" w:leader="dot" w:pos="9350"/>
            </w:tabs>
            <w:rPr>
              <w:noProof/>
            </w:rPr>
          </w:pPr>
          <w:hyperlink w:anchor="_Toc140022595" w:history="1">
            <w:r w:rsidR="00E14DD3" w:rsidRPr="000B5C22">
              <w:rPr>
                <w:rStyle w:val="Hyperlink"/>
                <w:rFonts w:ascii="Arial" w:hAnsi="Arial" w:cs="Arial"/>
                <w:noProof/>
              </w:rPr>
              <w:t>1.4 Stakeholder Management: Addressing Diverse Interests</w:t>
            </w:r>
            <w:r w:rsidR="00E14DD3">
              <w:rPr>
                <w:noProof/>
                <w:webHidden/>
              </w:rPr>
              <w:tab/>
            </w:r>
            <w:r w:rsidR="00E14DD3">
              <w:rPr>
                <w:noProof/>
                <w:webHidden/>
              </w:rPr>
              <w:fldChar w:fldCharType="begin"/>
            </w:r>
            <w:r w:rsidR="00E14DD3">
              <w:rPr>
                <w:noProof/>
                <w:webHidden/>
              </w:rPr>
              <w:instrText xml:space="preserve"> PAGEREF _Toc140022595 \h </w:instrText>
            </w:r>
            <w:r w:rsidR="00E14DD3">
              <w:rPr>
                <w:noProof/>
                <w:webHidden/>
              </w:rPr>
            </w:r>
            <w:r w:rsidR="00E14DD3">
              <w:rPr>
                <w:noProof/>
                <w:webHidden/>
              </w:rPr>
              <w:fldChar w:fldCharType="separate"/>
            </w:r>
            <w:r w:rsidR="00E14DD3">
              <w:rPr>
                <w:noProof/>
                <w:webHidden/>
              </w:rPr>
              <w:t>7</w:t>
            </w:r>
            <w:r w:rsidR="00E14DD3">
              <w:rPr>
                <w:noProof/>
                <w:webHidden/>
              </w:rPr>
              <w:fldChar w:fldCharType="end"/>
            </w:r>
          </w:hyperlink>
        </w:p>
        <w:p w:rsidR="00E14DD3" w:rsidRDefault="00F0022E">
          <w:pPr>
            <w:pStyle w:val="TOC3"/>
            <w:tabs>
              <w:tab w:val="right" w:leader="dot" w:pos="9350"/>
            </w:tabs>
            <w:rPr>
              <w:noProof/>
            </w:rPr>
          </w:pPr>
          <w:hyperlink w:anchor="_Toc140022596" w:history="1">
            <w:r w:rsidR="00E14DD3" w:rsidRPr="000B5C22">
              <w:rPr>
                <w:rStyle w:val="Hyperlink"/>
                <w:rFonts w:ascii="Arial" w:hAnsi="Arial" w:cs="Arial"/>
                <w:noProof/>
              </w:rPr>
              <w:t>1.5 Risk Factors: Identifying and Mitigating Potential Risks</w:t>
            </w:r>
            <w:r w:rsidR="00E14DD3">
              <w:rPr>
                <w:noProof/>
                <w:webHidden/>
              </w:rPr>
              <w:tab/>
            </w:r>
            <w:r w:rsidR="00E14DD3">
              <w:rPr>
                <w:noProof/>
                <w:webHidden/>
              </w:rPr>
              <w:fldChar w:fldCharType="begin"/>
            </w:r>
            <w:r w:rsidR="00E14DD3">
              <w:rPr>
                <w:noProof/>
                <w:webHidden/>
              </w:rPr>
              <w:instrText xml:space="preserve"> PAGEREF _Toc140022596 \h </w:instrText>
            </w:r>
            <w:r w:rsidR="00E14DD3">
              <w:rPr>
                <w:noProof/>
                <w:webHidden/>
              </w:rPr>
            </w:r>
            <w:r w:rsidR="00E14DD3">
              <w:rPr>
                <w:noProof/>
                <w:webHidden/>
              </w:rPr>
              <w:fldChar w:fldCharType="separate"/>
            </w:r>
            <w:r w:rsidR="00E14DD3">
              <w:rPr>
                <w:noProof/>
                <w:webHidden/>
              </w:rPr>
              <w:t>8</w:t>
            </w:r>
            <w:r w:rsidR="00E14DD3">
              <w:rPr>
                <w:noProof/>
                <w:webHidden/>
              </w:rPr>
              <w:fldChar w:fldCharType="end"/>
            </w:r>
          </w:hyperlink>
        </w:p>
        <w:p w:rsidR="00E14DD3" w:rsidRDefault="00F0022E">
          <w:pPr>
            <w:pStyle w:val="TOC2"/>
            <w:tabs>
              <w:tab w:val="right" w:leader="dot" w:pos="9350"/>
            </w:tabs>
            <w:rPr>
              <w:noProof/>
            </w:rPr>
          </w:pPr>
          <w:hyperlink w:anchor="_Toc140022597" w:history="1">
            <w:r w:rsidR="00E14DD3" w:rsidRPr="000B5C22">
              <w:rPr>
                <w:rStyle w:val="Hyperlink"/>
                <w:rFonts w:ascii="Arial" w:hAnsi="Arial" w:cs="Arial"/>
                <w:noProof/>
              </w:rPr>
              <w:t>Section 2: Success or Failure for the Future Energy Sector</w:t>
            </w:r>
            <w:r w:rsidR="00E14DD3">
              <w:rPr>
                <w:noProof/>
                <w:webHidden/>
              </w:rPr>
              <w:tab/>
            </w:r>
            <w:r w:rsidR="00E14DD3">
              <w:rPr>
                <w:noProof/>
                <w:webHidden/>
              </w:rPr>
              <w:fldChar w:fldCharType="begin"/>
            </w:r>
            <w:r w:rsidR="00E14DD3">
              <w:rPr>
                <w:noProof/>
                <w:webHidden/>
              </w:rPr>
              <w:instrText xml:space="preserve"> PAGEREF _Toc140022597 \h </w:instrText>
            </w:r>
            <w:r w:rsidR="00E14DD3">
              <w:rPr>
                <w:noProof/>
                <w:webHidden/>
              </w:rPr>
            </w:r>
            <w:r w:rsidR="00E14DD3">
              <w:rPr>
                <w:noProof/>
                <w:webHidden/>
              </w:rPr>
              <w:fldChar w:fldCharType="separate"/>
            </w:r>
            <w:r w:rsidR="00E14DD3">
              <w:rPr>
                <w:noProof/>
                <w:webHidden/>
              </w:rPr>
              <w:t>9</w:t>
            </w:r>
            <w:r w:rsidR="00E14DD3">
              <w:rPr>
                <w:noProof/>
                <w:webHidden/>
              </w:rPr>
              <w:fldChar w:fldCharType="end"/>
            </w:r>
          </w:hyperlink>
        </w:p>
        <w:p w:rsidR="00E14DD3" w:rsidRDefault="00F0022E">
          <w:pPr>
            <w:pStyle w:val="TOC3"/>
            <w:tabs>
              <w:tab w:val="right" w:leader="dot" w:pos="9350"/>
            </w:tabs>
            <w:rPr>
              <w:noProof/>
            </w:rPr>
          </w:pPr>
          <w:hyperlink w:anchor="_Toc140022598" w:history="1">
            <w:r w:rsidR="00E14DD3" w:rsidRPr="000B5C22">
              <w:rPr>
                <w:rStyle w:val="Hyperlink"/>
                <w:rFonts w:ascii="Arial" w:hAnsi="Arial" w:cs="Arial"/>
                <w:noProof/>
              </w:rPr>
              <w:t>2.1 Justification for Stance: Mixed Outcomes and Potential Benefits</w:t>
            </w:r>
            <w:r w:rsidR="00E14DD3">
              <w:rPr>
                <w:noProof/>
                <w:webHidden/>
              </w:rPr>
              <w:tab/>
            </w:r>
            <w:r w:rsidR="00E14DD3">
              <w:rPr>
                <w:noProof/>
                <w:webHidden/>
              </w:rPr>
              <w:fldChar w:fldCharType="begin"/>
            </w:r>
            <w:r w:rsidR="00E14DD3">
              <w:rPr>
                <w:noProof/>
                <w:webHidden/>
              </w:rPr>
              <w:instrText xml:space="preserve"> PAGEREF _Toc140022598 \h </w:instrText>
            </w:r>
            <w:r w:rsidR="00E14DD3">
              <w:rPr>
                <w:noProof/>
                <w:webHidden/>
              </w:rPr>
            </w:r>
            <w:r w:rsidR="00E14DD3">
              <w:rPr>
                <w:noProof/>
                <w:webHidden/>
              </w:rPr>
              <w:fldChar w:fldCharType="separate"/>
            </w:r>
            <w:r w:rsidR="00E14DD3">
              <w:rPr>
                <w:noProof/>
                <w:webHidden/>
              </w:rPr>
              <w:t>9</w:t>
            </w:r>
            <w:r w:rsidR="00E14DD3">
              <w:rPr>
                <w:noProof/>
                <w:webHidden/>
              </w:rPr>
              <w:fldChar w:fldCharType="end"/>
            </w:r>
          </w:hyperlink>
        </w:p>
        <w:p w:rsidR="00E14DD3" w:rsidRDefault="00F0022E">
          <w:pPr>
            <w:pStyle w:val="TOC1"/>
            <w:tabs>
              <w:tab w:val="right" w:leader="dot" w:pos="9350"/>
            </w:tabs>
            <w:rPr>
              <w:noProof/>
            </w:rPr>
          </w:pPr>
          <w:hyperlink w:anchor="_Toc140022599" w:history="1">
            <w:r w:rsidR="00E14DD3" w:rsidRPr="000B5C22">
              <w:rPr>
                <w:rStyle w:val="Hyperlink"/>
                <w:rFonts w:ascii="Arial" w:hAnsi="Arial" w:cs="Arial"/>
                <w:noProof/>
              </w:rPr>
              <w:t>Part 03: Conclusion</w:t>
            </w:r>
            <w:r w:rsidR="00E14DD3">
              <w:rPr>
                <w:noProof/>
                <w:webHidden/>
              </w:rPr>
              <w:tab/>
            </w:r>
            <w:r w:rsidR="00E14DD3">
              <w:rPr>
                <w:noProof/>
                <w:webHidden/>
              </w:rPr>
              <w:fldChar w:fldCharType="begin"/>
            </w:r>
            <w:r w:rsidR="00E14DD3">
              <w:rPr>
                <w:noProof/>
                <w:webHidden/>
              </w:rPr>
              <w:instrText xml:space="preserve"> PAGEREF _Toc140022599 \h </w:instrText>
            </w:r>
            <w:r w:rsidR="00E14DD3">
              <w:rPr>
                <w:noProof/>
                <w:webHidden/>
              </w:rPr>
            </w:r>
            <w:r w:rsidR="00E14DD3">
              <w:rPr>
                <w:noProof/>
                <w:webHidden/>
              </w:rPr>
              <w:fldChar w:fldCharType="separate"/>
            </w:r>
            <w:r w:rsidR="00E14DD3">
              <w:rPr>
                <w:noProof/>
                <w:webHidden/>
              </w:rPr>
              <w:t>9</w:t>
            </w:r>
            <w:r w:rsidR="00E14DD3">
              <w:rPr>
                <w:noProof/>
                <w:webHidden/>
              </w:rPr>
              <w:fldChar w:fldCharType="end"/>
            </w:r>
          </w:hyperlink>
        </w:p>
        <w:p w:rsidR="00E14DD3" w:rsidRDefault="00F0022E">
          <w:pPr>
            <w:pStyle w:val="TOC1"/>
            <w:tabs>
              <w:tab w:val="right" w:leader="dot" w:pos="9350"/>
            </w:tabs>
            <w:rPr>
              <w:noProof/>
            </w:rPr>
          </w:pPr>
          <w:hyperlink w:anchor="_Toc140022600" w:history="1">
            <w:r w:rsidR="00E14DD3" w:rsidRPr="000B5C22">
              <w:rPr>
                <w:rStyle w:val="Hyperlink"/>
                <w:rFonts w:ascii="Arial" w:hAnsi="Arial" w:cs="Arial"/>
                <w:noProof/>
              </w:rPr>
              <w:t>Part 04: Recommendations</w:t>
            </w:r>
            <w:r w:rsidR="00E14DD3">
              <w:rPr>
                <w:noProof/>
                <w:webHidden/>
              </w:rPr>
              <w:tab/>
            </w:r>
            <w:r w:rsidR="00E14DD3">
              <w:rPr>
                <w:noProof/>
                <w:webHidden/>
              </w:rPr>
              <w:fldChar w:fldCharType="begin"/>
            </w:r>
            <w:r w:rsidR="00E14DD3">
              <w:rPr>
                <w:noProof/>
                <w:webHidden/>
              </w:rPr>
              <w:instrText xml:space="preserve"> PAGEREF _Toc140022600 \h </w:instrText>
            </w:r>
            <w:r w:rsidR="00E14DD3">
              <w:rPr>
                <w:noProof/>
                <w:webHidden/>
              </w:rPr>
            </w:r>
            <w:r w:rsidR="00E14DD3">
              <w:rPr>
                <w:noProof/>
                <w:webHidden/>
              </w:rPr>
              <w:fldChar w:fldCharType="separate"/>
            </w:r>
            <w:r w:rsidR="00E14DD3">
              <w:rPr>
                <w:noProof/>
                <w:webHidden/>
              </w:rPr>
              <w:t>10</w:t>
            </w:r>
            <w:r w:rsidR="00E14DD3">
              <w:rPr>
                <w:noProof/>
                <w:webHidden/>
              </w:rPr>
              <w:fldChar w:fldCharType="end"/>
            </w:r>
          </w:hyperlink>
        </w:p>
        <w:p w:rsidR="00C80A35" w:rsidRPr="00C80A35" w:rsidRDefault="00F0022E" w:rsidP="00C80A35">
          <w:pPr>
            <w:pStyle w:val="TOC1"/>
            <w:tabs>
              <w:tab w:val="right" w:leader="dot" w:pos="9350"/>
            </w:tabs>
            <w:rPr>
              <w:noProof/>
            </w:rPr>
          </w:pPr>
          <w:hyperlink w:anchor="_Toc140022601" w:history="1">
            <w:r w:rsidR="00E14DD3" w:rsidRPr="000B5C22">
              <w:rPr>
                <w:rStyle w:val="Hyperlink"/>
                <w:rFonts w:ascii="Arial" w:hAnsi="Arial" w:cs="Arial"/>
                <w:noProof/>
              </w:rPr>
              <w:t>References:</w:t>
            </w:r>
            <w:r w:rsidR="00E14DD3">
              <w:rPr>
                <w:noProof/>
                <w:webHidden/>
              </w:rPr>
              <w:tab/>
            </w:r>
            <w:r w:rsidR="00E14DD3">
              <w:rPr>
                <w:noProof/>
                <w:webHidden/>
              </w:rPr>
              <w:fldChar w:fldCharType="begin"/>
            </w:r>
            <w:r w:rsidR="00E14DD3">
              <w:rPr>
                <w:noProof/>
                <w:webHidden/>
              </w:rPr>
              <w:instrText xml:space="preserve"> PAGEREF _Toc140022601 \h </w:instrText>
            </w:r>
            <w:r w:rsidR="00E14DD3">
              <w:rPr>
                <w:noProof/>
                <w:webHidden/>
              </w:rPr>
            </w:r>
            <w:r w:rsidR="00E14DD3">
              <w:rPr>
                <w:noProof/>
                <w:webHidden/>
              </w:rPr>
              <w:fldChar w:fldCharType="separate"/>
            </w:r>
            <w:r w:rsidR="00E14DD3">
              <w:rPr>
                <w:noProof/>
                <w:webHidden/>
              </w:rPr>
              <w:t>11</w:t>
            </w:r>
            <w:r w:rsidR="00E14DD3">
              <w:rPr>
                <w:noProof/>
                <w:webHidden/>
              </w:rPr>
              <w:fldChar w:fldCharType="end"/>
            </w:r>
          </w:hyperlink>
        </w:p>
        <w:p w:rsidR="00E14DD3" w:rsidRDefault="00E14DD3">
          <w:r>
            <w:rPr>
              <w:b/>
              <w:bCs/>
              <w:noProof/>
            </w:rPr>
            <w:fldChar w:fldCharType="end"/>
          </w:r>
        </w:p>
      </w:sdtContent>
    </w:sdt>
    <w:p w:rsidR="00CD49D2" w:rsidRPr="00CC2387" w:rsidRDefault="00CD49D2" w:rsidP="00E14DD3">
      <w:pPr>
        <w:spacing w:line="360" w:lineRule="auto"/>
        <w:rPr>
          <w:rFonts w:ascii="Arial" w:hAnsi="Arial" w:cs="Arial"/>
          <w:sz w:val="24"/>
          <w:szCs w:val="24"/>
        </w:rPr>
      </w:pPr>
      <w:r w:rsidRPr="00CC2387">
        <w:rPr>
          <w:rFonts w:ascii="Arial" w:hAnsi="Arial" w:cs="Arial"/>
          <w:sz w:val="24"/>
          <w:szCs w:val="24"/>
        </w:rPr>
        <w:br w:type="page"/>
      </w:r>
    </w:p>
    <w:p w:rsidR="00CD49D2" w:rsidRPr="00CC2387" w:rsidRDefault="00CD49D2" w:rsidP="00CC2387">
      <w:pPr>
        <w:pStyle w:val="Heading1"/>
        <w:spacing w:line="360" w:lineRule="auto"/>
        <w:rPr>
          <w:rFonts w:ascii="Arial" w:hAnsi="Arial" w:cs="Arial"/>
        </w:rPr>
      </w:pPr>
      <w:bookmarkStart w:id="0" w:name="_Toc140022589"/>
      <w:r w:rsidRPr="00CC2387">
        <w:rPr>
          <w:rFonts w:ascii="Arial" w:hAnsi="Arial" w:cs="Arial"/>
        </w:rPr>
        <w:t>Part 01: Introduction</w:t>
      </w:r>
      <w:bookmarkEnd w:id="0"/>
    </w:p>
    <w:p w:rsidR="00EB7725"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In the energy sector of the United Kingdom, the massive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plan aims to </w:t>
      </w:r>
      <w:proofErr w:type="spellStart"/>
      <w:r w:rsidRPr="00CC2387">
        <w:rPr>
          <w:rFonts w:ascii="Arial" w:hAnsi="Arial" w:cs="Arial"/>
          <w:sz w:val="24"/>
          <w:szCs w:val="24"/>
        </w:rPr>
        <w:t>revitalise</w:t>
      </w:r>
      <w:proofErr w:type="spellEnd"/>
      <w:r w:rsidRPr="00CC2387">
        <w:rPr>
          <w:rFonts w:ascii="Arial" w:hAnsi="Arial" w:cs="Arial"/>
          <w:sz w:val="24"/>
          <w:szCs w:val="24"/>
        </w:rPr>
        <w:t xml:space="preserve"> the country's nuclear power industry while also providing electricity to a large number of homes with little carbon emissions. However, the project has run into a number of difficulties, including going over budget and encountering delays, which have caused some to worry about its eventual success and its implications on the future of the energy industry in the United Kingdom. An in-depth study of the project's present status and its success to date may be gleaned from this assessment. This evaluation will include a thorough analysis of the project's finances, timetable, quality control systems, stakeholder involvement, and possible dangers. Based on this evaluation, we will take a practical perspective on the project's conclusion and highlight the most illuminating discoveries. In addition, we will use the findings from this research to provide helpful recommendations for future undertakings that are comparable to the current one.</w:t>
      </w:r>
    </w:p>
    <w:p w:rsidR="006651DF" w:rsidRPr="00CC2387" w:rsidRDefault="006651DF" w:rsidP="00CC2387">
      <w:pPr>
        <w:pStyle w:val="Heading1"/>
        <w:spacing w:line="360" w:lineRule="auto"/>
        <w:rPr>
          <w:rFonts w:ascii="Arial" w:hAnsi="Arial" w:cs="Arial"/>
        </w:rPr>
      </w:pPr>
      <w:bookmarkStart w:id="1" w:name="_Toc140022590"/>
      <w:r w:rsidRPr="00CC2387">
        <w:rPr>
          <w:rFonts w:ascii="Arial" w:hAnsi="Arial" w:cs="Arial"/>
        </w:rPr>
        <w:t>Part 02: The Body</w:t>
      </w:r>
      <w:bookmarkEnd w:id="1"/>
    </w:p>
    <w:p w:rsidR="006651DF" w:rsidRPr="00CC2387" w:rsidRDefault="006651DF" w:rsidP="00CC2387">
      <w:pPr>
        <w:pStyle w:val="Heading2"/>
        <w:spacing w:line="360" w:lineRule="auto"/>
        <w:rPr>
          <w:rFonts w:ascii="Arial" w:hAnsi="Arial" w:cs="Arial"/>
          <w:sz w:val="28"/>
        </w:rPr>
      </w:pPr>
      <w:bookmarkStart w:id="2" w:name="_Toc140022591"/>
      <w:r w:rsidRPr="00CC2387">
        <w:rPr>
          <w:rFonts w:ascii="Arial" w:hAnsi="Arial" w:cs="Arial"/>
          <w:sz w:val="28"/>
        </w:rPr>
        <w:t>Section 1: Detailed Narrative on the Project's Current Progress</w:t>
      </w:r>
      <w:bookmarkEnd w:id="2"/>
    </w:p>
    <w:p w:rsidR="006651DF" w:rsidRPr="00CC2387" w:rsidRDefault="006651DF" w:rsidP="00CC2387">
      <w:pPr>
        <w:pStyle w:val="Heading3"/>
        <w:spacing w:line="360" w:lineRule="auto"/>
        <w:rPr>
          <w:rFonts w:ascii="Arial" w:hAnsi="Arial" w:cs="Arial"/>
        </w:rPr>
      </w:pPr>
      <w:bookmarkStart w:id="3" w:name="_Toc140022592"/>
      <w:r w:rsidRPr="00CC2387">
        <w:rPr>
          <w:rFonts w:ascii="Arial" w:hAnsi="Arial" w:cs="Arial"/>
        </w:rPr>
        <w:t>1.1 Budget Analysis: Evaluating Financial Sustainability</w:t>
      </w:r>
      <w:bookmarkEnd w:id="3"/>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 budget analysis indicates that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is no longer economically viable because to the difficulties it has experienced. The initial budget range for the project was far lower than the current one, which led to overruns. Inflation is a major factor in these overruns since the project's first approval was in 2016 and because of the construction industry's inflationary conditions, </w:t>
      </w:r>
      <w:proofErr w:type="spellStart"/>
      <w:r w:rsidRPr="00CC2387">
        <w:rPr>
          <w:rFonts w:ascii="Arial" w:hAnsi="Arial" w:cs="Arial"/>
          <w:sz w:val="24"/>
          <w:szCs w:val="24"/>
        </w:rPr>
        <w:t>labour</w:t>
      </w:r>
      <w:proofErr w:type="spellEnd"/>
      <w:r w:rsidRPr="00CC2387">
        <w:rPr>
          <w:rFonts w:ascii="Arial" w:hAnsi="Arial" w:cs="Arial"/>
          <w:sz w:val="24"/>
          <w:szCs w:val="24"/>
        </w:rPr>
        <w:t>, materials, and equipment costs have risen considerably</w:t>
      </w:r>
      <w:r w:rsidR="00694296">
        <w:rPr>
          <w:rFonts w:ascii="Arial" w:hAnsi="Arial" w:cs="Arial"/>
          <w:sz w:val="24"/>
          <w:szCs w:val="24"/>
        </w:rPr>
        <w:t xml:space="preserve"> </w:t>
      </w:r>
      <w:r w:rsidR="00694296" w:rsidRPr="00694296">
        <w:rPr>
          <w:rFonts w:ascii="Arial" w:hAnsi="Arial" w:cs="Arial"/>
          <w:sz w:val="24"/>
          <w:szCs w:val="24"/>
        </w:rPr>
        <w:t>(</w:t>
      </w:r>
      <w:proofErr w:type="spellStart"/>
      <w:r w:rsidR="00694296" w:rsidRPr="00694296">
        <w:rPr>
          <w:rFonts w:ascii="Arial" w:hAnsi="Arial" w:cs="Arial"/>
          <w:sz w:val="24"/>
          <w:szCs w:val="24"/>
        </w:rPr>
        <w:t>Girma</w:t>
      </w:r>
      <w:proofErr w:type="spellEnd"/>
      <w:r w:rsidR="00694296" w:rsidRPr="00694296">
        <w:rPr>
          <w:rFonts w:ascii="Arial" w:hAnsi="Arial" w:cs="Arial"/>
          <w:sz w:val="24"/>
          <w:szCs w:val="24"/>
        </w:rPr>
        <w:t xml:space="preserve"> et al., 2019)</w:t>
      </w:r>
      <w:r w:rsidRPr="00CC2387">
        <w:rPr>
          <w:rFonts w:ascii="Arial" w:hAnsi="Arial" w:cs="Arial"/>
          <w:sz w:val="24"/>
          <w:szCs w:val="24"/>
        </w:rPr>
        <w:t>. The failure to account for these cost increases in the first estimate may have resulted in inaccurate budget projections.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The intricacy of nuclear power plant construction makes it more costly than other methods of energy generation. Due to the project's stringent adherence to quality control and safety rules, the cost of building materials would rise</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Sazonov</w:t>
      </w:r>
      <w:proofErr w:type="spellEnd"/>
      <w:r w:rsidR="000D0E35" w:rsidRPr="000D0E35">
        <w:rPr>
          <w:rFonts w:ascii="Arial" w:hAnsi="Arial" w:cs="Arial"/>
          <w:sz w:val="24"/>
          <w:szCs w:val="24"/>
        </w:rPr>
        <w:t xml:space="preserve"> et al., 2015)</w:t>
      </w:r>
      <w:r w:rsidRPr="00CC2387">
        <w:rPr>
          <w:rFonts w:ascii="Arial" w:hAnsi="Arial" w:cs="Arial"/>
          <w:sz w:val="24"/>
          <w:szCs w:val="24"/>
        </w:rPr>
        <w:t>. Early pricing predictions may have been off due to these factors and the complexity of nuclear producing facilities.</w:t>
      </w:r>
    </w:p>
    <w:p w:rsidR="00974286" w:rsidRPr="00CC2387" w:rsidRDefault="00974286" w:rsidP="00CC2387">
      <w:pPr>
        <w:spacing w:line="360" w:lineRule="auto"/>
        <w:jc w:val="both"/>
        <w:rPr>
          <w:rFonts w:ascii="Arial" w:hAnsi="Arial" w:cs="Arial"/>
          <w:sz w:val="24"/>
          <w:szCs w:val="24"/>
        </w:rPr>
      </w:pPr>
      <w:r w:rsidRPr="00CC2387">
        <w:rPr>
          <w:rFonts w:ascii="Arial" w:hAnsi="Arial" w:cs="Arial"/>
          <w:sz w:val="24"/>
          <w:szCs w:val="24"/>
        </w:rPr>
        <w:t xml:space="preserve">Changing the project's goals necessitated an increase in funding. The price increased because improvements were made to the design and stricter safety rules were put into place. Uncertainty has been fostered by the introduction of innovative design components and the application of </w:t>
      </w:r>
      <w:r w:rsidR="008B39BF" w:rsidRPr="00CC2387">
        <w:rPr>
          <w:rFonts w:ascii="Arial" w:hAnsi="Arial" w:cs="Arial"/>
          <w:sz w:val="24"/>
          <w:szCs w:val="24"/>
        </w:rPr>
        <w:t>stricter</w:t>
      </w:r>
      <w:r w:rsidRPr="00CC2387">
        <w:rPr>
          <w:rFonts w:ascii="Arial" w:hAnsi="Arial" w:cs="Arial"/>
          <w:sz w:val="24"/>
          <w:szCs w:val="24"/>
        </w:rPr>
        <w:t xml:space="preserve"> regulatory requirements, both of which are probable contributors to the observed price increase</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Hotelling</w:t>
      </w:r>
      <w:proofErr w:type="spellEnd"/>
      <w:r w:rsidR="000D0E35" w:rsidRPr="000D0E35">
        <w:rPr>
          <w:rFonts w:ascii="Arial" w:hAnsi="Arial" w:cs="Arial"/>
          <w:sz w:val="24"/>
          <w:szCs w:val="24"/>
        </w:rPr>
        <w:t>, 1931)</w:t>
      </w:r>
      <w:r w:rsidRPr="00CC2387">
        <w:rPr>
          <w:rFonts w:ascii="Arial" w:hAnsi="Arial" w:cs="Arial"/>
          <w:sz w:val="24"/>
          <w:szCs w:val="24"/>
        </w:rPr>
        <w:t xml:space="preserve">. It is highlighted how crucial it is to </w:t>
      </w:r>
      <w:r w:rsidR="008B39BF" w:rsidRPr="00CC2387">
        <w:rPr>
          <w:rFonts w:ascii="Arial" w:hAnsi="Arial" w:cs="Arial"/>
          <w:sz w:val="24"/>
          <w:szCs w:val="24"/>
        </w:rPr>
        <w:t>consider</w:t>
      </w:r>
      <w:r w:rsidRPr="00CC2387">
        <w:rPr>
          <w:rFonts w:ascii="Arial" w:hAnsi="Arial" w:cs="Arial"/>
          <w:sz w:val="24"/>
          <w:szCs w:val="24"/>
        </w:rPr>
        <w:t xml:space="preserve"> potential design changes and include them into budget projections.</w:t>
      </w:r>
    </w:p>
    <w:p w:rsidR="00974286" w:rsidRPr="00CC2387" w:rsidRDefault="00974286" w:rsidP="00CC2387">
      <w:pPr>
        <w:spacing w:line="360" w:lineRule="auto"/>
        <w:jc w:val="both"/>
        <w:rPr>
          <w:rFonts w:ascii="Arial" w:hAnsi="Arial" w:cs="Arial"/>
          <w:sz w:val="24"/>
          <w:szCs w:val="24"/>
        </w:rPr>
      </w:pPr>
      <w:r w:rsidRPr="00CC2387">
        <w:rPr>
          <w:rFonts w:ascii="Arial" w:hAnsi="Arial" w:cs="Arial"/>
          <w:sz w:val="24"/>
          <w:szCs w:val="24"/>
        </w:rPr>
        <w:t xml:space="preserve">The inability to control costs effectively has been compounded by the lack of cooperation between various parties. Time and money may be wasted if the many people working on a project don't coordinate and communicate well with one another. Effective financial management calls for close cooperation and </w:t>
      </w:r>
      <w:proofErr w:type="spellStart"/>
      <w:r w:rsidRPr="00CC2387">
        <w:rPr>
          <w:rFonts w:ascii="Arial" w:hAnsi="Arial" w:cs="Arial"/>
          <w:sz w:val="24"/>
          <w:szCs w:val="24"/>
        </w:rPr>
        <w:t>synchronisation</w:t>
      </w:r>
      <w:proofErr w:type="spellEnd"/>
      <w:r w:rsidRPr="00CC2387">
        <w:rPr>
          <w:rFonts w:ascii="Arial" w:hAnsi="Arial" w:cs="Arial"/>
          <w:sz w:val="24"/>
          <w:szCs w:val="24"/>
        </w:rPr>
        <w:t xml:space="preserve"> among all parties involved in a project.</w:t>
      </w:r>
    </w:p>
    <w:p w:rsidR="00974286" w:rsidRPr="00CC2387" w:rsidRDefault="00974286" w:rsidP="00CC2387">
      <w:pPr>
        <w:spacing w:line="360" w:lineRule="auto"/>
        <w:jc w:val="both"/>
        <w:rPr>
          <w:rFonts w:ascii="Arial" w:hAnsi="Arial" w:cs="Arial"/>
          <w:sz w:val="24"/>
          <w:szCs w:val="24"/>
        </w:rPr>
      </w:pPr>
      <w:r w:rsidRPr="00CC2387">
        <w:rPr>
          <w:rFonts w:ascii="Arial" w:hAnsi="Arial" w:cs="Arial"/>
          <w:sz w:val="24"/>
          <w:szCs w:val="24"/>
        </w:rPr>
        <w:t>Improved cost management measures, such as precise cost forecasting, diligent monitoring, and stringent financial management rules, are essential for the project to solve the aforementioned financial issues. It is crucial to have backup plans prepared in case of an unexpected incident or economic slump.</w:t>
      </w:r>
    </w:p>
    <w:p w:rsidR="006651DF" w:rsidRPr="00CC2387" w:rsidRDefault="006651DF" w:rsidP="00CC2387">
      <w:pPr>
        <w:pStyle w:val="Heading3"/>
        <w:spacing w:line="360" w:lineRule="auto"/>
        <w:rPr>
          <w:rFonts w:ascii="Arial" w:hAnsi="Arial" w:cs="Arial"/>
        </w:rPr>
      </w:pPr>
      <w:bookmarkStart w:id="4" w:name="_Toc140022593"/>
      <w:r w:rsidRPr="00CC2387">
        <w:rPr>
          <w:rFonts w:ascii="Arial" w:hAnsi="Arial" w:cs="Arial"/>
        </w:rPr>
        <w:t>1.2 Timeline Assessment: Analyzing Delays and Setbacks</w:t>
      </w:r>
      <w:bookmarkEnd w:id="4"/>
    </w:p>
    <w:p w:rsidR="00974286" w:rsidRPr="00CC2387" w:rsidRDefault="00974286" w:rsidP="00CC2387">
      <w:pPr>
        <w:spacing w:line="360" w:lineRule="auto"/>
        <w:jc w:val="both"/>
        <w:rPr>
          <w:rFonts w:ascii="Arial" w:hAnsi="Arial" w:cs="Arial"/>
          <w:sz w:val="24"/>
          <w:szCs w:val="24"/>
        </w:rPr>
      </w:pPr>
      <w:r w:rsidRPr="00CC2387">
        <w:rPr>
          <w:rFonts w:ascii="Arial" w:hAnsi="Arial" w:cs="Arial"/>
          <w:sz w:val="24"/>
          <w:szCs w:val="24"/>
        </w:rPr>
        <w:t xml:space="preserve">An examination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schedule indicates that its progress has been substantially hindered by various challenges and setbacks. The projected deadline for completion in 2025 has been extended due to various factors.</w:t>
      </w:r>
    </w:p>
    <w:p w:rsidR="00873477" w:rsidRPr="00CC2387" w:rsidRDefault="00873477" w:rsidP="00CC2387">
      <w:pPr>
        <w:spacing w:line="360" w:lineRule="auto"/>
        <w:jc w:val="both"/>
        <w:rPr>
          <w:rFonts w:ascii="Arial" w:hAnsi="Arial" w:cs="Arial"/>
          <w:sz w:val="24"/>
          <w:szCs w:val="24"/>
        </w:rPr>
      </w:pPr>
      <w:r w:rsidRPr="00CC2387">
        <w:rPr>
          <w:rFonts w:ascii="Arial" w:hAnsi="Arial" w:cs="Arial"/>
          <w:sz w:val="24"/>
          <w:szCs w:val="24"/>
        </w:rPr>
        <w:t xml:space="preserve">One possible explanation for the holdup is that adjustments had to be made to the initial plan. Changing the foundation of a large technological project may have far-reaching consequences, so it's important to think it through thoroughly in advance. The time it takes to restructure the project team so that the revised design can be implemented might cause delays. In order to prevent excessive delays, it is crucial to </w:t>
      </w:r>
      <w:proofErr w:type="spellStart"/>
      <w:r w:rsidRPr="00CC2387">
        <w:rPr>
          <w:rFonts w:ascii="Arial" w:hAnsi="Arial" w:cs="Arial"/>
          <w:sz w:val="24"/>
          <w:szCs w:val="24"/>
        </w:rPr>
        <w:t>analyse</w:t>
      </w:r>
      <w:proofErr w:type="spellEnd"/>
      <w:r w:rsidRPr="00CC2387">
        <w:rPr>
          <w:rFonts w:ascii="Arial" w:hAnsi="Arial" w:cs="Arial"/>
          <w:sz w:val="24"/>
          <w:szCs w:val="24"/>
        </w:rPr>
        <w:t xml:space="preserve"> how potential design modifications can affect the original project schedule</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Minner</w:t>
      </w:r>
      <w:proofErr w:type="spellEnd"/>
      <w:r w:rsidR="000D0E35" w:rsidRPr="000D0E35">
        <w:rPr>
          <w:rFonts w:ascii="Arial" w:hAnsi="Arial" w:cs="Arial"/>
          <w:sz w:val="24"/>
          <w:szCs w:val="24"/>
        </w:rPr>
        <w:t>, Levy and Century, 2010)</w:t>
      </w:r>
      <w:r w:rsidRPr="00CC2387">
        <w:rPr>
          <w:rFonts w:ascii="Arial" w:hAnsi="Arial" w:cs="Arial"/>
          <w:sz w:val="24"/>
          <w:szCs w:val="24"/>
        </w:rPr>
        <w:t>.</w:t>
      </w:r>
    </w:p>
    <w:p w:rsidR="00873477" w:rsidRPr="00CC2387" w:rsidRDefault="00873477" w:rsidP="00CC2387">
      <w:pPr>
        <w:spacing w:line="360" w:lineRule="auto"/>
        <w:jc w:val="both"/>
        <w:rPr>
          <w:rFonts w:ascii="Arial" w:hAnsi="Arial" w:cs="Arial"/>
          <w:sz w:val="24"/>
          <w:szCs w:val="24"/>
        </w:rPr>
      </w:pPr>
      <w:r w:rsidRPr="00CC2387">
        <w:rPr>
          <w:rFonts w:ascii="Arial" w:hAnsi="Arial" w:cs="Arial"/>
          <w:sz w:val="24"/>
          <w:szCs w:val="24"/>
        </w:rPr>
        <w:t xml:space="preserve">Strict adherence to safety regulations is another roadblock that will hold down the project. Nuclear power plants are subject to stringent government regulation to ensure their safety and the preservation of the environment. Obtaining the necessary authorizations, </w:t>
      </w:r>
      <w:proofErr w:type="spellStart"/>
      <w:r w:rsidRPr="00CC2387">
        <w:rPr>
          <w:rFonts w:ascii="Arial" w:hAnsi="Arial" w:cs="Arial"/>
          <w:sz w:val="24"/>
          <w:szCs w:val="24"/>
        </w:rPr>
        <w:t>licences</w:t>
      </w:r>
      <w:proofErr w:type="spellEnd"/>
      <w:r w:rsidRPr="00CC2387">
        <w:rPr>
          <w:rFonts w:ascii="Arial" w:hAnsi="Arial" w:cs="Arial"/>
          <w:sz w:val="24"/>
          <w:szCs w:val="24"/>
        </w:rPr>
        <w:t>, and permits from the appropriate authorities may hold down the project's regulatory process. All criteria must be accomplished within the timeframe specified in the project plan.</w:t>
      </w:r>
    </w:p>
    <w:p w:rsidR="00AC723B" w:rsidRPr="00CC2387" w:rsidRDefault="00AC723B" w:rsidP="00CC2387">
      <w:pPr>
        <w:spacing w:line="360" w:lineRule="auto"/>
        <w:jc w:val="both"/>
        <w:rPr>
          <w:rFonts w:ascii="Arial" w:hAnsi="Arial" w:cs="Arial"/>
          <w:sz w:val="24"/>
          <w:szCs w:val="24"/>
        </w:rPr>
      </w:pP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has been running behind schedule due to a combination of technical difficulties and unanticipated setbacks. Due to the complex nature of the engineering involved, problems with construction and maintenance of nuclear power plants are possible</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Minner</w:t>
      </w:r>
      <w:proofErr w:type="spellEnd"/>
      <w:r w:rsidR="000D0E35" w:rsidRPr="000D0E35">
        <w:rPr>
          <w:rFonts w:ascii="Arial" w:hAnsi="Arial" w:cs="Arial"/>
          <w:sz w:val="24"/>
          <w:szCs w:val="24"/>
        </w:rPr>
        <w:t>, Levy and Century, 2010)</w:t>
      </w:r>
      <w:r w:rsidRPr="00CC2387">
        <w:rPr>
          <w:rFonts w:ascii="Arial" w:hAnsi="Arial" w:cs="Arial"/>
          <w:sz w:val="24"/>
          <w:szCs w:val="24"/>
        </w:rPr>
        <w:t>. Delays are possible if resolving obstacles like difficult geology, broken machinery, or unforeseen site conditions takes longer than expected. Thorough risk assessment and mitigation procedures are necessary to detect and address technology issues before they become insurmountable hurdles.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Coordination between the project's several contractors has hindered its progress. The completion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will need the coordinated efforts of several teams, each with its own goals, methods, and timetables. Unanticipated complications might make it challenging to keep a large number of contractors on the same page and producing quality results. The total amount of time needed to complete the project may increase if even a single step was delayed. Strong project management </w:t>
      </w:r>
      <w:proofErr w:type="spellStart"/>
      <w:r w:rsidRPr="00CC2387">
        <w:rPr>
          <w:rFonts w:ascii="Arial" w:hAnsi="Arial" w:cs="Arial"/>
          <w:sz w:val="24"/>
          <w:szCs w:val="24"/>
        </w:rPr>
        <w:t>practises</w:t>
      </w:r>
      <w:proofErr w:type="spellEnd"/>
      <w:r w:rsidRPr="00CC2387">
        <w:rPr>
          <w:rFonts w:ascii="Arial" w:hAnsi="Arial" w:cs="Arial"/>
          <w:sz w:val="24"/>
          <w:szCs w:val="24"/>
        </w:rPr>
        <w:t>, such as comprehensive scheduling systems and open lines of communication, may help avoid delays caused by contractor coordination concerns.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Poor planning and management, as well as a lack of proactive measures to reduce risks, have contributed to the project's delays. In order to complete a project on time, meticulous preparation, meticulous scheduling, and constant monitoring are required</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Pressey</w:t>
      </w:r>
      <w:proofErr w:type="spellEnd"/>
      <w:r w:rsidR="000D0E35" w:rsidRPr="000D0E35">
        <w:rPr>
          <w:rFonts w:ascii="Arial" w:hAnsi="Arial" w:cs="Arial"/>
          <w:sz w:val="24"/>
          <w:szCs w:val="24"/>
        </w:rPr>
        <w:t>, Visconti and Ferraro, 2015)</w:t>
      </w:r>
      <w:r w:rsidRPr="00CC2387">
        <w:rPr>
          <w:rFonts w:ascii="Arial" w:hAnsi="Arial" w:cs="Arial"/>
          <w:sz w:val="24"/>
          <w:szCs w:val="24"/>
        </w:rPr>
        <w:t xml:space="preserve">. Proactive risk management attempts to foresee potential problems and eliminate them before they occur. Failure to adhere to certain safety procedures during the early design phase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may have resulted in cost overruns and delays.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Improving the project's time management relies heavily on </w:t>
      </w:r>
      <w:proofErr w:type="spellStart"/>
      <w:r w:rsidRPr="00CC2387">
        <w:rPr>
          <w:rFonts w:ascii="Arial" w:hAnsi="Arial" w:cs="Arial"/>
          <w:sz w:val="24"/>
          <w:szCs w:val="24"/>
        </w:rPr>
        <w:t>prioritising</w:t>
      </w:r>
      <w:proofErr w:type="spellEnd"/>
      <w:r w:rsidRPr="00CC2387">
        <w:rPr>
          <w:rFonts w:ascii="Arial" w:hAnsi="Arial" w:cs="Arial"/>
          <w:sz w:val="24"/>
          <w:szCs w:val="24"/>
        </w:rPr>
        <w:t xml:space="preserve"> effective planning and administration, as well as taking preventative measures aimed at reducing potential threats. In order to complete a project on time, careful planning, exact scheduling, and constant monitoring are essential</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Fama</w:t>
      </w:r>
      <w:proofErr w:type="spellEnd"/>
      <w:r w:rsidR="000D0E35" w:rsidRPr="000D0E35">
        <w:rPr>
          <w:rFonts w:ascii="Arial" w:hAnsi="Arial" w:cs="Arial"/>
          <w:sz w:val="24"/>
          <w:szCs w:val="24"/>
        </w:rPr>
        <w:t xml:space="preserve"> and Jensen, 2019)</w:t>
      </w:r>
      <w:r w:rsidRPr="00CC2387">
        <w:rPr>
          <w:rFonts w:ascii="Arial" w:hAnsi="Arial" w:cs="Arial"/>
          <w:sz w:val="24"/>
          <w:szCs w:val="24"/>
        </w:rPr>
        <w:t>. Proactive risk management strategies and thorough risk assessments may help identify and reduce the likelihood of development delays in a project.</w:t>
      </w:r>
    </w:p>
    <w:p w:rsidR="006651DF" w:rsidRPr="00CC2387" w:rsidRDefault="006651DF" w:rsidP="00CC2387">
      <w:pPr>
        <w:pStyle w:val="Heading3"/>
        <w:spacing w:line="360" w:lineRule="auto"/>
        <w:rPr>
          <w:rFonts w:ascii="Arial" w:hAnsi="Arial" w:cs="Arial"/>
        </w:rPr>
      </w:pPr>
      <w:bookmarkStart w:id="5" w:name="_Toc140022594"/>
      <w:r w:rsidRPr="00CC2387">
        <w:rPr>
          <w:rFonts w:ascii="Arial" w:hAnsi="Arial" w:cs="Arial"/>
        </w:rPr>
        <w:t>1.3 Quality Evaluation: Ensuring Safe and Reliable Operations</w:t>
      </w:r>
      <w:bookmarkEnd w:id="5"/>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 quality evaluation of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is crucial to ensuring its safe and dependable operation. Some are concerned that despite the project's emphasis on quality control, subpar firms may be awarded contracts.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Reducing risks brought on by shoddy </w:t>
      </w:r>
      <w:proofErr w:type="spellStart"/>
      <w:r w:rsidRPr="00CC2387">
        <w:rPr>
          <w:rFonts w:ascii="Arial" w:hAnsi="Arial" w:cs="Arial"/>
          <w:sz w:val="24"/>
          <w:szCs w:val="24"/>
        </w:rPr>
        <w:t>labour</w:t>
      </w:r>
      <w:proofErr w:type="spellEnd"/>
      <w:r w:rsidRPr="00CC2387">
        <w:rPr>
          <w:rFonts w:ascii="Arial" w:hAnsi="Arial" w:cs="Arial"/>
          <w:sz w:val="24"/>
          <w:szCs w:val="24"/>
        </w:rPr>
        <w:t xml:space="preserve"> requires strict quality assurance and control procedures to be put into place. Quality must be ensured at every point in the construction process by both contractors and suppliers</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Xiong</w:t>
      </w:r>
      <w:proofErr w:type="spellEnd"/>
      <w:r w:rsidR="000D0E35" w:rsidRPr="000D0E35">
        <w:rPr>
          <w:rFonts w:ascii="Arial" w:hAnsi="Arial" w:cs="Arial"/>
          <w:sz w:val="24"/>
          <w:szCs w:val="24"/>
        </w:rPr>
        <w:t xml:space="preserve"> et al., 2013)</w:t>
      </w:r>
      <w:r w:rsidRPr="00CC2387">
        <w:rPr>
          <w:rFonts w:ascii="Arial" w:hAnsi="Arial" w:cs="Arial"/>
          <w:sz w:val="24"/>
          <w:szCs w:val="24"/>
        </w:rPr>
        <w:t>. This includes the use of superior components, careful adherence to technical criteria, and stringent safety measures. Ineffective allocation of resources and lax quality control systems may lead to cost and time overruns.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If a contractor has a history of falling short of quality standards, it raises questions about the quality management of the whole project. Researching the contractor's past performance and commitment to upholding quality assurance methods before signing a contract is the only way to ensure high-quality outcomes</w:t>
      </w:r>
      <w:r w:rsidR="000D0E35">
        <w:rPr>
          <w:rFonts w:ascii="Arial" w:hAnsi="Arial" w:cs="Arial"/>
          <w:sz w:val="24"/>
          <w:szCs w:val="24"/>
        </w:rPr>
        <w:t xml:space="preserve"> </w:t>
      </w:r>
      <w:r w:rsidR="000D0E35" w:rsidRPr="000D0E35">
        <w:rPr>
          <w:rFonts w:ascii="Arial" w:hAnsi="Arial" w:cs="Arial"/>
          <w:sz w:val="24"/>
          <w:szCs w:val="24"/>
        </w:rPr>
        <w:t>(Liu et al., 2018)</w:t>
      </w:r>
      <w:r w:rsidRPr="00CC2387">
        <w:rPr>
          <w:rFonts w:ascii="Arial" w:hAnsi="Arial" w:cs="Arial"/>
          <w:sz w:val="24"/>
          <w:szCs w:val="24"/>
        </w:rPr>
        <w:t>. Strong management and monitoring procedures, such routine inspections, audits, and testing, are essential for identifying quality issues in a timely manner and taking corrective action.</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 consequences of a construction project's lack of quality may extend far into the future. If the work at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is of poor quality and not given the necessary attention, the safety and reliability of the power plant might be </w:t>
      </w:r>
      <w:proofErr w:type="spellStart"/>
      <w:r w:rsidRPr="00CC2387">
        <w:rPr>
          <w:rFonts w:ascii="Arial" w:hAnsi="Arial" w:cs="Arial"/>
          <w:sz w:val="24"/>
          <w:szCs w:val="24"/>
        </w:rPr>
        <w:t>jeopardised</w:t>
      </w:r>
      <w:proofErr w:type="spellEnd"/>
      <w:r w:rsidRPr="00CC2387">
        <w:rPr>
          <w:rFonts w:ascii="Arial" w:hAnsi="Arial" w:cs="Arial"/>
          <w:sz w:val="24"/>
          <w:szCs w:val="24"/>
        </w:rPr>
        <w:t xml:space="preserve">. Therefore, it is crucial to </w:t>
      </w:r>
      <w:proofErr w:type="spellStart"/>
      <w:r w:rsidRPr="00CC2387">
        <w:rPr>
          <w:rFonts w:ascii="Arial" w:hAnsi="Arial" w:cs="Arial"/>
          <w:sz w:val="24"/>
          <w:szCs w:val="24"/>
        </w:rPr>
        <w:t>prioritise</w:t>
      </w:r>
      <w:proofErr w:type="spellEnd"/>
      <w:r w:rsidRPr="00CC2387">
        <w:rPr>
          <w:rFonts w:ascii="Arial" w:hAnsi="Arial" w:cs="Arial"/>
          <w:sz w:val="24"/>
          <w:szCs w:val="24"/>
        </w:rPr>
        <w:t xml:space="preserve"> quality all the way through the project life cycle and to have effective quality control procedures in place.</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Quality assurance measures and hiring contractors with a track record of meeting quality standards are two of the most important takeaways from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w:t>
      </w:r>
      <w:proofErr w:type="spellStart"/>
      <w:r w:rsidRPr="00CC2387">
        <w:rPr>
          <w:rFonts w:ascii="Arial" w:hAnsi="Arial" w:cs="Arial"/>
          <w:sz w:val="24"/>
          <w:szCs w:val="24"/>
        </w:rPr>
        <w:t>Prioritising</w:t>
      </w:r>
      <w:proofErr w:type="spellEnd"/>
      <w:r w:rsidRPr="00CC2387">
        <w:rPr>
          <w:rFonts w:ascii="Arial" w:hAnsi="Arial" w:cs="Arial"/>
          <w:sz w:val="24"/>
          <w:szCs w:val="24"/>
        </w:rPr>
        <w:t xml:space="preserve"> thorough quality assurance procedures, conducting regular inspections and testing, and fixing any quality issues as soon as feasible are all essential for ensuring the long-term safety and reliability of such projects</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Gamage</w:t>
      </w:r>
      <w:proofErr w:type="spellEnd"/>
      <w:r w:rsidR="000D0E35" w:rsidRPr="000D0E35">
        <w:rPr>
          <w:rFonts w:ascii="Arial" w:hAnsi="Arial" w:cs="Arial"/>
          <w:sz w:val="24"/>
          <w:szCs w:val="24"/>
        </w:rPr>
        <w:t xml:space="preserve"> et al., 2008)</w:t>
      </w:r>
      <w:r w:rsidRPr="00CC2387">
        <w:rPr>
          <w:rFonts w:ascii="Arial" w:hAnsi="Arial" w:cs="Arial"/>
          <w:sz w:val="24"/>
          <w:szCs w:val="24"/>
        </w:rPr>
        <w:t>.</w:t>
      </w:r>
    </w:p>
    <w:p w:rsidR="006651DF" w:rsidRPr="00CC2387" w:rsidRDefault="006651DF" w:rsidP="00CC2387">
      <w:pPr>
        <w:pStyle w:val="Heading3"/>
        <w:spacing w:line="360" w:lineRule="auto"/>
        <w:rPr>
          <w:rFonts w:ascii="Arial" w:hAnsi="Arial" w:cs="Arial"/>
        </w:rPr>
      </w:pPr>
      <w:bookmarkStart w:id="6" w:name="_Toc140022595"/>
      <w:r w:rsidRPr="00CC2387">
        <w:rPr>
          <w:rFonts w:ascii="Arial" w:hAnsi="Arial" w:cs="Arial"/>
        </w:rPr>
        <w:t>1.4 Stakeholder Management: Addressing Diverse Interests</w:t>
      </w:r>
      <w:bookmarkEnd w:id="6"/>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Stakeholder management is crucial to the success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The existence of several parties, each with their own goals and perspectives, is a challenge that must be surmounted.</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Britain's government has pledged a sizable sum of money to the project in an attempt to </w:t>
      </w:r>
      <w:proofErr w:type="spellStart"/>
      <w:r w:rsidRPr="00CC2387">
        <w:rPr>
          <w:rFonts w:ascii="Arial" w:hAnsi="Arial" w:cs="Arial"/>
          <w:sz w:val="24"/>
          <w:szCs w:val="24"/>
        </w:rPr>
        <w:t>revitalise</w:t>
      </w:r>
      <w:proofErr w:type="spellEnd"/>
      <w:r w:rsidRPr="00CC2387">
        <w:rPr>
          <w:rFonts w:ascii="Arial" w:hAnsi="Arial" w:cs="Arial"/>
          <w:sz w:val="24"/>
          <w:szCs w:val="24"/>
        </w:rPr>
        <w:t xml:space="preserve"> the country's nuclear power industry and cut carbon emissions. The project's trajectory and outcomes will be heavily influenced by the government's policies, regulatory environment, and financial backing</w:t>
      </w:r>
      <w:r w:rsidR="000D0E35">
        <w:rPr>
          <w:rFonts w:ascii="Arial" w:hAnsi="Arial" w:cs="Arial"/>
          <w:sz w:val="24"/>
          <w:szCs w:val="24"/>
        </w:rPr>
        <w:t xml:space="preserve"> </w:t>
      </w:r>
      <w:r w:rsidR="000D0E35" w:rsidRPr="000D0E35">
        <w:rPr>
          <w:rFonts w:ascii="Arial" w:hAnsi="Arial" w:cs="Arial"/>
          <w:sz w:val="24"/>
          <w:szCs w:val="24"/>
        </w:rPr>
        <w:t>(Wickham and Wong, 2019)</w:t>
      </w:r>
      <w:r w:rsidRPr="00CC2387">
        <w:rPr>
          <w:rFonts w:ascii="Arial" w:hAnsi="Arial" w:cs="Arial"/>
          <w:sz w:val="24"/>
          <w:szCs w:val="24"/>
        </w:rPr>
        <w:t>. Policy-related roadblocks to the project's success can only be solved through strong collaboration between the team and the government.</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Both EDF Energy and CGN have deep financial and operational links to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The complexity of maintaining connections with key constituents rises in the presence of foreign investment</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Echekoba</w:t>
      </w:r>
      <w:proofErr w:type="spellEnd"/>
      <w:r w:rsidR="000D0E35" w:rsidRPr="000D0E35">
        <w:rPr>
          <w:rFonts w:ascii="Arial" w:hAnsi="Arial" w:cs="Arial"/>
          <w:sz w:val="24"/>
          <w:szCs w:val="24"/>
        </w:rPr>
        <w:t>, 2012)</w:t>
      </w:r>
      <w:r w:rsidRPr="00CC2387">
        <w:rPr>
          <w:rFonts w:ascii="Arial" w:hAnsi="Arial" w:cs="Arial"/>
          <w:sz w:val="24"/>
          <w:szCs w:val="24"/>
        </w:rPr>
        <w:t>. Conflicting interests, geopolitical tensions, and the negotiating process might all slow down progress on the project. Stakeholder management relies on open lines of communication, productive debate, and mutually beneficial compromise.</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Success of this initiative also depends on the participation of </w:t>
      </w:r>
      <w:proofErr w:type="spellStart"/>
      <w:r w:rsidRPr="00CC2387">
        <w:rPr>
          <w:rFonts w:ascii="Arial" w:hAnsi="Arial" w:cs="Arial"/>
          <w:sz w:val="24"/>
          <w:szCs w:val="24"/>
        </w:rPr>
        <w:t>neighbouring</w:t>
      </w:r>
      <w:proofErr w:type="spellEnd"/>
      <w:r w:rsidRPr="00CC2387">
        <w:rPr>
          <w:rFonts w:ascii="Arial" w:hAnsi="Arial" w:cs="Arial"/>
          <w:sz w:val="24"/>
          <w:szCs w:val="24"/>
        </w:rPr>
        <w:t xml:space="preserve"> communities and environmental groups. The project's potential impacts on society and the environment have been questioned. Stakeholder management is the process of making sure that everyone who has an interest in the project's outcome is included, that their concerns are addressed, and that they understand what they stand to gain by taking part. Finding common ground between project needs, stakeholder goals, and regulatory restrictions is essential for a successful project's completion</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Ponnappa</w:t>
      </w:r>
      <w:proofErr w:type="spellEnd"/>
      <w:r w:rsidR="000D0E35" w:rsidRPr="000D0E35">
        <w:rPr>
          <w:rFonts w:ascii="Arial" w:hAnsi="Arial" w:cs="Arial"/>
          <w:sz w:val="24"/>
          <w:szCs w:val="24"/>
        </w:rPr>
        <w:t>, 2019)</w:t>
      </w:r>
      <w:r w:rsidRPr="00CC2387">
        <w:rPr>
          <w:rFonts w:ascii="Arial" w:hAnsi="Arial" w:cs="Arial"/>
          <w:sz w:val="24"/>
          <w:szCs w:val="24"/>
        </w:rPr>
        <w:t>.</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Stakeholder management and clear lines of communication are especially important for large-scale infrastructure projects like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Consistent conversations, workshops, and feedback systems may help all parties' expectations be aligned, conflicts be reduced, and development be sustained. When all key stakeholders are consulted and their input is taken into account, projects have a better chance of success and garner support from a wider range of individuals and groups.</w:t>
      </w:r>
    </w:p>
    <w:p w:rsidR="006651DF" w:rsidRPr="00CC2387" w:rsidRDefault="006651DF" w:rsidP="00CC2387">
      <w:pPr>
        <w:pStyle w:val="Heading3"/>
        <w:spacing w:line="360" w:lineRule="auto"/>
        <w:rPr>
          <w:rFonts w:ascii="Arial" w:hAnsi="Arial" w:cs="Arial"/>
        </w:rPr>
      </w:pPr>
      <w:bookmarkStart w:id="7" w:name="_Toc140022596"/>
      <w:r w:rsidRPr="00CC2387">
        <w:rPr>
          <w:rFonts w:ascii="Arial" w:hAnsi="Arial" w:cs="Arial"/>
        </w:rPr>
        <w:t>1.5 Risk Factors: Identifying and Mitigating Potential Risks</w:t>
      </w:r>
      <w:bookmarkEnd w:id="7"/>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 project at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must take into consideration the one-of-a-kind dangers posed by nuclear power plants. The success of the project and the reduction of unintended consequences depend on the proper identification and management of these risks.</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Like many other large-scale projects,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is susceptible to construction delays. Delays may be caused by anything from unforeseen technical issues and geological constraints to damaged equipment and unforeseen events on the construction site. Potential risks may be assessed for severity, and effective countermeasures can be created, so that delays can be avoided or at least lessened</w:t>
      </w:r>
      <w:r w:rsidR="000D0E35">
        <w:rPr>
          <w:rFonts w:ascii="Arial" w:hAnsi="Arial" w:cs="Arial"/>
          <w:sz w:val="24"/>
          <w:szCs w:val="24"/>
        </w:rPr>
        <w:t xml:space="preserve"> </w:t>
      </w:r>
      <w:r w:rsidR="000D0E35" w:rsidRPr="000D0E35">
        <w:rPr>
          <w:rFonts w:ascii="Arial" w:hAnsi="Arial" w:cs="Arial"/>
          <w:sz w:val="24"/>
          <w:szCs w:val="24"/>
        </w:rPr>
        <w:t xml:space="preserve">(Barnes and </w:t>
      </w:r>
      <w:proofErr w:type="spellStart"/>
      <w:r w:rsidR="000D0E35" w:rsidRPr="000D0E35">
        <w:rPr>
          <w:rFonts w:ascii="Arial" w:hAnsi="Arial" w:cs="Arial"/>
          <w:sz w:val="24"/>
          <w:szCs w:val="24"/>
        </w:rPr>
        <w:t>Yaffe</w:t>
      </w:r>
      <w:proofErr w:type="spellEnd"/>
      <w:r w:rsidR="000D0E35" w:rsidRPr="000D0E35">
        <w:rPr>
          <w:rFonts w:ascii="Arial" w:hAnsi="Arial" w:cs="Arial"/>
          <w:sz w:val="24"/>
          <w:szCs w:val="24"/>
        </w:rPr>
        <w:t>, 2011)</w:t>
      </w:r>
      <w:r w:rsidRPr="00CC2387">
        <w:rPr>
          <w:rFonts w:ascii="Arial" w:hAnsi="Arial" w:cs="Arial"/>
          <w:sz w:val="24"/>
          <w:szCs w:val="24"/>
        </w:rPr>
        <w:t>. As soon as possible after becoming aware of a potential risk, preventative steps should be implemented.</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Additionally, regulatory concerns should be taken into account. There are stringent rules in place to protect both employees and the environment in the nuclear power industry. The schedule and cost of the project might be affected by issues such as changes in regulatory requirements or delays in getting necessary </w:t>
      </w:r>
      <w:proofErr w:type="spellStart"/>
      <w:r w:rsidRPr="00CC2387">
        <w:rPr>
          <w:rFonts w:ascii="Arial" w:hAnsi="Arial" w:cs="Arial"/>
          <w:sz w:val="24"/>
          <w:szCs w:val="24"/>
        </w:rPr>
        <w:t>licences</w:t>
      </w:r>
      <w:proofErr w:type="spellEnd"/>
      <w:r w:rsidRPr="00CC2387">
        <w:rPr>
          <w:rFonts w:ascii="Arial" w:hAnsi="Arial" w:cs="Arial"/>
          <w:sz w:val="24"/>
          <w:szCs w:val="24"/>
        </w:rPr>
        <w:t>, permits, and approvals</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Kousky</w:t>
      </w:r>
      <w:proofErr w:type="spellEnd"/>
      <w:r w:rsidR="000D0E35" w:rsidRPr="000D0E35">
        <w:rPr>
          <w:rFonts w:ascii="Arial" w:hAnsi="Arial" w:cs="Arial"/>
          <w:sz w:val="24"/>
          <w:szCs w:val="24"/>
        </w:rPr>
        <w:t xml:space="preserve"> and </w:t>
      </w:r>
      <w:proofErr w:type="spellStart"/>
      <w:r w:rsidR="000D0E35" w:rsidRPr="000D0E35">
        <w:rPr>
          <w:rFonts w:ascii="Arial" w:hAnsi="Arial" w:cs="Arial"/>
          <w:sz w:val="24"/>
          <w:szCs w:val="24"/>
        </w:rPr>
        <w:t>Kunreuther</w:t>
      </w:r>
      <w:proofErr w:type="spellEnd"/>
      <w:r w:rsidR="000D0E35" w:rsidRPr="000D0E35">
        <w:rPr>
          <w:rFonts w:ascii="Arial" w:hAnsi="Arial" w:cs="Arial"/>
          <w:sz w:val="24"/>
          <w:szCs w:val="24"/>
        </w:rPr>
        <w:t>, 2018)</w:t>
      </w:r>
      <w:r w:rsidRPr="00CC2387">
        <w:rPr>
          <w:rFonts w:ascii="Arial" w:hAnsi="Arial" w:cs="Arial"/>
          <w:sz w:val="24"/>
          <w:szCs w:val="24"/>
        </w:rPr>
        <w:t>. To reduce regulatory risks, it is important to build strong relationships with regulatory bodies, understand the procedures involved, and engage with the appropriate stakeholders proactively.</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There is a substantial amount of financial risk that has to be addressed in large-scale infrastructure projects. The completion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will need a substantial investment of both public and private funds. The availability of funds for a project might be affected by factors such as global events, economic instability, and stock market changes. Maintaining control of a project's total cost requires careful planning, precise financial modelling, and backup strategies</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Bryde</w:t>
      </w:r>
      <w:proofErr w:type="spellEnd"/>
      <w:r w:rsidR="000D0E35" w:rsidRPr="000D0E35">
        <w:rPr>
          <w:rFonts w:ascii="Arial" w:hAnsi="Arial" w:cs="Arial"/>
          <w:sz w:val="24"/>
          <w:szCs w:val="24"/>
        </w:rPr>
        <w:t>, 2019)</w:t>
      </w:r>
      <w:r w:rsidRPr="00CC2387">
        <w:rPr>
          <w:rFonts w:ascii="Arial" w:hAnsi="Arial" w:cs="Arial"/>
          <w:sz w:val="24"/>
          <w:szCs w:val="24"/>
        </w:rPr>
        <w:t>.</w:t>
      </w:r>
    </w:p>
    <w:p w:rsidR="007B0431" w:rsidRPr="00CC2387" w:rsidRDefault="007B0431" w:rsidP="00CC2387">
      <w:pPr>
        <w:spacing w:line="360" w:lineRule="auto"/>
        <w:jc w:val="both"/>
        <w:rPr>
          <w:rFonts w:ascii="Arial" w:hAnsi="Arial" w:cs="Arial"/>
          <w:sz w:val="24"/>
          <w:szCs w:val="24"/>
        </w:rPr>
      </w:pPr>
      <w:r w:rsidRPr="00CC2387">
        <w:rPr>
          <w:rFonts w:ascii="Arial" w:hAnsi="Arial" w:cs="Arial"/>
          <w:sz w:val="24"/>
          <w:szCs w:val="24"/>
        </w:rPr>
        <w:t xml:space="preserve">Nuclear power facilities bring threats to the environment that must be mitigated. Due to its potential impact on local ecosystems, water resources, and weather,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must adhere to strict environmental guidelines. If environmental risks aren't properly managed, it might lead to time and money lost in court. To effectively manage environmental risks, it is necessary to first undertake thorough environmental impact assessments, then establish monitoring </w:t>
      </w:r>
      <w:proofErr w:type="spellStart"/>
      <w:r w:rsidRPr="00CC2387">
        <w:rPr>
          <w:rFonts w:ascii="Arial" w:hAnsi="Arial" w:cs="Arial"/>
          <w:sz w:val="24"/>
          <w:szCs w:val="24"/>
        </w:rPr>
        <w:t>programmes</w:t>
      </w:r>
      <w:proofErr w:type="spellEnd"/>
      <w:r w:rsidRPr="00CC2387">
        <w:rPr>
          <w:rFonts w:ascii="Arial" w:hAnsi="Arial" w:cs="Arial"/>
          <w:sz w:val="24"/>
          <w:szCs w:val="24"/>
        </w:rPr>
        <w:t>, and finally implement appropriate mitigation options.</w:t>
      </w:r>
    </w:p>
    <w:p w:rsidR="00AC723B" w:rsidRPr="00CC2387" w:rsidRDefault="007B0431" w:rsidP="00CC2387">
      <w:pPr>
        <w:spacing w:line="360" w:lineRule="auto"/>
        <w:jc w:val="both"/>
        <w:rPr>
          <w:rFonts w:ascii="Arial" w:hAnsi="Arial" w:cs="Arial"/>
          <w:sz w:val="24"/>
          <w:szCs w:val="24"/>
        </w:rPr>
      </w:pPr>
      <w:r w:rsidRPr="00CC2387">
        <w:rPr>
          <w:rFonts w:ascii="Arial" w:hAnsi="Arial" w:cs="Arial"/>
          <w:sz w:val="24"/>
          <w:szCs w:val="24"/>
        </w:rPr>
        <w:t xml:space="preserve">The success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relies heavily on proactive and well-planned risk management. In order to mitigate the negative effects that risks may have on a project's schedule and budget, they must be identified, assessed, monitored, and implemented as soon as possible.</w:t>
      </w:r>
    </w:p>
    <w:p w:rsidR="006651DF" w:rsidRPr="00CC2387" w:rsidRDefault="006651DF" w:rsidP="00CC2387">
      <w:pPr>
        <w:pStyle w:val="Heading2"/>
        <w:spacing w:line="360" w:lineRule="auto"/>
        <w:rPr>
          <w:rFonts w:ascii="Arial" w:hAnsi="Arial" w:cs="Arial"/>
          <w:sz w:val="28"/>
        </w:rPr>
      </w:pPr>
      <w:bookmarkStart w:id="8" w:name="_Toc140022597"/>
      <w:r w:rsidRPr="00CC2387">
        <w:rPr>
          <w:rFonts w:ascii="Arial" w:hAnsi="Arial" w:cs="Arial"/>
          <w:sz w:val="28"/>
        </w:rPr>
        <w:t>Section 2: Success or Failure for the Future Energy Sector</w:t>
      </w:r>
      <w:bookmarkEnd w:id="8"/>
    </w:p>
    <w:p w:rsidR="006651DF" w:rsidRPr="00CC2387" w:rsidRDefault="006651DF" w:rsidP="00CC2387">
      <w:pPr>
        <w:pStyle w:val="Heading3"/>
        <w:spacing w:line="360" w:lineRule="auto"/>
        <w:rPr>
          <w:rFonts w:ascii="Arial" w:hAnsi="Arial" w:cs="Arial"/>
        </w:rPr>
      </w:pPr>
      <w:bookmarkStart w:id="9" w:name="_Toc140022598"/>
      <w:r w:rsidRPr="00CC2387">
        <w:rPr>
          <w:rFonts w:ascii="Arial" w:hAnsi="Arial" w:cs="Arial"/>
        </w:rPr>
        <w:t>2.1 Justification for Stance: Mixed Outcomes and Potential Benefits</w:t>
      </w:r>
      <w:bookmarkEnd w:id="9"/>
    </w:p>
    <w:p w:rsidR="007B0431" w:rsidRPr="00CC2387" w:rsidRDefault="007B0431" w:rsidP="00CC2387">
      <w:pPr>
        <w:spacing w:line="360" w:lineRule="auto"/>
        <w:jc w:val="both"/>
        <w:rPr>
          <w:rFonts w:ascii="Arial" w:hAnsi="Arial" w:cs="Arial"/>
          <w:sz w:val="24"/>
          <w:szCs w:val="24"/>
        </w:rPr>
      </w:pPr>
      <w:r w:rsidRPr="00CC2387">
        <w:rPr>
          <w:rFonts w:ascii="Arial" w:hAnsi="Arial" w:cs="Arial"/>
          <w:sz w:val="24"/>
          <w:szCs w:val="24"/>
        </w:rPr>
        <w:t xml:space="preserve">It is currently impossible to speculate on how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may influence the energy sector in the United Kingdom over the course of the long run. There have been a lot of problems with the project, including things like going over budget, falling behind time, and generating concerns about the end product's quality</w:t>
      </w:r>
      <w:r w:rsidR="000D0E35">
        <w:rPr>
          <w:rFonts w:ascii="Arial" w:hAnsi="Arial" w:cs="Arial"/>
          <w:sz w:val="24"/>
          <w:szCs w:val="24"/>
        </w:rPr>
        <w:t xml:space="preserve"> </w:t>
      </w:r>
      <w:r w:rsidR="000D0E35" w:rsidRPr="000D0E35">
        <w:rPr>
          <w:rFonts w:ascii="Arial" w:hAnsi="Arial" w:cs="Arial"/>
          <w:sz w:val="24"/>
          <w:szCs w:val="24"/>
        </w:rPr>
        <w:t>(</w:t>
      </w:r>
      <w:proofErr w:type="spellStart"/>
      <w:r w:rsidR="000D0E35" w:rsidRPr="000D0E35">
        <w:rPr>
          <w:rFonts w:ascii="Arial" w:hAnsi="Arial" w:cs="Arial"/>
          <w:sz w:val="24"/>
          <w:szCs w:val="24"/>
        </w:rPr>
        <w:t>Brulle</w:t>
      </w:r>
      <w:proofErr w:type="spellEnd"/>
      <w:r w:rsidR="000D0E35" w:rsidRPr="000D0E35">
        <w:rPr>
          <w:rFonts w:ascii="Arial" w:hAnsi="Arial" w:cs="Arial"/>
          <w:sz w:val="24"/>
          <w:szCs w:val="24"/>
        </w:rPr>
        <w:t>, 2018)</w:t>
      </w:r>
      <w:r w:rsidRPr="00CC2387">
        <w:rPr>
          <w:rFonts w:ascii="Arial" w:hAnsi="Arial" w:cs="Arial"/>
          <w:sz w:val="24"/>
          <w:szCs w:val="24"/>
        </w:rPr>
        <w:t>. If it is allowed to become law, this measure has the potential to reinvigorate the nuclear power industry, stimulate economic expansion, and cut carbon emissions across the board in the energy sector.</w:t>
      </w:r>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The project management, cost estimating, time management, quality control, and risk reduction aspects of the project may require further attention due to the encountered challenges. These challenges present potential for development and enhancement that can be applied to future undertakings of a comparable nature.</w:t>
      </w:r>
    </w:p>
    <w:p w:rsidR="00CD49D2" w:rsidRPr="00CC2387" w:rsidRDefault="00CD49D2" w:rsidP="00CC2387">
      <w:pPr>
        <w:pStyle w:val="Heading1"/>
        <w:spacing w:line="360" w:lineRule="auto"/>
        <w:rPr>
          <w:rFonts w:ascii="Arial" w:hAnsi="Arial" w:cs="Arial"/>
        </w:rPr>
      </w:pPr>
      <w:bookmarkStart w:id="10" w:name="_Toc140022599"/>
      <w:r w:rsidRPr="00CC2387">
        <w:rPr>
          <w:rFonts w:ascii="Arial" w:hAnsi="Arial" w:cs="Arial"/>
        </w:rPr>
        <w:t>Part 03: Conclusion</w:t>
      </w:r>
      <w:bookmarkEnd w:id="10"/>
    </w:p>
    <w:p w:rsidR="00CD49D2"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 current status of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is indicative of a mixed result for the future of the energy sector in the UK as a whole. Though the project has been beset by cost overruns, delays, and quality issues, it still has the potential to further the country's low-carbon energy objectives and benefit the economy. Lessons learned from the project's failings include the following: inaccurate cost projections; poor coordination; inadequate risk management; careless quality control; and insufficient stakeholder engagement. Future energy infrastructure projects in the UK might benefit from these insights, which could help them be delivered more efficiently and affordably.</w:t>
      </w:r>
    </w:p>
    <w:p w:rsidR="00CD49D2" w:rsidRPr="00CC2387" w:rsidRDefault="00CD49D2" w:rsidP="00CC2387">
      <w:pPr>
        <w:pStyle w:val="Heading1"/>
        <w:spacing w:line="360" w:lineRule="auto"/>
        <w:rPr>
          <w:rFonts w:ascii="Arial" w:hAnsi="Arial" w:cs="Arial"/>
        </w:rPr>
      </w:pPr>
      <w:bookmarkStart w:id="11" w:name="_Toc140022600"/>
      <w:r w:rsidRPr="00CC2387">
        <w:rPr>
          <w:rFonts w:ascii="Arial" w:hAnsi="Arial" w:cs="Arial"/>
        </w:rPr>
        <w:t>Part 04: Recommendations</w:t>
      </w:r>
      <w:bookmarkEnd w:id="11"/>
    </w:p>
    <w:p w:rsidR="00AC723B"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 xml:space="preserve">The lessons learned from the </w:t>
      </w:r>
      <w:proofErr w:type="spellStart"/>
      <w:r w:rsidRPr="00CC2387">
        <w:rPr>
          <w:rFonts w:ascii="Arial" w:hAnsi="Arial" w:cs="Arial"/>
          <w:sz w:val="24"/>
          <w:szCs w:val="24"/>
        </w:rPr>
        <w:t>Hinkley</w:t>
      </w:r>
      <w:proofErr w:type="spellEnd"/>
      <w:r w:rsidRPr="00CC2387">
        <w:rPr>
          <w:rFonts w:ascii="Arial" w:hAnsi="Arial" w:cs="Arial"/>
          <w:sz w:val="24"/>
          <w:szCs w:val="24"/>
        </w:rPr>
        <w:t xml:space="preserve"> Point C project may be applied to other energy infrastructure developments in the UK. </w:t>
      </w:r>
    </w:p>
    <w:p w:rsidR="00AC723B" w:rsidRPr="00CC2387" w:rsidRDefault="00AC723B" w:rsidP="00CC2387">
      <w:pPr>
        <w:pStyle w:val="ListParagraph"/>
        <w:numPr>
          <w:ilvl w:val="0"/>
          <w:numId w:val="6"/>
        </w:numPr>
        <w:spacing w:line="360" w:lineRule="auto"/>
        <w:jc w:val="both"/>
        <w:rPr>
          <w:rFonts w:ascii="Arial" w:hAnsi="Arial" w:cs="Arial"/>
          <w:sz w:val="24"/>
          <w:szCs w:val="24"/>
        </w:rPr>
      </w:pPr>
      <w:r w:rsidRPr="00CC2387">
        <w:rPr>
          <w:rFonts w:ascii="Arial" w:hAnsi="Arial" w:cs="Arial"/>
          <w:sz w:val="24"/>
          <w:szCs w:val="24"/>
        </w:rPr>
        <w:t>Accurate cost estimate taking inflation and the special difficulties of the nuclear power industry into account.</w:t>
      </w:r>
    </w:p>
    <w:p w:rsidR="00AC723B" w:rsidRPr="00CC2387" w:rsidRDefault="00AC723B" w:rsidP="00CC2387">
      <w:pPr>
        <w:pStyle w:val="ListParagraph"/>
        <w:numPr>
          <w:ilvl w:val="0"/>
          <w:numId w:val="6"/>
        </w:numPr>
        <w:spacing w:line="360" w:lineRule="auto"/>
        <w:jc w:val="both"/>
        <w:rPr>
          <w:rFonts w:ascii="Arial" w:hAnsi="Arial" w:cs="Arial"/>
          <w:sz w:val="24"/>
          <w:szCs w:val="24"/>
        </w:rPr>
      </w:pPr>
      <w:r w:rsidRPr="00CC2387">
        <w:rPr>
          <w:rFonts w:ascii="Arial" w:hAnsi="Arial" w:cs="Arial"/>
          <w:sz w:val="24"/>
          <w:szCs w:val="24"/>
        </w:rPr>
        <w:t>Solid methods of fiscal control and backup plans in case of budget overruns.</w:t>
      </w:r>
    </w:p>
    <w:p w:rsidR="00AC723B" w:rsidRPr="00CC2387" w:rsidRDefault="00AC723B" w:rsidP="00CC2387">
      <w:pPr>
        <w:pStyle w:val="ListParagraph"/>
        <w:numPr>
          <w:ilvl w:val="0"/>
          <w:numId w:val="6"/>
        </w:numPr>
        <w:spacing w:line="360" w:lineRule="auto"/>
        <w:jc w:val="both"/>
        <w:rPr>
          <w:rFonts w:ascii="Arial" w:hAnsi="Arial" w:cs="Arial"/>
          <w:sz w:val="24"/>
          <w:szCs w:val="24"/>
        </w:rPr>
      </w:pPr>
      <w:r w:rsidRPr="00CC2387">
        <w:rPr>
          <w:rFonts w:ascii="Arial" w:hAnsi="Arial" w:cs="Arial"/>
          <w:sz w:val="24"/>
          <w:szCs w:val="24"/>
        </w:rPr>
        <w:t>Meticulous preparation, preventative risk management, and well-coordinated action to keep delays to a minimum.</w:t>
      </w:r>
    </w:p>
    <w:p w:rsidR="00AC723B" w:rsidRPr="00CC2387" w:rsidRDefault="00AC723B" w:rsidP="00CC2387">
      <w:pPr>
        <w:pStyle w:val="ListParagraph"/>
        <w:numPr>
          <w:ilvl w:val="0"/>
          <w:numId w:val="6"/>
        </w:numPr>
        <w:spacing w:line="360" w:lineRule="auto"/>
        <w:jc w:val="both"/>
        <w:rPr>
          <w:rFonts w:ascii="Arial" w:hAnsi="Arial" w:cs="Arial"/>
          <w:sz w:val="24"/>
          <w:szCs w:val="24"/>
        </w:rPr>
      </w:pPr>
      <w:r w:rsidRPr="00CC2387">
        <w:rPr>
          <w:rFonts w:ascii="Arial" w:hAnsi="Arial" w:cs="Arial"/>
          <w:sz w:val="24"/>
          <w:szCs w:val="24"/>
        </w:rPr>
        <w:t>To guarantee high-quality results, we use stringent quality control techniques and pick contractors based on their track records of success.</w:t>
      </w:r>
    </w:p>
    <w:p w:rsidR="00AC723B" w:rsidRPr="00CC2387" w:rsidRDefault="00AC723B" w:rsidP="00CC2387">
      <w:pPr>
        <w:pStyle w:val="ListParagraph"/>
        <w:numPr>
          <w:ilvl w:val="0"/>
          <w:numId w:val="6"/>
        </w:numPr>
        <w:spacing w:line="360" w:lineRule="auto"/>
        <w:jc w:val="both"/>
        <w:rPr>
          <w:rFonts w:ascii="Arial" w:hAnsi="Arial" w:cs="Arial"/>
          <w:sz w:val="24"/>
          <w:szCs w:val="24"/>
        </w:rPr>
      </w:pPr>
      <w:r w:rsidRPr="00CC2387">
        <w:rPr>
          <w:rFonts w:ascii="Arial" w:hAnsi="Arial" w:cs="Arial"/>
          <w:sz w:val="24"/>
          <w:szCs w:val="24"/>
        </w:rPr>
        <w:t>To resolve issues and keep the project moving forward, it is important to have effective stakeholder participation, open communication, and inclusive decision-making procedures.</w:t>
      </w:r>
    </w:p>
    <w:p w:rsidR="00AC723B" w:rsidRPr="00CC2387" w:rsidRDefault="00AC723B" w:rsidP="00CC2387">
      <w:pPr>
        <w:pStyle w:val="ListParagraph"/>
        <w:numPr>
          <w:ilvl w:val="0"/>
          <w:numId w:val="6"/>
        </w:numPr>
        <w:spacing w:line="360" w:lineRule="auto"/>
        <w:jc w:val="both"/>
        <w:rPr>
          <w:rFonts w:ascii="Arial" w:hAnsi="Arial" w:cs="Arial"/>
          <w:sz w:val="24"/>
          <w:szCs w:val="24"/>
        </w:rPr>
      </w:pPr>
      <w:r w:rsidRPr="00CC2387">
        <w:rPr>
          <w:rFonts w:ascii="Arial" w:hAnsi="Arial" w:cs="Arial"/>
          <w:sz w:val="24"/>
          <w:szCs w:val="24"/>
        </w:rPr>
        <w:t>Thorough evaluation of risks, ongoing tracking, and prompt application of controls to reduce those risks.</w:t>
      </w:r>
    </w:p>
    <w:p w:rsidR="006651DF" w:rsidRPr="00CC2387" w:rsidRDefault="006651DF" w:rsidP="00CC2387">
      <w:pPr>
        <w:spacing w:line="360" w:lineRule="auto"/>
        <w:jc w:val="both"/>
        <w:rPr>
          <w:rFonts w:ascii="Arial" w:hAnsi="Arial" w:cs="Arial"/>
          <w:sz w:val="24"/>
          <w:szCs w:val="24"/>
        </w:rPr>
      </w:pPr>
      <w:r w:rsidRPr="00CC2387">
        <w:rPr>
          <w:rFonts w:ascii="Arial" w:hAnsi="Arial" w:cs="Arial"/>
          <w:sz w:val="24"/>
          <w:szCs w:val="24"/>
        </w:rPr>
        <w:t>By incorporating these lessons into future projects, the UK can improve their chances of success, minimize risks, and ensure the delivery of high-quality energy infrastructure.</w:t>
      </w:r>
    </w:p>
    <w:p w:rsidR="006651DF" w:rsidRPr="00CC2387" w:rsidRDefault="006651DF" w:rsidP="00CC2387">
      <w:pPr>
        <w:spacing w:line="360" w:lineRule="auto"/>
        <w:jc w:val="both"/>
        <w:rPr>
          <w:rFonts w:ascii="Arial" w:hAnsi="Arial" w:cs="Arial"/>
          <w:sz w:val="24"/>
          <w:szCs w:val="24"/>
        </w:rPr>
      </w:pPr>
      <w:r w:rsidRPr="00CC2387">
        <w:rPr>
          <w:rFonts w:ascii="Arial" w:hAnsi="Arial" w:cs="Arial"/>
          <w:sz w:val="24"/>
          <w:szCs w:val="24"/>
        </w:rPr>
        <w:t>3.2 Recommendation for Similar Projects: Enhancing Success Factors</w:t>
      </w:r>
    </w:p>
    <w:p w:rsidR="006651DF" w:rsidRPr="00CC2387" w:rsidRDefault="006651DF" w:rsidP="00CC2387">
      <w:pPr>
        <w:spacing w:line="360" w:lineRule="auto"/>
        <w:jc w:val="both"/>
        <w:rPr>
          <w:rFonts w:ascii="Arial" w:hAnsi="Arial" w:cs="Arial"/>
          <w:sz w:val="24"/>
          <w:szCs w:val="24"/>
        </w:rPr>
      </w:pPr>
      <w:r w:rsidRPr="00CC2387">
        <w:rPr>
          <w:rFonts w:ascii="Arial" w:hAnsi="Arial" w:cs="Arial"/>
          <w:sz w:val="24"/>
          <w:szCs w:val="24"/>
        </w:rPr>
        <w:t>For similar projects in the future, it is recommended to focus on the following areas:</w:t>
      </w:r>
    </w:p>
    <w:p w:rsidR="00AC723B" w:rsidRPr="00CC2387" w:rsidRDefault="006651DF" w:rsidP="00CC2387">
      <w:pPr>
        <w:pStyle w:val="ListParagraph"/>
        <w:numPr>
          <w:ilvl w:val="0"/>
          <w:numId w:val="4"/>
        </w:numPr>
        <w:spacing w:line="360" w:lineRule="auto"/>
        <w:jc w:val="both"/>
        <w:rPr>
          <w:rFonts w:ascii="Arial" w:hAnsi="Arial" w:cs="Arial"/>
          <w:sz w:val="24"/>
          <w:szCs w:val="24"/>
        </w:rPr>
      </w:pPr>
      <w:r w:rsidRPr="00CC2387">
        <w:rPr>
          <w:rFonts w:ascii="Arial" w:hAnsi="Arial" w:cs="Arial"/>
          <w:sz w:val="24"/>
          <w:szCs w:val="24"/>
        </w:rPr>
        <w:t xml:space="preserve">Accurate Cost Estimation and Financial Management: </w:t>
      </w:r>
      <w:r w:rsidR="00AC723B" w:rsidRPr="00CC2387">
        <w:rPr>
          <w:rFonts w:ascii="Arial" w:hAnsi="Arial" w:cs="Arial"/>
          <w:sz w:val="24"/>
          <w:szCs w:val="24"/>
        </w:rPr>
        <w:t>Inflation and the project's specific difficulties are two examples of cost variables that need careful examination. Effective budget management requires the development of robust financial management techniques and backup plans.</w:t>
      </w:r>
    </w:p>
    <w:p w:rsidR="006651DF" w:rsidRPr="00CC2387" w:rsidRDefault="006651DF" w:rsidP="00CC2387">
      <w:pPr>
        <w:pStyle w:val="ListParagraph"/>
        <w:numPr>
          <w:ilvl w:val="0"/>
          <w:numId w:val="4"/>
        </w:numPr>
        <w:spacing w:line="360" w:lineRule="auto"/>
        <w:jc w:val="both"/>
        <w:rPr>
          <w:rFonts w:ascii="Arial" w:hAnsi="Arial" w:cs="Arial"/>
          <w:sz w:val="24"/>
          <w:szCs w:val="24"/>
        </w:rPr>
      </w:pPr>
      <w:r w:rsidRPr="00CC2387">
        <w:rPr>
          <w:rFonts w:ascii="Arial" w:hAnsi="Arial" w:cs="Arial"/>
          <w:sz w:val="24"/>
          <w:szCs w:val="24"/>
        </w:rPr>
        <w:t xml:space="preserve">Efficient Planning and Risk Management: </w:t>
      </w:r>
      <w:r w:rsidR="00AC723B" w:rsidRPr="00CC2387">
        <w:rPr>
          <w:rFonts w:ascii="Arial" w:hAnsi="Arial" w:cs="Arial"/>
          <w:sz w:val="24"/>
          <w:szCs w:val="24"/>
        </w:rPr>
        <w:t>The key areas of emphasis include meticulous planning, timely identification of potential risks, thorough assessment, and efficient implementation of risk mitigation strategies</w:t>
      </w:r>
      <w:r w:rsidR="000D0E35">
        <w:rPr>
          <w:rFonts w:ascii="Arial" w:hAnsi="Arial" w:cs="Arial"/>
          <w:sz w:val="24"/>
          <w:szCs w:val="24"/>
        </w:rPr>
        <w:t xml:space="preserve"> </w:t>
      </w:r>
      <w:r w:rsidR="000D0E35" w:rsidRPr="000D0E35">
        <w:rPr>
          <w:rFonts w:ascii="Arial" w:hAnsi="Arial" w:cs="Arial"/>
          <w:sz w:val="24"/>
          <w:szCs w:val="24"/>
        </w:rPr>
        <w:t>(Galle et al., 2018)</w:t>
      </w:r>
      <w:r w:rsidR="00AC723B" w:rsidRPr="00CC2387">
        <w:rPr>
          <w:rFonts w:ascii="Arial" w:hAnsi="Arial" w:cs="Arial"/>
          <w:sz w:val="24"/>
          <w:szCs w:val="24"/>
        </w:rPr>
        <w:t>. To mitigate the likelihood of expensive delays, it is advisable to implement comprehensive risk management protocols.</w:t>
      </w:r>
    </w:p>
    <w:p w:rsidR="006651DF" w:rsidRPr="00CC2387" w:rsidRDefault="006651DF" w:rsidP="00CC2387">
      <w:pPr>
        <w:pStyle w:val="ListParagraph"/>
        <w:numPr>
          <w:ilvl w:val="0"/>
          <w:numId w:val="4"/>
        </w:numPr>
        <w:spacing w:line="360" w:lineRule="auto"/>
        <w:jc w:val="both"/>
        <w:rPr>
          <w:rFonts w:ascii="Arial" w:hAnsi="Arial" w:cs="Arial"/>
          <w:sz w:val="24"/>
          <w:szCs w:val="24"/>
        </w:rPr>
      </w:pPr>
      <w:r w:rsidRPr="00CC2387">
        <w:rPr>
          <w:rFonts w:ascii="Arial" w:hAnsi="Arial" w:cs="Arial"/>
          <w:sz w:val="24"/>
          <w:szCs w:val="24"/>
        </w:rPr>
        <w:t xml:space="preserve">Stringent Quality Control and Contractor Selection: </w:t>
      </w:r>
      <w:r w:rsidR="00AC723B" w:rsidRPr="00CC2387">
        <w:rPr>
          <w:rFonts w:ascii="Arial" w:hAnsi="Arial" w:cs="Arial"/>
          <w:sz w:val="24"/>
          <w:szCs w:val="24"/>
        </w:rPr>
        <w:t>Incorporate stringent methods for quality control, including regular inspections and thorough testing. Before entering into contractual agreements, it is crucial to conduct thorough evaluations of contractors' past performance and commitment to quality assurance.</w:t>
      </w:r>
    </w:p>
    <w:p w:rsidR="006651DF" w:rsidRPr="00CC2387" w:rsidRDefault="006651DF" w:rsidP="00CC2387">
      <w:pPr>
        <w:pStyle w:val="ListParagraph"/>
        <w:numPr>
          <w:ilvl w:val="0"/>
          <w:numId w:val="4"/>
        </w:numPr>
        <w:spacing w:line="360" w:lineRule="auto"/>
        <w:jc w:val="both"/>
        <w:rPr>
          <w:rFonts w:ascii="Arial" w:hAnsi="Arial" w:cs="Arial"/>
          <w:sz w:val="24"/>
          <w:szCs w:val="24"/>
        </w:rPr>
      </w:pPr>
      <w:r w:rsidRPr="00CC2387">
        <w:rPr>
          <w:rFonts w:ascii="Arial" w:hAnsi="Arial" w:cs="Arial"/>
          <w:sz w:val="24"/>
          <w:szCs w:val="24"/>
        </w:rPr>
        <w:t xml:space="preserve">Stakeholder Engagement and Communication: </w:t>
      </w:r>
      <w:r w:rsidR="00AC723B" w:rsidRPr="00CC2387">
        <w:rPr>
          <w:rFonts w:ascii="Arial" w:hAnsi="Arial" w:cs="Arial"/>
          <w:sz w:val="24"/>
          <w:szCs w:val="24"/>
        </w:rPr>
        <w:t>Engaging and communicating with stakeholders effectively should be a top priority for every project. Encourage direct lines of communication, spark fruitful arguments, and work towards win-win solutions that meet everyone's concerns</w:t>
      </w:r>
      <w:r w:rsidR="000D0E35">
        <w:rPr>
          <w:rFonts w:ascii="Arial" w:hAnsi="Arial" w:cs="Arial"/>
          <w:sz w:val="24"/>
          <w:szCs w:val="24"/>
        </w:rPr>
        <w:t xml:space="preserve"> </w:t>
      </w:r>
      <w:r w:rsidR="000D0E35" w:rsidRPr="000D0E35">
        <w:rPr>
          <w:rFonts w:ascii="Arial" w:hAnsi="Arial" w:cs="Arial"/>
          <w:sz w:val="24"/>
          <w:szCs w:val="24"/>
        </w:rPr>
        <w:t>(Adams and Frost, 2006)</w:t>
      </w:r>
      <w:r w:rsidR="00AC723B" w:rsidRPr="00CC2387">
        <w:rPr>
          <w:rFonts w:ascii="Arial" w:hAnsi="Arial" w:cs="Arial"/>
          <w:sz w:val="24"/>
          <w:szCs w:val="24"/>
        </w:rPr>
        <w:t>.</w:t>
      </w:r>
    </w:p>
    <w:p w:rsidR="006651DF" w:rsidRPr="00CC2387" w:rsidRDefault="006651DF" w:rsidP="00CC2387">
      <w:pPr>
        <w:pStyle w:val="ListParagraph"/>
        <w:numPr>
          <w:ilvl w:val="0"/>
          <w:numId w:val="4"/>
        </w:numPr>
        <w:spacing w:line="360" w:lineRule="auto"/>
        <w:jc w:val="both"/>
        <w:rPr>
          <w:rFonts w:ascii="Arial" w:hAnsi="Arial" w:cs="Arial"/>
          <w:sz w:val="24"/>
          <w:szCs w:val="24"/>
        </w:rPr>
      </w:pPr>
      <w:r w:rsidRPr="00CC2387">
        <w:rPr>
          <w:rFonts w:ascii="Arial" w:hAnsi="Arial" w:cs="Arial"/>
          <w:sz w:val="24"/>
          <w:szCs w:val="24"/>
        </w:rPr>
        <w:t>Continuous Monitoring and Adaptation:</w:t>
      </w:r>
      <w:r w:rsidR="00AC723B" w:rsidRPr="00CC2387">
        <w:rPr>
          <w:rFonts w:ascii="Arial" w:hAnsi="Arial" w:cs="Arial"/>
          <w:sz w:val="24"/>
          <w:szCs w:val="24"/>
        </w:rPr>
        <w:t xml:space="preserve"> Set up thorough tracking mechanisms to keep tabs on the project's finances, schedule, and output quality. Maintain a steady cycle of risk assessment and strategy adjustment to guarantee the project's success</w:t>
      </w:r>
      <w:r w:rsidRPr="00CC2387">
        <w:rPr>
          <w:rFonts w:ascii="Arial" w:hAnsi="Arial" w:cs="Arial"/>
          <w:sz w:val="24"/>
          <w:szCs w:val="24"/>
        </w:rPr>
        <w:t>.</w:t>
      </w:r>
    </w:p>
    <w:p w:rsidR="00C813FF" w:rsidRPr="00CC2387" w:rsidRDefault="00AC723B" w:rsidP="00CC2387">
      <w:pPr>
        <w:spacing w:line="360" w:lineRule="auto"/>
        <w:jc w:val="both"/>
        <w:rPr>
          <w:rFonts w:ascii="Arial" w:hAnsi="Arial" w:cs="Arial"/>
          <w:sz w:val="24"/>
          <w:szCs w:val="24"/>
        </w:rPr>
      </w:pPr>
      <w:r w:rsidRPr="00CC2387">
        <w:rPr>
          <w:rFonts w:ascii="Arial" w:hAnsi="Arial" w:cs="Arial"/>
          <w:sz w:val="24"/>
          <w:szCs w:val="24"/>
        </w:rPr>
        <w:t>Future initiatives with comparable goals may improve their chances of success, reduce risks, and contribute to the sustainable growth of the UK's energy industry if these suggestions are implemented.</w:t>
      </w:r>
    </w:p>
    <w:p w:rsidR="00AC723B" w:rsidRPr="00CC2387" w:rsidRDefault="00AC723B" w:rsidP="00CC2387">
      <w:pPr>
        <w:spacing w:line="360" w:lineRule="auto"/>
        <w:jc w:val="both"/>
        <w:rPr>
          <w:rFonts w:ascii="Arial" w:hAnsi="Arial" w:cs="Arial"/>
          <w:sz w:val="24"/>
          <w:szCs w:val="24"/>
        </w:rPr>
      </w:pPr>
    </w:p>
    <w:p w:rsidR="00C813FF" w:rsidRPr="00CC2387" w:rsidRDefault="00C813FF" w:rsidP="00CC2387">
      <w:pPr>
        <w:pStyle w:val="Heading1"/>
        <w:spacing w:line="360" w:lineRule="auto"/>
        <w:rPr>
          <w:rFonts w:ascii="Arial" w:hAnsi="Arial" w:cs="Arial"/>
        </w:rPr>
      </w:pPr>
      <w:bookmarkStart w:id="12" w:name="_Toc140022601"/>
      <w:r w:rsidRPr="00CC2387">
        <w:rPr>
          <w:rFonts w:ascii="Arial" w:hAnsi="Arial" w:cs="Arial"/>
        </w:rPr>
        <w:t>References:</w:t>
      </w:r>
      <w:bookmarkEnd w:id="12"/>
      <w:r w:rsidRPr="00CC2387">
        <w:rPr>
          <w:rFonts w:ascii="Arial" w:hAnsi="Arial" w:cs="Arial"/>
        </w:rPr>
        <w:t xml:space="preserve"> </w:t>
      </w:r>
    </w:p>
    <w:p w:rsidR="000D0E35" w:rsidRDefault="000D0E35" w:rsidP="000D0E35">
      <w:pPr>
        <w:pStyle w:val="NormalWeb"/>
        <w:spacing w:before="0" w:beforeAutospacing="0" w:after="240" w:afterAutospacing="0" w:line="360" w:lineRule="auto"/>
        <w:rPr>
          <w:rFonts w:ascii="Arial" w:hAnsi="Arial" w:cs="Arial"/>
        </w:rPr>
      </w:pPr>
      <w:r>
        <w:rPr>
          <w:rFonts w:ascii="Arial" w:hAnsi="Arial" w:cs="Arial"/>
        </w:rPr>
        <w:t xml:space="preserve">Adams, C.A. and Frost, G.R. (2006). The internet and change in corporate stakeholder engagement and communication strategies on social and environmental performance. </w:t>
      </w:r>
      <w:r>
        <w:rPr>
          <w:rFonts w:ascii="Arial" w:hAnsi="Arial" w:cs="Arial"/>
          <w:i/>
          <w:iCs/>
        </w:rPr>
        <w:t>Journal of Accounting &amp; Organizational Change</w:t>
      </w:r>
      <w:r>
        <w:rPr>
          <w:rFonts w:ascii="Arial" w:hAnsi="Arial" w:cs="Arial"/>
        </w:rPr>
        <w:t xml:space="preserve">, 2(3), pp.281–303. </w:t>
      </w:r>
      <w:proofErr w:type="spellStart"/>
      <w:r>
        <w:rPr>
          <w:rFonts w:ascii="Arial" w:hAnsi="Arial" w:cs="Arial"/>
        </w:rPr>
        <w:t>doi:https</w:t>
      </w:r>
      <w:proofErr w:type="spellEnd"/>
      <w:r>
        <w:rPr>
          <w:rFonts w:ascii="Arial" w:hAnsi="Arial" w:cs="Arial"/>
        </w:rPr>
        <w:t>://doi.org/10.1108/18325910610690090.</w:t>
      </w:r>
    </w:p>
    <w:p w:rsidR="000D0E35" w:rsidRDefault="000D0E35" w:rsidP="000D0E35">
      <w:pPr>
        <w:pStyle w:val="NormalWeb"/>
        <w:spacing w:before="0" w:beforeAutospacing="0" w:after="240" w:afterAutospacing="0" w:line="360" w:lineRule="auto"/>
        <w:rPr>
          <w:rFonts w:ascii="Arial" w:hAnsi="Arial" w:cs="Arial"/>
        </w:rPr>
      </w:pPr>
      <w:r>
        <w:rPr>
          <w:rFonts w:ascii="Arial" w:hAnsi="Arial" w:cs="Arial"/>
        </w:rPr>
        <w:t xml:space="preserve">Barnes, D.E. and </w:t>
      </w:r>
      <w:proofErr w:type="spellStart"/>
      <w:r>
        <w:rPr>
          <w:rFonts w:ascii="Arial" w:hAnsi="Arial" w:cs="Arial"/>
        </w:rPr>
        <w:t>Yaffe</w:t>
      </w:r>
      <w:proofErr w:type="spellEnd"/>
      <w:r>
        <w:rPr>
          <w:rFonts w:ascii="Arial" w:hAnsi="Arial" w:cs="Arial"/>
        </w:rPr>
        <w:t xml:space="preserve">, K. (2011). The projected effect of risk factor reduction on Alzheimer’s disease prevalence. </w:t>
      </w:r>
      <w:r>
        <w:rPr>
          <w:rFonts w:ascii="Arial" w:hAnsi="Arial" w:cs="Arial"/>
          <w:i/>
          <w:iCs/>
        </w:rPr>
        <w:t>The Lancet Neurology</w:t>
      </w:r>
      <w:r>
        <w:rPr>
          <w:rFonts w:ascii="Arial" w:hAnsi="Arial" w:cs="Arial"/>
        </w:rPr>
        <w:t xml:space="preserve">, 10(9), pp.819–828. </w:t>
      </w:r>
      <w:proofErr w:type="spellStart"/>
      <w:r>
        <w:rPr>
          <w:rFonts w:ascii="Arial" w:hAnsi="Arial" w:cs="Arial"/>
        </w:rPr>
        <w:t>doi:https</w:t>
      </w:r>
      <w:proofErr w:type="spellEnd"/>
      <w:r>
        <w:rPr>
          <w:rFonts w:ascii="Arial" w:hAnsi="Arial" w:cs="Arial"/>
        </w:rPr>
        <w:t>://doi.org/10.1016/s1474-4422(11)70072-2.</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Brulle</w:t>
      </w:r>
      <w:proofErr w:type="spellEnd"/>
      <w:r>
        <w:rPr>
          <w:rFonts w:ascii="Arial" w:hAnsi="Arial" w:cs="Arial"/>
        </w:rPr>
        <w:t xml:space="preserve">, R.J. (2018). The climate lobby: a </w:t>
      </w:r>
      <w:proofErr w:type="spellStart"/>
      <w:r>
        <w:rPr>
          <w:rFonts w:ascii="Arial" w:hAnsi="Arial" w:cs="Arial"/>
        </w:rPr>
        <w:t>sectoral</w:t>
      </w:r>
      <w:proofErr w:type="spellEnd"/>
      <w:r>
        <w:rPr>
          <w:rFonts w:ascii="Arial" w:hAnsi="Arial" w:cs="Arial"/>
        </w:rPr>
        <w:t xml:space="preserve"> analysis of lobbying spending on climate change in the USA, 2000 to 2016. </w:t>
      </w:r>
      <w:r>
        <w:rPr>
          <w:rFonts w:ascii="Arial" w:hAnsi="Arial" w:cs="Arial"/>
          <w:i/>
          <w:iCs/>
        </w:rPr>
        <w:t>Climatic Change</w:t>
      </w:r>
      <w:r>
        <w:rPr>
          <w:rFonts w:ascii="Arial" w:hAnsi="Arial" w:cs="Arial"/>
        </w:rPr>
        <w:t xml:space="preserve">, [online] 149(3-4), pp.289–303. </w:t>
      </w:r>
      <w:proofErr w:type="spellStart"/>
      <w:r>
        <w:rPr>
          <w:rFonts w:ascii="Arial" w:hAnsi="Arial" w:cs="Arial"/>
        </w:rPr>
        <w:t>doi:https</w:t>
      </w:r>
      <w:proofErr w:type="spellEnd"/>
      <w:r>
        <w:rPr>
          <w:rFonts w:ascii="Arial" w:hAnsi="Arial" w:cs="Arial"/>
        </w:rPr>
        <w:t>://doi.org/10.1007/s10584-018-2241-z.</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Bryde</w:t>
      </w:r>
      <w:proofErr w:type="spellEnd"/>
      <w:r>
        <w:rPr>
          <w:rFonts w:ascii="Arial" w:hAnsi="Arial" w:cs="Arial"/>
        </w:rPr>
        <w:t xml:space="preserve">, D.J. (2019). Establishing a project organization and a project-management process for telecommunications project management. </w:t>
      </w:r>
      <w:r>
        <w:rPr>
          <w:rFonts w:ascii="Arial" w:hAnsi="Arial" w:cs="Arial"/>
          <w:i/>
          <w:iCs/>
        </w:rPr>
        <w:t>International Journal of Project Management</w:t>
      </w:r>
      <w:r>
        <w:rPr>
          <w:rFonts w:ascii="Arial" w:hAnsi="Arial" w:cs="Arial"/>
        </w:rPr>
        <w:t xml:space="preserve">, 13(1), pp.25–31. </w:t>
      </w:r>
      <w:proofErr w:type="spellStart"/>
      <w:r>
        <w:rPr>
          <w:rFonts w:ascii="Arial" w:hAnsi="Arial" w:cs="Arial"/>
        </w:rPr>
        <w:t>doi:https</w:t>
      </w:r>
      <w:proofErr w:type="spellEnd"/>
      <w:r>
        <w:rPr>
          <w:rFonts w:ascii="Arial" w:hAnsi="Arial" w:cs="Arial"/>
        </w:rPr>
        <w:t>://doi.org/10.1016/0263-7863(95)95700-n.</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Echekoba</w:t>
      </w:r>
      <w:proofErr w:type="spellEnd"/>
      <w:r>
        <w:rPr>
          <w:rFonts w:ascii="Arial" w:hAnsi="Arial" w:cs="Arial"/>
        </w:rPr>
        <w:t xml:space="preserve">, E. (2012). A Novel Stakeholder Sustainability Knowledge Management(SSKM) Model: Developing Linkages of Stakeholder </w:t>
      </w:r>
      <w:proofErr w:type="spellStart"/>
      <w:r>
        <w:rPr>
          <w:rFonts w:ascii="Arial" w:hAnsi="Arial" w:cs="Arial"/>
        </w:rPr>
        <w:t>Management,Knowledge</w:t>
      </w:r>
      <w:proofErr w:type="spellEnd"/>
      <w:r>
        <w:rPr>
          <w:rFonts w:ascii="Arial" w:hAnsi="Arial" w:cs="Arial"/>
        </w:rPr>
        <w:t xml:space="preserve"> Management and Triple Bottom Line Performance. </w:t>
      </w:r>
      <w:r>
        <w:rPr>
          <w:rFonts w:ascii="Arial" w:hAnsi="Arial" w:cs="Arial"/>
          <w:i/>
          <w:iCs/>
        </w:rPr>
        <w:t>Review of Public Administration and Management</w:t>
      </w:r>
      <w:r>
        <w:rPr>
          <w:rFonts w:ascii="Arial" w:hAnsi="Arial" w:cs="Arial"/>
        </w:rPr>
        <w:t xml:space="preserve">, 01(02), pp.10–20. </w:t>
      </w:r>
      <w:proofErr w:type="spellStart"/>
      <w:r>
        <w:rPr>
          <w:rFonts w:ascii="Arial" w:hAnsi="Arial" w:cs="Arial"/>
        </w:rPr>
        <w:t>doi:https</w:t>
      </w:r>
      <w:proofErr w:type="spellEnd"/>
      <w:r>
        <w:rPr>
          <w:rFonts w:ascii="Arial" w:hAnsi="Arial" w:cs="Arial"/>
        </w:rPr>
        <w:t>://doi.org/10.4172/2315-7844.1000113.</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Fama</w:t>
      </w:r>
      <w:proofErr w:type="spellEnd"/>
      <w:r>
        <w:rPr>
          <w:rFonts w:ascii="Arial" w:hAnsi="Arial" w:cs="Arial"/>
        </w:rPr>
        <w:t xml:space="preserve">, E.F. and Jensen, M.C. (2019). Agency Problems and Residual Claims. </w:t>
      </w:r>
      <w:r>
        <w:rPr>
          <w:rFonts w:ascii="Arial" w:hAnsi="Arial" w:cs="Arial"/>
          <w:i/>
          <w:iCs/>
        </w:rPr>
        <w:t>The Journal of Law and Economics</w:t>
      </w:r>
      <w:r>
        <w:rPr>
          <w:rFonts w:ascii="Arial" w:hAnsi="Arial" w:cs="Arial"/>
        </w:rPr>
        <w:t xml:space="preserve">, 26(2), pp.327–349. </w:t>
      </w:r>
      <w:proofErr w:type="spellStart"/>
      <w:r>
        <w:rPr>
          <w:rFonts w:ascii="Arial" w:hAnsi="Arial" w:cs="Arial"/>
        </w:rPr>
        <w:t>doi:https</w:t>
      </w:r>
      <w:proofErr w:type="spellEnd"/>
      <w:r>
        <w:rPr>
          <w:rFonts w:ascii="Arial" w:hAnsi="Arial" w:cs="Arial"/>
        </w:rPr>
        <w:t>://doi.org/10.1086/467038.</w:t>
      </w:r>
    </w:p>
    <w:p w:rsidR="000D0E35" w:rsidRDefault="000D0E35" w:rsidP="000D0E35">
      <w:pPr>
        <w:pStyle w:val="NormalWeb"/>
        <w:spacing w:before="0" w:beforeAutospacing="0" w:after="240" w:afterAutospacing="0" w:line="360" w:lineRule="auto"/>
        <w:rPr>
          <w:rFonts w:ascii="Arial" w:hAnsi="Arial" w:cs="Arial"/>
        </w:rPr>
      </w:pPr>
      <w:r>
        <w:rPr>
          <w:rFonts w:ascii="Arial" w:hAnsi="Arial" w:cs="Arial"/>
        </w:rPr>
        <w:t xml:space="preserve">Galle, P.R., </w:t>
      </w:r>
      <w:proofErr w:type="spellStart"/>
      <w:r>
        <w:rPr>
          <w:rFonts w:ascii="Arial" w:hAnsi="Arial" w:cs="Arial"/>
        </w:rPr>
        <w:t>Forner</w:t>
      </w:r>
      <w:proofErr w:type="spellEnd"/>
      <w:r>
        <w:rPr>
          <w:rFonts w:ascii="Arial" w:hAnsi="Arial" w:cs="Arial"/>
        </w:rPr>
        <w:t xml:space="preserve">, A., </w:t>
      </w:r>
      <w:proofErr w:type="spellStart"/>
      <w:r>
        <w:rPr>
          <w:rFonts w:ascii="Arial" w:hAnsi="Arial" w:cs="Arial"/>
        </w:rPr>
        <w:t>Llovet</w:t>
      </w:r>
      <w:proofErr w:type="spellEnd"/>
      <w:r>
        <w:rPr>
          <w:rFonts w:ascii="Arial" w:hAnsi="Arial" w:cs="Arial"/>
        </w:rPr>
        <w:t xml:space="preserve">, J.M., </w:t>
      </w:r>
      <w:proofErr w:type="spellStart"/>
      <w:r>
        <w:rPr>
          <w:rFonts w:ascii="Arial" w:hAnsi="Arial" w:cs="Arial"/>
        </w:rPr>
        <w:t>Mazzaferro</w:t>
      </w:r>
      <w:proofErr w:type="spellEnd"/>
      <w:r>
        <w:rPr>
          <w:rFonts w:ascii="Arial" w:hAnsi="Arial" w:cs="Arial"/>
        </w:rPr>
        <w:t xml:space="preserve">, V., </w:t>
      </w:r>
      <w:proofErr w:type="spellStart"/>
      <w:r>
        <w:rPr>
          <w:rFonts w:ascii="Arial" w:hAnsi="Arial" w:cs="Arial"/>
        </w:rPr>
        <w:t>Piscaglia</w:t>
      </w:r>
      <w:proofErr w:type="spellEnd"/>
      <w:r>
        <w:rPr>
          <w:rFonts w:ascii="Arial" w:hAnsi="Arial" w:cs="Arial"/>
        </w:rPr>
        <w:t xml:space="preserve">, F., Raoul, J.-L., </w:t>
      </w:r>
      <w:proofErr w:type="spellStart"/>
      <w:r>
        <w:rPr>
          <w:rFonts w:ascii="Arial" w:hAnsi="Arial" w:cs="Arial"/>
        </w:rPr>
        <w:t>Schirmacher</w:t>
      </w:r>
      <w:proofErr w:type="spellEnd"/>
      <w:r>
        <w:rPr>
          <w:rFonts w:ascii="Arial" w:hAnsi="Arial" w:cs="Arial"/>
        </w:rPr>
        <w:t xml:space="preserve">, P. and </w:t>
      </w:r>
      <w:proofErr w:type="spellStart"/>
      <w:r>
        <w:rPr>
          <w:rFonts w:ascii="Arial" w:hAnsi="Arial" w:cs="Arial"/>
        </w:rPr>
        <w:t>Vilgrain</w:t>
      </w:r>
      <w:proofErr w:type="spellEnd"/>
      <w:r>
        <w:rPr>
          <w:rFonts w:ascii="Arial" w:hAnsi="Arial" w:cs="Arial"/>
        </w:rPr>
        <w:t xml:space="preserve">, V. (2018). EASL Clinical Practice Guidelines: Management of hepatocellular carcinoma. </w:t>
      </w:r>
      <w:r>
        <w:rPr>
          <w:rFonts w:ascii="Arial" w:hAnsi="Arial" w:cs="Arial"/>
          <w:i/>
          <w:iCs/>
        </w:rPr>
        <w:t xml:space="preserve">Journal of </w:t>
      </w:r>
      <w:proofErr w:type="spellStart"/>
      <w:r>
        <w:rPr>
          <w:rFonts w:ascii="Arial" w:hAnsi="Arial" w:cs="Arial"/>
          <w:i/>
          <w:iCs/>
        </w:rPr>
        <w:t>Hepatology</w:t>
      </w:r>
      <w:proofErr w:type="spellEnd"/>
      <w:r>
        <w:rPr>
          <w:rFonts w:ascii="Arial" w:hAnsi="Arial" w:cs="Arial"/>
        </w:rPr>
        <w:t xml:space="preserve">, [online] 69(1), pp.182–236. </w:t>
      </w:r>
      <w:proofErr w:type="spellStart"/>
      <w:r>
        <w:rPr>
          <w:rFonts w:ascii="Arial" w:hAnsi="Arial" w:cs="Arial"/>
        </w:rPr>
        <w:t>doi:https</w:t>
      </w:r>
      <w:proofErr w:type="spellEnd"/>
      <w:r>
        <w:rPr>
          <w:rFonts w:ascii="Arial" w:hAnsi="Arial" w:cs="Arial"/>
        </w:rPr>
        <w:t>://doi.org/10.1016/j.jhep.2018.03.019.</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Gamage</w:t>
      </w:r>
      <w:proofErr w:type="spellEnd"/>
      <w:r>
        <w:rPr>
          <w:rFonts w:ascii="Arial" w:hAnsi="Arial" w:cs="Arial"/>
        </w:rPr>
        <w:t xml:space="preserve">, D.T., </w:t>
      </w:r>
      <w:proofErr w:type="spellStart"/>
      <w:r>
        <w:rPr>
          <w:rFonts w:ascii="Arial" w:hAnsi="Arial" w:cs="Arial"/>
        </w:rPr>
        <w:t>Suwanabroma</w:t>
      </w:r>
      <w:proofErr w:type="spellEnd"/>
      <w:r>
        <w:rPr>
          <w:rFonts w:ascii="Arial" w:hAnsi="Arial" w:cs="Arial"/>
        </w:rPr>
        <w:t xml:space="preserve">, J., </w:t>
      </w:r>
      <w:proofErr w:type="spellStart"/>
      <w:r>
        <w:rPr>
          <w:rFonts w:ascii="Arial" w:hAnsi="Arial" w:cs="Arial"/>
        </w:rPr>
        <w:t>Ueyama</w:t>
      </w:r>
      <w:proofErr w:type="spellEnd"/>
      <w:r>
        <w:rPr>
          <w:rFonts w:ascii="Arial" w:hAnsi="Arial" w:cs="Arial"/>
        </w:rPr>
        <w:t xml:space="preserve">, T., </w:t>
      </w:r>
      <w:proofErr w:type="spellStart"/>
      <w:r>
        <w:rPr>
          <w:rFonts w:ascii="Arial" w:hAnsi="Arial" w:cs="Arial"/>
        </w:rPr>
        <w:t>Hada</w:t>
      </w:r>
      <w:proofErr w:type="spellEnd"/>
      <w:r>
        <w:rPr>
          <w:rFonts w:ascii="Arial" w:hAnsi="Arial" w:cs="Arial"/>
        </w:rPr>
        <w:t xml:space="preserve">, S. and </w:t>
      </w:r>
      <w:proofErr w:type="spellStart"/>
      <w:r>
        <w:rPr>
          <w:rFonts w:ascii="Arial" w:hAnsi="Arial" w:cs="Arial"/>
        </w:rPr>
        <w:t>Sekikawa</w:t>
      </w:r>
      <w:proofErr w:type="spellEnd"/>
      <w:r>
        <w:rPr>
          <w:rFonts w:ascii="Arial" w:hAnsi="Arial" w:cs="Arial"/>
        </w:rPr>
        <w:t xml:space="preserve">, E. (2008). The impact of quality assurance measures on student services at the Japanese and Thai private universities. </w:t>
      </w:r>
      <w:r>
        <w:rPr>
          <w:rFonts w:ascii="Arial" w:hAnsi="Arial" w:cs="Arial"/>
          <w:i/>
          <w:iCs/>
        </w:rPr>
        <w:t>Quality Assurance in Education</w:t>
      </w:r>
      <w:r>
        <w:rPr>
          <w:rFonts w:ascii="Arial" w:hAnsi="Arial" w:cs="Arial"/>
        </w:rPr>
        <w:t xml:space="preserve">, 16(2), pp.181–198. </w:t>
      </w:r>
      <w:proofErr w:type="spellStart"/>
      <w:r>
        <w:rPr>
          <w:rFonts w:ascii="Arial" w:hAnsi="Arial" w:cs="Arial"/>
        </w:rPr>
        <w:t>doi:https</w:t>
      </w:r>
      <w:proofErr w:type="spellEnd"/>
      <w:r>
        <w:rPr>
          <w:rFonts w:ascii="Arial" w:hAnsi="Arial" w:cs="Arial"/>
        </w:rPr>
        <w:t>://doi.org/10.1108/09684880810868457.</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Girma</w:t>
      </w:r>
      <w:proofErr w:type="spellEnd"/>
      <w:r>
        <w:rPr>
          <w:rFonts w:ascii="Arial" w:hAnsi="Arial" w:cs="Arial"/>
        </w:rPr>
        <w:t xml:space="preserve">, Y., </w:t>
      </w:r>
      <w:proofErr w:type="spellStart"/>
      <w:r>
        <w:rPr>
          <w:rFonts w:ascii="Arial" w:hAnsi="Arial" w:cs="Arial"/>
        </w:rPr>
        <w:t>Terefe</w:t>
      </w:r>
      <w:proofErr w:type="spellEnd"/>
      <w:r>
        <w:rPr>
          <w:rFonts w:ascii="Arial" w:hAnsi="Arial" w:cs="Arial"/>
        </w:rPr>
        <w:t xml:space="preserve">, H., </w:t>
      </w:r>
      <w:proofErr w:type="spellStart"/>
      <w:r>
        <w:rPr>
          <w:rFonts w:ascii="Arial" w:hAnsi="Arial" w:cs="Arial"/>
        </w:rPr>
        <w:t>Pauleit</w:t>
      </w:r>
      <w:proofErr w:type="spellEnd"/>
      <w:r>
        <w:rPr>
          <w:rFonts w:ascii="Arial" w:hAnsi="Arial" w:cs="Arial"/>
        </w:rPr>
        <w:t xml:space="preserve">, S. and </w:t>
      </w:r>
      <w:proofErr w:type="spellStart"/>
      <w:r>
        <w:rPr>
          <w:rFonts w:ascii="Arial" w:hAnsi="Arial" w:cs="Arial"/>
        </w:rPr>
        <w:t>Kindu</w:t>
      </w:r>
      <w:proofErr w:type="spellEnd"/>
      <w:r>
        <w:rPr>
          <w:rFonts w:ascii="Arial" w:hAnsi="Arial" w:cs="Arial"/>
        </w:rPr>
        <w:t xml:space="preserve">, M. (2019). Urban green infrastructure planning in Ethiopia: The case of emerging towns of Oromia special zone surrounding </w:t>
      </w:r>
      <w:proofErr w:type="spellStart"/>
      <w:r>
        <w:rPr>
          <w:rFonts w:ascii="Arial" w:hAnsi="Arial" w:cs="Arial"/>
        </w:rPr>
        <w:t>Finfinne</w:t>
      </w:r>
      <w:proofErr w:type="spellEnd"/>
      <w:r>
        <w:rPr>
          <w:rFonts w:ascii="Arial" w:hAnsi="Arial" w:cs="Arial"/>
        </w:rPr>
        <w:t xml:space="preserve">. </w:t>
      </w:r>
      <w:r>
        <w:rPr>
          <w:rFonts w:ascii="Arial" w:hAnsi="Arial" w:cs="Arial"/>
          <w:i/>
          <w:iCs/>
        </w:rPr>
        <w:t>Journal of Urban Management</w:t>
      </w:r>
      <w:r>
        <w:rPr>
          <w:rFonts w:ascii="Arial" w:hAnsi="Arial" w:cs="Arial"/>
        </w:rPr>
        <w:t xml:space="preserve">, [online] 8(1), pp.75–88. </w:t>
      </w:r>
      <w:proofErr w:type="spellStart"/>
      <w:r>
        <w:rPr>
          <w:rFonts w:ascii="Arial" w:hAnsi="Arial" w:cs="Arial"/>
        </w:rPr>
        <w:t>doi:https</w:t>
      </w:r>
      <w:proofErr w:type="spellEnd"/>
      <w:r>
        <w:rPr>
          <w:rFonts w:ascii="Arial" w:hAnsi="Arial" w:cs="Arial"/>
        </w:rPr>
        <w:t>://doi.org/10.1016/j.jum.2018.09.004.</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Hotelling</w:t>
      </w:r>
      <w:proofErr w:type="spellEnd"/>
      <w:r>
        <w:rPr>
          <w:rFonts w:ascii="Arial" w:hAnsi="Arial" w:cs="Arial"/>
        </w:rPr>
        <w:t xml:space="preserve">, H. (1931). The Economics of Exhaustible Resources. </w:t>
      </w:r>
      <w:r>
        <w:rPr>
          <w:rFonts w:ascii="Arial" w:hAnsi="Arial" w:cs="Arial"/>
          <w:i/>
          <w:iCs/>
        </w:rPr>
        <w:t>Journal of Political Economy</w:t>
      </w:r>
      <w:r>
        <w:rPr>
          <w:rFonts w:ascii="Arial" w:hAnsi="Arial" w:cs="Arial"/>
        </w:rPr>
        <w:t xml:space="preserve">, 39(2), pp.137–175. </w:t>
      </w:r>
      <w:proofErr w:type="spellStart"/>
      <w:r>
        <w:rPr>
          <w:rFonts w:ascii="Arial" w:hAnsi="Arial" w:cs="Arial"/>
        </w:rPr>
        <w:t>doi:https</w:t>
      </w:r>
      <w:proofErr w:type="spellEnd"/>
      <w:r>
        <w:rPr>
          <w:rFonts w:ascii="Arial" w:hAnsi="Arial" w:cs="Arial"/>
        </w:rPr>
        <w:t>://doi.org/10.1086/254195.</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Kousky</w:t>
      </w:r>
      <w:proofErr w:type="spellEnd"/>
      <w:r>
        <w:rPr>
          <w:rFonts w:ascii="Arial" w:hAnsi="Arial" w:cs="Arial"/>
        </w:rPr>
        <w:t xml:space="preserve">, C. and </w:t>
      </w:r>
      <w:proofErr w:type="spellStart"/>
      <w:r>
        <w:rPr>
          <w:rFonts w:ascii="Arial" w:hAnsi="Arial" w:cs="Arial"/>
        </w:rPr>
        <w:t>Kunreuther</w:t>
      </w:r>
      <w:proofErr w:type="spellEnd"/>
      <w:r>
        <w:rPr>
          <w:rFonts w:ascii="Arial" w:hAnsi="Arial" w:cs="Arial"/>
        </w:rPr>
        <w:t xml:space="preserve">, H. (2018). Risk Management Roles of the Public and Private Sector. </w:t>
      </w:r>
      <w:r>
        <w:rPr>
          <w:rFonts w:ascii="Arial" w:hAnsi="Arial" w:cs="Arial"/>
          <w:i/>
          <w:iCs/>
        </w:rPr>
        <w:t>Risk Management and Insurance Review</w:t>
      </w:r>
      <w:r>
        <w:rPr>
          <w:rFonts w:ascii="Arial" w:hAnsi="Arial" w:cs="Arial"/>
        </w:rPr>
        <w:t xml:space="preserve">, 21(1), pp.181–204. </w:t>
      </w:r>
      <w:proofErr w:type="spellStart"/>
      <w:r>
        <w:rPr>
          <w:rFonts w:ascii="Arial" w:hAnsi="Arial" w:cs="Arial"/>
        </w:rPr>
        <w:t>doi:https</w:t>
      </w:r>
      <w:proofErr w:type="spellEnd"/>
      <w:r>
        <w:rPr>
          <w:rFonts w:ascii="Arial" w:hAnsi="Arial" w:cs="Arial"/>
        </w:rPr>
        <w:t>://doi.org/10.1111/rmir.12096.</w:t>
      </w:r>
    </w:p>
    <w:p w:rsidR="000D0E35" w:rsidRDefault="000D0E35" w:rsidP="000D0E35">
      <w:pPr>
        <w:pStyle w:val="NormalWeb"/>
        <w:spacing w:before="0" w:beforeAutospacing="0" w:after="240" w:afterAutospacing="0" w:line="360" w:lineRule="auto"/>
        <w:rPr>
          <w:rFonts w:ascii="Arial" w:hAnsi="Arial" w:cs="Arial"/>
        </w:rPr>
      </w:pPr>
      <w:r>
        <w:rPr>
          <w:rFonts w:ascii="Arial" w:hAnsi="Arial" w:cs="Arial"/>
        </w:rPr>
        <w:t xml:space="preserve">Liu, K., Li, K., Peng, Q. and Zhang, C. (2018). A brief review on key technologies in the battery management system of electric vehicles. </w:t>
      </w:r>
      <w:r>
        <w:rPr>
          <w:rFonts w:ascii="Arial" w:hAnsi="Arial" w:cs="Arial"/>
          <w:i/>
          <w:iCs/>
        </w:rPr>
        <w:t>Frontiers of Mechanical Engineering</w:t>
      </w:r>
      <w:r>
        <w:rPr>
          <w:rFonts w:ascii="Arial" w:hAnsi="Arial" w:cs="Arial"/>
        </w:rPr>
        <w:t xml:space="preserve">, 14(1), pp.47–64. </w:t>
      </w:r>
      <w:proofErr w:type="spellStart"/>
      <w:r>
        <w:rPr>
          <w:rFonts w:ascii="Arial" w:hAnsi="Arial" w:cs="Arial"/>
        </w:rPr>
        <w:t>doi:https</w:t>
      </w:r>
      <w:proofErr w:type="spellEnd"/>
      <w:r>
        <w:rPr>
          <w:rFonts w:ascii="Arial" w:hAnsi="Arial" w:cs="Arial"/>
        </w:rPr>
        <w:t>://doi.org/10.1007/s11465-018-0516-8.</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Minner</w:t>
      </w:r>
      <w:proofErr w:type="spellEnd"/>
      <w:r>
        <w:rPr>
          <w:rFonts w:ascii="Arial" w:hAnsi="Arial" w:cs="Arial"/>
        </w:rPr>
        <w:t xml:space="preserve">, D.D., Levy, A.J. and Century, J. (2010). Inquiry-based science instruction-what is it and does it matter? Results from a research synthesis years 1984 to 2002. </w:t>
      </w:r>
      <w:r>
        <w:rPr>
          <w:rFonts w:ascii="Arial" w:hAnsi="Arial" w:cs="Arial"/>
          <w:i/>
          <w:iCs/>
        </w:rPr>
        <w:t>Journal of Research in Science Teaching</w:t>
      </w:r>
      <w:r>
        <w:rPr>
          <w:rFonts w:ascii="Arial" w:hAnsi="Arial" w:cs="Arial"/>
        </w:rPr>
        <w:t xml:space="preserve">, 47(4), pp.474–496. </w:t>
      </w:r>
      <w:proofErr w:type="spellStart"/>
      <w:r>
        <w:rPr>
          <w:rFonts w:ascii="Arial" w:hAnsi="Arial" w:cs="Arial"/>
        </w:rPr>
        <w:t>doi:https</w:t>
      </w:r>
      <w:proofErr w:type="spellEnd"/>
      <w:r>
        <w:rPr>
          <w:rFonts w:ascii="Arial" w:hAnsi="Arial" w:cs="Arial"/>
        </w:rPr>
        <w:t>://doi.org/10.1002/tea.20347.</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Ponnappa</w:t>
      </w:r>
      <w:proofErr w:type="spellEnd"/>
      <w:r>
        <w:rPr>
          <w:rFonts w:ascii="Arial" w:hAnsi="Arial" w:cs="Arial"/>
        </w:rPr>
        <w:t xml:space="preserve">, G. (2019). Project Stakeholder Management. </w:t>
      </w:r>
      <w:r>
        <w:rPr>
          <w:rFonts w:ascii="Arial" w:hAnsi="Arial" w:cs="Arial"/>
          <w:i/>
          <w:iCs/>
        </w:rPr>
        <w:t>Project Management Journal</w:t>
      </w:r>
      <w:r>
        <w:rPr>
          <w:rFonts w:ascii="Arial" w:hAnsi="Arial" w:cs="Arial"/>
        </w:rPr>
        <w:t>, 45(2), pp.e3–e3.</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Pressey</w:t>
      </w:r>
      <w:proofErr w:type="spellEnd"/>
      <w:r>
        <w:rPr>
          <w:rFonts w:ascii="Arial" w:hAnsi="Arial" w:cs="Arial"/>
        </w:rPr>
        <w:t xml:space="preserve">, R.L., Visconti, P. and Ferraro, P.J. (2015). Making parks make a difference: poor alignment of policy, planning and management with protected-area impact, and ways forward. </w:t>
      </w:r>
      <w:r>
        <w:rPr>
          <w:rFonts w:ascii="Arial" w:hAnsi="Arial" w:cs="Arial"/>
          <w:i/>
          <w:iCs/>
        </w:rPr>
        <w:t>Philosophical Transactions of the Royal Society B: Biological Sciences</w:t>
      </w:r>
      <w:r>
        <w:rPr>
          <w:rFonts w:ascii="Arial" w:hAnsi="Arial" w:cs="Arial"/>
        </w:rPr>
        <w:t xml:space="preserve">, 370(1681), p.20140280. </w:t>
      </w:r>
      <w:proofErr w:type="spellStart"/>
      <w:r>
        <w:rPr>
          <w:rFonts w:ascii="Arial" w:hAnsi="Arial" w:cs="Arial"/>
        </w:rPr>
        <w:t>doi:https</w:t>
      </w:r>
      <w:proofErr w:type="spellEnd"/>
      <w:r>
        <w:rPr>
          <w:rFonts w:ascii="Arial" w:hAnsi="Arial" w:cs="Arial"/>
        </w:rPr>
        <w:t>://doi.org/10.1098/rstb.2014.0280.</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Sazonov</w:t>
      </w:r>
      <w:proofErr w:type="spellEnd"/>
      <w:r>
        <w:rPr>
          <w:rFonts w:ascii="Arial" w:hAnsi="Arial" w:cs="Arial"/>
        </w:rPr>
        <w:t xml:space="preserve">, S.P., </w:t>
      </w:r>
      <w:proofErr w:type="spellStart"/>
      <w:r>
        <w:rPr>
          <w:rFonts w:ascii="Arial" w:hAnsi="Arial" w:cs="Arial"/>
        </w:rPr>
        <w:t>Kharlamova</w:t>
      </w:r>
      <w:proofErr w:type="spellEnd"/>
      <w:r>
        <w:rPr>
          <w:rFonts w:ascii="Arial" w:hAnsi="Arial" w:cs="Arial"/>
        </w:rPr>
        <w:t xml:space="preserve">, E.E., </w:t>
      </w:r>
      <w:proofErr w:type="spellStart"/>
      <w:r>
        <w:rPr>
          <w:rFonts w:ascii="Arial" w:hAnsi="Arial" w:cs="Arial"/>
        </w:rPr>
        <w:t>Chekhovskaya</w:t>
      </w:r>
      <w:proofErr w:type="spellEnd"/>
      <w:r>
        <w:rPr>
          <w:rFonts w:ascii="Arial" w:hAnsi="Arial" w:cs="Arial"/>
        </w:rPr>
        <w:t xml:space="preserve">, I.A. and </w:t>
      </w:r>
      <w:proofErr w:type="spellStart"/>
      <w:r>
        <w:rPr>
          <w:rFonts w:ascii="Arial" w:hAnsi="Arial" w:cs="Arial"/>
        </w:rPr>
        <w:t>Polyanskaya</w:t>
      </w:r>
      <w:proofErr w:type="spellEnd"/>
      <w:r>
        <w:rPr>
          <w:rFonts w:ascii="Arial" w:hAnsi="Arial" w:cs="Arial"/>
        </w:rPr>
        <w:t xml:space="preserve">, E.A. (2015). Evaluating Financial Sustainability of Higher Education Institutions. </w:t>
      </w:r>
      <w:r>
        <w:rPr>
          <w:rFonts w:ascii="Arial" w:hAnsi="Arial" w:cs="Arial"/>
          <w:i/>
          <w:iCs/>
        </w:rPr>
        <w:t>Asian Social Science</w:t>
      </w:r>
      <w:r>
        <w:rPr>
          <w:rFonts w:ascii="Arial" w:hAnsi="Arial" w:cs="Arial"/>
        </w:rPr>
        <w:t xml:space="preserve">, 11(20), pp.1–20. </w:t>
      </w:r>
      <w:proofErr w:type="spellStart"/>
      <w:r>
        <w:rPr>
          <w:rFonts w:ascii="Arial" w:hAnsi="Arial" w:cs="Arial"/>
        </w:rPr>
        <w:t>doi:https</w:t>
      </w:r>
      <w:proofErr w:type="spellEnd"/>
      <w:r>
        <w:rPr>
          <w:rFonts w:ascii="Arial" w:hAnsi="Arial" w:cs="Arial"/>
        </w:rPr>
        <w:t>://doi.org/10.5539/ass.v11n20p34.</w:t>
      </w:r>
    </w:p>
    <w:p w:rsidR="000D0E35" w:rsidRDefault="000D0E35" w:rsidP="000D0E35">
      <w:pPr>
        <w:pStyle w:val="NormalWeb"/>
        <w:spacing w:before="0" w:beforeAutospacing="0" w:after="240" w:afterAutospacing="0" w:line="360" w:lineRule="auto"/>
        <w:rPr>
          <w:rFonts w:ascii="Arial" w:hAnsi="Arial" w:cs="Arial"/>
        </w:rPr>
      </w:pPr>
      <w:r>
        <w:rPr>
          <w:rFonts w:ascii="Arial" w:hAnsi="Arial" w:cs="Arial"/>
        </w:rPr>
        <w:t xml:space="preserve">Wickham, M. and Wong, T. (2019). STAKEHOLDER MANAGEMENT CAPABILITY: EXPLORING THE STRATEGIC MANAGEMENT OF DISSENTING STAKEHOLDER GROUPS. </w:t>
      </w:r>
      <w:r>
        <w:rPr>
          <w:rFonts w:ascii="Arial" w:hAnsi="Arial" w:cs="Arial"/>
          <w:i/>
          <w:iCs/>
        </w:rPr>
        <w:t>Corporate Ownership and Control</w:t>
      </w:r>
      <w:r>
        <w:rPr>
          <w:rFonts w:ascii="Arial" w:hAnsi="Arial" w:cs="Arial"/>
        </w:rPr>
        <w:t xml:space="preserve">, 6(4), pp.1–10. </w:t>
      </w:r>
      <w:proofErr w:type="spellStart"/>
      <w:r>
        <w:rPr>
          <w:rFonts w:ascii="Arial" w:hAnsi="Arial" w:cs="Arial"/>
        </w:rPr>
        <w:t>doi:https</w:t>
      </w:r>
      <w:proofErr w:type="spellEnd"/>
      <w:r>
        <w:rPr>
          <w:rFonts w:ascii="Arial" w:hAnsi="Arial" w:cs="Arial"/>
        </w:rPr>
        <w:t>://doi.org/10.22495/cocv6i4c2p3.</w:t>
      </w:r>
    </w:p>
    <w:p w:rsidR="000D0E35" w:rsidRDefault="000D0E35" w:rsidP="000D0E35">
      <w:pPr>
        <w:pStyle w:val="NormalWeb"/>
        <w:spacing w:before="0" w:beforeAutospacing="0" w:after="240" w:afterAutospacing="0" w:line="360" w:lineRule="auto"/>
        <w:rPr>
          <w:rFonts w:ascii="Arial" w:hAnsi="Arial" w:cs="Arial"/>
        </w:rPr>
      </w:pPr>
      <w:proofErr w:type="spellStart"/>
      <w:r>
        <w:rPr>
          <w:rFonts w:ascii="Arial" w:hAnsi="Arial" w:cs="Arial"/>
        </w:rPr>
        <w:t>Xiong</w:t>
      </w:r>
      <w:proofErr w:type="spellEnd"/>
      <w:r>
        <w:rPr>
          <w:rFonts w:ascii="Arial" w:hAnsi="Arial" w:cs="Arial"/>
        </w:rPr>
        <w:t xml:space="preserve">, R., He, H., Sun, F. and Zhao, K. (2013). Evaluation on State of Charge Estimation of Batteries With Adaptive Extended </w:t>
      </w:r>
      <w:proofErr w:type="spellStart"/>
      <w:r>
        <w:rPr>
          <w:rFonts w:ascii="Arial" w:hAnsi="Arial" w:cs="Arial"/>
        </w:rPr>
        <w:t>Kalman</w:t>
      </w:r>
      <w:proofErr w:type="spellEnd"/>
      <w:r>
        <w:rPr>
          <w:rFonts w:ascii="Arial" w:hAnsi="Arial" w:cs="Arial"/>
        </w:rPr>
        <w:t xml:space="preserve"> Filter by Experiment Approach. </w:t>
      </w:r>
      <w:r>
        <w:rPr>
          <w:rFonts w:ascii="Arial" w:hAnsi="Arial" w:cs="Arial"/>
          <w:i/>
          <w:iCs/>
        </w:rPr>
        <w:t>IEEE Transactions on Vehicular Technology</w:t>
      </w:r>
      <w:r>
        <w:rPr>
          <w:rFonts w:ascii="Arial" w:hAnsi="Arial" w:cs="Arial"/>
        </w:rPr>
        <w:t xml:space="preserve">, 62(1), pp.108–117. </w:t>
      </w:r>
      <w:proofErr w:type="spellStart"/>
      <w:r>
        <w:rPr>
          <w:rFonts w:ascii="Arial" w:hAnsi="Arial" w:cs="Arial"/>
        </w:rPr>
        <w:t>doi:https</w:t>
      </w:r>
      <w:proofErr w:type="spellEnd"/>
      <w:r>
        <w:rPr>
          <w:rFonts w:ascii="Arial" w:hAnsi="Arial" w:cs="Arial"/>
        </w:rPr>
        <w:t>://doi.org/10.1109/tvt.2012.2222684.</w:t>
      </w:r>
    </w:p>
    <w:p w:rsidR="00C813FF" w:rsidRPr="00CC2387" w:rsidRDefault="00C813FF" w:rsidP="00CC2387">
      <w:pPr>
        <w:spacing w:line="360" w:lineRule="auto"/>
        <w:jc w:val="both"/>
        <w:rPr>
          <w:rFonts w:ascii="Arial" w:hAnsi="Arial" w:cs="Arial"/>
          <w:sz w:val="24"/>
          <w:szCs w:val="24"/>
        </w:rPr>
      </w:pPr>
    </w:p>
    <w:p w:rsidR="0010180E" w:rsidRPr="00CC2387" w:rsidRDefault="0010180E" w:rsidP="00CC2387">
      <w:pPr>
        <w:spacing w:line="360" w:lineRule="auto"/>
        <w:jc w:val="both"/>
        <w:rPr>
          <w:rFonts w:ascii="Arial" w:hAnsi="Arial" w:cs="Arial"/>
          <w:sz w:val="24"/>
          <w:szCs w:val="24"/>
        </w:rPr>
      </w:pPr>
    </w:p>
    <w:sectPr w:rsidR="0010180E" w:rsidRPr="00CC23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B034C"/>
    <w:multiLevelType w:val="hybridMultilevel"/>
    <w:tmpl w:val="5616F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06B50"/>
    <w:multiLevelType w:val="hybridMultilevel"/>
    <w:tmpl w:val="3E9C3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510CD2"/>
    <w:multiLevelType w:val="hybridMultilevel"/>
    <w:tmpl w:val="2C725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2D584B"/>
    <w:multiLevelType w:val="hybridMultilevel"/>
    <w:tmpl w:val="FE20D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6C278E"/>
    <w:multiLevelType w:val="hybridMultilevel"/>
    <w:tmpl w:val="6D8E5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1075BE"/>
    <w:multiLevelType w:val="hybridMultilevel"/>
    <w:tmpl w:val="8CCCE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6871562">
    <w:abstractNumId w:val="1"/>
  </w:num>
  <w:num w:numId="2" w16cid:durableId="1153255085">
    <w:abstractNumId w:val="3"/>
  </w:num>
  <w:num w:numId="3" w16cid:durableId="2078239730">
    <w:abstractNumId w:val="0"/>
  </w:num>
  <w:num w:numId="4" w16cid:durableId="1758015975">
    <w:abstractNumId w:val="4"/>
  </w:num>
  <w:num w:numId="5" w16cid:durableId="986784264">
    <w:abstractNumId w:val="2"/>
  </w:num>
  <w:num w:numId="6" w16cid:durableId="4205651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488"/>
    <w:rsid w:val="000D0E35"/>
    <w:rsid w:val="0010180E"/>
    <w:rsid w:val="003E4488"/>
    <w:rsid w:val="0041592E"/>
    <w:rsid w:val="0042280B"/>
    <w:rsid w:val="006651DF"/>
    <w:rsid w:val="00694296"/>
    <w:rsid w:val="006F100C"/>
    <w:rsid w:val="007B0431"/>
    <w:rsid w:val="007E23D0"/>
    <w:rsid w:val="00873477"/>
    <w:rsid w:val="008B39BF"/>
    <w:rsid w:val="00974286"/>
    <w:rsid w:val="009A12F0"/>
    <w:rsid w:val="00A1216D"/>
    <w:rsid w:val="00AC723B"/>
    <w:rsid w:val="00B5073A"/>
    <w:rsid w:val="00C14484"/>
    <w:rsid w:val="00C80A35"/>
    <w:rsid w:val="00C813FF"/>
    <w:rsid w:val="00CC2387"/>
    <w:rsid w:val="00CD49D2"/>
    <w:rsid w:val="00DB20F3"/>
    <w:rsid w:val="00E14DD3"/>
    <w:rsid w:val="00EB7725"/>
    <w:rsid w:val="00F0022E"/>
    <w:rsid w:val="00FA4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E3708"/>
  <w15:chartTrackingRefBased/>
  <w15:docId w15:val="{813F0916-B596-40A8-BE69-BF64BA8B6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3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3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12F0"/>
    <w:pPr>
      <w:ind w:left="720"/>
      <w:contextualSpacing/>
    </w:pPr>
  </w:style>
  <w:style w:type="character" w:customStyle="1" w:styleId="Heading1Char">
    <w:name w:val="Heading 1 Char"/>
    <w:basedOn w:val="DefaultParagraphFont"/>
    <w:link w:val="Heading1"/>
    <w:uiPriority w:val="9"/>
    <w:rsid w:val="00CC23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23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38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14DD3"/>
    <w:pPr>
      <w:outlineLvl w:val="9"/>
    </w:pPr>
  </w:style>
  <w:style w:type="paragraph" w:styleId="TOC1">
    <w:name w:val="toc 1"/>
    <w:basedOn w:val="Normal"/>
    <w:next w:val="Normal"/>
    <w:autoRedefine/>
    <w:uiPriority w:val="39"/>
    <w:unhideWhenUsed/>
    <w:rsid w:val="00E14DD3"/>
    <w:pPr>
      <w:spacing w:after="100"/>
    </w:pPr>
  </w:style>
  <w:style w:type="paragraph" w:styleId="TOC2">
    <w:name w:val="toc 2"/>
    <w:basedOn w:val="Normal"/>
    <w:next w:val="Normal"/>
    <w:autoRedefine/>
    <w:uiPriority w:val="39"/>
    <w:unhideWhenUsed/>
    <w:rsid w:val="00E14DD3"/>
    <w:pPr>
      <w:spacing w:after="100"/>
      <w:ind w:left="220"/>
    </w:pPr>
  </w:style>
  <w:style w:type="paragraph" w:styleId="TOC3">
    <w:name w:val="toc 3"/>
    <w:basedOn w:val="Normal"/>
    <w:next w:val="Normal"/>
    <w:autoRedefine/>
    <w:uiPriority w:val="39"/>
    <w:unhideWhenUsed/>
    <w:rsid w:val="00E14DD3"/>
    <w:pPr>
      <w:spacing w:after="100"/>
      <w:ind w:left="440"/>
    </w:pPr>
  </w:style>
  <w:style w:type="character" w:styleId="Hyperlink">
    <w:name w:val="Hyperlink"/>
    <w:basedOn w:val="DefaultParagraphFont"/>
    <w:uiPriority w:val="99"/>
    <w:unhideWhenUsed/>
    <w:rsid w:val="00E14DD3"/>
    <w:rPr>
      <w:color w:val="0563C1" w:themeColor="hyperlink"/>
      <w:u w:val="single"/>
    </w:rPr>
  </w:style>
  <w:style w:type="paragraph" w:styleId="NormalWeb">
    <w:name w:val="Normal (Web)"/>
    <w:basedOn w:val="Normal"/>
    <w:uiPriority w:val="99"/>
    <w:semiHidden/>
    <w:unhideWhenUsed/>
    <w:rsid w:val="000D0E3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966259">
      <w:bodyDiv w:val="1"/>
      <w:marLeft w:val="0"/>
      <w:marRight w:val="0"/>
      <w:marTop w:val="0"/>
      <w:marBottom w:val="0"/>
      <w:divBdr>
        <w:top w:val="none" w:sz="0" w:space="0" w:color="auto"/>
        <w:left w:val="none" w:sz="0" w:space="0" w:color="auto"/>
        <w:bottom w:val="none" w:sz="0" w:space="0" w:color="auto"/>
        <w:right w:val="none" w:sz="0" w:space="0" w:color="auto"/>
      </w:divBdr>
      <w:divsChild>
        <w:div w:id="729577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F6C07-C41E-422F-BFE1-86495B3A9F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3655</Words>
  <Characters>20837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Koteles Greti</cp:lastModifiedBy>
  <cp:revision>2</cp:revision>
  <dcterms:created xsi:type="dcterms:W3CDTF">2023-08-02T10:05:00Z</dcterms:created>
  <dcterms:modified xsi:type="dcterms:W3CDTF">2023-08-02T10:05:00Z</dcterms:modified>
</cp:coreProperties>
</file>