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oter4.xml" ContentType="application/vnd.openxmlformats-officedocument.wordprocessingml.footer+xml"/>
  <Override PartName="/word/fontTable.xml" ContentType="application/vnd.openxmlformats-officedocument.wordprocessingml.fontTable+xml"/>
  <Override PartName="/docProps/core.xml" ContentType="application/vnd.openxmlformats-package.core-properties+xml"/>
  <Override PartName="/word/header1.xml" ContentType="application/vnd.openxmlformats-officedocument.wordprocessingml.header+xml"/>
  <Override PartName="/word/numbering.xml" ContentType="application/vnd.openxmlformats-officedocument.wordprocessingml.numbering+xml"/>
  <Override PartName="/word/header5.xml" ContentType="application/vnd.openxmlformats-officedocument.wordprocessingml.header+xml"/>
  <Override PartName="/word/settings.xml" ContentType="application/vnd.openxmlformats-officedocument.wordprocessingml.settings+xml"/>
  <Override PartName="/docProps/custom.xml" ContentType="application/vnd.openxmlformats-officedocument.custom-properties+xml"/>
  <Override PartName="/word/header2.xml" ContentType="application/vnd.openxmlformats-officedocument.wordprocessingml.header+xml"/>
  <Override PartName="/word/footer3.xml" ContentType="application/vnd.openxmlformats-officedocument.wordprocessingml.footer+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jc w:val="center"/>
        <w:rPr/>
      </w:pPr>
      <w:r>
        <w:rPr>
          <w:noProof/>
          <w:lang w:val="en-US"/>
        </w:rPr>
        <w:drawing>
          <wp:inline distL="0" distT="0" distB="0" distR="0">
            <wp:extent cx="2705100" cy="1095375"/>
            <wp:effectExtent l="0" t="0" r="0" b="9525"/>
            <wp:docPr id="1026" name="Picture 1" descr="The image displays the logo for Prifysgol Cymru, also known as the University of Wales, Trinity Saint David.&#10;&#10;AI-generated content may be incorrect."/>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0" b="0"/>
                    <a:stretch/>
                  </pic:blipFill>
                  <pic:spPr>
                    <a:xfrm rot="0">
                      <a:off x="0" y="0"/>
                      <a:ext cx="2705100" cy="1095375"/>
                    </a:xfrm>
                    <a:prstGeom prst="rect"/>
                  </pic:spPr>
                </pic:pic>
              </a:graphicData>
            </a:graphic>
          </wp:inline>
        </w:drawing>
      </w:r>
    </w:p>
    <w:p>
      <w:pPr>
        <w:pStyle w:val="style0"/>
        <w:jc w:val="center"/>
        <w:rPr/>
      </w:pPr>
    </w:p>
    <w:p>
      <w:pPr>
        <w:pStyle w:val="style0"/>
        <w:jc w:val="center"/>
        <w:rPr/>
      </w:pPr>
    </w:p>
    <w:p>
      <w:pPr>
        <w:pStyle w:val="style0"/>
        <w:jc w:val="center"/>
        <w:rPr>
          <w:rFonts w:cs="Arial"/>
          <w:b/>
          <w:bCs/>
          <w:sz w:val="32"/>
          <w:szCs w:val="36"/>
        </w:rPr>
      </w:pPr>
      <w:r>
        <w:rPr>
          <w:rFonts w:cs="Arial"/>
          <w:b/>
          <w:bCs/>
          <w:sz w:val="32"/>
          <w:szCs w:val="36"/>
        </w:rPr>
        <w:t>Research Topic: Exploring the Factors Influencing Consumer Adoption of Buy Now, Pay Later (BNPL) Services</w:t>
      </w:r>
      <w:r>
        <w:rPr>
          <w:rFonts w:cs="Arial"/>
          <w:b/>
          <w:bCs/>
          <w:sz w:val="32"/>
          <w:szCs w:val="36"/>
        </w:rPr>
        <w:t xml:space="preserve"> in the Fintech Industry</w:t>
      </w:r>
      <w:r>
        <w:rPr>
          <w:rFonts w:cs="Arial"/>
          <w:b/>
          <w:bCs/>
          <w:sz w:val="32"/>
          <w:szCs w:val="36"/>
        </w:rPr>
        <w:t>: A Systematic Literature Review</w:t>
      </w:r>
    </w:p>
    <w:p>
      <w:pPr>
        <w:pStyle w:val="style0"/>
        <w:jc w:val="center"/>
        <w:rPr/>
      </w:pPr>
    </w:p>
    <w:p>
      <w:pPr>
        <w:pStyle w:val="style0"/>
        <w:jc w:val="center"/>
        <w:rPr/>
      </w:pPr>
    </w:p>
    <w:p>
      <w:pPr>
        <w:pStyle w:val="style0"/>
        <w:jc w:val="center"/>
        <w:rPr>
          <w:b/>
          <w:sz w:val="28"/>
        </w:rPr>
      </w:pPr>
      <w:r>
        <w:rPr>
          <w:b/>
          <w:sz w:val="28"/>
        </w:rPr>
        <w:t>Master of Business Administration</w:t>
      </w:r>
    </w:p>
    <w:p>
      <w:pPr>
        <w:pStyle w:val="style0"/>
        <w:jc w:val="center"/>
        <w:rPr>
          <w:b/>
          <w:sz w:val="28"/>
        </w:rPr>
      </w:pPr>
      <w:r>
        <w:rPr>
          <w:b/>
          <w:sz w:val="28"/>
        </w:rPr>
        <w:t>LCMB7035 - Dissertation</w:t>
      </w:r>
    </w:p>
    <w:p>
      <w:pPr>
        <w:pStyle w:val="style0"/>
        <w:jc w:val="center"/>
        <w:rPr>
          <w:rFonts w:cs="Arial"/>
          <w:b/>
          <w:bCs/>
          <w:sz w:val="32"/>
          <w:szCs w:val="36"/>
        </w:rPr>
      </w:pPr>
    </w:p>
    <w:p>
      <w:pPr>
        <w:pStyle w:val="style0"/>
        <w:jc w:val="center"/>
        <w:rPr>
          <w:rFonts w:cs="Arial"/>
          <w:b/>
          <w:bCs/>
          <w:sz w:val="32"/>
          <w:szCs w:val="36"/>
        </w:rPr>
      </w:pPr>
    </w:p>
    <w:p>
      <w:pPr>
        <w:pStyle w:val="style0"/>
        <w:jc w:val="center"/>
        <w:rPr>
          <w:rFonts w:cs="Arial"/>
          <w:b/>
          <w:bCs/>
          <w:sz w:val="32"/>
          <w:szCs w:val="36"/>
        </w:rPr>
      </w:pPr>
    </w:p>
    <w:p>
      <w:pPr>
        <w:pStyle w:val="style0"/>
        <w:jc w:val="center"/>
        <w:rPr>
          <w:rFonts w:cs="Arial"/>
          <w:b/>
          <w:bCs/>
          <w:sz w:val="32"/>
          <w:szCs w:val="36"/>
        </w:rPr>
      </w:pPr>
      <w:r>
        <w:rPr>
          <w:rFonts w:cs="Arial"/>
          <w:b/>
          <w:bCs/>
          <w:sz w:val="32"/>
          <w:szCs w:val="36"/>
        </w:rPr>
        <w:t>Student Name:</w:t>
      </w:r>
      <w:r>
        <w:rPr>
          <w:rFonts w:cs="Arial"/>
          <w:b/>
          <w:bCs/>
          <w:sz w:val="32"/>
          <w:szCs w:val="36"/>
          <w:lang w:val="en-US"/>
        </w:rPr>
        <w:t xml:space="preserve">Hasina Begum. </w:t>
      </w:r>
    </w:p>
    <w:p>
      <w:pPr>
        <w:pStyle w:val="style0"/>
        <w:jc w:val="center"/>
        <w:rPr>
          <w:rFonts w:cs="Arial"/>
          <w:b/>
          <w:bCs/>
          <w:sz w:val="32"/>
          <w:szCs w:val="36"/>
        </w:rPr>
      </w:pPr>
      <w:r>
        <w:rPr>
          <w:rFonts w:cs="Arial"/>
          <w:b/>
          <w:bCs/>
          <w:sz w:val="32"/>
          <w:szCs w:val="36"/>
        </w:rPr>
        <w:t>Student ID:</w:t>
      </w:r>
      <w:r>
        <w:rPr>
          <w:rFonts w:cs="Arial"/>
          <w:b/>
          <w:bCs/>
          <w:sz w:val="32"/>
          <w:szCs w:val="36"/>
          <w:lang w:val="en-US"/>
        </w:rPr>
        <w:t>2437452.</w:t>
      </w:r>
    </w:p>
    <w:p>
      <w:pPr>
        <w:pStyle w:val="style0"/>
        <w:rPr>
          <w:rFonts w:cs="Arial"/>
        </w:rPr>
      </w:pPr>
    </w:p>
    <w:p>
      <w:pPr>
        <w:pStyle w:val="style0"/>
        <w:rPr>
          <w:rFonts w:cs="Arial"/>
        </w:rPr>
      </w:pPr>
    </w:p>
    <w:p>
      <w:pPr>
        <w:pStyle w:val="style0"/>
        <w:spacing w:lineRule="auto" w:line="259"/>
        <w:jc w:val="left"/>
        <w:rPr>
          <w:rFonts w:cs="Arial"/>
        </w:rPr>
      </w:pPr>
      <w:r>
        <w:rPr>
          <w:rFonts w:cs="Arial"/>
        </w:rPr>
        <w:br w:type="page"/>
      </w:r>
    </w:p>
    <w:bookmarkStart w:id="0" w:name="_Toc223598007"/>
    <w:p>
      <w:pPr>
        <w:pStyle w:val="style266"/>
        <w:rPr/>
      </w:pPr>
      <w:r>
        <w:t>Table of Contents</w:t>
      </w:r>
    </w:p>
    <w:p>
      <w:pPr>
        <w:pStyle w:val="style19"/>
        <w:tabs>
          <w:tab w:val="right" w:leader="dot" w:pos="9350"/>
        </w:tabs>
        <w:rPr>
          <w:rFonts w:ascii="Calibri" w:eastAsia="宋体" w:hAnsi="Calibri"/>
          <w:noProof/>
          <w:kern w:val="2"/>
          <w:szCs w:val="30"/>
          <w:lang w:eastAsia="en-GB"/>
          <w14:ligatures xmlns:w14="http://schemas.microsoft.com/office/word/2010/wordml" w14:val="standardContextual"/>
        </w:rPr>
      </w:pPr>
      <w:r>
        <w:rPr/>
        <w:fldChar w:fldCharType="begin"/>
      </w:r>
      <w:r>
        <w:instrText xml:space="preserve"> TOC \o "1-3" \h \z \u </w:instrText>
      </w:r>
      <w:r>
        <w:rPr/>
        <w:fldChar w:fldCharType="separate"/>
      </w:r>
      <w:r>
        <w:rPr/>
        <w:fldChar w:fldCharType="begin"/>
      </w:r>
      <w:r>
        <w:instrText xml:space="preserve"> HYPERLINK \l "_Toc224765980" </w:instrText>
      </w:r>
      <w:r>
        <w:rPr/>
        <w:fldChar w:fldCharType="separate"/>
      </w:r>
      <w:r>
        <w:rPr>
          <w:rStyle w:val="style85"/>
          <w:noProof/>
        </w:rPr>
        <w:t>1. Introduction</w:t>
      </w:r>
      <w:r>
        <w:rPr>
          <w:noProof/>
          <w:webHidden/>
        </w:rPr>
        <w:tab/>
      </w:r>
      <w:r>
        <w:rPr>
          <w:noProof/>
          <w:webHidden/>
        </w:rPr>
        <w:fldChar w:fldCharType="begin"/>
      </w:r>
      <w:r>
        <w:rPr>
          <w:noProof/>
          <w:webHidden/>
        </w:rPr>
        <w:instrText xml:space="preserve"> PAGEREF _Toc224765980 \h </w:instrText>
      </w:r>
      <w:r>
        <w:rPr>
          <w:noProof/>
          <w:webHidden/>
        </w:rPr>
        <w:fldChar w:fldCharType="separate"/>
      </w:r>
      <w:r>
        <w:rPr>
          <w:noProof/>
          <w:webHidden/>
        </w:rPr>
        <w:t>4</w:t>
      </w:r>
      <w:r>
        <w:rPr>
          <w:noProof/>
          <w:webHidden/>
        </w:rPr>
        <w:fldChar w:fldCharType="end"/>
      </w:r>
      <w:r>
        <w:rPr/>
        <w:fldChar w:fldCharType="end"/>
      </w:r>
    </w:p>
    <w:p>
      <w:pPr>
        <w:pStyle w:val="style20"/>
        <w:tabs>
          <w:tab w:val="right" w:leader="dot" w:pos="9350"/>
        </w:tabs>
        <w:rPr>
          <w:rFonts w:ascii="Calibri" w:eastAsia="宋体" w:hAnsi="Calibri"/>
          <w:noProof/>
          <w:kern w:val="2"/>
          <w:szCs w:val="30"/>
          <w:lang w:eastAsia="en-GB"/>
          <w14:ligatures xmlns:w14="http://schemas.microsoft.com/office/word/2010/wordml" w14:val="standardContextual"/>
        </w:rPr>
      </w:pPr>
      <w:r>
        <w:rPr/>
        <w:fldChar w:fldCharType="begin"/>
      </w:r>
      <w:r>
        <w:instrText xml:space="preserve"> HYPERLINK \l "_Toc224765981" </w:instrText>
      </w:r>
      <w:r>
        <w:rPr/>
        <w:fldChar w:fldCharType="separate"/>
      </w:r>
      <w:r>
        <w:rPr>
          <w:rStyle w:val="style85"/>
          <w:noProof/>
        </w:rPr>
        <w:t>1.1 Relevance of this topic</w:t>
      </w:r>
      <w:r>
        <w:rPr>
          <w:noProof/>
          <w:webHidden/>
        </w:rPr>
        <w:tab/>
      </w:r>
      <w:r>
        <w:rPr>
          <w:noProof/>
          <w:webHidden/>
        </w:rPr>
        <w:fldChar w:fldCharType="begin"/>
      </w:r>
      <w:r>
        <w:rPr>
          <w:noProof/>
          <w:webHidden/>
        </w:rPr>
        <w:instrText xml:space="preserve"> PAGEREF _Toc224765981 \h </w:instrText>
      </w:r>
      <w:r>
        <w:rPr>
          <w:noProof/>
          <w:webHidden/>
        </w:rPr>
        <w:fldChar w:fldCharType="separate"/>
      </w:r>
      <w:r>
        <w:rPr>
          <w:noProof/>
          <w:webHidden/>
        </w:rPr>
        <w:t>4</w:t>
      </w:r>
      <w:r>
        <w:rPr>
          <w:noProof/>
          <w:webHidden/>
        </w:rPr>
        <w:fldChar w:fldCharType="end"/>
      </w:r>
      <w:r>
        <w:rPr/>
        <w:fldChar w:fldCharType="end"/>
      </w:r>
    </w:p>
    <w:p>
      <w:pPr>
        <w:pStyle w:val="style20"/>
        <w:tabs>
          <w:tab w:val="right" w:leader="dot" w:pos="9350"/>
        </w:tabs>
        <w:rPr>
          <w:rFonts w:ascii="Calibri" w:eastAsia="宋体" w:hAnsi="Calibri"/>
          <w:noProof/>
          <w:kern w:val="2"/>
          <w:szCs w:val="30"/>
          <w:lang w:eastAsia="en-GB"/>
          <w14:ligatures xmlns:w14="http://schemas.microsoft.com/office/word/2010/wordml" w14:val="standardContextual"/>
        </w:rPr>
      </w:pPr>
      <w:r>
        <w:rPr/>
        <w:fldChar w:fldCharType="begin"/>
      </w:r>
      <w:r>
        <w:instrText xml:space="preserve"> HYPERLINK \l "_Toc224765982" </w:instrText>
      </w:r>
      <w:r>
        <w:rPr/>
        <w:fldChar w:fldCharType="separate"/>
      </w:r>
      <w:r>
        <w:rPr>
          <w:rStyle w:val="style85"/>
          <w:noProof/>
        </w:rPr>
        <w:t>1.2 Problem Statement</w:t>
      </w:r>
      <w:r>
        <w:rPr>
          <w:noProof/>
          <w:webHidden/>
        </w:rPr>
        <w:tab/>
      </w:r>
      <w:r>
        <w:rPr>
          <w:noProof/>
          <w:webHidden/>
        </w:rPr>
        <w:fldChar w:fldCharType="begin"/>
      </w:r>
      <w:r>
        <w:rPr>
          <w:noProof/>
          <w:webHidden/>
        </w:rPr>
        <w:instrText xml:space="preserve"> PAGEREF _Toc224765982 \h </w:instrText>
      </w:r>
      <w:r>
        <w:rPr>
          <w:noProof/>
          <w:webHidden/>
        </w:rPr>
        <w:fldChar w:fldCharType="separate"/>
      </w:r>
      <w:r>
        <w:rPr>
          <w:noProof/>
          <w:webHidden/>
        </w:rPr>
        <w:t>4</w:t>
      </w:r>
      <w:r>
        <w:rPr>
          <w:noProof/>
          <w:webHidden/>
        </w:rPr>
        <w:fldChar w:fldCharType="end"/>
      </w:r>
      <w:r>
        <w:rPr/>
        <w:fldChar w:fldCharType="end"/>
      </w:r>
    </w:p>
    <w:p>
      <w:pPr>
        <w:pStyle w:val="style20"/>
        <w:tabs>
          <w:tab w:val="right" w:leader="dot" w:pos="9350"/>
        </w:tabs>
        <w:rPr>
          <w:rFonts w:ascii="Calibri" w:eastAsia="宋体" w:hAnsi="Calibri"/>
          <w:noProof/>
          <w:kern w:val="2"/>
          <w:szCs w:val="30"/>
          <w:lang w:eastAsia="en-GB"/>
          <w14:ligatures xmlns:w14="http://schemas.microsoft.com/office/word/2010/wordml" w14:val="standardContextual"/>
        </w:rPr>
      </w:pPr>
      <w:r>
        <w:rPr/>
        <w:fldChar w:fldCharType="begin"/>
      </w:r>
      <w:r>
        <w:instrText xml:space="preserve"> HYPERLINK \l "_Toc224765983" </w:instrText>
      </w:r>
      <w:r>
        <w:rPr/>
        <w:fldChar w:fldCharType="separate"/>
      </w:r>
      <w:r>
        <w:rPr>
          <w:rStyle w:val="style85"/>
          <w:noProof/>
        </w:rPr>
        <w:t>1.3 Research Aim</w:t>
      </w:r>
      <w:r>
        <w:rPr>
          <w:noProof/>
          <w:webHidden/>
        </w:rPr>
        <w:tab/>
      </w:r>
      <w:r>
        <w:rPr>
          <w:noProof/>
          <w:webHidden/>
        </w:rPr>
        <w:fldChar w:fldCharType="begin"/>
      </w:r>
      <w:r>
        <w:rPr>
          <w:noProof/>
          <w:webHidden/>
        </w:rPr>
        <w:instrText xml:space="preserve"> PAGEREF _Toc224765983 \h </w:instrText>
      </w:r>
      <w:r>
        <w:rPr>
          <w:noProof/>
          <w:webHidden/>
        </w:rPr>
        <w:fldChar w:fldCharType="separate"/>
      </w:r>
      <w:r>
        <w:rPr>
          <w:noProof/>
          <w:webHidden/>
        </w:rPr>
        <w:t>4</w:t>
      </w:r>
      <w:r>
        <w:rPr>
          <w:noProof/>
          <w:webHidden/>
        </w:rPr>
        <w:fldChar w:fldCharType="end"/>
      </w:r>
      <w:r>
        <w:rPr/>
        <w:fldChar w:fldCharType="end"/>
      </w:r>
    </w:p>
    <w:p>
      <w:pPr>
        <w:pStyle w:val="style20"/>
        <w:tabs>
          <w:tab w:val="right" w:leader="dot" w:pos="9350"/>
        </w:tabs>
        <w:rPr>
          <w:rFonts w:ascii="Calibri" w:eastAsia="宋体" w:hAnsi="Calibri"/>
          <w:noProof/>
          <w:kern w:val="2"/>
          <w:szCs w:val="30"/>
          <w:lang w:eastAsia="en-GB"/>
          <w14:ligatures xmlns:w14="http://schemas.microsoft.com/office/word/2010/wordml" w14:val="standardContextual"/>
        </w:rPr>
      </w:pPr>
      <w:r>
        <w:rPr/>
        <w:fldChar w:fldCharType="begin"/>
      </w:r>
      <w:r>
        <w:instrText xml:space="preserve"> HYPERLINK \l "_Toc224765984" </w:instrText>
      </w:r>
      <w:r>
        <w:rPr/>
        <w:fldChar w:fldCharType="separate"/>
      </w:r>
      <w:r>
        <w:rPr>
          <w:rStyle w:val="style85"/>
          <w:noProof/>
        </w:rPr>
        <w:t>1.4 Research Objectives</w:t>
      </w:r>
      <w:r>
        <w:rPr>
          <w:noProof/>
          <w:webHidden/>
        </w:rPr>
        <w:tab/>
      </w:r>
      <w:r>
        <w:rPr>
          <w:noProof/>
          <w:webHidden/>
        </w:rPr>
        <w:fldChar w:fldCharType="begin"/>
      </w:r>
      <w:r>
        <w:rPr>
          <w:noProof/>
          <w:webHidden/>
        </w:rPr>
        <w:instrText xml:space="preserve"> PAGEREF _Toc224765984 \h </w:instrText>
      </w:r>
      <w:r>
        <w:rPr>
          <w:noProof/>
          <w:webHidden/>
        </w:rPr>
        <w:fldChar w:fldCharType="separate"/>
      </w:r>
      <w:r>
        <w:rPr>
          <w:noProof/>
          <w:webHidden/>
        </w:rPr>
        <w:t>4</w:t>
      </w:r>
      <w:r>
        <w:rPr>
          <w:noProof/>
          <w:webHidden/>
        </w:rPr>
        <w:fldChar w:fldCharType="end"/>
      </w:r>
      <w:r>
        <w:rPr/>
        <w:fldChar w:fldCharType="end"/>
      </w:r>
    </w:p>
    <w:p>
      <w:pPr>
        <w:pStyle w:val="style20"/>
        <w:tabs>
          <w:tab w:val="right" w:leader="dot" w:pos="9350"/>
        </w:tabs>
        <w:rPr>
          <w:rFonts w:ascii="Calibri" w:eastAsia="宋体" w:hAnsi="Calibri"/>
          <w:noProof/>
          <w:kern w:val="2"/>
          <w:szCs w:val="30"/>
          <w:lang w:eastAsia="en-GB"/>
          <w14:ligatures xmlns:w14="http://schemas.microsoft.com/office/word/2010/wordml" w14:val="standardContextual"/>
        </w:rPr>
      </w:pPr>
      <w:r>
        <w:rPr/>
        <w:fldChar w:fldCharType="begin"/>
      </w:r>
      <w:r>
        <w:instrText xml:space="preserve"> HYPERLINK \l "_Toc224765985" </w:instrText>
      </w:r>
      <w:r>
        <w:rPr/>
        <w:fldChar w:fldCharType="separate"/>
      </w:r>
      <w:r>
        <w:rPr>
          <w:rStyle w:val="style85"/>
          <w:noProof/>
        </w:rPr>
        <w:t>1.5 Research Questions</w:t>
      </w:r>
      <w:r>
        <w:rPr>
          <w:noProof/>
          <w:webHidden/>
        </w:rPr>
        <w:tab/>
      </w:r>
      <w:r>
        <w:rPr>
          <w:noProof/>
          <w:webHidden/>
        </w:rPr>
        <w:fldChar w:fldCharType="begin"/>
      </w:r>
      <w:r>
        <w:rPr>
          <w:noProof/>
          <w:webHidden/>
        </w:rPr>
        <w:instrText xml:space="preserve"> PAGEREF _Toc224765985 \h </w:instrText>
      </w:r>
      <w:r>
        <w:rPr>
          <w:noProof/>
          <w:webHidden/>
        </w:rPr>
        <w:fldChar w:fldCharType="separate"/>
      </w:r>
      <w:r>
        <w:rPr>
          <w:noProof/>
          <w:webHidden/>
        </w:rPr>
        <w:t>5</w:t>
      </w:r>
      <w:r>
        <w:rPr>
          <w:noProof/>
          <w:webHidden/>
        </w:rPr>
        <w:fldChar w:fldCharType="end"/>
      </w:r>
      <w:r>
        <w:rPr/>
        <w:fldChar w:fldCharType="end"/>
      </w:r>
    </w:p>
    <w:p>
      <w:pPr>
        <w:pStyle w:val="style20"/>
        <w:tabs>
          <w:tab w:val="right" w:leader="dot" w:pos="9350"/>
        </w:tabs>
        <w:rPr>
          <w:rFonts w:ascii="Calibri" w:eastAsia="宋体" w:hAnsi="Calibri"/>
          <w:noProof/>
          <w:kern w:val="2"/>
          <w:szCs w:val="30"/>
          <w:lang w:eastAsia="en-GB"/>
          <w14:ligatures xmlns:w14="http://schemas.microsoft.com/office/word/2010/wordml" w14:val="standardContextual"/>
        </w:rPr>
      </w:pPr>
      <w:r>
        <w:rPr/>
        <w:fldChar w:fldCharType="begin"/>
      </w:r>
      <w:r>
        <w:instrText xml:space="preserve"> HYPERLINK \l "_Toc224765986" </w:instrText>
      </w:r>
      <w:r>
        <w:rPr/>
        <w:fldChar w:fldCharType="separate"/>
      </w:r>
      <w:r>
        <w:rPr>
          <w:rStyle w:val="style85"/>
          <w:noProof/>
        </w:rPr>
        <w:t>1.6 Significance of the study</w:t>
      </w:r>
      <w:r>
        <w:rPr>
          <w:noProof/>
          <w:webHidden/>
        </w:rPr>
        <w:tab/>
      </w:r>
      <w:r>
        <w:rPr>
          <w:noProof/>
          <w:webHidden/>
        </w:rPr>
        <w:fldChar w:fldCharType="begin"/>
      </w:r>
      <w:r>
        <w:rPr>
          <w:noProof/>
          <w:webHidden/>
        </w:rPr>
        <w:instrText xml:space="preserve"> PAGEREF _Toc224765986 \h </w:instrText>
      </w:r>
      <w:r>
        <w:rPr>
          <w:noProof/>
          <w:webHidden/>
        </w:rPr>
        <w:fldChar w:fldCharType="separate"/>
      </w:r>
      <w:r>
        <w:rPr>
          <w:noProof/>
          <w:webHidden/>
        </w:rPr>
        <w:t>5</w:t>
      </w:r>
      <w:r>
        <w:rPr>
          <w:noProof/>
          <w:webHidden/>
        </w:rPr>
        <w:fldChar w:fldCharType="end"/>
      </w:r>
      <w:r>
        <w:rPr/>
        <w:fldChar w:fldCharType="end"/>
      </w:r>
    </w:p>
    <w:p>
      <w:pPr>
        <w:pStyle w:val="style19"/>
        <w:tabs>
          <w:tab w:val="right" w:leader="dot" w:pos="9350"/>
        </w:tabs>
        <w:rPr>
          <w:rFonts w:ascii="Calibri" w:eastAsia="宋体" w:hAnsi="Calibri"/>
          <w:noProof/>
          <w:kern w:val="2"/>
          <w:szCs w:val="30"/>
          <w:lang w:eastAsia="en-GB"/>
          <w14:ligatures xmlns:w14="http://schemas.microsoft.com/office/word/2010/wordml" w14:val="standardContextual"/>
        </w:rPr>
      </w:pPr>
      <w:r>
        <w:rPr/>
        <w:fldChar w:fldCharType="begin"/>
      </w:r>
      <w:r>
        <w:instrText xml:space="preserve"> HYPERLINK \l "_Toc224765987" </w:instrText>
      </w:r>
      <w:r>
        <w:rPr/>
        <w:fldChar w:fldCharType="separate"/>
      </w:r>
      <w:r>
        <w:rPr>
          <w:rStyle w:val="style85"/>
          <w:noProof/>
        </w:rPr>
        <w:t>2. Literature Review</w:t>
      </w:r>
      <w:r>
        <w:rPr>
          <w:noProof/>
          <w:webHidden/>
        </w:rPr>
        <w:tab/>
      </w:r>
      <w:r>
        <w:rPr>
          <w:noProof/>
          <w:webHidden/>
        </w:rPr>
        <w:fldChar w:fldCharType="begin"/>
      </w:r>
      <w:r>
        <w:rPr>
          <w:noProof/>
          <w:webHidden/>
        </w:rPr>
        <w:instrText xml:space="preserve"> PAGEREF _Toc224765987 \h </w:instrText>
      </w:r>
      <w:r>
        <w:rPr>
          <w:noProof/>
          <w:webHidden/>
        </w:rPr>
        <w:fldChar w:fldCharType="separate"/>
      </w:r>
      <w:r>
        <w:rPr>
          <w:noProof/>
          <w:webHidden/>
        </w:rPr>
        <w:t>6</w:t>
      </w:r>
      <w:r>
        <w:rPr>
          <w:noProof/>
          <w:webHidden/>
        </w:rPr>
        <w:fldChar w:fldCharType="end"/>
      </w:r>
      <w:r>
        <w:rPr/>
        <w:fldChar w:fldCharType="end"/>
      </w:r>
    </w:p>
    <w:p>
      <w:pPr>
        <w:pStyle w:val="style20"/>
        <w:tabs>
          <w:tab w:val="right" w:leader="dot" w:pos="9350"/>
        </w:tabs>
        <w:rPr>
          <w:rFonts w:ascii="Calibri" w:eastAsia="宋体" w:hAnsi="Calibri"/>
          <w:noProof/>
          <w:kern w:val="2"/>
          <w:szCs w:val="30"/>
          <w:lang w:eastAsia="en-GB"/>
          <w14:ligatures xmlns:w14="http://schemas.microsoft.com/office/word/2010/wordml" w14:val="standardContextual"/>
        </w:rPr>
      </w:pPr>
      <w:r>
        <w:rPr/>
        <w:fldChar w:fldCharType="begin"/>
      </w:r>
      <w:r>
        <w:instrText xml:space="preserve"> HYPERLINK \l "_Toc224765988" </w:instrText>
      </w:r>
      <w:r>
        <w:rPr/>
        <w:fldChar w:fldCharType="separate"/>
      </w:r>
      <w:r>
        <w:rPr>
          <w:rStyle w:val="style85"/>
          <w:noProof/>
        </w:rPr>
        <w:t>2.1 Concept of BNPL in Fintech</w:t>
      </w:r>
      <w:r>
        <w:rPr>
          <w:noProof/>
          <w:webHidden/>
        </w:rPr>
        <w:tab/>
      </w:r>
      <w:r>
        <w:rPr>
          <w:noProof/>
          <w:webHidden/>
        </w:rPr>
        <w:fldChar w:fldCharType="begin"/>
      </w:r>
      <w:r>
        <w:rPr>
          <w:noProof/>
          <w:webHidden/>
        </w:rPr>
        <w:instrText xml:space="preserve"> PAGEREF _Toc224765988 \h </w:instrText>
      </w:r>
      <w:r>
        <w:rPr>
          <w:noProof/>
          <w:webHidden/>
        </w:rPr>
        <w:fldChar w:fldCharType="separate"/>
      </w:r>
      <w:r>
        <w:rPr>
          <w:noProof/>
          <w:webHidden/>
        </w:rPr>
        <w:t>6</w:t>
      </w:r>
      <w:r>
        <w:rPr>
          <w:noProof/>
          <w:webHidden/>
        </w:rPr>
        <w:fldChar w:fldCharType="end"/>
      </w:r>
      <w:r>
        <w:rPr/>
        <w:fldChar w:fldCharType="end"/>
      </w:r>
    </w:p>
    <w:p>
      <w:pPr>
        <w:pStyle w:val="style20"/>
        <w:tabs>
          <w:tab w:val="right" w:leader="dot" w:pos="9350"/>
        </w:tabs>
        <w:rPr>
          <w:rFonts w:ascii="Calibri" w:eastAsia="宋体" w:hAnsi="Calibri"/>
          <w:noProof/>
          <w:kern w:val="2"/>
          <w:szCs w:val="30"/>
          <w:lang w:eastAsia="en-GB"/>
          <w14:ligatures xmlns:w14="http://schemas.microsoft.com/office/word/2010/wordml" w14:val="standardContextual"/>
        </w:rPr>
      </w:pPr>
      <w:r>
        <w:rPr/>
        <w:fldChar w:fldCharType="begin"/>
      </w:r>
      <w:r>
        <w:instrText xml:space="preserve"> HYPERLINK \l "_Toc224765989" </w:instrText>
      </w:r>
      <w:r>
        <w:rPr/>
        <w:fldChar w:fldCharType="separate"/>
      </w:r>
      <w:r>
        <w:rPr>
          <w:rStyle w:val="style85"/>
          <w:noProof/>
        </w:rPr>
        <w:t>2.2 Theoretical Framework for Consumer Adoption</w:t>
      </w:r>
      <w:r>
        <w:rPr>
          <w:noProof/>
          <w:webHidden/>
        </w:rPr>
        <w:tab/>
      </w:r>
      <w:r>
        <w:rPr>
          <w:noProof/>
          <w:webHidden/>
        </w:rPr>
        <w:fldChar w:fldCharType="begin"/>
      </w:r>
      <w:r>
        <w:rPr>
          <w:noProof/>
          <w:webHidden/>
        </w:rPr>
        <w:instrText xml:space="preserve"> PAGEREF _Toc224765989 \h </w:instrText>
      </w:r>
      <w:r>
        <w:rPr>
          <w:noProof/>
          <w:webHidden/>
        </w:rPr>
        <w:fldChar w:fldCharType="separate"/>
      </w:r>
      <w:r>
        <w:rPr>
          <w:noProof/>
          <w:webHidden/>
        </w:rPr>
        <w:t>6</w:t>
      </w:r>
      <w:r>
        <w:rPr>
          <w:noProof/>
          <w:webHidden/>
        </w:rPr>
        <w:fldChar w:fldCharType="end"/>
      </w:r>
      <w:r>
        <w:rPr/>
        <w:fldChar w:fldCharType="end"/>
      </w:r>
    </w:p>
    <w:p>
      <w:pPr>
        <w:pStyle w:val="style20"/>
        <w:tabs>
          <w:tab w:val="right" w:leader="dot" w:pos="9350"/>
        </w:tabs>
        <w:rPr>
          <w:rFonts w:ascii="Calibri" w:eastAsia="宋体" w:hAnsi="Calibri"/>
          <w:noProof/>
          <w:kern w:val="2"/>
          <w:szCs w:val="30"/>
          <w:lang w:eastAsia="en-GB"/>
          <w14:ligatures xmlns:w14="http://schemas.microsoft.com/office/word/2010/wordml" w14:val="standardContextual"/>
        </w:rPr>
      </w:pPr>
      <w:r>
        <w:rPr/>
        <w:fldChar w:fldCharType="begin"/>
      </w:r>
      <w:r>
        <w:instrText xml:space="preserve"> HYPERLINK \l "_Toc224765990" </w:instrText>
      </w:r>
      <w:r>
        <w:rPr/>
        <w:fldChar w:fldCharType="separate"/>
      </w:r>
      <w:r>
        <w:rPr>
          <w:rStyle w:val="style85"/>
          <w:noProof/>
        </w:rPr>
        <w:t>2.3 Key Factors Influencing BNPL Adoption</w:t>
      </w:r>
      <w:r>
        <w:rPr>
          <w:noProof/>
          <w:webHidden/>
        </w:rPr>
        <w:tab/>
      </w:r>
      <w:r>
        <w:rPr>
          <w:noProof/>
          <w:webHidden/>
        </w:rPr>
        <w:fldChar w:fldCharType="begin"/>
      </w:r>
      <w:r>
        <w:rPr>
          <w:noProof/>
          <w:webHidden/>
        </w:rPr>
        <w:instrText xml:space="preserve"> PAGEREF _Toc224765990 \h </w:instrText>
      </w:r>
      <w:r>
        <w:rPr>
          <w:noProof/>
          <w:webHidden/>
        </w:rPr>
        <w:fldChar w:fldCharType="separate"/>
      </w:r>
      <w:r>
        <w:rPr>
          <w:noProof/>
          <w:webHidden/>
        </w:rPr>
        <w:t>6</w:t>
      </w:r>
      <w:r>
        <w:rPr>
          <w:noProof/>
          <w:webHidden/>
        </w:rPr>
        <w:fldChar w:fldCharType="end"/>
      </w:r>
      <w:r>
        <w:rPr/>
        <w:fldChar w:fldCharType="end"/>
      </w:r>
    </w:p>
    <w:p>
      <w:pPr>
        <w:pStyle w:val="style20"/>
        <w:tabs>
          <w:tab w:val="right" w:leader="dot" w:pos="9350"/>
        </w:tabs>
        <w:rPr>
          <w:rFonts w:ascii="Calibri" w:eastAsia="宋体" w:hAnsi="Calibri"/>
          <w:noProof/>
          <w:kern w:val="2"/>
          <w:szCs w:val="30"/>
          <w:lang w:eastAsia="en-GB"/>
          <w14:ligatures xmlns:w14="http://schemas.microsoft.com/office/word/2010/wordml" w14:val="standardContextual"/>
        </w:rPr>
      </w:pPr>
      <w:r>
        <w:rPr/>
        <w:fldChar w:fldCharType="begin"/>
      </w:r>
      <w:r>
        <w:instrText xml:space="preserve"> HYPERLINK \l "_Toc224765991" </w:instrText>
      </w:r>
      <w:r>
        <w:rPr/>
        <w:fldChar w:fldCharType="separate"/>
      </w:r>
      <w:r>
        <w:rPr>
          <w:rStyle w:val="style85"/>
          <w:noProof/>
        </w:rPr>
        <w:t>2.4 Role of Trust in BNPL Adoption</w:t>
      </w:r>
      <w:r>
        <w:rPr>
          <w:noProof/>
          <w:webHidden/>
        </w:rPr>
        <w:tab/>
      </w:r>
      <w:r>
        <w:rPr>
          <w:noProof/>
          <w:webHidden/>
        </w:rPr>
        <w:fldChar w:fldCharType="begin"/>
      </w:r>
      <w:r>
        <w:rPr>
          <w:noProof/>
          <w:webHidden/>
        </w:rPr>
        <w:instrText xml:space="preserve"> PAGEREF _Toc224765991 \h </w:instrText>
      </w:r>
      <w:r>
        <w:rPr>
          <w:noProof/>
          <w:webHidden/>
        </w:rPr>
        <w:fldChar w:fldCharType="separate"/>
      </w:r>
      <w:r>
        <w:rPr>
          <w:noProof/>
          <w:webHidden/>
        </w:rPr>
        <w:t>7</w:t>
      </w:r>
      <w:r>
        <w:rPr>
          <w:noProof/>
          <w:webHidden/>
        </w:rPr>
        <w:fldChar w:fldCharType="end"/>
      </w:r>
      <w:r>
        <w:rPr/>
        <w:fldChar w:fldCharType="end"/>
      </w:r>
    </w:p>
    <w:p>
      <w:pPr>
        <w:pStyle w:val="style20"/>
        <w:tabs>
          <w:tab w:val="right" w:leader="dot" w:pos="9350"/>
        </w:tabs>
        <w:rPr>
          <w:rFonts w:ascii="Calibri" w:eastAsia="宋体" w:hAnsi="Calibri"/>
          <w:noProof/>
          <w:kern w:val="2"/>
          <w:szCs w:val="30"/>
          <w:lang w:eastAsia="en-GB"/>
          <w14:ligatures xmlns:w14="http://schemas.microsoft.com/office/word/2010/wordml" w14:val="standardContextual"/>
        </w:rPr>
      </w:pPr>
      <w:r>
        <w:rPr/>
        <w:fldChar w:fldCharType="begin"/>
      </w:r>
      <w:r>
        <w:instrText xml:space="preserve"> HYPERLINK \l "_Toc224765992" </w:instrText>
      </w:r>
      <w:r>
        <w:rPr/>
        <w:fldChar w:fldCharType="separate"/>
      </w:r>
      <w:r>
        <w:rPr>
          <w:rStyle w:val="style85"/>
          <w:noProof/>
        </w:rPr>
        <w:t>2.5 Psychological Drivers to BNPL Usage</w:t>
      </w:r>
      <w:r>
        <w:rPr>
          <w:noProof/>
          <w:webHidden/>
        </w:rPr>
        <w:tab/>
      </w:r>
      <w:r>
        <w:rPr>
          <w:noProof/>
          <w:webHidden/>
        </w:rPr>
        <w:fldChar w:fldCharType="begin"/>
      </w:r>
      <w:r>
        <w:rPr>
          <w:noProof/>
          <w:webHidden/>
        </w:rPr>
        <w:instrText xml:space="preserve"> PAGEREF _Toc224765992 \h </w:instrText>
      </w:r>
      <w:r>
        <w:rPr>
          <w:noProof/>
          <w:webHidden/>
        </w:rPr>
        <w:fldChar w:fldCharType="separate"/>
      </w:r>
      <w:r>
        <w:rPr>
          <w:noProof/>
          <w:webHidden/>
        </w:rPr>
        <w:t>7</w:t>
      </w:r>
      <w:r>
        <w:rPr>
          <w:noProof/>
          <w:webHidden/>
        </w:rPr>
        <w:fldChar w:fldCharType="end"/>
      </w:r>
      <w:r>
        <w:rPr/>
        <w:fldChar w:fldCharType="end"/>
      </w:r>
    </w:p>
    <w:p>
      <w:pPr>
        <w:pStyle w:val="style20"/>
        <w:tabs>
          <w:tab w:val="right" w:leader="dot" w:pos="9350"/>
        </w:tabs>
        <w:rPr>
          <w:rFonts w:ascii="Calibri" w:eastAsia="宋体" w:hAnsi="Calibri"/>
          <w:noProof/>
          <w:kern w:val="2"/>
          <w:szCs w:val="30"/>
          <w:lang w:eastAsia="en-GB"/>
          <w14:ligatures xmlns:w14="http://schemas.microsoft.com/office/word/2010/wordml" w14:val="standardContextual"/>
        </w:rPr>
      </w:pPr>
      <w:r>
        <w:rPr/>
        <w:fldChar w:fldCharType="begin"/>
      </w:r>
      <w:r>
        <w:instrText xml:space="preserve"> HYPERLINK \l "_Toc224765993" </w:instrText>
      </w:r>
      <w:r>
        <w:rPr/>
        <w:fldChar w:fldCharType="separate"/>
      </w:r>
      <w:r>
        <w:rPr>
          <w:rStyle w:val="style85"/>
          <w:noProof/>
        </w:rPr>
        <w:t>2.6 Barriers to BNPL Adoption</w:t>
      </w:r>
      <w:r>
        <w:rPr>
          <w:noProof/>
          <w:webHidden/>
        </w:rPr>
        <w:tab/>
      </w:r>
      <w:r>
        <w:rPr>
          <w:noProof/>
          <w:webHidden/>
        </w:rPr>
        <w:fldChar w:fldCharType="begin"/>
      </w:r>
      <w:r>
        <w:rPr>
          <w:noProof/>
          <w:webHidden/>
        </w:rPr>
        <w:instrText xml:space="preserve"> PAGEREF _Toc224765993 \h </w:instrText>
      </w:r>
      <w:r>
        <w:rPr>
          <w:noProof/>
          <w:webHidden/>
        </w:rPr>
        <w:fldChar w:fldCharType="separate"/>
      </w:r>
      <w:r>
        <w:rPr>
          <w:noProof/>
          <w:webHidden/>
        </w:rPr>
        <w:t>7</w:t>
      </w:r>
      <w:r>
        <w:rPr>
          <w:noProof/>
          <w:webHidden/>
        </w:rPr>
        <w:fldChar w:fldCharType="end"/>
      </w:r>
      <w:r>
        <w:rPr/>
        <w:fldChar w:fldCharType="end"/>
      </w:r>
    </w:p>
    <w:p>
      <w:pPr>
        <w:pStyle w:val="style20"/>
        <w:tabs>
          <w:tab w:val="right" w:leader="dot" w:pos="9350"/>
        </w:tabs>
        <w:rPr>
          <w:rFonts w:ascii="Calibri" w:eastAsia="宋体" w:hAnsi="Calibri"/>
          <w:noProof/>
          <w:kern w:val="2"/>
          <w:szCs w:val="30"/>
          <w:lang w:eastAsia="en-GB"/>
          <w14:ligatures xmlns:w14="http://schemas.microsoft.com/office/word/2010/wordml" w14:val="standardContextual"/>
        </w:rPr>
      </w:pPr>
      <w:r>
        <w:rPr/>
        <w:fldChar w:fldCharType="begin"/>
      </w:r>
      <w:r>
        <w:instrText xml:space="preserve"> HYPERLINK \l "_Toc224765994" </w:instrText>
      </w:r>
      <w:r>
        <w:rPr/>
        <w:fldChar w:fldCharType="separate"/>
      </w:r>
      <w:r>
        <w:rPr>
          <w:rStyle w:val="style85"/>
          <w:noProof/>
        </w:rPr>
        <w:t>2.7 Research Gap</w:t>
      </w:r>
      <w:r>
        <w:rPr>
          <w:noProof/>
          <w:webHidden/>
        </w:rPr>
        <w:tab/>
      </w:r>
      <w:r>
        <w:rPr>
          <w:noProof/>
          <w:webHidden/>
        </w:rPr>
        <w:fldChar w:fldCharType="begin"/>
      </w:r>
      <w:r>
        <w:rPr>
          <w:noProof/>
          <w:webHidden/>
        </w:rPr>
        <w:instrText xml:space="preserve"> PAGEREF _Toc224765994 \h </w:instrText>
      </w:r>
      <w:r>
        <w:rPr>
          <w:noProof/>
          <w:webHidden/>
        </w:rPr>
        <w:fldChar w:fldCharType="separate"/>
      </w:r>
      <w:r>
        <w:rPr>
          <w:noProof/>
          <w:webHidden/>
        </w:rPr>
        <w:t>8</w:t>
      </w:r>
      <w:r>
        <w:rPr>
          <w:noProof/>
          <w:webHidden/>
        </w:rPr>
        <w:fldChar w:fldCharType="end"/>
      </w:r>
      <w:r>
        <w:rPr/>
        <w:fldChar w:fldCharType="end"/>
      </w:r>
    </w:p>
    <w:p>
      <w:pPr>
        <w:pStyle w:val="style19"/>
        <w:tabs>
          <w:tab w:val="right" w:leader="dot" w:pos="9350"/>
        </w:tabs>
        <w:rPr>
          <w:rFonts w:ascii="Calibri" w:eastAsia="宋体" w:hAnsi="Calibri"/>
          <w:noProof/>
          <w:kern w:val="2"/>
          <w:szCs w:val="30"/>
          <w:lang w:eastAsia="en-GB"/>
          <w14:ligatures xmlns:w14="http://schemas.microsoft.com/office/word/2010/wordml" w14:val="standardContextual"/>
        </w:rPr>
      </w:pPr>
      <w:r>
        <w:rPr/>
        <w:fldChar w:fldCharType="begin"/>
      </w:r>
      <w:r>
        <w:instrText xml:space="preserve"> HYPERLINK \l "_Toc224765995" </w:instrText>
      </w:r>
      <w:r>
        <w:rPr/>
        <w:fldChar w:fldCharType="separate"/>
      </w:r>
      <w:r>
        <w:rPr>
          <w:rStyle w:val="style85"/>
          <w:noProof/>
        </w:rPr>
        <w:t>3. Methodology</w:t>
      </w:r>
      <w:r>
        <w:rPr>
          <w:noProof/>
          <w:webHidden/>
        </w:rPr>
        <w:tab/>
      </w:r>
      <w:r>
        <w:rPr>
          <w:noProof/>
          <w:webHidden/>
        </w:rPr>
        <w:fldChar w:fldCharType="begin"/>
      </w:r>
      <w:r>
        <w:rPr>
          <w:noProof/>
          <w:webHidden/>
        </w:rPr>
        <w:instrText xml:space="preserve"> PAGEREF _Toc224765995 \h </w:instrText>
      </w:r>
      <w:r>
        <w:rPr>
          <w:noProof/>
          <w:webHidden/>
        </w:rPr>
        <w:fldChar w:fldCharType="separate"/>
      </w:r>
      <w:r>
        <w:rPr>
          <w:noProof/>
          <w:webHidden/>
        </w:rPr>
        <w:t>9</w:t>
      </w:r>
      <w:r>
        <w:rPr>
          <w:noProof/>
          <w:webHidden/>
        </w:rPr>
        <w:fldChar w:fldCharType="end"/>
      </w:r>
      <w:r>
        <w:rPr/>
        <w:fldChar w:fldCharType="end"/>
      </w:r>
    </w:p>
    <w:p>
      <w:pPr>
        <w:pStyle w:val="style20"/>
        <w:tabs>
          <w:tab w:val="right" w:leader="dot" w:pos="9350"/>
        </w:tabs>
        <w:rPr>
          <w:rFonts w:ascii="Calibri" w:eastAsia="宋体" w:hAnsi="Calibri"/>
          <w:noProof/>
          <w:kern w:val="2"/>
          <w:szCs w:val="30"/>
          <w:lang w:eastAsia="en-GB"/>
          <w14:ligatures xmlns:w14="http://schemas.microsoft.com/office/word/2010/wordml" w14:val="standardContextual"/>
        </w:rPr>
      </w:pPr>
      <w:r>
        <w:rPr/>
        <w:fldChar w:fldCharType="begin"/>
      </w:r>
      <w:r>
        <w:instrText xml:space="preserve"> HYPERLINK \l "_Toc224765996" </w:instrText>
      </w:r>
      <w:r>
        <w:rPr/>
        <w:fldChar w:fldCharType="separate"/>
      </w:r>
      <w:r>
        <w:rPr>
          <w:rStyle w:val="style85"/>
          <w:noProof/>
        </w:rPr>
        <w:t>3.1 Research Approach</w:t>
      </w:r>
      <w:r>
        <w:rPr>
          <w:noProof/>
          <w:webHidden/>
        </w:rPr>
        <w:tab/>
      </w:r>
      <w:r>
        <w:rPr>
          <w:noProof/>
          <w:webHidden/>
        </w:rPr>
        <w:fldChar w:fldCharType="begin"/>
      </w:r>
      <w:r>
        <w:rPr>
          <w:noProof/>
          <w:webHidden/>
        </w:rPr>
        <w:instrText xml:space="preserve"> PAGEREF _Toc224765996 \h </w:instrText>
      </w:r>
      <w:r>
        <w:rPr>
          <w:noProof/>
          <w:webHidden/>
        </w:rPr>
        <w:fldChar w:fldCharType="separate"/>
      </w:r>
      <w:r>
        <w:rPr>
          <w:noProof/>
          <w:webHidden/>
        </w:rPr>
        <w:t>9</w:t>
      </w:r>
      <w:r>
        <w:rPr>
          <w:noProof/>
          <w:webHidden/>
        </w:rPr>
        <w:fldChar w:fldCharType="end"/>
      </w:r>
      <w:r>
        <w:rPr/>
        <w:fldChar w:fldCharType="end"/>
      </w:r>
    </w:p>
    <w:p>
      <w:pPr>
        <w:pStyle w:val="style20"/>
        <w:tabs>
          <w:tab w:val="right" w:leader="dot" w:pos="9350"/>
        </w:tabs>
        <w:rPr>
          <w:rFonts w:ascii="Calibri" w:eastAsia="宋体" w:hAnsi="Calibri"/>
          <w:noProof/>
          <w:kern w:val="2"/>
          <w:szCs w:val="30"/>
          <w:lang w:eastAsia="en-GB"/>
          <w14:ligatures xmlns:w14="http://schemas.microsoft.com/office/word/2010/wordml" w14:val="standardContextual"/>
        </w:rPr>
      </w:pPr>
      <w:r>
        <w:rPr/>
        <w:fldChar w:fldCharType="begin"/>
      </w:r>
      <w:r>
        <w:instrText xml:space="preserve"> HYPERLINK \l "_Toc224765997" </w:instrText>
      </w:r>
      <w:r>
        <w:rPr/>
        <w:fldChar w:fldCharType="separate"/>
      </w:r>
      <w:r>
        <w:rPr>
          <w:rStyle w:val="style85"/>
          <w:noProof/>
        </w:rPr>
        <w:t>3.2 Research Strategy</w:t>
      </w:r>
      <w:r>
        <w:rPr>
          <w:noProof/>
          <w:webHidden/>
        </w:rPr>
        <w:tab/>
      </w:r>
      <w:r>
        <w:rPr>
          <w:noProof/>
          <w:webHidden/>
        </w:rPr>
        <w:fldChar w:fldCharType="begin"/>
      </w:r>
      <w:r>
        <w:rPr>
          <w:noProof/>
          <w:webHidden/>
        </w:rPr>
        <w:instrText xml:space="preserve"> PAGEREF _Toc224765997 \h </w:instrText>
      </w:r>
      <w:r>
        <w:rPr>
          <w:noProof/>
          <w:webHidden/>
        </w:rPr>
        <w:fldChar w:fldCharType="separate"/>
      </w:r>
      <w:r>
        <w:rPr>
          <w:noProof/>
          <w:webHidden/>
        </w:rPr>
        <w:t>9</w:t>
      </w:r>
      <w:r>
        <w:rPr>
          <w:noProof/>
          <w:webHidden/>
        </w:rPr>
        <w:fldChar w:fldCharType="end"/>
      </w:r>
      <w:r>
        <w:rPr/>
        <w:fldChar w:fldCharType="end"/>
      </w:r>
    </w:p>
    <w:p>
      <w:pPr>
        <w:pStyle w:val="style20"/>
        <w:tabs>
          <w:tab w:val="right" w:leader="dot" w:pos="9350"/>
        </w:tabs>
        <w:rPr>
          <w:rFonts w:ascii="Calibri" w:eastAsia="宋体" w:hAnsi="Calibri"/>
          <w:noProof/>
          <w:kern w:val="2"/>
          <w:szCs w:val="30"/>
          <w:lang w:eastAsia="en-GB"/>
          <w14:ligatures xmlns:w14="http://schemas.microsoft.com/office/word/2010/wordml" w14:val="standardContextual"/>
        </w:rPr>
      </w:pPr>
      <w:r>
        <w:rPr/>
        <w:fldChar w:fldCharType="begin"/>
      </w:r>
      <w:r>
        <w:instrText xml:space="preserve"> HYPERLINK \l "_Toc224765998" </w:instrText>
      </w:r>
      <w:r>
        <w:rPr/>
        <w:fldChar w:fldCharType="separate"/>
      </w:r>
      <w:r>
        <w:rPr>
          <w:rStyle w:val="style85"/>
          <w:noProof/>
        </w:rPr>
        <w:t>3.3 Research Choice</w:t>
      </w:r>
      <w:r>
        <w:rPr>
          <w:noProof/>
          <w:webHidden/>
        </w:rPr>
        <w:tab/>
      </w:r>
      <w:r>
        <w:rPr>
          <w:noProof/>
          <w:webHidden/>
        </w:rPr>
        <w:fldChar w:fldCharType="begin"/>
      </w:r>
      <w:r>
        <w:rPr>
          <w:noProof/>
          <w:webHidden/>
        </w:rPr>
        <w:instrText xml:space="preserve"> PAGEREF _Toc224765998 \h </w:instrText>
      </w:r>
      <w:r>
        <w:rPr>
          <w:noProof/>
          <w:webHidden/>
        </w:rPr>
        <w:fldChar w:fldCharType="separate"/>
      </w:r>
      <w:r>
        <w:rPr>
          <w:noProof/>
          <w:webHidden/>
        </w:rPr>
        <w:t>9</w:t>
      </w:r>
      <w:r>
        <w:rPr>
          <w:noProof/>
          <w:webHidden/>
        </w:rPr>
        <w:fldChar w:fldCharType="end"/>
      </w:r>
      <w:r>
        <w:rPr/>
        <w:fldChar w:fldCharType="end"/>
      </w:r>
    </w:p>
    <w:p>
      <w:pPr>
        <w:pStyle w:val="style20"/>
        <w:tabs>
          <w:tab w:val="right" w:leader="dot" w:pos="9350"/>
        </w:tabs>
        <w:rPr>
          <w:rFonts w:ascii="Calibri" w:eastAsia="宋体" w:hAnsi="Calibri"/>
          <w:noProof/>
          <w:kern w:val="2"/>
          <w:szCs w:val="30"/>
          <w:lang w:eastAsia="en-GB"/>
          <w14:ligatures xmlns:w14="http://schemas.microsoft.com/office/word/2010/wordml" w14:val="standardContextual"/>
        </w:rPr>
      </w:pPr>
      <w:r>
        <w:rPr/>
        <w:fldChar w:fldCharType="begin"/>
      </w:r>
      <w:r>
        <w:instrText xml:space="preserve"> HYPERLINK \l "_Toc224765999" </w:instrText>
      </w:r>
      <w:r>
        <w:rPr/>
        <w:fldChar w:fldCharType="separate"/>
      </w:r>
      <w:r>
        <w:rPr>
          <w:rStyle w:val="style85"/>
          <w:noProof/>
        </w:rPr>
        <w:t>3.4 Data Collection Technique</w:t>
      </w:r>
      <w:r>
        <w:rPr>
          <w:noProof/>
          <w:webHidden/>
        </w:rPr>
        <w:tab/>
      </w:r>
      <w:r>
        <w:rPr>
          <w:noProof/>
          <w:webHidden/>
        </w:rPr>
        <w:fldChar w:fldCharType="begin"/>
      </w:r>
      <w:r>
        <w:rPr>
          <w:noProof/>
          <w:webHidden/>
        </w:rPr>
        <w:instrText xml:space="preserve"> PAGEREF _Toc224765999 \h </w:instrText>
      </w:r>
      <w:r>
        <w:rPr>
          <w:noProof/>
          <w:webHidden/>
        </w:rPr>
        <w:fldChar w:fldCharType="separate"/>
      </w:r>
      <w:r>
        <w:rPr>
          <w:noProof/>
          <w:webHidden/>
        </w:rPr>
        <w:t>9</w:t>
      </w:r>
      <w:r>
        <w:rPr>
          <w:noProof/>
          <w:webHidden/>
        </w:rPr>
        <w:fldChar w:fldCharType="end"/>
      </w:r>
      <w:r>
        <w:rPr/>
        <w:fldChar w:fldCharType="end"/>
      </w:r>
    </w:p>
    <w:p>
      <w:pPr>
        <w:pStyle w:val="style20"/>
        <w:tabs>
          <w:tab w:val="right" w:leader="dot" w:pos="9350"/>
        </w:tabs>
        <w:rPr>
          <w:rFonts w:ascii="Calibri" w:eastAsia="宋体" w:hAnsi="Calibri"/>
          <w:noProof/>
          <w:kern w:val="2"/>
          <w:szCs w:val="30"/>
          <w:lang w:eastAsia="en-GB"/>
          <w14:ligatures xmlns:w14="http://schemas.microsoft.com/office/word/2010/wordml" w14:val="standardContextual"/>
        </w:rPr>
      </w:pPr>
      <w:r>
        <w:rPr/>
        <w:fldChar w:fldCharType="begin"/>
      </w:r>
      <w:r>
        <w:instrText xml:space="preserve"> HYPERLINK \l "_Toc224766000" </w:instrText>
      </w:r>
      <w:r>
        <w:rPr/>
        <w:fldChar w:fldCharType="separate"/>
      </w:r>
      <w:r>
        <w:rPr>
          <w:rStyle w:val="style85"/>
          <w:noProof/>
        </w:rPr>
        <w:t>3.5 Data Analysis Method</w:t>
      </w:r>
      <w:r>
        <w:rPr>
          <w:noProof/>
          <w:webHidden/>
        </w:rPr>
        <w:tab/>
      </w:r>
      <w:r>
        <w:rPr>
          <w:noProof/>
          <w:webHidden/>
        </w:rPr>
        <w:fldChar w:fldCharType="begin"/>
      </w:r>
      <w:r>
        <w:rPr>
          <w:noProof/>
          <w:webHidden/>
        </w:rPr>
        <w:instrText xml:space="preserve"> PAGEREF _Toc224766000 \h </w:instrText>
      </w:r>
      <w:r>
        <w:rPr>
          <w:noProof/>
          <w:webHidden/>
        </w:rPr>
        <w:fldChar w:fldCharType="separate"/>
      </w:r>
      <w:r>
        <w:rPr>
          <w:noProof/>
          <w:webHidden/>
        </w:rPr>
        <w:t>10</w:t>
      </w:r>
      <w:r>
        <w:rPr>
          <w:noProof/>
          <w:webHidden/>
        </w:rPr>
        <w:fldChar w:fldCharType="end"/>
      </w:r>
      <w:r>
        <w:rPr/>
        <w:fldChar w:fldCharType="end"/>
      </w:r>
    </w:p>
    <w:p>
      <w:pPr>
        <w:pStyle w:val="style20"/>
        <w:tabs>
          <w:tab w:val="right" w:leader="dot" w:pos="9350"/>
        </w:tabs>
        <w:rPr>
          <w:rFonts w:ascii="Calibri" w:eastAsia="宋体" w:hAnsi="Calibri"/>
          <w:noProof/>
          <w:kern w:val="2"/>
          <w:szCs w:val="30"/>
          <w:lang w:eastAsia="en-GB"/>
          <w14:ligatures xmlns:w14="http://schemas.microsoft.com/office/word/2010/wordml" w14:val="standardContextual"/>
        </w:rPr>
      </w:pPr>
      <w:r>
        <w:rPr/>
        <w:fldChar w:fldCharType="begin"/>
      </w:r>
      <w:r>
        <w:instrText xml:space="preserve"> HYPERLINK \l "_Toc224766001" </w:instrText>
      </w:r>
      <w:r>
        <w:rPr/>
        <w:fldChar w:fldCharType="separate"/>
      </w:r>
      <w:r>
        <w:rPr>
          <w:rStyle w:val="style85"/>
          <w:noProof/>
        </w:rPr>
        <w:t>3.6 Ethical Considerations</w:t>
      </w:r>
      <w:r>
        <w:rPr>
          <w:noProof/>
          <w:webHidden/>
        </w:rPr>
        <w:tab/>
      </w:r>
      <w:r>
        <w:rPr>
          <w:noProof/>
          <w:webHidden/>
        </w:rPr>
        <w:fldChar w:fldCharType="begin"/>
      </w:r>
      <w:r>
        <w:rPr>
          <w:noProof/>
          <w:webHidden/>
        </w:rPr>
        <w:instrText xml:space="preserve"> PAGEREF _Toc224766001 \h </w:instrText>
      </w:r>
      <w:r>
        <w:rPr>
          <w:noProof/>
          <w:webHidden/>
        </w:rPr>
        <w:fldChar w:fldCharType="separate"/>
      </w:r>
      <w:r>
        <w:rPr>
          <w:noProof/>
          <w:webHidden/>
        </w:rPr>
        <w:t>10</w:t>
      </w:r>
      <w:r>
        <w:rPr>
          <w:noProof/>
          <w:webHidden/>
        </w:rPr>
        <w:fldChar w:fldCharType="end"/>
      </w:r>
      <w:r>
        <w:rPr/>
        <w:fldChar w:fldCharType="end"/>
      </w:r>
    </w:p>
    <w:p>
      <w:pPr>
        <w:pStyle w:val="style19"/>
        <w:tabs>
          <w:tab w:val="right" w:leader="dot" w:pos="9350"/>
        </w:tabs>
        <w:rPr>
          <w:rFonts w:ascii="Calibri" w:eastAsia="宋体" w:hAnsi="Calibri"/>
          <w:noProof/>
          <w:kern w:val="2"/>
          <w:szCs w:val="30"/>
          <w:lang w:eastAsia="en-GB"/>
          <w14:ligatures xmlns:w14="http://schemas.microsoft.com/office/word/2010/wordml" w14:val="standardContextual"/>
        </w:rPr>
      </w:pPr>
      <w:r>
        <w:rPr/>
        <w:fldChar w:fldCharType="begin"/>
      </w:r>
      <w:r>
        <w:instrText xml:space="preserve"> HYPERLINK \l "_Toc224766002" </w:instrText>
      </w:r>
      <w:r>
        <w:rPr/>
        <w:fldChar w:fldCharType="separate"/>
      </w:r>
      <w:r>
        <w:rPr>
          <w:rStyle w:val="style85"/>
          <w:noProof/>
        </w:rPr>
        <w:t>4. Expected Findings</w:t>
      </w:r>
      <w:r>
        <w:rPr>
          <w:noProof/>
          <w:webHidden/>
        </w:rPr>
        <w:tab/>
      </w:r>
      <w:r>
        <w:rPr>
          <w:noProof/>
          <w:webHidden/>
        </w:rPr>
        <w:fldChar w:fldCharType="begin"/>
      </w:r>
      <w:r>
        <w:rPr>
          <w:noProof/>
          <w:webHidden/>
        </w:rPr>
        <w:instrText xml:space="preserve"> PAGEREF _Toc224766002 \h </w:instrText>
      </w:r>
      <w:r>
        <w:rPr>
          <w:noProof/>
          <w:webHidden/>
        </w:rPr>
        <w:fldChar w:fldCharType="separate"/>
      </w:r>
      <w:r>
        <w:rPr>
          <w:noProof/>
          <w:webHidden/>
        </w:rPr>
        <w:t>11</w:t>
      </w:r>
      <w:r>
        <w:rPr>
          <w:noProof/>
          <w:webHidden/>
        </w:rPr>
        <w:fldChar w:fldCharType="end"/>
      </w:r>
      <w:r>
        <w:rPr/>
        <w:fldChar w:fldCharType="end"/>
      </w:r>
    </w:p>
    <w:p>
      <w:pPr>
        <w:pStyle w:val="style19"/>
        <w:tabs>
          <w:tab w:val="right" w:leader="dot" w:pos="9350"/>
        </w:tabs>
        <w:rPr>
          <w:rFonts w:ascii="Calibri" w:eastAsia="宋体" w:hAnsi="Calibri"/>
          <w:noProof/>
          <w:kern w:val="2"/>
          <w:szCs w:val="30"/>
          <w:lang w:eastAsia="en-GB"/>
          <w14:ligatures xmlns:w14="http://schemas.microsoft.com/office/word/2010/wordml" w14:val="standardContextual"/>
        </w:rPr>
      </w:pPr>
      <w:r>
        <w:rPr/>
        <w:fldChar w:fldCharType="begin"/>
      </w:r>
      <w:r>
        <w:instrText xml:space="preserve"> HYPERLINK \l "_Toc224766003" </w:instrText>
      </w:r>
      <w:r>
        <w:rPr/>
        <w:fldChar w:fldCharType="separate"/>
      </w:r>
      <w:r>
        <w:rPr>
          <w:rStyle w:val="style85"/>
          <w:noProof/>
        </w:rPr>
        <w:t>5. Limitation</w:t>
      </w:r>
      <w:r>
        <w:rPr>
          <w:noProof/>
          <w:webHidden/>
        </w:rPr>
        <w:tab/>
      </w:r>
      <w:r>
        <w:rPr>
          <w:noProof/>
          <w:webHidden/>
        </w:rPr>
        <w:fldChar w:fldCharType="begin"/>
      </w:r>
      <w:r>
        <w:rPr>
          <w:noProof/>
          <w:webHidden/>
        </w:rPr>
        <w:instrText xml:space="preserve"> PAGEREF _Toc224766003 \h </w:instrText>
      </w:r>
      <w:r>
        <w:rPr>
          <w:noProof/>
          <w:webHidden/>
        </w:rPr>
        <w:fldChar w:fldCharType="separate"/>
      </w:r>
      <w:r>
        <w:rPr>
          <w:noProof/>
          <w:webHidden/>
        </w:rPr>
        <w:t>11</w:t>
      </w:r>
      <w:r>
        <w:rPr>
          <w:noProof/>
          <w:webHidden/>
        </w:rPr>
        <w:fldChar w:fldCharType="end"/>
      </w:r>
      <w:r>
        <w:rPr/>
        <w:fldChar w:fldCharType="end"/>
      </w:r>
    </w:p>
    <w:p>
      <w:pPr>
        <w:pStyle w:val="style19"/>
        <w:tabs>
          <w:tab w:val="right" w:leader="dot" w:pos="9350"/>
        </w:tabs>
        <w:rPr>
          <w:rFonts w:ascii="Calibri" w:eastAsia="宋体" w:hAnsi="Calibri"/>
          <w:noProof/>
          <w:kern w:val="2"/>
          <w:szCs w:val="30"/>
          <w:lang w:eastAsia="en-GB"/>
          <w14:ligatures xmlns:w14="http://schemas.microsoft.com/office/word/2010/wordml" w14:val="standardContextual"/>
        </w:rPr>
      </w:pPr>
      <w:r>
        <w:rPr/>
        <w:fldChar w:fldCharType="begin"/>
      </w:r>
      <w:r>
        <w:instrText xml:space="preserve"> HYPERLINK \l "_Toc224766004" </w:instrText>
      </w:r>
      <w:r>
        <w:rPr/>
        <w:fldChar w:fldCharType="separate"/>
      </w:r>
      <w:r>
        <w:rPr>
          <w:rStyle w:val="style85"/>
          <w:noProof/>
        </w:rPr>
        <w:t>6. Timeframe</w:t>
      </w:r>
      <w:r>
        <w:rPr>
          <w:noProof/>
          <w:webHidden/>
        </w:rPr>
        <w:tab/>
      </w:r>
      <w:r>
        <w:rPr>
          <w:noProof/>
          <w:webHidden/>
        </w:rPr>
        <w:fldChar w:fldCharType="begin"/>
      </w:r>
      <w:r>
        <w:rPr>
          <w:noProof/>
          <w:webHidden/>
        </w:rPr>
        <w:instrText xml:space="preserve"> PAGEREF _Toc224766004 \h </w:instrText>
      </w:r>
      <w:r>
        <w:rPr>
          <w:noProof/>
          <w:webHidden/>
        </w:rPr>
        <w:fldChar w:fldCharType="separate"/>
      </w:r>
      <w:r>
        <w:rPr>
          <w:noProof/>
          <w:webHidden/>
        </w:rPr>
        <w:t>12</w:t>
      </w:r>
      <w:r>
        <w:rPr>
          <w:noProof/>
          <w:webHidden/>
        </w:rPr>
        <w:fldChar w:fldCharType="end"/>
      </w:r>
      <w:r>
        <w:rPr/>
        <w:fldChar w:fldCharType="end"/>
      </w:r>
    </w:p>
    <w:p>
      <w:pPr>
        <w:pStyle w:val="style19"/>
        <w:tabs>
          <w:tab w:val="right" w:leader="dot" w:pos="9350"/>
        </w:tabs>
        <w:rPr>
          <w:rFonts w:ascii="Calibri" w:eastAsia="宋体" w:hAnsi="Calibri"/>
          <w:noProof/>
          <w:kern w:val="2"/>
          <w:szCs w:val="30"/>
          <w:lang w:eastAsia="en-GB"/>
          <w14:ligatures xmlns:w14="http://schemas.microsoft.com/office/word/2010/wordml" w14:val="standardContextual"/>
        </w:rPr>
      </w:pPr>
      <w:r>
        <w:rPr/>
        <w:fldChar w:fldCharType="begin"/>
      </w:r>
      <w:r>
        <w:instrText xml:space="preserve"> HYPERLINK \l "_Toc224766005" </w:instrText>
      </w:r>
      <w:r>
        <w:rPr/>
        <w:fldChar w:fldCharType="separate"/>
      </w:r>
      <w:r>
        <w:rPr>
          <w:rStyle w:val="style85"/>
          <w:noProof/>
        </w:rPr>
        <w:t>7. Conclusion</w:t>
      </w:r>
      <w:r>
        <w:rPr>
          <w:noProof/>
          <w:webHidden/>
        </w:rPr>
        <w:tab/>
      </w:r>
      <w:r>
        <w:rPr>
          <w:noProof/>
          <w:webHidden/>
        </w:rPr>
        <w:fldChar w:fldCharType="begin"/>
      </w:r>
      <w:r>
        <w:rPr>
          <w:noProof/>
          <w:webHidden/>
        </w:rPr>
        <w:instrText xml:space="preserve"> PAGEREF _Toc224766005 \h </w:instrText>
      </w:r>
      <w:r>
        <w:rPr>
          <w:noProof/>
          <w:webHidden/>
        </w:rPr>
        <w:fldChar w:fldCharType="separate"/>
      </w:r>
      <w:r>
        <w:rPr>
          <w:noProof/>
          <w:webHidden/>
        </w:rPr>
        <w:t>12</w:t>
      </w:r>
      <w:r>
        <w:rPr>
          <w:noProof/>
          <w:webHidden/>
        </w:rPr>
        <w:fldChar w:fldCharType="end"/>
      </w:r>
      <w:r>
        <w:rPr/>
        <w:fldChar w:fldCharType="end"/>
      </w:r>
    </w:p>
    <w:p>
      <w:pPr>
        <w:pStyle w:val="style19"/>
        <w:tabs>
          <w:tab w:val="right" w:leader="dot" w:pos="9350"/>
        </w:tabs>
        <w:rPr>
          <w:rFonts w:ascii="Calibri" w:eastAsia="宋体" w:hAnsi="Calibri"/>
          <w:noProof/>
          <w:kern w:val="2"/>
          <w:szCs w:val="30"/>
          <w:lang w:eastAsia="en-GB"/>
          <w14:ligatures xmlns:w14="http://schemas.microsoft.com/office/word/2010/wordml" w14:val="standardContextual"/>
        </w:rPr>
      </w:pPr>
      <w:r>
        <w:rPr/>
        <w:fldChar w:fldCharType="begin"/>
      </w:r>
      <w:r>
        <w:instrText xml:space="preserve"> HYPERLINK \l "_Toc224766006" </w:instrText>
      </w:r>
      <w:r>
        <w:rPr/>
        <w:fldChar w:fldCharType="separate"/>
      </w:r>
      <w:r>
        <w:rPr>
          <w:rStyle w:val="style85"/>
          <w:noProof/>
        </w:rPr>
        <w:t>References</w:t>
      </w:r>
      <w:r>
        <w:rPr>
          <w:noProof/>
          <w:webHidden/>
        </w:rPr>
        <w:tab/>
      </w:r>
      <w:r>
        <w:rPr>
          <w:noProof/>
          <w:webHidden/>
        </w:rPr>
        <w:fldChar w:fldCharType="begin"/>
      </w:r>
      <w:r>
        <w:rPr>
          <w:noProof/>
          <w:webHidden/>
        </w:rPr>
        <w:instrText xml:space="preserve"> PAGEREF _Toc224766006 \h </w:instrText>
      </w:r>
      <w:r>
        <w:rPr>
          <w:noProof/>
          <w:webHidden/>
        </w:rPr>
        <w:fldChar w:fldCharType="separate"/>
      </w:r>
      <w:r>
        <w:rPr>
          <w:noProof/>
          <w:webHidden/>
        </w:rPr>
        <w:t>13</w:t>
      </w:r>
      <w:r>
        <w:rPr>
          <w:noProof/>
          <w:webHidden/>
        </w:rPr>
        <w:fldChar w:fldCharType="end"/>
      </w:r>
      <w:r>
        <w:rPr/>
        <w:fldChar w:fldCharType="end"/>
      </w:r>
    </w:p>
    <w:p>
      <w:pPr>
        <w:pStyle w:val="style0"/>
        <w:rPr/>
      </w:pPr>
      <w:r>
        <w:rPr>
          <w:b/>
          <w:bCs/>
        </w:rPr>
        <w:fldChar w:fldCharType="end"/>
      </w:r>
    </w:p>
    <w:p>
      <w:pPr>
        <w:pStyle w:val="style0"/>
        <w:spacing w:lineRule="auto" w:line="259"/>
        <w:jc w:val="left"/>
        <w:rPr>
          <w:rFonts w:cs="Vrinda" w:eastAsia="宋体"/>
          <w:b/>
          <w:sz w:val="28"/>
          <w:szCs w:val="33"/>
        </w:rPr>
      </w:pPr>
      <w:r>
        <w:br w:type="page"/>
      </w:r>
    </w:p>
    <w:bookmarkStart w:id="1" w:name="_Toc224765980"/>
    <w:p>
      <w:pPr>
        <w:pStyle w:val="style1"/>
        <w:rPr/>
      </w:pPr>
      <w:r>
        <w:t>1</w:t>
      </w:r>
      <w:r>
        <w:t>.</w:t>
      </w:r>
      <w:r>
        <w:t xml:space="preserve"> Introduction</w:t>
      </w:r>
      <w:bookmarkEnd w:id="1"/>
      <w:r>
        <w:t xml:space="preserve"> </w:t>
      </w:r>
    </w:p>
    <w:bookmarkStart w:id="2" w:name="_Toc224765981"/>
    <w:p>
      <w:pPr>
        <w:pStyle w:val="style2"/>
        <w:rPr/>
      </w:pPr>
      <w:r>
        <w:t xml:space="preserve">1.1 </w:t>
      </w:r>
      <w:r>
        <w:t>Relevance of</w:t>
      </w:r>
      <w:r>
        <w:t xml:space="preserve"> this topic</w:t>
      </w:r>
      <w:bookmarkEnd w:id="2"/>
      <w:r>
        <w:t xml:space="preserve"> </w:t>
      </w:r>
    </w:p>
    <w:p>
      <w:pPr>
        <w:pStyle w:val="style0"/>
        <w:rPr>
          <w:rFonts w:cs="Arial"/>
        </w:rPr>
      </w:pPr>
      <w:r>
        <w:rPr>
          <w:rFonts w:cs="Arial"/>
        </w:rPr>
        <w:t>Buy Now, Pay Later (BNPL) has emerged as a giant of the global payment trend</w:t>
      </w:r>
      <w:r>
        <w:rPr>
          <w:rFonts w:cs="Arial"/>
        </w:rPr>
        <w:t>,</w:t>
      </w:r>
      <w:r>
        <w:rPr>
          <w:rFonts w:cs="Arial"/>
        </w:rPr>
        <w:t xml:space="preserve"> with more than 380 million users all over the world and is expected to reach 670 million users </w:t>
      </w:r>
      <w:r>
        <w:rPr>
          <w:rFonts w:cs="Arial"/>
        </w:rPr>
        <w:t>by</w:t>
      </w:r>
      <w:r>
        <w:rPr>
          <w:rFonts w:cs="Arial"/>
        </w:rPr>
        <w:t xml:space="preserve"> 2028, </w:t>
      </w:r>
      <w:r>
        <w:rPr>
          <w:rFonts w:cs="Arial"/>
        </w:rPr>
        <w:t>making</w:t>
      </w:r>
      <w:r>
        <w:rPr>
          <w:rFonts w:cs="Arial"/>
        </w:rPr>
        <w:t xml:space="preserve"> its relevance in consumer behaviour research. BNPL services have been used by 54% of adults </w:t>
      </w:r>
      <w:r>
        <w:rPr>
          <w:rFonts w:cs="Arial"/>
        </w:rPr>
        <w:t xml:space="preserve">(approximately </w:t>
      </w:r>
      <w:r>
        <w:rPr>
          <w:rFonts w:cs="Arial"/>
        </w:rPr>
        <w:t xml:space="preserve">29.9 million) in the UK, which is a major topic of focus in determining the drivers of adoption, trust issues, risks, and behavioural consequences in contemporary credit markets (Barber, 2026). </w:t>
      </w:r>
    </w:p>
    <w:bookmarkStart w:id="3" w:name="_Toc224765982"/>
    <w:p>
      <w:pPr>
        <w:pStyle w:val="style2"/>
        <w:rPr/>
      </w:pPr>
      <w:r>
        <w:t xml:space="preserve">1.2 </w:t>
      </w:r>
      <w:r>
        <w:t>Problem Statement</w:t>
      </w:r>
      <w:bookmarkEnd w:id="3"/>
      <w:r>
        <w:t xml:space="preserve"> </w:t>
      </w:r>
    </w:p>
    <w:p>
      <w:pPr>
        <w:pStyle w:val="style0"/>
        <w:rPr/>
      </w:pPr>
      <w:r>
        <w:t xml:space="preserve">The quickly expanding financial technology (fintech) has increased the pace of integrating Buy Now, Pay Later (BNPL) as an alternative payment system in online commerce. In 2024, the BNPL market reached approximately USD 235 billion globally, and it is expected to reach approximately USD 1.6 trillion by 2034, showing high growth of consumer demand </w:t>
      </w:r>
      <w:r>
        <w:t>for</w:t>
      </w:r>
      <w:r>
        <w:t xml:space="preserve"> flexible payment options (Gujar and Vishwakarma, 2025). Moreover, BNPL payments will exceed USD 560 billion in 2025 and keep growing with the growth of e-commerce and fintech innovations (Globe Newswire, 2025). </w:t>
      </w:r>
      <w:r>
        <w:t>Consequently, fintech providers and policymakers should be informed about the factors, psychological incentives, trust concerns, and obstacles that affect the adoption of BNPL.</w:t>
      </w:r>
    </w:p>
    <w:bookmarkStart w:id="4" w:name="_Toc224765983"/>
    <w:p>
      <w:pPr>
        <w:pStyle w:val="style2"/>
        <w:rPr/>
      </w:pPr>
      <w:r>
        <w:t>1.3 Research Aim</w:t>
      </w:r>
      <w:bookmarkEnd w:id="4"/>
      <w:r>
        <w:t xml:space="preserve"> </w:t>
      </w:r>
    </w:p>
    <w:p>
      <w:pPr>
        <w:pStyle w:val="style0"/>
        <w:rPr/>
      </w:pPr>
      <w:r>
        <w:t>This study will attempt to critically review the current literature to determine and discern the main factors that affect consumer acceptance of Buy Now, Pay Later (BNPL) services in the fintech industry with respect to the role of trust, psychological motivation, and consumer adoption hindrances.</w:t>
      </w:r>
    </w:p>
    <w:bookmarkStart w:id="5" w:name="_Toc224765984"/>
    <w:p>
      <w:pPr>
        <w:pStyle w:val="style2"/>
        <w:rPr/>
      </w:pPr>
      <w:r>
        <w:t>1.</w:t>
      </w:r>
      <w:r>
        <w:t>4</w:t>
      </w:r>
      <w:r>
        <w:t xml:space="preserve"> </w:t>
      </w:r>
      <w:r>
        <w:t>Research Objectives</w:t>
      </w:r>
      <w:bookmarkEnd w:id="0"/>
      <w:bookmarkEnd w:id="5"/>
      <w:r>
        <w:t xml:space="preserve"> </w:t>
      </w:r>
    </w:p>
    <w:p>
      <w:pPr>
        <w:pStyle w:val="style179"/>
        <w:numPr>
          <w:ilvl w:val="0"/>
          <w:numId w:val="1"/>
        </w:numPr>
        <w:rPr>
          <w:rFonts w:cs="Arial"/>
        </w:rPr>
      </w:pPr>
      <w:r>
        <w:rPr>
          <w:rFonts w:cs="Arial"/>
        </w:rPr>
        <w:t xml:space="preserve">To explore the key factors influencing consumer adoption of Buy </w:t>
      </w:r>
      <w:r>
        <w:rPr>
          <w:rFonts w:cs="Arial"/>
        </w:rPr>
        <w:t>Now, Pay Later (BNPL) services in the fintech industry.</w:t>
      </w:r>
    </w:p>
    <w:p>
      <w:pPr>
        <w:pStyle w:val="style179"/>
        <w:numPr>
          <w:ilvl w:val="0"/>
          <w:numId w:val="1"/>
        </w:numPr>
        <w:rPr>
          <w:rFonts w:cs="Arial"/>
        </w:rPr>
      </w:pPr>
      <w:r>
        <w:rPr>
          <w:rFonts w:cs="Arial"/>
        </w:rPr>
        <w:t>To analyse the influence of trust on consumer adoption behaviour of Buy Now, Pay Later (BNPL) services</w:t>
      </w:r>
      <w:r>
        <w:rPr>
          <w:rFonts w:cs="Arial"/>
        </w:rPr>
        <w:t xml:space="preserve"> in the fintech industry</w:t>
      </w:r>
      <w:r>
        <w:rPr>
          <w:rFonts w:cs="Arial"/>
        </w:rPr>
        <w:t xml:space="preserve">. </w:t>
      </w:r>
    </w:p>
    <w:p>
      <w:pPr>
        <w:pStyle w:val="style179"/>
        <w:numPr>
          <w:ilvl w:val="0"/>
          <w:numId w:val="1"/>
        </w:numPr>
        <w:rPr>
          <w:rFonts w:cs="Arial"/>
        </w:rPr>
      </w:pPr>
      <w:r>
        <w:rPr>
          <w:rFonts w:cs="Arial"/>
        </w:rPr>
        <w:t>To assess the psychological drivers associated with consumer adoption of Buy Now, Pay Later (BNPL) usage</w:t>
      </w:r>
      <w:r>
        <w:rPr>
          <w:rFonts w:cs="Arial"/>
        </w:rPr>
        <w:t xml:space="preserve"> in the fintech industry</w:t>
      </w:r>
      <w:r>
        <w:rPr>
          <w:rFonts w:cs="Arial"/>
        </w:rPr>
        <w:t>.</w:t>
      </w:r>
    </w:p>
    <w:p>
      <w:pPr>
        <w:pStyle w:val="style179"/>
        <w:numPr>
          <w:ilvl w:val="0"/>
          <w:numId w:val="1"/>
        </w:numPr>
        <w:rPr>
          <w:rFonts w:cs="Arial"/>
        </w:rPr>
      </w:pPr>
      <w:r>
        <w:rPr>
          <w:rFonts w:cs="Arial"/>
        </w:rPr>
        <w:t>To identify the barriers for consumers in adopting Buy</w:t>
      </w:r>
      <w:r>
        <w:rPr>
          <w:rFonts w:cs="Arial"/>
        </w:rPr>
        <w:t xml:space="preserve"> Now, Pay Later (BNPL) services in the fintech industry.</w:t>
      </w:r>
    </w:p>
    <w:bookmarkStart w:id="6" w:name="_Toc223598008"/>
    <w:bookmarkStart w:id="7" w:name="_Toc224765985"/>
    <w:p>
      <w:pPr>
        <w:pStyle w:val="style2"/>
        <w:rPr/>
      </w:pPr>
      <w:r>
        <w:t>1.</w:t>
      </w:r>
      <w:r>
        <w:t>5</w:t>
      </w:r>
      <w:r>
        <w:t xml:space="preserve"> </w:t>
      </w:r>
      <w:r>
        <w:t>Research Questions</w:t>
      </w:r>
      <w:bookmarkEnd w:id="6"/>
      <w:bookmarkEnd w:id="7"/>
      <w:r>
        <w:t xml:space="preserve"> </w:t>
      </w:r>
    </w:p>
    <w:p>
      <w:pPr>
        <w:pStyle w:val="style179"/>
        <w:numPr>
          <w:ilvl w:val="0"/>
          <w:numId w:val="72"/>
        </w:numPr>
        <w:rPr>
          <w:rFonts w:cs="Arial"/>
        </w:rPr>
      </w:pPr>
      <w:r>
        <w:rPr>
          <w:rFonts w:cs="Arial"/>
        </w:rPr>
        <w:t>What are the key factors influencing consumer adoption of Buy Now, Pay Later (BNPL) services</w:t>
      </w:r>
      <w:r>
        <w:rPr>
          <w:rFonts w:cs="Arial"/>
        </w:rPr>
        <w:t xml:space="preserve"> in the fintech industry</w:t>
      </w:r>
      <w:r>
        <w:rPr>
          <w:rFonts w:cs="Arial"/>
        </w:rPr>
        <w:t xml:space="preserve">? </w:t>
      </w:r>
    </w:p>
    <w:p>
      <w:pPr>
        <w:pStyle w:val="style179"/>
        <w:numPr>
          <w:ilvl w:val="0"/>
          <w:numId w:val="72"/>
        </w:numPr>
        <w:rPr>
          <w:rFonts w:cs="Arial"/>
        </w:rPr>
      </w:pPr>
      <w:r>
        <w:rPr>
          <w:rFonts w:cs="Arial"/>
        </w:rPr>
        <w:t>What are the influences of trust on consumer adoption behaviour of Buy Now, Pay Later (BNPL) services</w:t>
      </w:r>
      <w:r>
        <w:rPr>
          <w:rFonts w:cs="Arial"/>
        </w:rPr>
        <w:t xml:space="preserve"> in the fintech industry</w:t>
      </w:r>
      <w:r>
        <w:rPr>
          <w:rFonts w:cs="Arial"/>
        </w:rPr>
        <w:t xml:space="preserve">? </w:t>
      </w:r>
    </w:p>
    <w:p>
      <w:pPr>
        <w:pStyle w:val="style179"/>
        <w:numPr>
          <w:ilvl w:val="0"/>
          <w:numId w:val="72"/>
        </w:numPr>
        <w:rPr>
          <w:rFonts w:cs="Arial"/>
        </w:rPr>
      </w:pPr>
      <w:r>
        <w:rPr>
          <w:rFonts w:cs="Arial"/>
        </w:rPr>
        <w:t>What are the psychological drivers associated with consumer adoption of Buy Now, Pay Later (BNPL) usage</w:t>
      </w:r>
      <w:r>
        <w:rPr>
          <w:rFonts w:cs="Arial"/>
        </w:rPr>
        <w:t xml:space="preserve"> in the fintech industry</w:t>
      </w:r>
      <w:r>
        <w:rPr>
          <w:rFonts w:cs="Arial"/>
        </w:rPr>
        <w:t>?</w:t>
      </w:r>
      <w:r>
        <w:rPr>
          <w:rFonts w:cs="Arial"/>
        </w:rPr>
        <w:t xml:space="preserve"> </w:t>
      </w:r>
    </w:p>
    <w:p>
      <w:pPr>
        <w:pStyle w:val="style179"/>
        <w:numPr>
          <w:ilvl w:val="0"/>
          <w:numId w:val="72"/>
        </w:numPr>
        <w:rPr>
          <w:rFonts w:cs="Arial"/>
        </w:rPr>
      </w:pPr>
      <w:r>
        <w:rPr>
          <w:rFonts w:cs="Arial"/>
        </w:rPr>
        <w:t xml:space="preserve">What are the barriers for consumers in adopting Buy Now, Pay Later (BNPL) services in the fintech industry? </w:t>
      </w:r>
    </w:p>
    <w:bookmarkStart w:id="8" w:name="_Toc224765986"/>
    <w:p>
      <w:pPr>
        <w:pStyle w:val="style2"/>
        <w:rPr/>
      </w:pPr>
      <w:r>
        <w:t xml:space="preserve">1.6 </w:t>
      </w:r>
      <w:r>
        <w:t>Significance of the study</w:t>
      </w:r>
      <w:bookmarkEnd w:id="8"/>
      <w:r>
        <w:t xml:space="preserve"> </w:t>
      </w:r>
    </w:p>
    <w:p>
      <w:pPr>
        <w:pStyle w:val="style0"/>
        <w:rPr>
          <w:rFonts w:cs="Arial"/>
        </w:rPr>
      </w:pPr>
      <w:r>
        <w:rPr>
          <w:rFonts w:cs="Arial"/>
        </w:rPr>
        <w:t>Buy Now, Pay Later (BNPL) is a highly expanding branch of the global financial services market and is changing consumer behaviour and trends in the retail payment market. The world BNPL market was estimated at USD 235 billion in 2024, with its growth rate calculated at 21.2% CAGR because of the growth of e-commerce and use of flexible payments</w:t>
      </w:r>
      <w:r>
        <w:rPr>
          <w:rFonts w:cs="Arial"/>
        </w:rPr>
        <w:t>, which</w:t>
      </w:r>
      <w:r>
        <w:rPr>
          <w:rFonts w:cs="Arial"/>
        </w:rPr>
        <w:t xml:space="preserve"> may </w:t>
      </w:r>
      <w:r>
        <w:rPr>
          <w:rFonts w:cs="Arial"/>
        </w:rPr>
        <w:t>reach</w:t>
      </w:r>
      <w:r>
        <w:rPr>
          <w:rFonts w:cs="Arial"/>
        </w:rPr>
        <w:t xml:space="preserve"> more than USD 1.6 trillion in 2034. The expansion points to a high demand </w:t>
      </w:r>
      <w:r>
        <w:rPr>
          <w:rFonts w:cs="Arial"/>
        </w:rPr>
        <w:t>for</w:t>
      </w:r>
      <w:r>
        <w:rPr>
          <w:rFonts w:cs="Arial"/>
        </w:rPr>
        <w:t xml:space="preserve"> alternative credit by the merchants and consumers (Gujar and Vishwakarma, 2025). Regulatory focus in the UK is rising: the Financial Conduct Authority reports that the BNPL market has increased </w:t>
      </w:r>
      <w:r>
        <w:rPr>
          <w:rFonts w:cs="Arial"/>
        </w:rPr>
        <w:t>from</w:t>
      </w:r>
      <w:r>
        <w:rPr>
          <w:rFonts w:cs="Arial"/>
        </w:rPr>
        <w:t xml:space="preserve"> </w:t>
      </w:r>
      <w:r>
        <w:t>£</w:t>
      </w:r>
      <w:r>
        <w:rPr>
          <w:rFonts w:cs="Arial"/>
        </w:rPr>
        <w:t xml:space="preserve">0.06 billion in 2017 </w:t>
      </w:r>
      <w:r>
        <w:rPr>
          <w:rFonts w:cs="Arial"/>
        </w:rPr>
        <w:t>to</w:t>
      </w:r>
      <w:r>
        <w:rPr>
          <w:rFonts w:cs="Arial"/>
        </w:rPr>
        <w:t xml:space="preserve"> over </w:t>
      </w:r>
      <w:r>
        <w:t>£</w:t>
      </w:r>
      <w:r>
        <w:rPr>
          <w:rFonts w:cs="Arial"/>
        </w:rPr>
        <w:t xml:space="preserve">13 billion in 2024 and that BNPL will fall under formal FCA regulation in 2026 to promote consumer protection (Jones, 2026). </w:t>
      </w:r>
    </w:p>
    <w:p>
      <w:pPr>
        <w:pStyle w:val="style0"/>
        <w:spacing w:lineRule="auto" w:line="259"/>
        <w:jc w:val="left"/>
        <w:rPr>
          <w:rFonts w:cs="Arial"/>
        </w:rPr>
      </w:pPr>
      <w:r>
        <w:rPr>
          <w:rFonts w:cs="Arial"/>
        </w:rPr>
        <w:br w:type="page"/>
      </w:r>
    </w:p>
    <w:bookmarkStart w:id="9" w:name="_Toc224765987"/>
    <w:p>
      <w:pPr>
        <w:pStyle w:val="style1"/>
        <w:rPr/>
      </w:pPr>
      <w:r>
        <w:t>2.</w:t>
      </w:r>
      <w:r>
        <w:t xml:space="preserve"> Literature Review</w:t>
      </w:r>
      <w:bookmarkEnd w:id="9"/>
      <w:r>
        <w:t xml:space="preserve"> </w:t>
      </w:r>
    </w:p>
    <w:bookmarkStart w:id="10" w:name="_Toc224765988"/>
    <w:p>
      <w:pPr>
        <w:pStyle w:val="style2"/>
        <w:rPr/>
      </w:pPr>
      <w:r>
        <w:t>2.1 Concept of BNPL in Fintech</w:t>
      </w:r>
      <w:bookmarkEnd w:id="10"/>
    </w:p>
    <w:p>
      <w:pPr>
        <w:pStyle w:val="style0"/>
        <w:rPr>
          <w:rFonts w:cs="Arial"/>
        </w:rPr>
      </w:pPr>
      <w:r>
        <w:rPr>
          <w:rFonts w:cs="Arial"/>
        </w:rPr>
        <w:t xml:space="preserve">Financial technology (fintech) has altered the international scene of financial services by offering new digital payment methods that improve </w:t>
      </w:r>
      <w:r>
        <w:rPr>
          <w:rFonts w:cs="Arial"/>
        </w:rPr>
        <w:t xml:space="preserve">the </w:t>
      </w:r>
      <w:r>
        <w:rPr>
          <w:rFonts w:cs="Arial"/>
        </w:rPr>
        <w:t xml:space="preserve">efficiency of transactions and consumer convenience. Buy Now, Pay Later (BNPL) services are one of the newest and fastest-growing forms of alternative payment tools in e-commerce retail. BNPL enables consumers to buy goods and pay in instalments, usually without interest (Di Maggio et al., 2022). Due to the growing popularity of online shopping and the desire to offer customers more convenient payment methods, the global BNPL market has grown rapidly over the past </w:t>
      </w:r>
      <w:r>
        <w:rPr>
          <w:rFonts w:cs="Arial"/>
        </w:rPr>
        <w:t xml:space="preserve">few </w:t>
      </w:r>
      <w:r>
        <w:rPr>
          <w:rFonts w:cs="Arial"/>
        </w:rPr>
        <w:t>years. In turn, researchers have focused more on the aspects of BNPL adoption that can be affected, such as consumer perceptions, trust, and behavioural motivations (Singh et al., 2025).</w:t>
      </w:r>
    </w:p>
    <w:bookmarkStart w:id="11" w:name="_Toc224765989"/>
    <w:p>
      <w:pPr>
        <w:pStyle w:val="style2"/>
        <w:rPr/>
      </w:pPr>
      <w:r>
        <w:t>2.2 Theoretical Framework for Consumer Adoption</w:t>
      </w:r>
      <w:bookmarkEnd w:id="11"/>
    </w:p>
    <w:p>
      <w:pPr>
        <w:pStyle w:val="style0"/>
        <w:rPr>
          <w:rFonts w:cs="Arial"/>
        </w:rPr>
      </w:pPr>
      <w:r>
        <w:rPr>
          <w:rFonts w:cs="Arial"/>
        </w:rPr>
        <w:t>Several theoretical frameworks</w:t>
      </w:r>
      <w:r>
        <w:rPr>
          <w:rFonts w:cs="Arial"/>
        </w:rPr>
        <w:t xml:space="preserve"> have been extensively used to explain the adoption of fintech services like BNPL. According to </w:t>
      </w:r>
      <w:r>
        <w:rPr>
          <w:rFonts w:cs="Arial"/>
        </w:rPr>
        <w:t xml:space="preserve">the </w:t>
      </w:r>
      <w:r>
        <w:rPr>
          <w:rFonts w:cs="Arial"/>
        </w:rPr>
        <w:t>Technology Acceptance Model (TAM), adoption intentions of new technologies depend greatly on perceived usefulness and perceived ease of use. When it comes to BNPL services, the consumer will be more willing to use a platform that is convenient and simple to use (Abed and Alkadi, 2024). Diffusion of Innovation (DOI) theory also describes the spread of new financial technologies among customers, according to their relative advantage, compatibility, and complexity (Raj et al., 2024).</w:t>
      </w:r>
    </w:p>
    <w:bookmarkStart w:id="12" w:name="_Toc224765990"/>
    <w:p>
      <w:pPr>
        <w:pStyle w:val="style2"/>
        <w:rPr/>
      </w:pPr>
      <w:r>
        <w:t>2.3 Key Factors Influencing BNPL Adoption</w:t>
      </w:r>
      <w:bookmarkEnd w:id="12"/>
    </w:p>
    <w:p>
      <w:pPr>
        <w:pStyle w:val="style0"/>
        <w:rPr>
          <w:rFonts w:cs="Arial"/>
        </w:rPr>
      </w:pPr>
      <w:r>
        <w:rPr>
          <w:rFonts w:cs="Arial"/>
        </w:rPr>
        <w:t>The literature has found several factors that can affect consumer adoption of BNPL services. The most significant determinants are convenience and usability</w:t>
      </w:r>
      <w:r>
        <w:rPr>
          <w:rFonts w:cs="Arial"/>
        </w:rPr>
        <w:t>,</w:t>
      </w:r>
      <w:r>
        <w:rPr>
          <w:rFonts w:cs="Arial"/>
        </w:rPr>
        <w:t xml:space="preserve"> as BNPL websites are usually directly connected to online checkout services to facilitate a smooth payment process. Also important in promoting consumer adoption is perceived usefulness, especially </w:t>
      </w:r>
      <w:r>
        <w:rPr>
          <w:rFonts w:cs="Arial"/>
        </w:rPr>
        <w:t>in regard to</w:t>
      </w:r>
      <w:r>
        <w:rPr>
          <w:rFonts w:cs="Arial"/>
        </w:rPr>
        <w:t xml:space="preserve"> financial flexibility and access </w:t>
      </w:r>
      <w:r>
        <w:rPr>
          <w:rFonts w:cs="Arial"/>
        </w:rPr>
        <w:t>to</w:t>
      </w:r>
      <w:r>
        <w:rPr>
          <w:rFonts w:cs="Arial"/>
        </w:rPr>
        <w:t xml:space="preserve"> short-term credit. BNPL services attract </w:t>
      </w:r>
      <w:r>
        <w:rPr>
          <w:rFonts w:cs="Arial"/>
        </w:rPr>
        <w:t>a large number of</w:t>
      </w:r>
      <w:r>
        <w:rPr>
          <w:rFonts w:cs="Arial"/>
        </w:rPr>
        <w:t xml:space="preserve"> consumers due to the ability to divide purchases into interest-free payments, which reduce</w:t>
      </w:r>
      <w:r>
        <w:rPr>
          <w:rFonts w:cs="Arial"/>
        </w:rPr>
        <w:t>s</w:t>
      </w:r>
      <w:r>
        <w:rPr>
          <w:rFonts w:cs="Arial"/>
        </w:rPr>
        <w:t xml:space="preserve"> the high financial burden in the short run </w:t>
      </w:r>
      <w:r>
        <w:rPr>
          <w:rFonts w:cs="Arial"/>
        </w:rPr>
        <w:t>(Maesen and Ang, 2025). Moreover, the introduction of BNPL services to large e-commerce sites has made them more accessible and visible, which has further boosted adoption (Raj et al., 2024).</w:t>
      </w:r>
    </w:p>
    <w:bookmarkStart w:id="13" w:name="_Toc224765991"/>
    <w:p>
      <w:pPr>
        <w:pStyle w:val="style2"/>
        <w:rPr/>
      </w:pPr>
      <w:r>
        <w:t>2.4 Role of Trust in BNPL Adoption</w:t>
      </w:r>
      <w:bookmarkEnd w:id="13"/>
    </w:p>
    <w:p>
      <w:pPr>
        <w:pStyle w:val="style0"/>
        <w:rPr>
          <w:rFonts w:cs="Arial"/>
        </w:rPr>
      </w:pPr>
      <w:r>
        <w:rPr>
          <w:rFonts w:cs="Arial"/>
        </w:rPr>
        <w:t xml:space="preserve">It is well-known that trust is a vital element of consumer adoption of fintech services. In online banking, customers </w:t>
      </w:r>
      <w:r>
        <w:rPr>
          <w:rFonts w:cs="Arial"/>
        </w:rPr>
        <w:t>have to</w:t>
      </w:r>
      <w:r>
        <w:rPr>
          <w:rFonts w:cs="Arial"/>
        </w:rPr>
        <w:t xml:space="preserve"> trust the safety, stability, and openness of service providers. The reputation of fintech companies, data safety, and transaction safety are the factors that influence trust in BNPL platforms. Consumers tend to use the service more frequently and transact via the platform when they view BNPL providers as reputable (Raj et al., 2024). On the contrary, the fear of privacy threats, unseen fees, and non-transparency might scare away usage. </w:t>
      </w:r>
      <w:r>
        <w:rPr>
          <w:rFonts w:cs="Arial"/>
        </w:rPr>
        <w:t>According to</w:t>
      </w:r>
      <w:r>
        <w:rPr>
          <w:rFonts w:cs="Arial"/>
        </w:rPr>
        <w:t xml:space="preserve"> the research, elevated trust rates make consumers consider using BNPL services and other fintech payment options much more frequently (Guttman-Kenney et al., 2023).</w:t>
      </w:r>
    </w:p>
    <w:bookmarkStart w:id="14" w:name="_Toc224765992"/>
    <w:p>
      <w:pPr>
        <w:pStyle w:val="style2"/>
        <w:rPr/>
      </w:pPr>
      <w:r>
        <w:t xml:space="preserve">2.5 Psychological </w:t>
      </w:r>
      <w:r>
        <w:t>Dri</w:t>
      </w:r>
      <w:r>
        <w:t>vers to BNPL Usage</w:t>
      </w:r>
      <w:bookmarkEnd w:id="14"/>
    </w:p>
    <w:p>
      <w:pPr>
        <w:pStyle w:val="style0"/>
        <w:rPr>
          <w:rFonts w:cs="Arial"/>
        </w:rPr>
      </w:pPr>
      <w:r>
        <w:rPr>
          <w:rFonts w:cs="Arial"/>
        </w:rPr>
        <w:t xml:space="preserve">In addition to technological and financial reasons, there are psychological motivators in the adoption of BNPL. Impulse buying and the urge to gratify oneself instantly are behavioural tendencies that influence many consumers. BNPL services facilitate consumers getting products now and paying later, which can be seen as lowering the perceived cost of purchases. According to behavioural finance theories, such as present bias and payment deferral, people are more likely to be inclined towards offloading in the present than in the future (Singh et al., 2025). Moreover, marketing, promotion, and social influence may also help persuade consumers to embrace BNPL services. Such psychological motivations make BNPL a </w:t>
      </w:r>
      <w:r>
        <w:rPr>
          <w:rFonts w:cs="Arial"/>
        </w:rPr>
        <w:t>more and more</w:t>
      </w:r>
      <w:r>
        <w:rPr>
          <w:rFonts w:cs="Arial"/>
        </w:rPr>
        <w:t xml:space="preserve"> popular payment option in online trading (Di Maggio et al., 2022).</w:t>
      </w:r>
    </w:p>
    <w:bookmarkStart w:id="15" w:name="_Toc224765993"/>
    <w:p>
      <w:pPr>
        <w:pStyle w:val="style2"/>
        <w:rPr/>
      </w:pPr>
      <w:r>
        <w:t>2.6 Barriers to BNPL Adoption</w:t>
      </w:r>
      <w:bookmarkEnd w:id="15"/>
    </w:p>
    <w:p>
      <w:pPr>
        <w:pStyle w:val="style0"/>
        <w:rPr>
          <w:rFonts w:cs="Arial"/>
        </w:rPr>
      </w:pPr>
      <w:r>
        <w:rPr>
          <w:rFonts w:cs="Arial"/>
        </w:rPr>
        <w:t xml:space="preserve">Besides its rapid growth, BNPL adoption is also linked to </w:t>
      </w:r>
      <w:r>
        <w:rPr>
          <w:rFonts w:cs="Arial"/>
        </w:rPr>
        <w:t>a number of</w:t>
      </w:r>
      <w:r>
        <w:rPr>
          <w:rFonts w:cs="Arial"/>
        </w:rPr>
        <w:t xml:space="preserve"> barriers and challenges. The possible danger of over-indebtedness is one of the key points since consumers can pay several instalments on various platforms (Guttman-Kenney et al., 2023). Also, obscure charges, late payment charges, and ambiguous repayment </w:t>
      </w:r>
      <w:r>
        <w:rPr>
          <w:rFonts w:cs="Arial"/>
        </w:rPr>
        <w:t xml:space="preserve">conditions may cause financial burdens to users. Poor financial literacy and ignorance of BNPL repayments can further worsen the risk of financial mismanagement. Regulatory concerns are also a dominant factor, with policymakers in most states still formulating policies to protect consumers in the BNPL space (Raj et al., 2024). </w:t>
      </w:r>
    </w:p>
    <w:bookmarkStart w:id="16" w:name="_Toc224765994"/>
    <w:p>
      <w:pPr>
        <w:pStyle w:val="style2"/>
        <w:rPr/>
      </w:pPr>
      <w:r>
        <w:t>2.7 Research Gap</w:t>
      </w:r>
      <w:bookmarkEnd w:id="16"/>
    </w:p>
    <w:p>
      <w:pPr>
        <w:pStyle w:val="style0"/>
        <w:rPr>
          <w:rFonts w:cs="Arial"/>
        </w:rPr>
      </w:pPr>
      <w:r>
        <w:rPr>
          <w:rFonts w:cs="Arial"/>
        </w:rPr>
        <w:t>Even though there are studies conducted on BNPL adoption in diverse ways, the literature is still disjointed, in both technological, behavioural, and regulatory aspects. Specifically, there is little literature where trust, psychological motivations, and adoption hindrances are synthesi</w:t>
      </w:r>
      <w:r>
        <w:rPr>
          <w:rFonts w:cs="Arial"/>
        </w:rPr>
        <w:t>s</w:t>
      </w:r>
      <w:r>
        <w:rPr>
          <w:rFonts w:cs="Arial"/>
        </w:rPr>
        <w:t>ed in a singular analytical platform. Thus, an organi</w:t>
      </w:r>
      <w:r>
        <w:rPr>
          <w:rFonts w:cs="Arial"/>
        </w:rPr>
        <w:t>s</w:t>
      </w:r>
      <w:r>
        <w:rPr>
          <w:rFonts w:cs="Arial"/>
        </w:rPr>
        <w:t>ed literature review is required to integrate the available results and give a better insight into the main factors affecting the adoption of BNPL within the fintech sector (Abed and Alkadi, 2024; Singh et al., 2025).</w:t>
      </w:r>
    </w:p>
    <w:p>
      <w:pPr>
        <w:pStyle w:val="style0"/>
        <w:rPr>
          <w:rFonts w:cs="Arial"/>
        </w:rPr>
      </w:pPr>
    </w:p>
    <w:p>
      <w:pPr>
        <w:pStyle w:val="style0"/>
        <w:spacing w:lineRule="auto" w:line="259"/>
        <w:jc w:val="left"/>
        <w:rPr>
          <w:rFonts w:cs="Arial"/>
        </w:rPr>
      </w:pPr>
      <w:r>
        <w:rPr>
          <w:rFonts w:cs="Arial"/>
        </w:rPr>
        <w:br w:type="page"/>
      </w:r>
    </w:p>
    <w:bookmarkStart w:id="17" w:name="_Toc224765995"/>
    <w:p>
      <w:pPr>
        <w:pStyle w:val="style1"/>
        <w:rPr/>
      </w:pPr>
      <w:r>
        <w:t>3. Methodology</w:t>
      </w:r>
      <w:bookmarkEnd w:id="17"/>
      <w:r>
        <w:t xml:space="preserve"> </w:t>
      </w:r>
    </w:p>
    <w:bookmarkStart w:id="18" w:name="_Toc224765996"/>
    <w:p>
      <w:pPr>
        <w:pStyle w:val="style2"/>
        <w:rPr/>
      </w:pPr>
      <w:r>
        <w:t xml:space="preserve">3.1 </w:t>
      </w:r>
      <w:r>
        <w:t>Research Approach</w:t>
      </w:r>
      <w:bookmarkEnd w:id="18"/>
      <w:r>
        <w:t xml:space="preserve"> </w:t>
      </w:r>
    </w:p>
    <w:p>
      <w:pPr>
        <w:pStyle w:val="style0"/>
        <w:rPr>
          <w:rFonts w:cs="Arial"/>
        </w:rPr>
      </w:pPr>
      <w:r>
        <w:rPr>
          <w:rFonts w:cs="Arial"/>
        </w:rPr>
        <w:t xml:space="preserve">The research approach that will be suitable is the inductive approach since the study will be exploring and finding patterns and themes regarding consumer adoption of BNPL services </w:t>
      </w:r>
      <w:r>
        <w:rPr>
          <w:rFonts w:cs="Arial"/>
        </w:rPr>
        <w:t>in light of</w:t>
      </w:r>
      <w:r>
        <w:rPr>
          <w:rFonts w:cs="Arial"/>
        </w:rPr>
        <w:t xml:space="preserve"> the available literature. This method enables investigators to acquire insights and conceptual knowledge using evidence gathered as opposed to trying to test hypotheses (Goundar, 2012).</w:t>
      </w:r>
    </w:p>
    <w:bookmarkStart w:id="19" w:name="_Toc224765997"/>
    <w:p>
      <w:pPr>
        <w:pStyle w:val="style2"/>
        <w:rPr/>
      </w:pPr>
      <w:r>
        <w:t xml:space="preserve">3.2 </w:t>
      </w:r>
      <w:r>
        <w:t>Research Strategy</w:t>
      </w:r>
      <w:bookmarkEnd w:id="19"/>
    </w:p>
    <w:p>
      <w:pPr>
        <w:pStyle w:val="style0"/>
        <w:rPr>
          <w:rFonts w:cs="Arial"/>
        </w:rPr>
      </w:pPr>
      <w:r>
        <w:rPr>
          <w:rFonts w:cs="Arial"/>
        </w:rPr>
        <w:t>A systematic literature review (SLR) will be adopted to define, assess, and summarise the current scholarly evidence on the topic of BNPL adoption in the fintech sector. This approach allows arranging the process of examining the appropriate research results in a systematic and open manner and contributes to uniting knowledge and determining the gaps in research in the discipline (</w:t>
      </w:r>
      <w:r>
        <w:rPr>
          <w:rFonts w:cs="Arial"/>
        </w:rPr>
        <w:t>Davidavičienė</w:t>
      </w:r>
      <w:r>
        <w:rPr>
          <w:rFonts w:cs="Arial"/>
        </w:rPr>
        <w:t>, 2018).</w:t>
      </w:r>
    </w:p>
    <w:bookmarkStart w:id="20" w:name="_Toc224765998"/>
    <w:p>
      <w:pPr>
        <w:pStyle w:val="style2"/>
        <w:rPr/>
      </w:pPr>
      <w:r>
        <w:t xml:space="preserve">3.3 </w:t>
      </w:r>
      <w:r>
        <w:t>Research Choice</w:t>
      </w:r>
      <w:bookmarkEnd w:id="20"/>
    </w:p>
    <w:p>
      <w:pPr>
        <w:pStyle w:val="style0"/>
        <w:rPr>
          <w:rFonts w:cs="Arial"/>
        </w:rPr>
      </w:pPr>
      <w:r>
        <w:rPr>
          <w:rFonts w:cs="Arial"/>
        </w:rPr>
        <w:t xml:space="preserve">In this study, qualitative </w:t>
      </w:r>
      <w:r>
        <w:rPr>
          <w:rFonts w:cs="Arial"/>
        </w:rPr>
        <w:t xml:space="preserve">data will be used as the </w:t>
      </w:r>
      <w:r>
        <w:rPr>
          <w:rFonts w:cs="Arial"/>
        </w:rPr>
        <w:t xml:space="preserve">research </w:t>
      </w:r>
      <w:r>
        <w:rPr>
          <w:rFonts w:cs="Arial"/>
        </w:rPr>
        <w:t>choice</w:t>
      </w:r>
      <w:r>
        <w:rPr>
          <w:rFonts w:cs="Arial"/>
        </w:rPr>
        <w:t xml:space="preserve"> due to its emphasis on the comprehension and interpretation of concepts, themes, and perspectives that can be identified in the literature on the adoption of BNPL. Qualitative research enables the researcher to examine more deeply issues of complex behavioural </w:t>
      </w:r>
      <w:r>
        <w:rPr>
          <w:rFonts w:cs="Arial"/>
        </w:rPr>
        <w:t>components</w:t>
      </w:r>
      <w:r>
        <w:rPr>
          <w:rFonts w:cs="Arial"/>
        </w:rPr>
        <w:t xml:space="preserve"> like trust, psychological motivator and consumer perceptions. As the research is not based on numerical data, but rather interprets the findings of academic sources, qualitative analysis is suitable to produce an in-depth insight into the fintech adoption behaviour (Dubey and Kothari, 2022).</w:t>
      </w:r>
    </w:p>
    <w:bookmarkStart w:id="21" w:name="_Toc224765999"/>
    <w:p>
      <w:pPr>
        <w:pStyle w:val="style2"/>
        <w:rPr/>
      </w:pPr>
      <w:r>
        <w:t xml:space="preserve">3.4 </w:t>
      </w:r>
      <w:r>
        <w:t>Data Collection Technique</w:t>
      </w:r>
      <w:bookmarkEnd w:id="21"/>
      <w:r>
        <w:t xml:space="preserve"> </w:t>
      </w:r>
    </w:p>
    <w:p>
      <w:pPr>
        <w:pStyle w:val="style0"/>
        <w:rPr>
          <w:rFonts w:cs="Arial"/>
        </w:rPr>
      </w:pPr>
      <w:r>
        <w:rPr>
          <w:rFonts w:cs="Arial"/>
        </w:rPr>
        <w:t xml:space="preserve">This study will use secondary data collection since the study will be based on articles, journals, and academic reports published earlier concerning the topic of BNPL services and the adoption of fintech. Secondary data will allow the researcher to draw on a rich body of existing literature and theoretical insights without having to collect primary data. It is an efficient method of systematic literature reviews since it enables synthesis of </w:t>
      </w:r>
      <w:r>
        <w:rPr>
          <w:rFonts w:cs="Arial"/>
        </w:rPr>
        <w:t>plausible scholarly sources that can explore trends, patterns and significant findings in the area (Rajasekar and Verma, 2013).</w:t>
      </w:r>
    </w:p>
    <w:bookmarkStart w:id="22" w:name="_Toc224766000"/>
    <w:p>
      <w:pPr>
        <w:pStyle w:val="style2"/>
        <w:rPr/>
      </w:pPr>
      <w:r>
        <w:t xml:space="preserve">3.5 </w:t>
      </w:r>
      <w:r>
        <w:t>Data Analysis Method</w:t>
      </w:r>
      <w:bookmarkEnd w:id="22"/>
    </w:p>
    <w:p>
      <w:pPr>
        <w:pStyle w:val="style0"/>
        <w:rPr>
          <w:rFonts w:cs="Arial"/>
        </w:rPr>
      </w:pPr>
      <w:r>
        <w:rPr>
          <w:rFonts w:cs="Arial"/>
        </w:rPr>
        <w:t>Thematic analysis is applied to extract and analy</w:t>
      </w:r>
      <w:r>
        <w:rPr>
          <w:rFonts w:cs="Arial"/>
        </w:rPr>
        <w:t>s</w:t>
      </w:r>
      <w:r>
        <w:rPr>
          <w:rFonts w:cs="Arial"/>
        </w:rPr>
        <w:t>e common themes in the chosen literature on BNPL adoption. The technique will allow researchers to systematically organise and analyse qualitative data by identifying major trends in terms of trust, psychological motivation, factors leading to adoption, and barriers. Qualitative research heavily relies on thematic analysis to interpret textual data and to produce insights with meaning (Mishra and Alok, 2022).</w:t>
      </w:r>
    </w:p>
    <w:bookmarkStart w:id="23" w:name="_Toc224766001"/>
    <w:p>
      <w:pPr>
        <w:pStyle w:val="style2"/>
        <w:rPr/>
      </w:pPr>
      <w:r>
        <w:t xml:space="preserve">3.6 </w:t>
      </w:r>
      <w:r>
        <w:t>Ethical Considerations</w:t>
      </w:r>
      <w:bookmarkEnd w:id="23"/>
      <w:r>
        <w:t xml:space="preserve"> </w:t>
      </w:r>
    </w:p>
    <w:p>
      <w:pPr>
        <w:pStyle w:val="style0"/>
        <w:rPr>
          <w:rFonts w:cs="Arial"/>
        </w:rPr>
      </w:pPr>
      <w:r>
        <w:rPr>
          <w:rFonts w:cs="Arial"/>
        </w:rPr>
        <w:t xml:space="preserve">Ethical issues will be considered to provide integrity and transparency </w:t>
      </w:r>
      <w:r>
        <w:rPr>
          <w:rFonts w:cs="Arial"/>
        </w:rPr>
        <w:t>in</w:t>
      </w:r>
      <w:r>
        <w:rPr>
          <w:rFonts w:cs="Arial"/>
        </w:rPr>
        <w:t xml:space="preserve"> the research process. This research meets the academic code of ethics, as it employs reliable academic materials</w:t>
      </w:r>
      <w:r>
        <w:rPr>
          <w:rFonts w:cs="Arial"/>
        </w:rPr>
        <w:t>,</w:t>
      </w:r>
      <w:r>
        <w:rPr>
          <w:rFonts w:cs="Arial"/>
        </w:rPr>
        <w:t xml:space="preserve"> and the sources cited have been appropriately cited. Indicators that prevent plagiarism include paraphrasing and citing actual authors. As the research is based on secondary data, there is not much concern regarding participant consent and confidentiality, but it is necessary to use published data responsibly to ensure academic integrity and the reliability of the research (Patel and Patel, 2019).</w:t>
      </w:r>
    </w:p>
    <w:p>
      <w:pPr>
        <w:pStyle w:val="style0"/>
        <w:spacing w:lineRule="auto" w:line="259"/>
        <w:jc w:val="left"/>
        <w:rPr>
          <w:rFonts w:cs="Arial"/>
        </w:rPr>
      </w:pPr>
      <w:r>
        <w:rPr>
          <w:rFonts w:cs="Arial"/>
        </w:rPr>
        <w:br w:type="page"/>
      </w:r>
    </w:p>
    <w:bookmarkStart w:id="24" w:name="_Toc224766002"/>
    <w:p>
      <w:pPr>
        <w:pStyle w:val="style1"/>
        <w:rPr/>
      </w:pPr>
      <w:r>
        <w:t xml:space="preserve">4. Expected </w:t>
      </w:r>
      <w:r>
        <w:t>Findings</w:t>
      </w:r>
      <w:bookmarkEnd w:id="24"/>
    </w:p>
    <w:p>
      <w:pPr>
        <w:pStyle w:val="style0"/>
        <w:rPr>
          <w:rFonts w:cs="Arial"/>
        </w:rPr>
      </w:pPr>
      <w:r>
        <w:rPr>
          <w:rFonts w:cs="Arial"/>
        </w:rPr>
        <w:t>The purpose of this study is to investigate the major drivers of Buy Now, Pay Later (BNPL) service adoption by consumers in the fintech sector. According to current literature, convenience, ease of use, and financial freedom are likely to have a huge impact on consumer adoption of BNPL services. The credibility of fintech providers and perceptions of the safety of the payment are also expected to be a significant factor in the level of willingness of consumers to use these services. Moreover, there are also psychological motivators, like impulse buying and immediate satisfaction, which can explain the growing popularity of BNPL among online consumers (Di Maggio et al., 2022). Nevertheless, financial risk, hidden charges and financial ignorance are possible obstacles that can constrain adoption by some groups in society. Such results can be informative to fintech companies and policymakers (Singh et al., 2025).</w:t>
      </w:r>
    </w:p>
    <w:bookmarkStart w:id="25" w:name="_Toc224766003"/>
    <w:p>
      <w:pPr>
        <w:pStyle w:val="style1"/>
        <w:rPr/>
      </w:pPr>
      <w:r>
        <w:t xml:space="preserve">5. </w:t>
      </w:r>
      <w:r>
        <w:t>Limitation</w:t>
      </w:r>
      <w:bookmarkEnd w:id="25"/>
      <w:r>
        <w:t xml:space="preserve"> </w:t>
      </w:r>
    </w:p>
    <w:p>
      <w:pPr>
        <w:pStyle w:val="style0"/>
        <w:rPr>
          <w:rFonts w:cs="Arial"/>
        </w:rPr>
      </w:pPr>
      <w:r>
        <w:rPr>
          <w:rFonts w:cs="Arial"/>
        </w:rPr>
        <w:t xml:space="preserve">The scope and methodology of this research might be limited to </w:t>
      </w:r>
      <w:r>
        <w:rPr>
          <w:rFonts w:cs="Arial"/>
        </w:rPr>
        <w:t>a number of</w:t>
      </w:r>
      <w:r>
        <w:rPr>
          <w:rFonts w:cs="Arial"/>
        </w:rPr>
        <w:t xml:space="preserve"> factors. Given that the research is founded on </w:t>
      </w:r>
      <w:r>
        <w:rPr>
          <w:rFonts w:cs="Arial"/>
        </w:rPr>
        <w:t xml:space="preserve">a </w:t>
      </w:r>
      <w:r>
        <w:rPr>
          <w:rFonts w:cs="Arial"/>
        </w:rPr>
        <w:t xml:space="preserve">systematic literature review, it solely depends on secondary data </w:t>
      </w:r>
      <w:r>
        <w:rPr>
          <w:rFonts w:cs="Arial"/>
        </w:rPr>
        <w:t>from</w:t>
      </w:r>
      <w:r>
        <w:rPr>
          <w:rFonts w:cs="Arial"/>
        </w:rPr>
        <w:t xml:space="preserve"> the already conducted studies</w:t>
      </w:r>
      <w:r>
        <w:rPr>
          <w:rFonts w:cs="Arial"/>
        </w:rPr>
        <w:t>,</w:t>
      </w:r>
      <w:r>
        <w:rPr>
          <w:rFonts w:cs="Arial"/>
        </w:rPr>
        <w:t xml:space="preserve"> and this can restrict access to the latest or overall findings. Also, the analysis might be influenced by differences in the contexts of research, methodologies, and geographical focus in the available studies. The number of sources reviewed may also be restricted due to time constraints related to the dissertation proposal (Bernard, 2025). </w:t>
      </w:r>
      <w:r>
        <w:rPr>
          <w:rFonts w:cs="Arial"/>
        </w:rPr>
        <w:t>Yet,</w:t>
      </w:r>
      <w:r>
        <w:rPr>
          <w:rFonts w:cs="Arial"/>
        </w:rPr>
        <w:t xml:space="preserve"> they will be minimi</w:t>
      </w:r>
      <w:r>
        <w:rPr>
          <w:rFonts w:cs="Arial"/>
        </w:rPr>
        <w:t>s</w:t>
      </w:r>
      <w:r>
        <w:rPr>
          <w:rFonts w:cs="Arial"/>
        </w:rPr>
        <w:t>ed due to the choice of credible academic sources and a systematic and transparent review procedure to guarantee the credibility and topicality of the results (Shaheen et al., 2023).</w:t>
      </w:r>
    </w:p>
    <w:p>
      <w:pPr>
        <w:pStyle w:val="style0"/>
        <w:spacing w:lineRule="auto" w:line="259"/>
        <w:jc w:val="left"/>
        <w:rPr>
          <w:rFonts w:cs="Arial"/>
        </w:rPr>
      </w:pPr>
      <w:r>
        <w:rPr>
          <w:rFonts w:cs="Arial"/>
        </w:rPr>
        <w:br w:type="page"/>
      </w:r>
    </w:p>
    <w:bookmarkStart w:id="26" w:name="_Toc224766004"/>
    <w:p>
      <w:pPr>
        <w:pStyle w:val="style1"/>
        <w:rPr/>
      </w:pPr>
      <w:r>
        <w:t>6. Timeframe</w:t>
      </w:r>
      <w:bookmarkEnd w:id="26"/>
      <w:r>
        <w:t xml:space="preserve"> </w:t>
      </w:r>
    </w:p>
    <w:tbl>
      <w:tblPr>
        <w:tblW w:w="10327" w:type="dxa"/>
        <w:tblInd w:w="-3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734"/>
        <w:gridCol w:w="526"/>
        <w:gridCol w:w="15"/>
        <w:gridCol w:w="425"/>
        <w:gridCol w:w="116"/>
        <w:gridCol w:w="301"/>
        <w:gridCol w:w="417"/>
        <w:gridCol w:w="417"/>
        <w:gridCol w:w="417"/>
        <w:gridCol w:w="417"/>
        <w:gridCol w:w="417"/>
        <w:gridCol w:w="425"/>
        <w:gridCol w:w="533"/>
        <w:gridCol w:w="533"/>
        <w:gridCol w:w="541"/>
        <w:gridCol w:w="541"/>
        <w:gridCol w:w="541"/>
        <w:gridCol w:w="11"/>
      </w:tblGrid>
      <w:tr>
        <w:trPr>
          <w:trHeight w:val="449" w:hRule="atLeast"/>
        </w:trPr>
        <w:tc>
          <w:tcPr>
            <w:tcW w:w="3734" w:type="dxa"/>
            <w:vMerge w:val="restart"/>
            <w:tcBorders/>
            <w:vAlign w:val="center"/>
            <w:hideMark/>
          </w:tcPr>
          <w:p>
            <w:pPr>
              <w:pStyle w:val="style0"/>
              <w:spacing w:after="0"/>
              <w:jc w:val="center"/>
              <w:rPr>
                <w:rFonts w:cs="Arial" w:eastAsia="Times New Roman"/>
                <w:b/>
                <w:bCs/>
                <w:color w:val="000000"/>
                <w:sz w:val="20"/>
                <w:szCs w:val="20"/>
              </w:rPr>
            </w:pPr>
            <w:r>
              <w:rPr>
                <w:rFonts w:cs="Arial" w:eastAsia="Times New Roman"/>
                <w:b/>
                <w:bCs/>
                <w:color w:val="000000"/>
                <w:sz w:val="20"/>
                <w:szCs w:val="20"/>
              </w:rPr>
              <w:t>Various tasks in Research</w:t>
            </w:r>
          </w:p>
        </w:tc>
        <w:tc>
          <w:tcPr>
            <w:tcW w:w="541" w:type="dxa"/>
            <w:gridSpan w:val="2"/>
            <w:tcBorders/>
          </w:tcPr>
          <w:p>
            <w:pPr>
              <w:pStyle w:val="style0"/>
              <w:spacing w:after="0"/>
              <w:jc w:val="center"/>
              <w:rPr>
                <w:rFonts w:cs="Arial"/>
                <w:b/>
                <w:sz w:val="20"/>
                <w:szCs w:val="20"/>
              </w:rPr>
            </w:pPr>
          </w:p>
        </w:tc>
        <w:tc>
          <w:tcPr>
            <w:tcW w:w="541" w:type="dxa"/>
            <w:gridSpan w:val="2"/>
            <w:tcBorders/>
          </w:tcPr>
          <w:p>
            <w:pPr>
              <w:pStyle w:val="style0"/>
              <w:spacing w:after="0"/>
              <w:jc w:val="center"/>
              <w:rPr>
                <w:rFonts w:cs="Arial"/>
                <w:b/>
                <w:sz w:val="20"/>
                <w:szCs w:val="20"/>
              </w:rPr>
            </w:pPr>
          </w:p>
        </w:tc>
        <w:tc>
          <w:tcPr>
            <w:tcW w:w="5511" w:type="dxa"/>
            <w:gridSpan w:val="13"/>
            <w:tcBorders/>
          </w:tcPr>
          <w:p>
            <w:pPr>
              <w:pStyle w:val="style0"/>
              <w:spacing w:after="0"/>
              <w:jc w:val="center"/>
              <w:rPr>
                <w:rFonts w:cs="Arial"/>
                <w:b/>
                <w:sz w:val="20"/>
                <w:szCs w:val="20"/>
              </w:rPr>
            </w:pPr>
            <w:r>
              <w:rPr>
                <w:rFonts w:cs="Arial"/>
                <w:b/>
                <w:sz w:val="20"/>
                <w:szCs w:val="20"/>
              </w:rPr>
              <w:t>Time (Week)</w:t>
            </w:r>
          </w:p>
        </w:tc>
      </w:tr>
      <w:tr>
        <w:tblPrEx/>
        <w:trPr>
          <w:gridAfter w:val="1"/>
          <w:wAfter w:w="11" w:type="dxa"/>
          <w:trHeight w:val="449" w:hRule="atLeast"/>
        </w:trPr>
        <w:tc>
          <w:tcPr>
            <w:tcW w:w="3734" w:type="dxa"/>
            <w:vMerge w:val="continue"/>
            <w:tcBorders/>
            <w:vAlign w:val="center"/>
            <w:hideMark/>
          </w:tcPr>
          <w:p>
            <w:pPr>
              <w:pStyle w:val="style0"/>
              <w:spacing w:after="0"/>
              <w:rPr>
                <w:rFonts w:cs="Arial" w:eastAsia="Times New Roman"/>
                <w:b/>
                <w:bCs/>
                <w:color w:val="000000"/>
                <w:sz w:val="20"/>
                <w:szCs w:val="20"/>
              </w:rPr>
            </w:pPr>
          </w:p>
        </w:tc>
        <w:tc>
          <w:tcPr>
            <w:tcW w:w="526" w:type="dxa"/>
            <w:tcBorders/>
            <w:vAlign w:val="center"/>
            <w:hideMark/>
          </w:tcPr>
          <w:p>
            <w:pPr>
              <w:pStyle w:val="style0"/>
              <w:spacing w:after="0"/>
              <w:jc w:val="center"/>
              <w:rPr>
                <w:rFonts w:cs="Arial" w:eastAsia="Times New Roman"/>
                <w:b/>
                <w:bCs/>
                <w:color w:val="000000"/>
                <w:sz w:val="20"/>
                <w:szCs w:val="20"/>
              </w:rPr>
            </w:pPr>
            <w:r>
              <w:rPr>
                <w:rFonts w:cs="Arial" w:eastAsia="Times New Roman"/>
                <w:b/>
                <w:bCs/>
                <w:color w:val="000000"/>
                <w:sz w:val="20"/>
                <w:szCs w:val="20"/>
              </w:rPr>
              <w:t>1</w:t>
            </w:r>
          </w:p>
        </w:tc>
        <w:tc>
          <w:tcPr>
            <w:tcW w:w="440" w:type="dxa"/>
            <w:gridSpan w:val="2"/>
            <w:tcBorders/>
            <w:vAlign w:val="center"/>
            <w:hideMark/>
          </w:tcPr>
          <w:p>
            <w:pPr>
              <w:pStyle w:val="style0"/>
              <w:spacing w:after="0"/>
              <w:jc w:val="center"/>
              <w:rPr>
                <w:rFonts w:cs="Arial" w:eastAsia="Times New Roman"/>
                <w:b/>
                <w:bCs/>
                <w:color w:val="000000"/>
                <w:sz w:val="20"/>
                <w:szCs w:val="20"/>
              </w:rPr>
            </w:pPr>
            <w:r>
              <w:rPr>
                <w:rFonts w:cs="Arial" w:eastAsia="Times New Roman"/>
                <w:b/>
                <w:bCs/>
                <w:color w:val="000000"/>
                <w:sz w:val="20"/>
                <w:szCs w:val="20"/>
              </w:rPr>
              <w:t>2</w:t>
            </w:r>
          </w:p>
        </w:tc>
        <w:tc>
          <w:tcPr>
            <w:tcW w:w="417" w:type="dxa"/>
            <w:gridSpan w:val="2"/>
            <w:tcBorders/>
            <w:vAlign w:val="center"/>
            <w:hideMark/>
          </w:tcPr>
          <w:p>
            <w:pPr>
              <w:pStyle w:val="style0"/>
              <w:spacing w:after="0"/>
              <w:jc w:val="center"/>
              <w:rPr>
                <w:rFonts w:cs="Arial" w:eastAsia="Times New Roman"/>
                <w:b/>
                <w:bCs/>
                <w:color w:val="000000"/>
                <w:sz w:val="20"/>
                <w:szCs w:val="20"/>
              </w:rPr>
            </w:pPr>
            <w:r>
              <w:rPr>
                <w:rFonts w:cs="Arial" w:eastAsia="Times New Roman"/>
                <w:b/>
                <w:bCs/>
                <w:color w:val="000000"/>
                <w:sz w:val="20"/>
                <w:szCs w:val="20"/>
              </w:rPr>
              <w:t>3</w:t>
            </w:r>
          </w:p>
        </w:tc>
        <w:tc>
          <w:tcPr>
            <w:tcW w:w="417" w:type="dxa"/>
            <w:tcBorders/>
            <w:vAlign w:val="center"/>
            <w:hideMark/>
          </w:tcPr>
          <w:p>
            <w:pPr>
              <w:pStyle w:val="style0"/>
              <w:spacing w:after="0"/>
              <w:jc w:val="center"/>
              <w:rPr>
                <w:rFonts w:cs="Arial" w:eastAsia="Times New Roman"/>
                <w:b/>
                <w:bCs/>
                <w:color w:val="000000"/>
                <w:sz w:val="20"/>
                <w:szCs w:val="20"/>
              </w:rPr>
            </w:pPr>
            <w:r>
              <w:rPr>
                <w:rFonts w:cs="Arial" w:eastAsia="Times New Roman"/>
                <w:b/>
                <w:bCs/>
                <w:color w:val="000000"/>
                <w:sz w:val="20"/>
                <w:szCs w:val="20"/>
              </w:rPr>
              <w:t>4</w:t>
            </w:r>
          </w:p>
        </w:tc>
        <w:tc>
          <w:tcPr>
            <w:tcW w:w="417" w:type="dxa"/>
            <w:tcBorders/>
            <w:vAlign w:val="center"/>
            <w:hideMark/>
          </w:tcPr>
          <w:p>
            <w:pPr>
              <w:pStyle w:val="style0"/>
              <w:spacing w:after="0"/>
              <w:jc w:val="center"/>
              <w:rPr>
                <w:rFonts w:cs="Arial" w:eastAsia="Times New Roman"/>
                <w:b/>
                <w:bCs/>
                <w:color w:val="000000"/>
                <w:sz w:val="20"/>
                <w:szCs w:val="20"/>
              </w:rPr>
            </w:pPr>
            <w:r>
              <w:rPr>
                <w:rFonts w:cs="Arial" w:eastAsia="Times New Roman"/>
                <w:b/>
                <w:bCs/>
                <w:color w:val="000000"/>
                <w:sz w:val="20"/>
                <w:szCs w:val="20"/>
              </w:rPr>
              <w:t>5</w:t>
            </w:r>
          </w:p>
        </w:tc>
        <w:tc>
          <w:tcPr>
            <w:tcW w:w="417" w:type="dxa"/>
            <w:tcBorders/>
            <w:vAlign w:val="center"/>
            <w:hideMark/>
          </w:tcPr>
          <w:p>
            <w:pPr>
              <w:pStyle w:val="style0"/>
              <w:spacing w:after="0"/>
              <w:jc w:val="center"/>
              <w:rPr>
                <w:rFonts w:cs="Arial" w:eastAsia="Times New Roman"/>
                <w:b/>
                <w:bCs/>
                <w:color w:val="000000"/>
                <w:sz w:val="20"/>
                <w:szCs w:val="20"/>
              </w:rPr>
            </w:pPr>
            <w:r>
              <w:rPr>
                <w:rFonts w:cs="Arial" w:eastAsia="Times New Roman"/>
                <w:b/>
                <w:bCs/>
                <w:color w:val="000000"/>
                <w:sz w:val="20"/>
                <w:szCs w:val="20"/>
              </w:rPr>
              <w:t>6</w:t>
            </w:r>
          </w:p>
        </w:tc>
        <w:tc>
          <w:tcPr>
            <w:tcW w:w="417" w:type="dxa"/>
            <w:tcBorders/>
            <w:vAlign w:val="center"/>
            <w:hideMark/>
          </w:tcPr>
          <w:p>
            <w:pPr>
              <w:pStyle w:val="style0"/>
              <w:spacing w:after="0"/>
              <w:jc w:val="center"/>
              <w:rPr>
                <w:rFonts w:cs="Arial" w:eastAsia="Times New Roman"/>
                <w:b/>
                <w:bCs/>
                <w:color w:val="000000"/>
                <w:sz w:val="20"/>
                <w:szCs w:val="20"/>
              </w:rPr>
            </w:pPr>
            <w:r>
              <w:rPr>
                <w:rFonts w:cs="Arial" w:eastAsia="Times New Roman"/>
                <w:b/>
                <w:bCs/>
                <w:color w:val="000000"/>
                <w:sz w:val="20"/>
                <w:szCs w:val="20"/>
              </w:rPr>
              <w:t>7</w:t>
            </w:r>
          </w:p>
        </w:tc>
        <w:tc>
          <w:tcPr>
            <w:tcW w:w="417" w:type="dxa"/>
            <w:tcBorders/>
            <w:vAlign w:val="center"/>
            <w:hideMark/>
          </w:tcPr>
          <w:p>
            <w:pPr>
              <w:pStyle w:val="style0"/>
              <w:spacing w:after="0"/>
              <w:jc w:val="center"/>
              <w:rPr>
                <w:rFonts w:cs="Arial" w:eastAsia="Times New Roman"/>
                <w:b/>
                <w:bCs/>
                <w:color w:val="000000"/>
                <w:sz w:val="20"/>
                <w:szCs w:val="20"/>
              </w:rPr>
            </w:pPr>
            <w:r>
              <w:rPr>
                <w:rFonts w:cs="Arial" w:eastAsia="Times New Roman"/>
                <w:b/>
                <w:bCs/>
                <w:color w:val="000000"/>
                <w:sz w:val="20"/>
                <w:szCs w:val="20"/>
              </w:rPr>
              <w:t>8</w:t>
            </w:r>
          </w:p>
        </w:tc>
        <w:tc>
          <w:tcPr>
            <w:tcW w:w="425" w:type="dxa"/>
            <w:tcBorders/>
            <w:vAlign w:val="center"/>
            <w:hideMark/>
          </w:tcPr>
          <w:p>
            <w:pPr>
              <w:pStyle w:val="style0"/>
              <w:spacing w:after="0"/>
              <w:jc w:val="center"/>
              <w:rPr>
                <w:rFonts w:cs="Arial" w:eastAsia="Times New Roman"/>
                <w:b/>
                <w:bCs/>
                <w:color w:val="000000"/>
                <w:sz w:val="20"/>
                <w:szCs w:val="20"/>
              </w:rPr>
            </w:pPr>
            <w:r>
              <w:rPr>
                <w:rFonts w:cs="Arial" w:eastAsia="Times New Roman"/>
                <w:b/>
                <w:bCs/>
                <w:color w:val="000000"/>
                <w:sz w:val="20"/>
                <w:szCs w:val="20"/>
              </w:rPr>
              <w:t>9</w:t>
            </w:r>
          </w:p>
        </w:tc>
        <w:tc>
          <w:tcPr>
            <w:tcW w:w="533" w:type="dxa"/>
            <w:tcBorders/>
            <w:vAlign w:val="center"/>
            <w:hideMark/>
          </w:tcPr>
          <w:p>
            <w:pPr>
              <w:pStyle w:val="style0"/>
              <w:spacing w:after="0"/>
              <w:jc w:val="center"/>
              <w:rPr>
                <w:rFonts w:cs="Arial" w:eastAsia="Times New Roman"/>
                <w:b/>
                <w:bCs/>
                <w:color w:val="000000"/>
                <w:sz w:val="20"/>
                <w:szCs w:val="20"/>
              </w:rPr>
            </w:pPr>
            <w:r>
              <w:rPr>
                <w:rFonts w:cs="Arial" w:eastAsia="Times New Roman"/>
                <w:b/>
                <w:bCs/>
                <w:color w:val="000000"/>
                <w:sz w:val="20"/>
                <w:szCs w:val="20"/>
              </w:rPr>
              <w:t>10</w:t>
            </w:r>
          </w:p>
        </w:tc>
        <w:tc>
          <w:tcPr>
            <w:tcW w:w="533" w:type="dxa"/>
            <w:tcBorders/>
            <w:vAlign w:val="center"/>
          </w:tcPr>
          <w:p>
            <w:pPr>
              <w:pStyle w:val="style0"/>
              <w:spacing w:after="0"/>
              <w:jc w:val="center"/>
              <w:rPr>
                <w:rFonts w:cs="Arial" w:eastAsia="Times New Roman"/>
                <w:b/>
                <w:bCs/>
                <w:color w:val="000000"/>
                <w:sz w:val="20"/>
                <w:szCs w:val="20"/>
              </w:rPr>
            </w:pPr>
            <w:r>
              <w:rPr>
                <w:rFonts w:cs="Arial" w:eastAsia="Times New Roman"/>
                <w:b/>
                <w:bCs/>
                <w:color w:val="000000"/>
                <w:sz w:val="20"/>
                <w:szCs w:val="20"/>
              </w:rPr>
              <w:t>11</w:t>
            </w:r>
          </w:p>
        </w:tc>
        <w:tc>
          <w:tcPr>
            <w:tcW w:w="541" w:type="dxa"/>
            <w:tcBorders/>
            <w:vAlign w:val="center"/>
          </w:tcPr>
          <w:p>
            <w:pPr>
              <w:pStyle w:val="style0"/>
              <w:spacing w:after="0"/>
              <w:jc w:val="center"/>
              <w:rPr>
                <w:rFonts w:cs="Arial" w:eastAsia="Times New Roman"/>
                <w:b/>
                <w:bCs/>
                <w:color w:val="000000"/>
                <w:sz w:val="20"/>
                <w:szCs w:val="20"/>
              </w:rPr>
            </w:pPr>
            <w:r>
              <w:rPr>
                <w:rFonts w:cs="Arial" w:eastAsia="Times New Roman"/>
                <w:b/>
                <w:bCs/>
                <w:color w:val="000000"/>
                <w:sz w:val="20"/>
                <w:szCs w:val="20"/>
              </w:rPr>
              <w:t>12</w:t>
            </w:r>
          </w:p>
        </w:tc>
        <w:tc>
          <w:tcPr>
            <w:tcW w:w="541" w:type="dxa"/>
            <w:tcBorders/>
          </w:tcPr>
          <w:p>
            <w:pPr>
              <w:pStyle w:val="style0"/>
              <w:spacing w:after="0"/>
              <w:jc w:val="center"/>
              <w:rPr>
                <w:rFonts w:cs="Arial" w:eastAsia="Times New Roman"/>
                <w:b/>
                <w:bCs/>
                <w:color w:val="000000"/>
                <w:sz w:val="20"/>
                <w:szCs w:val="20"/>
              </w:rPr>
            </w:pPr>
            <w:r>
              <w:rPr>
                <w:rFonts w:cs="Arial" w:eastAsia="Times New Roman"/>
                <w:b/>
                <w:bCs/>
                <w:color w:val="000000"/>
                <w:sz w:val="20"/>
                <w:szCs w:val="20"/>
              </w:rPr>
              <w:t>13</w:t>
            </w:r>
          </w:p>
        </w:tc>
        <w:tc>
          <w:tcPr>
            <w:tcW w:w="541" w:type="dxa"/>
            <w:tcBorders/>
          </w:tcPr>
          <w:p>
            <w:pPr>
              <w:pStyle w:val="style0"/>
              <w:spacing w:after="0"/>
              <w:jc w:val="center"/>
              <w:rPr>
                <w:rFonts w:cs="Arial" w:eastAsia="Times New Roman"/>
                <w:b/>
                <w:bCs/>
                <w:color w:val="000000"/>
                <w:sz w:val="20"/>
                <w:szCs w:val="20"/>
              </w:rPr>
            </w:pPr>
            <w:r>
              <w:rPr>
                <w:rFonts w:cs="Arial" w:eastAsia="Times New Roman"/>
                <w:b/>
                <w:bCs/>
                <w:color w:val="000000"/>
                <w:sz w:val="20"/>
                <w:szCs w:val="20"/>
              </w:rPr>
              <w:t>14</w:t>
            </w:r>
          </w:p>
        </w:tc>
      </w:tr>
      <w:tr>
        <w:tblPrEx/>
        <w:trPr>
          <w:gridAfter w:val="1"/>
          <w:wAfter w:w="11" w:type="dxa"/>
          <w:trHeight w:val="449" w:hRule="atLeast"/>
        </w:trPr>
        <w:tc>
          <w:tcPr>
            <w:tcW w:w="3734" w:type="dxa"/>
            <w:tcBorders/>
            <w:shd w:val="clear" w:color="000000" w:fill="ffffff"/>
            <w:noWrap/>
            <w:vAlign w:val="center"/>
            <w:hideMark/>
          </w:tcPr>
          <w:p>
            <w:pPr>
              <w:pStyle w:val="style0"/>
              <w:spacing w:after="0"/>
              <w:jc w:val="center"/>
              <w:rPr>
                <w:rFonts w:cs="Arial" w:eastAsia="Times New Roman"/>
                <w:b/>
                <w:bCs/>
                <w:color w:val="000000"/>
                <w:sz w:val="20"/>
                <w:szCs w:val="20"/>
              </w:rPr>
            </w:pPr>
            <w:r>
              <w:rPr>
                <w:rFonts w:cs="Arial"/>
                <w:b/>
                <w:bCs/>
                <w:sz w:val="20"/>
                <w:szCs w:val="20"/>
              </w:rPr>
              <w:t>Research Design and Planning and Introduction</w:t>
            </w:r>
          </w:p>
        </w:tc>
        <w:tc>
          <w:tcPr>
            <w:tcW w:w="526" w:type="dxa"/>
            <w:tcBorders/>
            <w:shd w:val="clear" w:color="auto" w:fill="7f7f7f"/>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440" w:type="dxa"/>
            <w:gridSpan w:val="2"/>
            <w:tcBorders/>
            <w:shd w:val="clear" w:color="auto" w:fill="7f7f7f"/>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417" w:type="dxa"/>
            <w:gridSpan w:val="2"/>
            <w:tcBorders/>
            <w:shd w:val="clear" w:color="000000" w:fill="ffffff"/>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417" w:type="dxa"/>
            <w:tcBorders/>
            <w:shd w:val="clear" w:color="000000" w:fill="ffffff"/>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417" w:type="dxa"/>
            <w:tcBorders/>
            <w:shd w:val="clear" w:color="000000" w:fill="ffffff"/>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417" w:type="dxa"/>
            <w:tcBorders/>
            <w:shd w:val="clear" w:color="000000" w:fill="ffffff"/>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417" w:type="dxa"/>
            <w:tcBorders/>
            <w:shd w:val="clear" w:color="000000" w:fill="ffffff"/>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417" w:type="dxa"/>
            <w:tcBorders/>
            <w:shd w:val="clear" w:color="000000" w:fill="ffffff"/>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425" w:type="dxa"/>
            <w:tcBorders/>
            <w:shd w:val="clear" w:color="000000" w:fill="ffffff"/>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533" w:type="dxa"/>
            <w:tcBorders/>
            <w:shd w:val="clear" w:color="000000" w:fill="ffffff"/>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533" w:type="dxa"/>
            <w:tcBorders/>
            <w:shd w:val="clear" w:color="000000" w:fill="ffffff"/>
          </w:tcPr>
          <w:p>
            <w:pPr>
              <w:pStyle w:val="style0"/>
              <w:spacing w:after="0"/>
              <w:rPr>
                <w:rFonts w:cs="Arial" w:eastAsia="Times New Roman"/>
                <w:color w:val="000000"/>
                <w:sz w:val="20"/>
                <w:szCs w:val="20"/>
              </w:rPr>
            </w:pPr>
          </w:p>
        </w:tc>
        <w:tc>
          <w:tcPr>
            <w:tcW w:w="541" w:type="dxa"/>
            <w:tcBorders/>
            <w:shd w:val="clear" w:color="000000" w:fill="ffffff"/>
          </w:tcPr>
          <w:p>
            <w:pPr>
              <w:pStyle w:val="style0"/>
              <w:spacing w:after="0"/>
              <w:rPr>
                <w:rFonts w:cs="Arial" w:eastAsia="Times New Roman"/>
                <w:color w:val="000000"/>
                <w:sz w:val="20"/>
                <w:szCs w:val="20"/>
              </w:rPr>
            </w:pPr>
          </w:p>
        </w:tc>
        <w:tc>
          <w:tcPr>
            <w:tcW w:w="541" w:type="dxa"/>
            <w:tcBorders/>
          </w:tcPr>
          <w:p>
            <w:pPr>
              <w:pStyle w:val="style0"/>
              <w:spacing w:after="0"/>
              <w:rPr>
                <w:rFonts w:cs="Arial" w:eastAsia="Times New Roman"/>
                <w:color w:val="000000"/>
                <w:sz w:val="20"/>
                <w:szCs w:val="20"/>
              </w:rPr>
            </w:pPr>
          </w:p>
        </w:tc>
        <w:tc>
          <w:tcPr>
            <w:tcW w:w="541" w:type="dxa"/>
            <w:tcBorders/>
          </w:tcPr>
          <w:p>
            <w:pPr>
              <w:pStyle w:val="style0"/>
              <w:spacing w:after="0"/>
              <w:rPr>
                <w:rFonts w:cs="Arial" w:eastAsia="Times New Roman"/>
                <w:color w:val="000000"/>
                <w:sz w:val="20"/>
                <w:szCs w:val="20"/>
              </w:rPr>
            </w:pPr>
          </w:p>
        </w:tc>
      </w:tr>
      <w:tr>
        <w:tblPrEx/>
        <w:trPr>
          <w:gridAfter w:val="1"/>
          <w:wAfter w:w="11" w:type="dxa"/>
          <w:trHeight w:val="449" w:hRule="atLeast"/>
        </w:trPr>
        <w:tc>
          <w:tcPr>
            <w:tcW w:w="3734" w:type="dxa"/>
            <w:tcBorders/>
            <w:shd w:val="clear" w:color="000000" w:fill="ffffff"/>
            <w:noWrap/>
            <w:vAlign w:val="center"/>
            <w:hideMark/>
          </w:tcPr>
          <w:p>
            <w:pPr>
              <w:pStyle w:val="style0"/>
              <w:spacing w:after="0"/>
              <w:jc w:val="center"/>
              <w:rPr>
                <w:rFonts w:cs="Arial" w:eastAsia="Times New Roman"/>
                <w:b/>
                <w:bCs/>
                <w:color w:val="000000"/>
                <w:sz w:val="20"/>
                <w:szCs w:val="20"/>
              </w:rPr>
            </w:pPr>
            <w:r>
              <w:rPr>
                <w:rFonts w:cs="Arial"/>
                <w:b/>
                <w:bCs/>
                <w:sz w:val="20"/>
                <w:szCs w:val="20"/>
              </w:rPr>
              <w:t>Literature Review</w:t>
            </w:r>
          </w:p>
        </w:tc>
        <w:tc>
          <w:tcPr>
            <w:tcW w:w="526" w:type="dxa"/>
            <w:tcBorders/>
            <w:shd w:val="clear" w:color="000000" w:fill="ffffff"/>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440" w:type="dxa"/>
            <w:gridSpan w:val="2"/>
            <w:tcBorders/>
            <w:shd w:val="clear" w:color="auto" w:fill="ffffff"/>
            <w:vAlign w:val="center"/>
            <w:hideMark/>
          </w:tcPr>
          <w:p>
            <w:pPr>
              <w:pStyle w:val="style0"/>
              <w:spacing w:after="0"/>
              <w:rPr>
                <w:rFonts w:cs="Arial" w:eastAsia="Times New Roman"/>
                <w:color w:val="c45911"/>
                <w:sz w:val="20"/>
                <w:szCs w:val="20"/>
              </w:rPr>
            </w:pPr>
            <w:r>
              <w:rPr>
                <w:rFonts w:cs="Arial" w:eastAsia="Times New Roman"/>
                <w:color w:val="c45911"/>
                <w:sz w:val="20"/>
                <w:szCs w:val="20"/>
              </w:rPr>
              <w:t> </w:t>
            </w:r>
          </w:p>
        </w:tc>
        <w:tc>
          <w:tcPr>
            <w:tcW w:w="417" w:type="dxa"/>
            <w:gridSpan w:val="2"/>
            <w:tcBorders/>
            <w:shd w:val="clear" w:color="auto" w:fill="70ad47"/>
            <w:vAlign w:val="center"/>
            <w:hideMark/>
          </w:tcPr>
          <w:p>
            <w:pPr>
              <w:pStyle w:val="style0"/>
              <w:spacing w:after="0"/>
              <w:rPr>
                <w:rFonts w:cs="Arial" w:eastAsia="Times New Roman"/>
                <w:color w:val="c45911"/>
                <w:sz w:val="20"/>
                <w:szCs w:val="20"/>
              </w:rPr>
            </w:pPr>
            <w:r>
              <w:rPr>
                <w:rFonts w:cs="Arial" w:eastAsia="Times New Roman"/>
                <w:color w:val="c45911"/>
                <w:sz w:val="20"/>
                <w:szCs w:val="20"/>
              </w:rPr>
              <w:t> </w:t>
            </w:r>
          </w:p>
        </w:tc>
        <w:tc>
          <w:tcPr>
            <w:tcW w:w="417" w:type="dxa"/>
            <w:tcBorders/>
            <w:shd w:val="clear" w:color="auto" w:fill="70ad47"/>
            <w:vAlign w:val="center"/>
            <w:hideMark/>
          </w:tcPr>
          <w:p>
            <w:pPr>
              <w:pStyle w:val="style0"/>
              <w:spacing w:after="0"/>
              <w:rPr>
                <w:rFonts w:cs="Arial" w:eastAsia="Times New Roman"/>
                <w:color w:val="c45911"/>
                <w:sz w:val="20"/>
                <w:szCs w:val="20"/>
              </w:rPr>
            </w:pPr>
            <w:r>
              <w:rPr>
                <w:rFonts w:cs="Arial" w:eastAsia="Times New Roman"/>
                <w:color w:val="c45911"/>
                <w:sz w:val="20"/>
                <w:szCs w:val="20"/>
              </w:rPr>
              <w:t> </w:t>
            </w:r>
          </w:p>
        </w:tc>
        <w:tc>
          <w:tcPr>
            <w:tcW w:w="417" w:type="dxa"/>
            <w:tcBorders/>
            <w:shd w:val="clear" w:color="auto" w:fill="70ad47"/>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417" w:type="dxa"/>
            <w:tcBorders/>
            <w:shd w:val="clear" w:color="000000" w:fill="ffffff"/>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417" w:type="dxa"/>
            <w:tcBorders/>
            <w:shd w:val="clear" w:color="000000" w:fill="ffffff"/>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417" w:type="dxa"/>
            <w:tcBorders/>
            <w:shd w:val="clear" w:color="000000" w:fill="ffffff"/>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425" w:type="dxa"/>
            <w:tcBorders/>
            <w:shd w:val="clear" w:color="000000" w:fill="ffffff"/>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533" w:type="dxa"/>
            <w:tcBorders/>
            <w:shd w:val="clear" w:color="000000" w:fill="ffffff"/>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533" w:type="dxa"/>
            <w:tcBorders/>
            <w:shd w:val="clear" w:color="000000" w:fill="ffffff"/>
          </w:tcPr>
          <w:p>
            <w:pPr>
              <w:pStyle w:val="style0"/>
              <w:spacing w:after="0"/>
              <w:rPr>
                <w:rFonts w:cs="Arial" w:eastAsia="Times New Roman"/>
                <w:color w:val="000000"/>
                <w:sz w:val="20"/>
                <w:szCs w:val="20"/>
              </w:rPr>
            </w:pPr>
          </w:p>
        </w:tc>
        <w:tc>
          <w:tcPr>
            <w:tcW w:w="541" w:type="dxa"/>
            <w:tcBorders/>
            <w:shd w:val="clear" w:color="000000" w:fill="ffffff"/>
          </w:tcPr>
          <w:p>
            <w:pPr>
              <w:pStyle w:val="style0"/>
              <w:spacing w:after="0"/>
              <w:rPr>
                <w:rFonts w:cs="Arial" w:eastAsia="Times New Roman"/>
                <w:color w:val="000000"/>
                <w:sz w:val="20"/>
                <w:szCs w:val="20"/>
              </w:rPr>
            </w:pPr>
          </w:p>
        </w:tc>
        <w:tc>
          <w:tcPr>
            <w:tcW w:w="541" w:type="dxa"/>
            <w:tcBorders/>
          </w:tcPr>
          <w:p>
            <w:pPr>
              <w:pStyle w:val="style0"/>
              <w:spacing w:after="0"/>
              <w:rPr>
                <w:rFonts w:cs="Arial" w:eastAsia="Times New Roman"/>
                <w:color w:val="000000"/>
                <w:sz w:val="20"/>
                <w:szCs w:val="20"/>
              </w:rPr>
            </w:pPr>
          </w:p>
        </w:tc>
        <w:tc>
          <w:tcPr>
            <w:tcW w:w="541" w:type="dxa"/>
            <w:tcBorders/>
          </w:tcPr>
          <w:p>
            <w:pPr>
              <w:pStyle w:val="style0"/>
              <w:spacing w:after="0"/>
              <w:rPr>
                <w:rFonts w:cs="Arial" w:eastAsia="Times New Roman"/>
                <w:color w:val="000000"/>
                <w:sz w:val="20"/>
                <w:szCs w:val="20"/>
              </w:rPr>
            </w:pPr>
          </w:p>
        </w:tc>
      </w:tr>
      <w:tr>
        <w:tblPrEx/>
        <w:trPr>
          <w:gridAfter w:val="1"/>
          <w:wAfter w:w="11" w:type="dxa"/>
          <w:trHeight w:val="449" w:hRule="atLeast"/>
        </w:trPr>
        <w:tc>
          <w:tcPr>
            <w:tcW w:w="3734" w:type="dxa"/>
            <w:tcBorders/>
            <w:shd w:val="clear" w:color="000000" w:fill="ffffff"/>
            <w:noWrap/>
            <w:vAlign w:val="center"/>
            <w:hideMark/>
          </w:tcPr>
          <w:p>
            <w:pPr>
              <w:pStyle w:val="style0"/>
              <w:spacing w:after="0"/>
              <w:jc w:val="center"/>
              <w:rPr>
                <w:rFonts w:cs="Arial" w:eastAsia="Times New Roman"/>
                <w:b/>
                <w:bCs/>
                <w:color w:val="000000"/>
                <w:sz w:val="20"/>
                <w:szCs w:val="20"/>
              </w:rPr>
            </w:pPr>
            <w:r>
              <w:rPr>
                <w:rFonts w:cs="Arial" w:eastAsia="Times New Roman"/>
                <w:b/>
                <w:bCs/>
                <w:color w:val="000000"/>
                <w:sz w:val="20"/>
                <w:szCs w:val="20"/>
              </w:rPr>
              <w:t>Research Methods</w:t>
            </w:r>
          </w:p>
        </w:tc>
        <w:tc>
          <w:tcPr>
            <w:tcW w:w="526" w:type="dxa"/>
            <w:tcBorders/>
            <w:shd w:val="clear" w:color="000000" w:fill="ffffff"/>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440" w:type="dxa"/>
            <w:gridSpan w:val="2"/>
            <w:tcBorders/>
            <w:shd w:val="clear" w:color="000000" w:fill="ffffff"/>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417" w:type="dxa"/>
            <w:gridSpan w:val="2"/>
            <w:tcBorders/>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417" w:type="dxa"/>
            <w:tcBorders/>
            <w:shd w:val="clear" w:color="auto" w:fill="ffffff"/>
            <w:vAlign w:val="center"/>
          </w:tcPr>
          <w:p>
            <w:pPr>
              <w:pStyle w:val="style0"/>
              <w:spacing w:after="0"/>
              <w:rPr>
                <w:rFonts w:cs="Arial" w:eastAsia="Times New Roman"/>
                <w:color w:val="000000"/>
                <w:sz w:val="20"/>
                <w:szCs w:val="20"/>
              </w:rPr>
            </w:pPr>
          </w:p>
        </w:tc>
        <w:tc>
          <w:tcPr>
            <w:tcW w:w="417" w:type="dxa"/>
            <w:tcBorders/>
            <w:vAlign w:val="center"/>
          </w:tcPr>
          <w:p>
            <w:pPr>
              <w:pStyle w:val="style0"/>
              <w:spacing w:after="0"/>
              <w:rPr>
                <w:rFonts w:cs="Arial" w:eastAsia="Times New Roman"/>
                <w:color w:val="000000"/>
                <w:sz w:val="20"/>
                <w:szCs w:val="20"/>
              </w:rPr>
            </w:pPr>
          </w:p>
        </w:tc>
        <w:tc>
          <w:tcPr>
            <w:tcW w:w="417" w:type="dxa"/>
            <w:tcBorders/>
            <w:shd w:val="clear" w:color="auto" w:fill="ffc000"/>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417" w:type="dxa"/>
            <w:tcBorders/>
            <w:shd w:val="clear" w:color="auto" w:fill="ffc000"/>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417" w:type="dxa"/>
            <w:tcBorders/>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425" w:type="dxa"/>
            <w:tcBorders/>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533" w:type="dxa"/>
            <w:tcBorders/>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533" w:type="dxa"/>
            <w:tcBorders/>
          </w:tcPr>
          <w:p>
            <w:pPr>
              <w:pStyle w:val="style0"/>
              <w:spacing w:after="0"/>
              <w:rPr>
                <w:rFonts w:cs="Arial" w:eastAsia="Times New Roman"/>
                <w:color w:val="000000"/>
                <w:sz w:val="20"/>
                <w:szCs w:val="20"/>
              </w:rPr>
            </w:pPr>
          </w:p>
        </w:tc>
        <w:tc>
          <w:tcPr>
            <w:tcW w:w="541" w:type="dxa"/>
            <w:tcBorders/>
          </w:tcPr>
          <w:p>
            <w:pPr>
              <w:pStyle w:val="style0"/>
              <w:spacing w:after="0"/>
              <w:rPr>
                <w:rFonts w:cs="Arial" w:eastAsia="Times New Roman"/>
                <w:color w:val="000000"/>
                <w:sz w:val="20"/>
                <w:szCs w:val="20"/>
              </w:rPr>
            </w:pPr>
          </w:p>
        </w:tc>
        <w:tc>
          <w:tcPr>
            <w:tcW w:w="541" w:type="dxa"/>
            <w:tcBorders/>
          </w:tcPr>
          <w:p>
            <w:pPr>
              <w:pStyle w:val="style0"/>
              <w:spacing w:after="0"/>
              <w:rPr>
                <w:rFonts w:cs="Arial" w:eastAsia="Times New Roman"/>
                <w:color w:val="000000"/>
                <w:sz w:val="20"/>
                <w:szCs w:val="20"/>
              </w:rPr>
            </w:pPr>
          </w:p>
        </w:tc>
        <w:tc>
          <w:tcPr>
            <w:tcW w:w="541" w:type="dxa"/>
            <w:tcBorders/>
          </w:tcPr>
          <w:p>
            <w:pPr>
              <w:pStyle w:val="style0"/>
              <w:spacing w:after="0"/>
              <w:rPr>
                <w:rFonts w:cs="Arial" w:eastAsia="Times New Roman"/>
                <w:color w:val="000000"/>
                <w:sz w:val="20"/>
                <w:szCs w:val="20"/>
              </w:rPr>
            </w:pPr>
          </w:p>
        </w:tc>
      </w:tr>
      <w:tr>
        <w:tblPrEx/>
        <w:trPr>
          <w:gridAfter w:val="1"/>
          <w:wAfter w:w="11" w:type="dxa"/>
          <w:trHeight w:val="449" w:hRule="atLeast"/>
        </w:trPr>
        <w:tc>
          <w:tcPr>
            <w:tcW w:w="3734" w:type="dxa"/>
            <w:tcBorders/>
            <w:shd w:val="clear" w:color="000000" w:fill="ffffff"/>
            <w:noWrap/>
            <w:vAlign w:val="center"/>
            <w:hideMark/>
          </w:tcPr>
          <w:p>
            <w:pPr>
              <w:pStyle w:val="style0"/>
              <w:spacing w:after="0"/>
              <w:jc w:val="center"/>
              <w:rPr>
                <w:rFonts w:cs="Arial" w:eastAsia="Times New Roman"/>
                <w:b/>
                <w:bCs/>
                <w:color w:val="000000"/>
                <w:sz w:val="20"/>
                <w:szCs w:val="20"/>
              </w:rPr>
            </w:pPr>
            <w:r>
              <w:rPr>
                <w:rFonts w:cs="Arial"/>
                <w:b/>
                <w:bCs/>
                <w:sz w:val="20"/>
                <w:szCs w:val="20"/>
              </w:rPr>
              <w:t xml:space="preserve">Secondary Data Collection </w:t>
            </w:r>
          </w:p>
        </w:tc>
        <w:tc>
          <w:tcPr>
            <w:tcW w:w="526" w:type="dxa"/>
            <w:tcBorders/>
            <w:shd w:val="clear" w:color="000000" w:fill="ffffff"/>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440" w:type="dxa"/>
            <w:gridSpan w:val="2"/>
            <w:tcBorders/>
            <w:shd w:val="clear" w:color="auto" w:fill="ffffff"/>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417" w:type="dxa"/>
            <w:gridSpan w:val="2"/>
            <w:tcBorders/>
            <w:shd w:val="clear" w:color="auto" w:fill="ffffff"/>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417" w:type="dxa"/>
            <w:tcBorders/>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417" w:type="dxa"/>
            <w:tcBorders/>
            <w:shd w:val="clear" w:color="auto" w:fill="ffffff"/>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417" w:type="dxa"/>
            <w:tcBorders/>
            <w:shd w:val="clear" w:color="auto" w:fill="ffffff"/>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417" w:type="dxa"/>
            <w:tcBorders/>
            <w:shd w:val="clear" w:color="auto" w:fill="ffffff"/>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417" w:type="dxa"/>
            <w:tcBorders/>
            <w:shd w:val="clear" w:color="auto" w:fill="f4b083"/>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425" w:type="dxa"/>
            <w:tcBorders/>
            <w:shd w:val="clear" w:color="auto" w:fill="f4b083"/>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533" w:type="dxa"/>
            <w:tcBorders/>
            <w:shd w:val="clear" w:color="auto" w:fill="ffffff"/>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533" w:type="dxa"/>
            <w:tcBorders/>
            <w:shd w:val="clear" w:color="auto" w:fill="ffffff"/>
          </w:tcPr>
          <w:p>
            <w:pPr>
              <w:pStyle w:val="style0"/>
              <w:spacing w:after="0"/>
              <w:rPr>
                <w:rFonts w:cs="Arial" w:eastAsia="Times New Roman"/>
                <w:color w:val="000000"/>
                <w:sz w:val="20"/>
                <w:szCs w:val="20"/>
              </w:rPr>
            </w:pPr>
          </w:p>
        </w:tc>
        <w:tc>
          <w:tcPr>
            <w:tcW w:w="541" w:type="dxa"/>
            <w:tcBorders/>
            <w:shd w:val="clear" w:color="auto" w:fill="ffffff"/>
          </w:tcPr>
          <w:p>
            <w:pPr>
              <w:pStyle w:val="style0"/>
              <w:spacing w:after="0"/>
              <w:rPr>
                <w:rFonts w:cs="Arial" w:eastAsia="Times New Roman"/>
                <w:color w:val="000000"/>
                <w:sz w:val="20"/>
                <w:szCs w:val="20"/>
              </w:rPr>
            </w:pPr>
          </w:p>
        </w:tc>
        <w:tc>
          <w:tcPr>
            <w:tcW w:w="541" w:type="dxa"/>
            <w:tcBorders/>
          </w:tcPr>
          <w:p>
            <w:pPr>
              <w:pStyle w:val="style0"/>
              <w:spacing w:after="0"/>
              <w:rPr>
                <w:rFonts w:cs="Arial" w:eastAsia="Times New Roman"/>
                <w:color w:val="000000"/>
                <w:sz w:val="20"/>
                <w:szCs w:val="20"/>
              </w:rPr>
            </w:pPr>
          </w:p>
        </w:tc>
        <w:tc>
          <w:tcPr>
            <w:tcW w:w="541" w:type="dxa"/>
            <w:tcBorders/>
          </w:tcPr>
          <w:p>
            <w:pPr>
              <w:pStyle w:val="style0"/>
              <w:spacing w:after="0"/>
              <w:rPr>
                <w:rFonts w:cs="Arial" w:eastAsia="Times New Roman"/>
                <w:color w:val="000000"/>
                <w:sz w:val="20"/>
                <w:szCs w:val="20"/>
              </w:rPr>
            </w:pPr>
          </w:p>
        </w:tc>
      </w:tr>
      <w:tr>
        <w:tblPrEx/>
        <w:trPr>
          <w:gridAfter w:val="1"/>
          <w:wAfter w:w="11" w:type="dxa"/>
          <w:trHeight w:val="449" w:hRule="atLeast"/>
        </w:trPr>
        <w:tc>
          <w:tcPr>
            <w:tcW w:w="3734" w:type="dxa"/>
            <w:tcBorders/>
            <w:shd w:val="clear" w:color="000000" w:fill="ffffff"/>
            <w:noWrap/>
            <w:vAlign w:val="center"/>
          </w:tcPr>
          <w:p>
            <w:pPr>
              <w:pStyle w:val="style0"/>
              <w:spacing w:after="0"/>
              <w:jc w:val="center"/>
              <w:rPr>
                <w:rFonts w:cs="Arial"/>
                <w:b/>
                <w:bCs/>
                <w:sz w:val="20"/>
                <w:szCs w:val="20"/>
              </w:rPr>
            </w:pPr>
            <w:r>
              <w:rPr>
                <w:rFonts w:cs="Arial"/>
                <w:b/>
                <w:bCs/>
                <w:sz w:val="20"/>
                <w:szCs w:val="20"/>
              </w:rPr>
              <w:t xml:space="preserve">Data Analysis and </w:t>
            </w:r>
            <w:r>
              <w:rPr>
                <w:rFonts w:cs="Arial"/>
                <w:b/>
                <w:bCs/>
                <w:sz w:val="20"/>
                <w:szCs w:val="20"/>
              </w:rPr>
              <w:t>Discussion</w:t>
            </w:r>
          </w:p>
        </w:tc>
        <w:tc>
          <w:tcPr>
            <w:tcW w:w="526" w:type="dxa"/>
            <w:tcBorders/>
            <w:shd w:val="clear" w:color="000000" w:fill="ffffff"/>
            <w:vAlign w:val="center"/>
          </w:tcPr>
          <w:p>
            <w:pPr>
              <w:pStyle w:val="style0"/>
              <w:spacing w:after="0"/>
              <w:rPr>
                <w:rFonts w:cs="Arial" w:eastAsia="Times New Roman"/>
                <w:color w:val="000000"/>
                <w:sz w:val="20"/>
                <w:szCs w:val="20"/>
              </w:rPr>
            </w:pPr>
          </w:p>
        </w:tc>
        <w:tc>
          <w:tcPr>
            <w:tcW w:w="440" w:type="dxa"/>
            <w:gridSpan w:val="2"/>
            <w:tcBorders/>
            <w:shd w:val="clear" w:color="auto" w:fill="ffffff"/>
            <w:vAlign w:val="center"/>
          </w:tcPr>
          <w:p>
            <w:pPr>
              <w:pStyle w:val="style0"/>
              <w:spacing w:after="0"/>
              <w:rPr>
                <w:rFonts w:cs="Arial" w:eastAsia="Times New Roman"/>
                <w:color w:val="000000"/>
                <w:sz w:val="20"/>
                <w:szCs w:val="20"/>
              </w:rPr>
            </w:pPr>
          </w:p>
        </w:tc>
        <w:tc>
          <w:tcPr>
            <w:tcW w:w="417" w:type="dxa"/>
            <w:gridSpan w:val="2"/>
            <w:tcBorders/>
            <w:shd w:val="clear" w:color="auto" w:fill="ffffff"/>
            <w:vAlign w:val="center"/>
          </w:tcPr>
          <w:p>
            <w:pPr>
              <w:pStyle w:val="style0"/>
              <w:spacing w:after="0"/>
              <w:rPr>
                <w:rFonts w:cs="Arial" w:eastAsia="Times New Roman"/>
                <w:color w:val="000000"/>
                <w:sz w:val="20"/>
                <w:szCs w:val="20"/>
              </w:rPr>
            </w:pPr>
          </w:p>
        </w:tc>
        <w:tc>
          <w:tcPr>
            <w:tcW w:w="417" w:type="dxa"/>
            <w:tcBorders/>
            <w:vAlign w:val="center"/>
          </w:tcPr>
          <w:p>
            <w:pPr>
              <w:pStyle w:val="style0"/>
              <w:spacing w:after="0"/>
              <w:rPr>
                <w:rFonts w:cs="Arial" w:eastAsia="Times New Roman"/>
                <w:color w:val="000000"/>
                <w:sz w:val="20"/>
                <w:szCs w:val="20"/>
              </w:rPr>
            </w:pPr>
          </w:p>
        </w:tc>
        <w:tc>
          <w:tcPr>
            <w:tcW w:w="417" w:type="dxa"/>
            <w:tcBorders/>
            <w:shd w:val="clear" w:color="auto" w:fill="ffffff"/>
            <w:vAlign w:val="center"/>
          </w:tcPr>
          <w:p>
            <w:pPr>
              <w:pStyle w:val="style0"/>
              <w:spacing w:after="0"/>
              <w:rPr>
                <w:rFonts w:cs="Arial" w:eastAsia="Times New Roman"/>
                <w:color w:val="000000"/>
                <w:sz w:val="20"/>
                <w:szCs w:val="20"/>
              </w:rPr>
            </w:pPr>
          </w:p>
        </w:tc>
        <w:tc>
          <w:tcPr>
            <w:tcW w:w="417" w:type="dxa"/>
            <w:tcBorders/>
            <w:shd w:val="clear" w:color="auto" w:fill="ffffff"/>
            <w:vAlign w:val="center"/>
          </w:tcPr>
          <w:p>
            <w:pPr>
              <w:pStyle w:val="style0"/>
              <w:spacing w:after="0"/>
              <w:rPr>
                <w:rFonts w:cs="Arial" w:eastAsia="Times New Roman"/>
                <w:color w:val="000000"/>
                <w:sz w:val="20"/>
                <w:szCs w:val="20"/>
              </w:rPr>
            </w:pPr>
          </w:p>
        </w:tc>
        <w:tc>
          <w:tcPr>
            <w:tcW w:w="417" w:type="dxa"/>
            <w:tcBorders/>
            <w:shd w:val="clear" w:color="auto" w:fill="ffffff"/>
            <w:vAlign w:val="center"/>
          </w:tcPr>
          <w:p>
            <w:pPr>
              <w:pStyle w:val="style0"/>
              <w:spacing w:after="0"/>
              <w:rPr>
                <w:rFonts w:cs="Arial" w:eastAsia="Times New Roman"/>
                <w:color w:val="000000"/>
                <w:sz w:val="20"/>
                <w:szCs w:val="20"/>
              </w:rPr>
            </w:pPr>
          </w:p>
        </w:tc>
        <w:tc>
          <w:tcPr>
            <w:tcW w:w="417" w:type="dxa"/>
            <w:tcBorders/>
            <w:shd w:val="clear" w:color="auto" w:fill="ffffff"/>
            <w:vAlign w:val="center"/>
          </w:tcPr>
          <w:p>
            <w:pPr>
              <w:pStyle w:val="style0"/>
              <w:spacing w:after="0"/>
              <w:rPr>
                <w:rFonts w:cs="Arial" w:eastAsia="Times New Roman"/>
                <w:color w:val="000000"/>
                <w:sz w:val="20"/>
                <w:szCs w:val="20"/>
              </w:rPr>
            </w:pPr>
          </w:p>
        </w:tc>
        <w:tc>
          <w:tcPr>
            <w:tcW w:w="425" w:type="dxa"/>
            <w:tcBorders/>
            <w:shd w:val="clear" w:color="auto" w:fill="ffffff"/>
            <w:vAlign w:val="center"/>
          </w:tcPr>
          <w:p>
            <w:pPr>
              <w:pStyle w:val="style0"/>
              <w:spacing w:after="0"/>
              <w:rPr>
                <w:rFonts w:cs="Arial" w:eastAsia="Times New Roman"/>
                <w:color w:val="000000"/>
                <w:sz w:val="20"/>
                <w:szCs w:val="20"/>
              </w:rPr>
            </w:pPr>
          </w:p>
        </w:tc>
        <w:tc>
          <w:tcPr>
            <w:tcW w:w="533" w:type="dxa"/>
            <w:tcBorders/>
            <w:shd w:val="clear" w:color="auto" w:fill="4472c4"/>
            <w:vAlign w:val="center"/>
          </w:tcPr>
          <w:p>
            <w:pPr>
              <w:pStyle w:val="style0"/>
              <w:spacing w:after="0"/>
              <w:rPr>
                <w:rFonts w:cs="Arial" w:eastAsia="Times New Roman"/>
                <w:color w:val="000000"/>
                <w:sz w:val="20"/>
                <w:szCs w:val="20"/>
              </w:rPr>
            </w:pPr>
          </w:p>
        </w:tc>
        <w:tc>
          <w:tcPr>
            <w:tcW w:w="533" w:type="dxa"/>
            <w:tcBorders/>
            <w:shd w:val="clear" w:color="auto" w:fill="4472c4"/>
          </w:tcPr>
          <w:p>
            <w:pPr>
              <w:pStyle w:val="style0"/>
              <w:spacing w:after="0"/>
              <w:rPr>
                <w:rFonts w:cs="Arial" w:eastAsia="Times New Roman"/>
                <w:color w:val="000000"/>
                <w:sz w:val="20"/>
                <w:szCs w:val="20"/>
              </w:rPr>
            </w:pPr>
          </w:p>
        </w:tc>
        <w:tc>
          <w:tcPr>
            <w:tcW w:w="541" w:type="dxa"/>
            <w:tcBorders/>
            <w:shd w:val="clear" w:color="auto" w:fill="4472c4"/>
          </w:tcPr>
          <w:p>
            <w:pPr>
              <w:pStyle w:val="style0"/>
              <w:spacing w:after="0"/>
              <w:rPr>
                <w:rFonts w:cs="Arial" w:eastAsia="Times New Roman"/>
                <w:color w:val="000000"/>
                <w:sz w:val="20"/>
                <w:szCs w:val="20"/>
              </w:rPr>
            </w:pPr>
          </w:p>
        </w:tc>
        <w:tc>
          <w:tcPr>
            <w:tcW w:w="541" w:type="dxa"/>
            <w:tcBorders/>
          </w:tcPr>
          <w:p>
            <w:pPr>
              <w:pStyle w:val="style0"/>
              <w:spacing w:after="0"/>
              <w:rPr>
                <w:rFonts w:cs="Arial" w:eastAsia="Times New Roman"/>
                <w:color w:val="000000"/>
                <w:sz w:val="20"/>
                <w:szCs w:val="20"/>
              </w:rPr>
            </w:pPr>
          </w:p>
        </w:tc>
        <w:tc>
          <w:tcPr>
            <w:tcW w:w="541" w:type="dxa"/>
            <w:tcBorders/>
          </w:tcPr>
          <w:p>
            <w:pPr>
              <w:pStyle w:val="style0"/>
              <w:spacing w:after="0"/>
              <w:rPr>
                <w:rFonts w:cs="Arial" w:eastAsia="Times New Roman"/>
                <w:color w:val="000000"/>
                <w:sz w:val="20"/>
                <w:szCs w:val="20"/>
              </w:rPr>
            </w:pPr>
          </w:p>
        </w:tc>
      </w:tr>
      <w:tr>
        <w:tblPrEx/>
        <w:trPr>
          <w:gridAfter w:val="1"/>
          <w:wAfter w:w="11" w:type="dxa"/>
          <w:trHeight w:val="449" w:hRule="atLeast"/>
        </w:trPr>
        <w:tc>
          <w:tcPr>
            <w:tcW w:w="3734" w:type="dxa"/>
            <w:tcBorders/>
            <w:shd w:val="clear" w:color="000000" w:fill="ffffff"/>
            <w:noWrap/>
            <w:vAlign w:val="center"/>
            <w:hideMark/>
          </w:tcPr>
          <w:p>
            <w:pPr>
              <w:pStyle w:val="style0"/>
              <w:spacing w:after="0"/>
              <w:jc w:val="center"/>
              <w:rPr>
                <w:rFonts w:cs="Arial" w:eastAsia="Times New Roman"/>
                <w:b/>
                <w:bCs/>
                <w:color w:val="000000"/>
                <w:sz w:val="20"/>
                <w:szCs w:val="20"/>
              </w:rPr>
            </w:pPr>
            <w:r>
              <w:rPr>
                <w:rFonts w:cs="Arial"/>
                <w:b/>
                <w:bCs/>
                <w:sz w:val="20"/>
                <w:szCs w:val="20"/>
              </w:rPr>
              <w:t>Conclusion</w:t>
            </w:r>
          </w:p>
        </w:tc>
        <w:tc>
          <w:tcPr>
            <w:tcW w:w="526" w:type="dxa"/>
            <w:tcBorders/>
            <w:shd w:val="clear" w:color="000000" w:fill="ffffff"/>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440" w:type="dxa"/>
            <w:gridSpan w:val="2"/>
            <w:tcBorders/>
            <w:shd w:val="clear" w:color="000000" w:fill="ffffff"/>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417" w:type="dxa"/>
            <w:gridSpan w:val="2"/>
            <w:tcBorders/>
            <w:shd w:val="clear" w:color="000000" w:fill="ffffff"/>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417" w:type="dxa"/>
            <w:tcBorders/>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417" w:type="dxa"/>
            <w:tcBorders/>
            <w:shd w:val="clear" w:color="auto" w:fill="ffffff"/>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417" w:type="dxa"/>
            <w:tcBorders/>
            <w:shd w:val="clear" w:color="auto" w:fill="ffffff"/>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417" w:type="dxa"/>
            <w:tcBorders/>
            <w:shd w:val="clear" w:color="auto" w:fill="ffffff"/>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417" w:type="dxa"/>
            <w:tcBorders/>
            <w:shd w:val="clear" w:color="auto" w:fill="ffffff"/>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425" w:type="dxa"/>
            <w:tcBorders/>
            <w:shd w:val="clear" w:color="auto" w:fill="ffffff"/>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533" w:type="dxa"/>
            <w:tcBorders/>
            <w:shd w:val="clear" w:color="auto" w:fill="ffffff"/>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533" w:type="dxa"/>
            <w:tcBorders/>
            <w:shd w:val="clear" w:color="auto" w:fill="ffffff"/>
          </w:tcPr>
          <w:p>
            <w:pPr>
              <w:pStyle w:val="style0"/>
              <w:spacing w:after="0"/>
              <w:rPr>
                <w:rFonts w:cs="Arial" w:eastAsia="Times New Roman"/>
                <w:color w:val="000000"/>
                <w:sz w:val="20"/>
                <w:szCs w:val="20"/>
              </w:rPr>
            </w:pPr>
          </w:p>
        </w:tc>
        <w:tc>
          <w:tcPr>
            <w:tcW w:w="541" w:type="dxa"/>
            <w:tcBorders/>
            <w:shd w:val="clear" w:color="auto" w:fill="ffffff"/>
          </w:tcPr>
          <w:p>
            <w:pPr>
              <w:pStyle w:val="style0"/>
              <w:spacing w:after="0"/>
              <w:rPr>
                <w:rFonts w:cs="Arial" w:eastAsia="Times New Roman"/>
                <w:color w:val="000000"/>
                <w:sz w:val="20"/>
                <w:szCs w:val="20"/>
              </w:rPr>
            </w:pPr>
          </w:p>
        </w:tc>
        <w:tc>
          <w:tcPr>
            <w:tcW w:w="541" w:type="dxa"/>
            <w:tcBorders/>
            <w:shd w:val="clear" w:color="auto" w:fill="833c0b"/>
          </w:tcPr>
          <w:p>
            <w:pPr>
              <w:pStyle w:val="style0"/>
              <w:spacing w:after="0"/>
              <w:rPr>
                <w:rFonts w:cs="Arial" w:eastAsia="Times New Roman"/>
                <w:color w:val="000000"/>
                <w:sz w:val="20"/>
                <w:szCs w:val="20"/>
              </w:rPr>
            </w:pPr>
          </w:p>
        </w:tc>
        <w:tc>
          <w:tcPr>
            <w:tcW w:w="541" w:type="dxa"/>
            <w:tcBorders/>
          </w:tcPr>
          <w:p>
            <w:pPr>
              <w:pStyle w:val="style0"/>
              <w:spacing w:after="0"/>
              <w:rPr>
                <w:rFonts w:cs="Arial" w:eastAsia="Times New Roman"/>
                <w:color w:val="000000"/>
                <w:sz w:val="20"/>
                <w:szCs w:val="20"/>
              </w:rPr>
            </w:pPr>
          </w:p>
        </w:tc>
      </w:tr>
      <w:tr>
        <w:tblPrEx/>
        <w:trPr>
          <w:gridAfter w:val="1"/>
          <w:wAfter w:w="11" w:type="dxa"/>
          <w:trHeight w:val="449" w:hRule="atLeast"/>
        </w:trPr>
        <w:tc>
          <w:tcPr>
            <w:tcW w:w="3734" w:type="dxa"/>
            <w:tcBorders/>
            <w:shd w:val="clear" w:color="000000" w:fill="ffffff"/>
            <w:noWrap/>
            <w:vAlign w:val="center"/>
            <w:hideMark/>
          </w:tcPr>
          <w:p>
            <w:pPr>
              <w:pStyle w:val="style0"/>
              <w:spacing w:after="0"/>
              <w:jc w:val="center"/>
              <w:rPr>
                <w:rFonts w:cs="Arial" w:eastAsia="Times New Roman"/>
                <w:b/>
                <w:bCs/>
                <w:color w:val="000000"/>
                <w:sz w:val="20"/>
                <w:szCs w:val="20"/>
              </w:rPr>
            </w:pPr>
            <w:r>
              <w:rPr>
                <w:rFonts w:cs="Arial" w:eastAsia="Times New Roman"/>
                <w:b/>
                <w:bCs/>
                <w:color w:val="000000"/>
                <w:sz w:val="20"/>
                <w:szCs w:val="20"/>
              </w:rPr>
              <w:t xml:space="preserve">Revision and </w:t>
            </w:r>
            <w:r>
              <w:rPr>
                <w:rFonts w:cs="Arial"/>
                <w:b/>
                <w:bCs/>
                <w:sz w:val="20"/>
                <w:szCs w:val="20"/>
              </w:rPr>
              <w:t xml:space="preserve">Submission </w:t>
            </w:r>
          </w:p>
        </w:tc>
        <w:tc>
          <w:tcPr>
            <w:tcW w:w="526" w:type="dxa"/>
            <w:tcBorders/>
            <w:shd w:val="clear" w:color="000000" w:fill="ffffff"/>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440" w:type="dxa"/>
            <w:gridSpan w:val="2"/>
            <w:tcBorders/>
            <w:shd w:val="clear" w:color="000000" w:fill="ffffff"/>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417" w:type="dxa"/>
            <w:gridSpan w:val="2"/>
            <w:tcBorders/>
            <w:shd w:val="clear" w:color="000000" w:fill="ffffff"/>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417" w:type="dxa"/>
            <w:tcBorders/>
            <w:shd w:val="clear" w:color="000000" w:fill="ffffff"/>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417" w:type="dxa"/>
            <w:tcBorders/>
            <w:shd w:val="clear" w:color="auto" w:fill="ffffff"/>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417" w:type="dxa"/>
            <w:tcBorders/>
            <w:shd w:val="clear" w:color="auto" w:fill="ffffff"/>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417" w:type="dxa"/>
            <w:tcBorders/>
            <w:shd w:val="clear" w:color="auto" w:fill="ffffff"/>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417" w:type="dxa"/>
            <w:tcBorders/>
            <w:shd w:val="clear" w:color="auto" w:fill="ffffff"/>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425" w:type="dxa"/>
            <w:tcBorders/>
            <w:shd w:val="clear" w:color="auto" w:fill="ffffff"/>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533" w:type="dxa"/>
            <w:tcBorders/>
            <w:shd w:val="clear" w:color="auto" w:fill="ffffff"/>
            <w:vAlign w:val="center"/>
            <w:hideMark/>
          </w:tcPr>
          <w:p>
            <w:pPr>
              <w:pStyle w:val="style0"/>
              <w:spacing w:after="0"/>
              <w:rPr>
                <w:rFonts w:cs="Arial" w:eastAsia="Times New Roman"/>
                <w:color w:val="000000"/>
                <w:sz w:val="20"/>
                <w:szCs w:val="20"/>
              </w:rPr>
            </w:pPr>
            <w:r>
              <w:rPr>
                <w:rFonts w:cs="Arial" w:eastAsia="Times New Roman"/>
                <w:color w:val="000000"/>
                <w:sz w:val="20"/>
                <w:szCs w:val="20"/>
              </w:rPr>
              <w:t> </w:t>
            </w:r>
          </w:p>
        </w:tc>
        <w:tc>
          <w:tcPr>
            <w:tcW w:w="533" w:type="dxa"/>
            <w:tcBorders/>
            <w:shd w:val="clear" w:color="auto" w:fill="ffffff"/>
          </w:tcPr>
          <w:p>
            <w:pPr>
              <w:pStyle w:val="style0"/>
              <w:spacing w:after="0"/>
              <w:rPr>
                <w:rFonts w:cs="Arial" w:eastAsia="Times New Roman"/>
                <w:color w:val="000000"/>
                <w:sz w:val="20"/>
                <w:szCs w:val="20"/>
              </w:rPr>
            </w:pPr>
          </w:p>
        </w:tc>
        <w:tc>
          <w:tcPr>
            <w:tcW w:w="541" w:type="dxa"/>
            <w:tcBorders/>
            <w:shd w:val="clear" w:color="auto" w:fill="ffffff"/>
          </w:tcPr>
          <w:p>
            <w:pPr>
              <w:pStyle w:val="style0"/>
              <w:spacing w:after="0"/>
              <w:rPr>
                <w:rFonts w:cs="Arial" w:eastAsia="Times New Roman"/>
                <w:color w:val="000000"/>
                <w:sz w:val="20"/>
                <w:szCs w:val="20"/>
              </w:rPr>
            </w:pPr>
          </w:p>
        </w:tc>
        <w:tc>
          <w:tcPr>
            <w:tcW w:w="541" w:type="dxa"/>
            <w:tcBorders/>
          </w:tcPr>
          <w:p>
            <w:pPr>
              <w:pStyle w:val="style0"/>
              <w:spacing w:after="0"/>
              <w:rPr>
                <w:rFonts w:cs="Arial" w:eastAsia="Times New Roman"/>
                <w:color w:val="000000"/>
                <w:sz w:val="20"/>
                <w:szCs w:val="20"/>
              </w:rPr>
            </w:pPr>
          </w:p>
        </w:tc>
        <w:tc>
          <w:tcPr>
            <w:tcW w:w="541" w:type="dxa"/>
            <w:tcBorders/>
            <w:shd w:val="clear" w:color="auto" w:fill="70ad47"/>
          </w:tcPr>
          <w:p>
            <w:pPr>
              <w:pStyle w:val="style0"/>
              <w:spacing w:after="0"/>
              <w:rPr>
                <w:rFonts w:cs="Arial" w:eastAsia="Times New Roman"/>
                <w:color w:val="000000"/>
                <w:sz w:val="20"/>
                <w:szCs w:val="20"/>
              </w:rPr>
            </w:pPr>
          </w:p>
        </w:tc>
      </w:tr>
    </w:tbl>
    <w:p>
      <w:pPr>
        <w:pStyle w:val="style0"/>
        <w:rPr>
          <w:rFonts w:cs="Arial"/>
        </w:rPr>
      </w:pPr>
    </w:p>
    <w:bookmarkStart w:id="27" w:name="_Toc224766005"/>
    <w:p>
      <w:pPr>
        <w:pStyle w:val="style1"/>
        <w:rPr/>
      </w:pPr>
      <w:r>
        <w:t>7. Conclusion</w:t>
      </w:r>
      <w:bookmarkEnd w:id="27"/>
      <w:r>
        <w:t xml:space="preserve"> </w:t>
      </w:r>
    </w:p>
    <w:p>
      <w:pPr>
        <w:pStyle w:val="style0"/>
        <w:rPr>
          <w:rFonts w:cs="Arial"/>
        </w:rPr>
      </w:pPr>
      <w:r>
        <w:rPr>
          <w:rFonts w:cs="Arial"/>
        </w:rPr>
        <w:t>Finally, this research proposal will address factors contributing to consumer adoption of Buy Now, Pay Later (BNPL) services in the fintech sector by conducting a systematic literature review. This research pays attention to trust, psychological motivation and the obstacles that can influence adoption. The research aims at offering meaningful insights that can ultimately help fintech providers and policymakers to enhance consumer-oriented financial services by synthesising existing literature.</w:t>
      </w:r>
    </w:p>
    <w:p>
      <w:pPr>
        <w:pStyle w:val="style0"/>
        <w:rPr>
          <w:rFonts w:cs="Arial"/>
        </w:rPr>
      </w:pPr>
    </w:p>
    <w:p>
      <w:pPr>
        <w:pStyle w:val="style0"/>
        <w:spacing w:lineRule="auto" w:line="259"/>
        <w:jc w:val="left"/>
        <w:rPr>
          <w:rFonts w:cs="Vrinda" w:eastAsia="宋体"/>
          <w:b/>
          <w:sz w:val="32"/>
          <w:szCs w:val="40"/>
        </w:rPr>
      </w:pPr>
      <w:r>
        <w:br w:type="page"/>
      </w:r>
    </w:p>
    <w:bookmarkStart w:id="28" w:name="_Toc224766006"/>
    <w:p>
      <w:pPr>
        <w:pStyle w:val="style1"/>
        <w:rPr/>
      </w:pPr>
      <w:r>
        <w:t>References</w:t>
      </w:r>
      <w:bookmarkEnd w:id="28"/>
      <w:r>
        <w:t xml:space="preserve"> </w:t>
      </w:r>
    </w:p>
    <w:p>
      <w:pPr>
        <w:pStyle w:val="style0"/>
        <w:rPr>
          <w:rFonts w:cs="Arial"/>
        </w:rPr>
      </w:pPr>
      <w:r>
        <w:rPr>
          <w:rFonts w:cs="Arial"/>
        </w:rPr>
        <w:t xml:space="preserve">Abed, S.S. and Alkadi, R.S. (2024) ‘Sustainable development through fintech: understanding the adoption of buy now pay later (BNPL) applications by Generation Z in Saudi Arabia’, </w:t>
      </w:r>
      <w:r>
        <w:rPr>
          <w:rFonts w:cs="Arial"/>
          <w:i/>
          <w:iCs/>
        </w:rPr>
        <w:t>Sustainability</w:t>
      </w:r>
      <w:r>
        <w:rPr>
          <w:rFonts w:cs="Arial"/>
        </w:rPr>
        <w:t xml:space="preserve">, </w:t>
      </w:r>
      <w:r>
        <w:rPr>
          <w:rFonts w:cs="Arial"/>
          <w:i/>
          <w:iCs/>
        </w:rPr>
        <w:t>16</w:t>
      </w:r>
      <w:r>
        <w:rPr>
          <w:rFonts w:cs="Arial"/>
        </w:rPr>
        <w:t>(15), p.6368.</w:t>
      </w:r>
    </w:p>
    <w:p>
      <w:pPr>
        <w:pStyle w:val="style0"/>
        <w:rPr>
          <w:rFonts w:cs="Arial"/>
        </w:rPr>
      </w:pPr>
      <w:r>
        <w:rPr>
          <w:rFonts w:cs="Arial"/>
        </w:rPr>
        <w:t xml:space="preserve">Barber, S. (2026) </w:t>
      </w:r>
      <w:r>
        <w:rPr>
          <w:rFonts w:cs="Arial"/>
          <w:i/>
          <w:iCs/>
        </w:rPr>
        <w:t>Buy now, pay later (BNPL) statistics UK</w:t>
      </w:r>
      <w:r>
        <w:rPr>
          <w:rFonts w:cs="Arial"/>
        </w:rPr>
        <w:t>. [online] Finder UK. Available at: https://www.finder.com/uk/buy-now-pay-later/buy-now-pay-later-statistics [Accessed 1</w:t>
      </w:r>
      <w:r>
        <w:rPr>
          <w:rFonts w:cs="Arial"/>
        </w:rPr>
        <w:t>0</w:t>
      </w:r>
      <w:r>
        <w:rPr>
          <w:rFonts w:cs="Arial"/>
        </w:rPr>
        <w:t xml:space="preserve"> </w:t>
      </w:r>
      <w:r>
        <w:rPr>
          <w:rFonts w:cs="Arial"/>
        </w:rPr>
        <w:t>Mar</w:t>
      </w:r>
      <w:r>
        <w:rPr>
          <w:rFonts w:cs="Arial"/>
        </w:rPr>
        <w:t>. 2026].</w:t>
      </w:r>
    </w:p>
    <w:p>
      <w:pPr>
        <w:pStyle w:val="style0"/>
        <w:rPr>
          <w:rFonts w:cs="Arial"/>
        </w:rPr>
      </w:pPr>
      <w:r>
        <w:rPr>
          <w:rFonts w:cs="Arial"/>
        </w:rPr>
        <w:t xml:space="preserve">Bernard, D.M. (2025) ‘The dissertation research proposal process: A systematic approach’, </w:t>
      </w:r>
      <w:r>
        <w:rPr>
          <w:rFonts w:cs="Arial"/>
          <w:i/>
          <w:iCs/>
        </w:rPr>
        <w:t>Journal of Research Initiatives</w:t>
      </w:r>
      <w:r>
        <w:rPr>
          <w:rFonts w:cs="Arial"/>
        </w:rPr>
        <w:t xml:space="preserve">, </w:t>
      </w:r>
      <w:r>
        <w:rPr>
          <w:rFonts w:cs="Arial"/>
          <w:i/>
          <w:iCs/>
        </w:rPr>
        <w:t>8</w:t>
      </w:r>
      <w:r>
        <w:rPr>
          <w:rFonts w:cs="Arial"/>
        </w:rPr>
        <w:t>(5), p.6.</w:t>
      </w:r>
    </w:p>
    <w:p>
      <w:pPr>
        <w:pStyle w:val="style0"/>
        <w:rPr>
          <w:rFonts w:cs="Arial"/>
        </w:rPr>
      </w:pPr>
      <w:r>
        <w:rPr>
          <w:rFonts w:cs="Arial"/>
        </w:rPr>
        <w:t>Davidavičienė</w:t>
      </w:r>
      <w:r>
        <w:rPr>
          <w:rFonts w:cs="Arial"/>
        </w:rPr>
        <w:t xml:space="preserve">, V. (2018) ‘Research methodology: An introduction’, in </w:t>
      </w:r>
      <w:r>
        <w:rPr>
          <w:rFonts w:cs="Arial"/>
          <w:i/>
          <w:iCs/>
        </w:rPr>
        <w:t>Modernizing the academic teaching and research environment: Methodologies and cases in business research</w:t>
      </w:r>
      <w:r>
        <w:rPr>
          <w:rFonts w:cs="Arial"/>
        </w:rPr>
        <w:t>, pp.1–23. Cham: Springer International Publishing.</w:t>
      </w:r>
    </w:p>
    <w:p>
      <w:pPr>
        <w:pStyle w:val="style0"/>
        <w:rPr>
          <w:rFonts w:cs="Arial"/>
        </w:rPr>
      </w:pPr>
      <w:r>
        <w:rPr>
          <w:rFonts w:cs="Arial"/>
        </w:rPr>
        <w:t xml:space="preserve">Di Maggio, M., Williams, E. and Katz, J. (2022) ‘Buy now, pay later credit: user characteristics and effects on spending patterns’, </w:t>
      </w:r>
      <w:r>
        <w:rPr>
          <w:rFonts w:cs="Arial"/>
          <w:i/>
          <w:iCs/>
        </w:rPr>
        <w:t>NBER Working Paper</w:t>
      </w:r>
      <w:r>
        <w:rPr>
          <w:rFonts w:cs="Arial"/>
        </w:rPr>
        <w:t>, No. 30508.</w:t>
      </w:r>
    </w:p>
    <w:p>
      <w:pPr>
        <w:pStyle w:val="style0"/>
        <w:rPr>
          <w:rFonts w:cs="Arial"/>
        </w:rPr>
      </w:pPr>
      <w:r>
        <w:rPr>
          <w:rFonts w:cs="Arial"/>
        </w:rPr>
        <w:t xml:space="preserve">Dubey, U.K.B. and Kothari, D.P. (2022) </w:t>
      </w:r>
      <w:r>
        <w:rPr>
          <w:rFonts w:cs="Arial"/>
          <w:i/>
          <w:iCs/>
        </w:rPr>
        <w:t>Research methodology: Techniques and trends</w:t>
      </w:r>
      <w:r>
        <w:rPr>
          <w:rFonts w:cs="Arial"/>
        </w:rPr>
        <w:t>. Chapman and Hall/CRC.</w:t>
      </w:r>
    </w:p>
    <w:p>
      <w:pPr>
        <w:pStyle w:val="style0"/>
        <w:rPr>
          <w:rFonts w:cs="Arial"/>
        </w:rPr>
      </w:pPr>
      <w:r>
        <w:rPr>
          <w:rFonts w:cs="Arial"/>
        </w:rPr>
        <w:t xml:space="preserve">Globe Newswire (2025). </w:t>
      </w:r>
      <w:r>
        <w:rPr>
          <w:rFonts w:cs="Arial"/>
          <w:i/>
          <w:iCs/>
        </w:rPr>
        <w:t xml:space="preserve">Buy Now Pay Later Global Business Report 2025: BNPL Payments to Grow by 13.7% to Surpass $560 Billion this Year, Driven by Klarna, </w:t>
      </w:r>
      <w:r>
        <w:rPr>
          <w:rFonts w:cs="Arial"/>
          <w:i/>
          <w:iCs/>
        </w:rPr>
        <w:t>Afterpay</w:t>
      </w:r>
      <w:r>
        <w:rPr>
          <w:rFonts w:cs="Arial"/>
          <w:i/>
          <w:iCs/>
        </w:rPr>
        <w:t>, PayPal, and Affirm – Forecast to 2030</w:t>
      </w:r>
      <w:r>
        <w:rPr>
          <w:rFonts w:cs="Arial"/>
        </w:rPr>
        <w:t>. [online] Fintechfutures.com. Available at: https://www.fintechfutures.com/press-releases/buy-now-pay-later-global-business-report-2025-bnpl-payments-to-grow-by-13-7-to-surpass-560-billion-this-year-driven-by-klarna-afterpay-paypal-and-affirm-forecast-to-2030 [Accessed 10 Mar. 2026].</w:t>
      </w:r>
    </w:p>
    <w:p>
      <w:pPr>
        <w:pStyle w:val="style0"/>
        <w:rPr>
          <w:rFonts w:cs="Arial"/>
        </w:rPr>
      </w:pPr>
      <w:r>
        <w:rPr>
          <w:rFonts w:cs="Arial"/>
        </w:rPr>
        <w:t xml:space="preserve">Goundar, S. (2012) ‘Research methodology and research method’, </w:t>
      </w:r>
      <w:r>
        <w:rPr>
          <w:rFonts w:cs="Arial"/>
          <w:i/>
          <w:iCs/>
        </w:rPr>
        <w:t>Victoria University of Wellington</w:t>
      </w:r>
      <w:r>
        <w:rPr>
          <w:rFonts w:cs="Arial"/>
        </w:rPr>
        <w:t xml:space="preserve">, </w:t>
      </w:r>
      <w:r>
        <w:rPr>
          <w:rFonts w:cs="Arial"/>
          <w:i/>
          <w:iCs/>
        </w:rPr>
        <w:t>1</w:t>
      </w:r>
      <w:r>
        <w:rPr>
          <w:rFonts w:cs="Arial"/>
        </w:rPr>
        <w:t>(1), pp.1–47.</w:t>
      </w:r>
    </w:p>
    <w:p>
      <w:pPr>
        <w:pStyle w:val="style0"/>
        <w:rPr>
          <w:rFonts w:cs="Arial"/>
        </w:rPr>
      </w:pPr>
      <w:r>
        <w:rPr>
          <w:rFonts w:cs="Arial"/>
        </w:rPr>
        <w:t xml:space="preserve">Gujar, S. and Vishwakarma, D. (2025) </w:t>
      </w:r>
      <w:r>
        <w:rPr>
          <w:rFonts w:cs="Arial"/>
          <w:i/>
          <w:iCs/>
        </w:rPr>
        <w:t>Buy Now Pay Later (BNPL) Market Size - By Enterprise Size (Small and Medium Enterprises (SMEs), Large Enterprises), Channel (Point of Sale (POS), Offline), End Use (Retail, Healthcare, Leisure &amp; Entertainment, Automotive), Customer &amp; Forecast, 2024 - 2032</w:t>
      </w:r>
      <w:r>
        <w:rPr>
          <w:rFonts w:cs="Arial"/>
        </w:rPr>
        <w:t xml:space="preserve">. [online] Global Market Insights Inc. </w:t>
      </w:r>
      <w:r>
        <w:rPr>
          <w:rFonts w:cs="Arial"/>
        </w:rPr>
        <w:t>Available at: https://www.gminsights.com/industry-analysis/buy-now-pay-later-market [Accessed 1</w:t>
      </w:r>
      <w:r>
        <w:rPr>
          <w:rFonts w:cs="Arial"/>
        </w:rPr>
        <w:t>0</w:t>
      </w:r>
      <w:r>
        <w:rPr>
          <w:rFonts w:cs="Arial"/>
        </w:rPr>
        <w:t xml:space="preserve"> </w:t>
      </w:r>
      <w:r>
        <w:rPr>
          <w:rFonts w:cs="Arial"/>
        </w:rPr>
        <w:t>Mar</w:t>
      </w:r>
      <w:r>
        <w:rPr>
          <w:rFonts w:cs="Arial"/>
        </w:rPr>
        <w:t>. 2026].</w:t>
      </w:r>
    </w:p>
    <w:p>
      <w:pPr>
        <w:pStyle w:val="style0"/>
        <w:rPr>
          <w:rFonts w:cs="Arial"/>
        </w:rPr>
      </w:pPr>
      <w:r>
        <w:rPr>
          <w:rFonts w:cs="Arial"/>
        </w:rPr>
        <w:t xml:space="preserve">Guttman-Kenney, B., Firth, C. and </w:t>
      </w:r>
      <w:r>
        <w:rPr>
          <w:rFonts w:cs="Arial"/>
        </w:rPr>
        <w:t>Gathergood</w:t>
      </w:r>
      <w:r>
        <w:rPr>
          <w:rFonts w:cs="Arial"/>
        </w:rPr>
        <w:t xml:space="preserve">, J. (2023) ‘Buy now, pay later (BNPL)… on your credit card’, </w:t>
      </w:r>
      <w:r>
        <w:rPr>
          <w:rFonts w:cs="Arial"/>
          <w:i/>
          <w:iCs/>
        </w:rPr>
        <w:t xml:space="preserve">Journal of </w:t>
      </w:r>
      <w:r>
        <w:rPr>
          <w:rFonts w:cs="Arial"/>
          <w:i/>
          <w:iCs/>
        </w:rPr>
        <w:t>Behavioral</w:t>
      </w:r>
      <w:r>
        <w:rPr>
          <w:rFonts w:cs="Arial"/>
          <w:i/>
          <w:iCs/>
        </w:rPr>
        <w:t xml:space="preserve"> and Experimental Finance</w:t>
      </w:r>
      <w:r>
        <w:rPr>
          <w:rFonts w:cs="Arial"/>
        </w:rPr>
        <w:t xml:space="preserve">, </w:t>
      </w:r>
      <w:r>
        <w:rPr>
          <w:rFonts w:cs="Arial"/>
          <w:i/>
          <w:iCs/>
        </w:rPr>
        <w:t>37</w:t>
      </w:r>
      <w:r>
        <w:rPr>
          <w:rFonts w:cs="Arial"/>
        </w:rPr>
        <w:t>, p.100788.</w:t>
      </w:r>
    </w:p>
    <w:p>
      <w:pPr>
        <w:pStyle w:val="style0"/>
        <w:rPr>
          <w:rFonts w:cs="Arial"/>
        </w:rPr>
      </w:pPr>
      <w:r>
        <w:rPr>
          <w:rFonts w:cs="Arial"/>
        </w:rPr>
        <w:t xml:space="preserve">Jones, R. (2026) </w:t>
      </w:r>
      <w:r>
        <w:rPr>
          <w:rFonts w:cs="Arial"/>
          <w:i/>
          <w:iCs/>
        </w:rPr>
        <w:t>FCA reveals new protections for Buy Now Pay Later borrowers</w:t>
      </w:r>
      <w:r>
        <w:rPr>
          <w:rFonts w:cs="Arial"/>
        </w:rPr>
        <w:t>. [online] Financial Reporter. Available at: https://www.financialreporter.co.uk/fca-reveals-new-protections-for-buy-now-pay-later-borrowers.html [Accessed 1</w:t>
      </w:r>
      <w:r>
        <w:rPr>
          <w:rFonts w:cs="Arial"/>
        </w:rPr>
        <w:t>0</w:t>
      </w:r>
      <w:r>
        <w:rPr>
          <w:rFonts w:cs="Arial"/>
        </w:rPr>
        <w:t xml:space="preserve"> </w:t>
      </w:r>
      <w:r>
        <w:rPr>
          <w:rFonts w:cs="Arial"/>
        </w:rPr>
        <w:t>Mar</w:t>
      </w:r>
      <w:r>
        <w:rPr>
          <w:rFonts w:cs="Arial"/>
        </w:rPr>
        <w:t>. 2026].</w:t>
      </w:r>
    </w:p>
    <w:p>
      <w:pPr>
        <w:pStyle w:val="style0"/>
        <w:rPr>
          <w:rFonts w:cs="Arial"/>
        </w:rPr>
      </w:pPr>
      <w:r>
        <w:rPr>
          <w:rFonts w:cs="Arial"/>
        </w:rPr>
        <w:t xml:space="preserve">Maesen, S. and Ang, D. (2025) ‘Buy now, pay later: impact of </w:t>
      </w:r>
      <w:r>
        <w:rPr>
          <w:rFonts w:cs="Arial"/>
        </w:rPr>
        <w:t>installment</w:t>
      </w:r>
      <w:r>
        <w:rPr>
          <w:rFonts w:cs="Arial"/>
        </w:rPr>
        <w:t xml:space="preserve"> payments on customer purchases’, </w:t>
      </w:r>
      <w:r>
        <w:rPr>
          <w:rFonts w:cs="Arial"/>
          <w:i/>
          <w:iCs/>
        </w:rPr>
        <w:t>Journal of Marketing</w:t>
      </w:r>
      <w:r>
        <w:rPr>
          <w:rFonts w:cs="Arial"/>
        </w:rPr>
        <w:t>.</w:t>
      </w:r>
    </w:p>
    <w:p>
      <w:pPr>
        <w:pStyle w:val="style0"/>
        <w:rPr>
          <w:rFonts w:cs="Arial"/>
        </w:rPr>
      </w:pPr>
      <w:r>
        <w:rPr>
          <w:rFonts w:cs="Arial"/>
        </w:rPr>
        <w:t xml:space="preserve">Mishra, S.B. and Alok, S. (2022) </w:t>
      </w:r>
      <w:r>
        <w:rPr>
          <w:rFonts w:cs="Arial"/>
          <w:i/>
          <w:iCs/>
        </w:rPr>
        <w:t>Handbook of research methodology</w:t>
      </w:r>
      <w:r>
        <w:rPr>
          <w:rFonts w:cs="Arial"/>
        </w:rPr>
        <w:t xml:space="preserve">. </w:t>
      </w:r>
      <w:r>
        <w:rPr>
          <w:rFonts w:cs="Arial"/>
        </w:rPr>
        <w:t>Educreation</w:t>
      </w:r>
      <w:r>
        <w:rPr>
          <w:rFonts w:cs="Arial"/>
        </w:rPr>
        <w:t xml:space="preserve"> Publishing.</w:t>
      </w:r>
    </w:p>
    <w:p>
      <w:pPr>
        <w:pStyle w:val="style0"/>
        <w:rPr>
          <w:rFonts w:cs="Arial"/>
        </w:rPr>
      </w:pPr>
      <w:r>
        <w:rPr>
          <w:rFonts w:cs="Arial"/>
        </w:rPr>
        <w:t xml:space="preserve">Patel, M. and Patel, N. (2019) ‘Exploring research methodology’, </w:t>
      </w:r>
      <w:r>
        <w:rPr>
          <w:rFonts w:cs="Arial"/>
          <w:i/>
          <w:iCs/>
        </w:rPr>
        <w:t>International Journal of Research and Review</w:t>
      </w:r>
      <w:r>
        <w:rPr>
          <w:rFonts w:cs="Arial"/>
        </w:rPr>
        <w:t xml:space="preserve">, </w:t>
      </w:r>
      <w:r>
        <w:rPr>
          <w:rFonts w:cs="Arial"/>
          <w:i/>
          <w:iCs/>
        </w:rPr>
        <w:t>6</w:t>
      </w:r>
      <w:r>
        <w:rPr>
          <w:rFonts w:cs="Arial"/>
        </w:rPr>
        <w:t>(3), pp.48–55.</w:t>
      </w:r>
    </w:p>
    <w:p>
      <w:pPr>
        <w:pStyle w:val="style0"/>
        <w:rPr>
          <w:rFonts w:cs="Arial"/>
        </w:rPr>
      </w:pPr>
      <w:r>
        <w:rPr>
          <w:rFonts w:cs="Arial"/>
        </w:rPr>
        <w:t xml:space="preserve">Raj, V.A., </w:t>
      </w:r>
      <w:r>
        <w:rPr>
          <w:rFonts w:cs="Arial"/>
        </w:rPr>
        <w:t>Jasrotia</w:t>
      </w:r>
      <w:r>
        <w:rPr>
          <w:rFonts w:cs="Arial"/>
        </w:rPr>
        <w:t xml:space="preserve">, S.S. and Rai, S.S. (2024) ‘Intensifying materialism through Buy-Now-Pay-Later (BNPL): examining the dark sides’, </w:t>
      </w:r>
      <w:r>
        <w:rPr>
          <w:rFonts w:cs="Arial"/>
          <w:i/>
          <w:iCs/>
        </w:rPr>
        <w:t>International Journal of Bank Marketing</w:t>
      </w:r>
      <w:r>
        <w:rPr>
          <w:rFonts w:cs="Arial"/>
        </w:rPr>
        <w:t>.</w:t>
      </w:r>
    </w:p>
    <w:p>
      <w:pPr>
        <w:pStyle w:val="style0"/>
        <w:rPr>
          <w:rFonts w:cs="Arial"/>
        </w:rPr>
      </w:pPr>
      <w:r>
        <w:rPr>
          <w:rFonts w:cs="Arial"/>
        </w:rPr>
        <w:t xml:space="preserve">Raj, V.A., </w:t>
      </w:r>
      <w:r>
        <w:rPr>
          <w:rFonts w:cs="Arial"/>
        </w:rPr>
        <w:t>Jasrotia</w:t>
      </w:r>
      <w:r>
        <w:rPr>
          <w:rFonts w:cs="Arial"/>
        </w:rPr>
        <w:t xml:space="preserve">, S.S. and Rai, S.S. (2024) ‘Role of privacy concerns and trust in consumers’ intention to use Buy-Now-Pay-Later (BNPL): an extended TPB model’, </w:t>
      </w:r>
      <w:r>
        <w:rPr>
          <w:rFonts w:cs="Arial"/>
          <w:i/>
          <w:iCs/>
        </w:rPr>
        <w:t>International Journal of Human–Computer Interaction</w:t>
      </w:r>
      <w:r>
        <w:rPr>
          <w:rFonts w:cs="Arial"/>
        </w:rPr>
        <w:t xml:space="preserve">, </w:t>
      </w:r>
      <w:r>
        <w:rPr>
          <w:rFonts w:cs="Arial"/>
          <w:i/>
          <w:iCs/>
        </w:rPr>
        <w:t>40</w:t>
      </w:r>
      <w:r>
        <w:rPr>
          <w:rFonts w:cs="Arial"/>
        </w:rPr>
        <w:t>(22), pp.7731–7742.</w:t>
      </w:r>
    </w:p>
    <w:p>
      <w:pPr>
        <w:pStyle w:val="style0"/>
        <w:rPr>
          <w:rFonts w:cs="Arial"/>
        </w:rPr>
      </w:pPr>
      <w:r>
        <w:rPr>
          <w:rFonts w:cs="Arial"/>
        </w:rPr>
        <w:t xml:space="preserve">Rajasekar, D. and Verma, R. (2013) </w:t>
      </w:r>
      <w:r>
        <w:rPr>
          <w:rFonts w:cs="Arial"/>
          <w:i/>
          <w:iCs/>
        </w:rPr>
        <w:t>Research methodology</w:t>
      </w:r>
      <w:r>
        <w:rPr>
          <w:rFonts w:cs="Arial"/>
        </w:rPr>
        <w:t>. Archers &amp; Elevators Publishing House.</w:t>
      </w:r>
    </w:p>
    <w:p>
      <w:pPr>
        <w:pStyle w:val="style0"/>
        <w:rPr>
          <w:rFonts w:cs="Arial"/>
        </w:rPr>
      </w:pPr>
      <w:r>
        <w:rPr>
          <w:rFonts w:cs="Arial"/>
        </w:rPr>
        <w:t xml:space="preserve">Shaheen, N., Shaheen, A., Ramadan, A., </w:t>
      </w:r>
      <w:r>
        <w:rPr>
          <w:rFonts w:cs="Arial"/>
        </w:rPr>
        <w:t>Hefnawy</w:t>
      </w:r>
      <w:r>
        <w:rPr>
          <w:rFonts w:cs="Arial"/>
        </w:rPr>
        <w:t xml:space="preserve">, M.T., Ramadan, A., Ibrahim, I.A., Hassanein, M.E., Ashour, M.E. and </w:t>
      </w:r>
      <w:r>
        <w:rPr>
          <w:rFonts w:cs="Arial"/>
        </w:rPr>
        <w:t>Flouty</w:t>
      </w:r>
      <w:r>
        <w:rPr>
          <w:rFonts w:cs="Arial"/>
        </w:rPr>
        <w:t xml:space="preserve">, O. (2023) ‘Appraising systematic reviews: a comprehensive guide to ensuring validity and reliability’, </w:t>
      </w:r>
      <w:r>
        <w:rPr>
          <w:rFonts w:cs="Arial"/>
          <w:i/>
          <w:iCs/>
        </w:rPr>
        <w:t>Frontiers in Research Metrics and Analytics</w:t>
      </w:r>
      <w:r>
        <w:rPr>
          <w:rFonts w:cs="Arial"/>
        </w:rPr>
        <w:t xml:space="preserve">, </w:t>
      </w:r>
      <w:r>
        <w:rPr>
          <w:rFonts w:cs="Arial"/>
          <w:i/>
          <w:iCs/>
        </w:rPr>
        <w:t>8</w:t>
      </w:r>
      <w:r>
        <w:rPr>
          <w:rFonts w:cs="Arial"/>
        </w:rPr>
        <w:t>, p.1268045.</w:t>
      </w:r>
    </w:p>
    <w:p>
      <w:pPr>
        <w:pStyle w:val="style0"/>
        <w:rPr>
          <w:rFonts w:cs="Arial"/>
        </w:rPr>
      </w:pPr>
      <w:r>
        <w:rPr>
          <w:rFonts w:cs="Arial"/>
        </w:rPr>
        <w:t>Singh, N., Sahni, S. and Sharma, S. (2025) ‘Impact of Buy Now, Pay Later (BNPL) services on consumer behaviour’.</w:t>
      </w:r>
    </w:p>
    <w:sectPr>
      <w:headerReference w:type="even" r:id="rId3"/>
      <w:headerReference w:type="default" r:id="rId4"/>
      <w:footerReference w:type="even" r:id="rId5"/>
      <w:footerReference w:type="default" r:id="rId6"/>
      <w:headerReference w:type="first" r:id="rId7"/>
      <w:pgSz w:w="12240" w:h="15840"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7020507"/>
    <w:charset w:val="02"/>
    <w:family w:val="roman"/>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Calibri">
    <w:altName w:val="Calibri"/>
    <w:panose1 w:val="020f0502020002030204"/>
    <w:charset w:val="00"/>
    <w:family w:val="swiss"/>
    <w:pitch w:val="variable"/>
    <w:sig w:usb0="E4002EFF" w:usb1="C2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Arial">
    <w:altName w:val="Arial"/>
    <w:panose1 w:val="020b0604020002020204"/>
    <w:charset w:val="00"/>
    <w:family w:val="swiss"/>
    <w:pitch w:val="variable"/>
    <w:sig w:usb0="E0002EFF" w:usb1="C000785B" w:usb2="00000009" w:usb3="00000000" w:csb0="000001FF" w:csb1="00000000"/>
  </w:font>
  <w:font w:name="Calibri Light">
    <w:altName w:val="Calibri Light"/>
    <w:panose1 w:val="020f0302020002030204"/>
    <w:charset w:val="00"/>
    <w:family w:val="swiss"/>
    <w:pitch w:val="variable"/>
    <w:sig w:usb0="E4002EFF" w:usb1="C200247B" w:usb2="00000009" w:usb3="00000000" w:csb0="000001FF" w:csb1="00000000"/>
  </w:font>
  <w:font w:name="MS Mincho">
    <w:altName w:val="ＭＳ 明朝"/>
    <w:panose1 w:val="02020609040002080304"/>
    <w:charset w:val="80"/>
    <w:family w:val="modern"/>
    <w:pitch w:val="fixed"/>
    <w:sig w:usb0="E00002FF" w:usb1="6AC7FDFB" w:usb2="08000012" w:usb3="00000000" w:csb0="0002009F" w:csb1="00000000"/>
  </w:font>
</w:fonts>
</file>

<file path=word/footer3.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rPr/>
    </w:pPr>
  </w:p>
</w:ftr>
</file>

<file path=word/footer4.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right"/>
      <w:rPr/>
    </w:pPr>
    <w:r>
      <w:rPr/>
      <w:fldChar w:fldCharType="begin"/>
    </w:r>
    <w:r>
      <w:instrText>PAGE   \* MERGEFORMAT</w:instrText>
    </w:r>
    <w:r>
      <w:rPr/>
      <w:fldChar w:fldCharType="separate"/>
    </w:r>
    <w:r>
      <w:t>2</w:t>
    </w:r>
    <w:r>
      <w:rPr/>
      <w:fldChar w:fldCharType="end"/>
    </w:r>
  </w:p>
  <w:p>
    <w:pPr>
      <w:pStyle w:val="style32"/>
      <w:rPr/>
    </w:pPr>
  </w:p>
</w:ftr>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1"/>
      <w:rPr/>
    </w:pPr>
  </w:p>
</w:hdr>
</file>

<file path=word/header2.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1"/>
      <w:rPr/>
    </w:pPr>
  </w:p>
</w:hdr>
</file>

<file path=word/header5.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1"/>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8AD0D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0000001"/>
    <w:multiLevelType w:val="hybridMultilevel"/>
    <w:tmpl w:val="BA42108A"/>
    <w:lvl w:ilvl="0" w:tplc="0148A52A">
      <w:start w:val="1"/>
      <w:numFmt w:val="bullet"/>
      <w:lvlText w:val=""/>
      <w:lvlJc w:val="left"/>
      <w:pPr>
        <w:ind w:left="720" w:hanging="360"/>
      </w:pPr>
      <w:rPr>
        <w:rFonts w:ascii="Symbol" w:cs="Vrinda" w:eastAsia="Calibri"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0000002"/>
    <w:multiLevelType w:val="multilevel"/>
    <w:tmpl w:val="49361146"/>
    <w:lvl w:ilvl="0">
      <w:start w:val="1"/>
      <w:numFmt w:val="decimal"/>
      <w:lvlText w:val="%1."/>
      <w:lvlJc w:val="left"/>
      <w:pPr>
        <w:ind w:left="720" w:hanging="360"/>
      </w:pPr>
    </w:lvl>
    <w:lvl w:ilvl="1">
      <w:start w:val="4"/>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nsid w:val="00000003"/>
    <w:multiLevelType w:val="hybridMultilevel"/>
    <w:tmpl w:val="AEEC4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0000004"/>
    <w:multiLevelType w:val="multilevel"/>
    <w:tmpl w:val="56821072"/>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5">
    <w:nsid w:val="00000005"/>
    <w:multiLevelType w:val="hybridMultilevel"/>
    <w:tmpl w:val="CB6A5A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00000006"/>
    <w:multiLevelType w:val="multilevel"/>
    <w:tmpl w:val="02DAB304"/>
    <w:lvl w:ilvl="0">
      <w:start w:val="1"/>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7">
    <w:nsid w:val="00000007"/>
    <w:multiLevelType w:val="hybridMultilevel"/>
    <w:tmpl w:val="E070D9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00000008"/>
    <w:multiLevelType w:val="hybridMultilevel"/>
    <w:tmpl w:val="5A4686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00000009"/>
    <w:multiLevelType w:val="hybridMultilevel"/>
    <w:tmpl w:val="69A68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0000000A"/>
    <w:multiLevelType w:val="hybridMultilevel"/>
    <w:tmpl w:val="DF1E0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0000000B"/>
    <w:multiLevelType w:val="hybridMultilevel"/>
    <w:tmpl w:val="834CA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0000000C"/>
    <w:multiLevelType w:val="hybridMultilevel"/>
    <w:tmpl w:val="A89CDC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0000000D"/>
    <w:multiLevelType w:val="multilevel"/>
    <w:tmpl w:val="5F00F6D6"/>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4">
    <w:nsid w:val="0000000E"/>
    <w:multiLevelType w:val="hybridMultilevel"/>
    <w:tmpl w:val="5B2CF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0000000F"/>
    <w:multiLevelType w:val="hybridMultilevel"/>
    <w:tmpl w:val="66961A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00000010"/>
    <w:multiLevelType w:val="hybridMultilevel"/>
    <w:tmpl w:val="2D128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00000011"/>
    <w:multiLevelType w:val="multilevel"/>
    <w:tmpl w:val="F23232A6"/>
    <w:lvl w:ilvl="0">
      <w:start w:val="1"/>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18">
    <w:nsid w:val="00000012"/>
    <w:multiLevelType w:val="hybridMultilevel"/>
    <w:tmpl w:val="C97653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00000013"/>
    <w:multiLevelType w:val="hybridMultilevel"/>
    <w:tmpl w:val="4912B9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00000014"/>
    <w:multiLevelType w:val="hybridMultilevel"/>
    <w:tmpl w:val="CCC2E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00000015"/>
    <w:multiLevelType w:val="hybridMultilevel"/>
    <w:tmpl w:val="0AD269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00000016"/>
    <w:multiLevelType w:val="hybridMultilevel"/>
    <w:tmpl w:val="28F6B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00000017"/>
    <w:multiLevelType w:val="hybridMultilevel"/>
    <w:tmpl w:val="BF7EE1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00000018"/>
    <w:multiLevelType w:val="hybridMultilevel"/>
    <w:tmpl w:val="68B8C6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00000019"/>
    <w:multiLevelType w:val="multilevel"/>
    <w:tmpl w:val="6C80C740"/>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26">
    <w:nsid w:val="0000001A"/>
    <w:multiLevelType w:val="multilevel"/>
    <w:tmpl w:val="EA3C969C"/>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27">
    <w:nsid w:val="0000001B"/>
    <w:multiLevelType w:val="multilevel"/>
    <w:tmpl w:val="6A9C5574"/>
    <w:lvl w:ilvl="0">
      <w:start w:val="1"/>
      <w:numFmt w:val="lowerLetter"/>
      <w:lvlText w:val="%1)"/>
      <w:lvlJc w:val="left"/>
      <w:pPr>
        <w:ind w:left="720" w:hanging="360"/>
      </w:pPr>
      <w:rPr>
        <w:b w:val="false"/>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8">
    <w:nsid w:val="0000001C"/>
    <w:multiLevelType w:val="hybridMultilevel"/>
    <w:tmpl w:val="8E2A50D0"/>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0000001D"/>
    <w:multiLevelType w:val="multilevel"/>
    <w:tmpl w:val="EBE07BA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0">
    <w:nsid w:val="0000001E"/>
    <w:multiLevelType w:val="hybridMultilevel"/>
    <w:tmpl w:val="395E55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0000001F"/>
    <w:multiLevelType w:val="multilevel"/>
    <w:tmpl w:val="469E871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2">
    <w:nsid w:val="00000020"/>
    <w:multiLevelType w:val="multilevel"/>
    <w:tmpl w:val="78FAAB8C"/>
    <w:lvl w:ilvl="0">
      <w:start w:val="1"/>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33">
    <w:nsid w:val="00000021"/>
    <w:multiLevelType w:val="multilevel"/>
    <w:tmpl w:val="517A2A24"/>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34">
    <w:nsid w:val="00000022"/>
    <w:multiLevelType w:val="hybridMultilevel"/>
    <w:tmpl w:val="EBEC67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00000023"/>
    <w:multiLevelType w:val="hybridMultilevel"/>
    <w:tmpl w:val="FEEAE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00000024"/>
    <w:multiLevelType w:val="multilevel"/>
    <w:tmpl w:val="B25C212E"/>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37">
    <w:nsid w:val="00000025"/>
    <w:multiLevelType w:val="multilevel"/>
    <w:tmpl w:val="B086893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8">
    <w:nsid w:val="00000026"/>
    <w:multiLevelType w:val="hybridMultilevel"/>
    <w:tmpl w:val="9B8A63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nsid w:val="00000027"/>
    <w:multiLevelType w:val="multilevel"/>
    <w:tmpl w:val="5150E232"/>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40">
    <w:nsid w:val="00000028"/>
    <w:multiLevelType w:val="multilevel"/>
    <w:tmpl w:val="6F962EC8"/>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41">
    <w:nsid w:val="00000029"/>
    <w:multiLevelType w:val="multilevel"/>
    <w:tmpl w:val="96F48928"/>
    <w:lvl w:ilvl="0">
      <w:start w:val="1"/>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42">
    <w:nsid w:val="0000002A"/>
    <w:multiLevelType w:val="hybridMultilevel"/>
    <w:tmpl w:val="DB9EBB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nsid w:val="0000002B"/>
    <w:multiLevelType w:val="multilevel"/>
    <w:tmpl w:val="CBC49B6E"/>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44">
    <w:nsid w:val="0000002C"/>
    <w:multiLevelType w:val="hybridMultilevel"/>
    <w:tmpl w:val="F1E6A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nsid w:val="0000002D"/>
    <w:multiLevelType w:val="hybridMultilevel"/>
    <w:tmpl w:val="03D8D214"/>
    <w:lvl w:ilvl="0" w:tplc="C1D0E864">
      <w:start w:val="1"/>
      <w:numFmt w:val="bullet"/>
      <w:lvlText w:val=""/>
      <w:lvlJc w:val="left"/>
      <w:pPr>
        <w:ind w:left="720" w:hanging="360"/>
      </w:pPr>
      <w:rPr>
        <w:rFonts w:ascii="Times New Roman" w:cs="Times New Roman" w:eastAsia="Calibri" w:hAnsi="Times New Roman"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nsid w:val="0000002E"/>
    <w:multiLevelType w:val="hybridMultilevel"/>
    <w:tmpl w:val="78060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nsid w:val="0000002F"/>
    <w:multiLevelType w:val="hybridMultilevel"/>
    <w:tmpl w:val="6B7E3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nsid w:val="00000030"/>
    <w:multiLevelType w:val="multilevel"/>
    <w:tmpl w:val="14C083A0"/>
    <w:lvl w:ilvl="0">
      <w:start w:val="1"/>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49">
    <w:nsid w:val="00000031"/>
    <w:multiLevelType w:val="hybridMultilevel"/>
    <w:tmpl w:val="A6047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nsid w:val="00000032"/>
    <w:multiLevelType w:val="hybridMultilevel"/>
    <w:tmpl w:val="27E85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nsid w:val="00000033"/>
    <w:multiLevelType w:val="hybridMultilevel"/>
    <w:tmpl w:val="14A2D1FC"/>
    <w:lvl w:ilvl="0" w:tplc="0148A52A">
      <w:start w:val="1"/>
      <w:numFmt w:val="bullet"/>
      <w:lvlText w:val=""/>
      <w:lvlJc w:val="left"/>
      <w:pPr>
        <w:ind w:left="1080" w:hanging="360"/>
      </w:pPr>
      <w:rPr>
        <w:rFonts w:ascii="Symbol" w:cs="Vrinda" w:eastAsia="Calibri" w:hAnsi="Symbol" w:hint="default"/>
      </w:rPr>
    </w:lvl>
    <w:lvl w:ilvl="1" w:tplc="08090003" w:tentative="1">
      <w:start w:val="1"/>
      <w:numFmt w:val="bullet"/>
      <w:lvlText w:val="o"/>
      <w:lvlJc w:val="left"/>
      <w:pPr>
        <w:ind w:left="1800" w:hanging="360"/>
      </w:pPr>
      <w:rPr>
        <w:rFonts w:ascii="Courier New" w:cs="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cs="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cs="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2">
    <w:nsid w:val="00000034"/>
    <w:multiLevelType w:val="hybridMultilevel"/>
    <w:tmpl w:val="1B7011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nsid w:val="00000035"/>
    <w:multiLevelType w:val="multilevel"/>
    <w:tmpl w:val="436CFB18"/>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54">
    <w:nsid w:val="00000036"/>
    <w:multiLevelType w:val="hybridMultilevel"/>
    <w:tmpl w:val="3A2E7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nsid w:val="00000037"/>
    <w:multiLevelType w:val="hybridMultilevel"/>
    <w:tmpl w:val="9B1E5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nsid w:val="00000038"/>
    <w:multiLevelType w:val="hybridMultilevel"/>
    <w:tmpl w:val="51FCC9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7">
    <w:nsid w:val="00000039"/>
    <w:multiLevelType w:val="multilevel"/>
    <w:tmpl w:val="EA7899C2"/>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58">
    <w:nsid w:val="0000003A"/>
    <w:multiLevelType w:val="hybridMultilevel"/>
    <w:tmpl w:val="C994C0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9">
    <w:nsid w:val="0000003B"/>
    <w:multiLevelType w:val="hybridMultilevel"/>
    <w:tmpl w:val="65668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nsid w:val="0000003C"/>
    <w:multiLevelType w:val="multilevel"/>
    <w:tmpl w:val="EF227308"/>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61">
    <w:nsid w:val="0000003D"/>
    <w:multiLevelType w:val="hybridMultilevel"/>
    <w:tmpl w:val="AECAE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nsid w:val="0000003E"/>
    <w:multiLevelType w:val="multilevel"/>
    <w:tmpl w:val="44DCF7AE"/>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63">
    <w:nsid w:val="0000003F"/>
    <w:multiLevelType w:val="hybridMultilevel"/>
    <w:tmpl w:val="BB6221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4">
    <w:nsid w:val="00000040"/>
    <w:multiLevelType w:val="hybridMultilevel"/>
    <w:tmpl w:val="CE6C7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nsid w:val="00000041"/>
    <w:multiLevelType w:val="multilevel"/>
    <w:tmpl w:val="023E565C"/>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66">
    <w:nsid w:val="00000042"/>
    <w:multiLevelType w:val="multilevel"/>
    <w:tmpl w:val="A3B02F5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7">
    <w:nsid w:val="00000043"/>
    <w:multiLevelType w:val="hybridMultilevel"/>
    <w:tmpl w:val="812CF6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8">
    <w:nsid w:val="00000044"/>
    <w:multiLevelType w:val="hybridMultilevel"/>
    <w:tmpl w:val="12408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nsid w:val="00000045"/>
    <w:multiLevelType w:val="hybridMultilevel"/>
    <w:tmpl w:val="0144E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0">
    <w:nsid w:val="00000046"/>
    <w:multiLevelType w:val="multilevel"/>
    <w:tmpl w:val="7E7AA218"/>
    <w:lvl w:ilvl="0">
      <w:start w:val="1"/>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71">
    <w:nsid w:val="00000047"/>
    <w:multiLevelType w:val="hybridMultilevel"/>
    <w:tmpl w:val="1B2A92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4"/>
  </w:num>
  <w:num w:numId="2">
    <w:abstractNumId w:val="70"/>
  </w:num>
  <w:num w:numId="3">
    <w:abstractNumId w:val="48"/>
  </w:num>
  <w:num w:numId="4">
    <w:abstractNumId w:val="63"/>
  </w:num>
  <w:num w:numId="5">
    <w:abstractNumId w:val="30"/>
  </w:num>
  <w:num w:numId="6">
    <w:abstractNumId w:val="17"/>
  </w:num>
  <w:num w:numId="7">
    <w:abstractNumId w:val="32"/>
  </w:num>
  <w:num w:numId="8">
    <w:abstractNumId w:val="11"/>
  </w:num>
  <w:num w:numId="9">
    <w:abstractNumId w:val="49"/>
  </w:num>
  <w:num w:numId="10">
    <w:abstractNumId w:val="64"/>
  </w:num>
  <w:num w:numId="11">
    <w:abstractNumId w:val="12"/>
  </w:num>
  <w:num w:numId="12">
    <w:abstractNumId w:val="0"/>
  </w:num>
  <w:num w:numId="13">
    <w:abstractNumId w:val="22"/>
  </w:num>
  <w:num w:numId="14">
    <w:abstractNumId w:val="27"/>
  </w:num>
  <w:num w:numId="15">
    <w:abstractNumId w:val="26"/>
  </w:num>
  <w:num w:numId="16">
    <w:abstractNumId w:val="33"/>
  </w:num>
  <w:num w:numId="17">
    <w:abstractNumId w:val="41"/>
  </w:num>
  <w:num w:numId="18">
    <w:abstractNumId w:val="60"/>
  </w:num>
  <w:num w:numId="19">
    <w:abstractNumId w:val="62"/>
  </w:num>
  <w:num w:numId="20">
    <w:abstractNumId w:val="28"/>
  </w:num>
  <w:num w:numId="21">
    <w:abstractNumId w:val="23"/>
  </w:num>
  <w:num w:numId="22">
    <w:abstractNumId w:val="6"/>
  </w:num>
  <w:num w:numId="23">
    <w:abstractNumId w:val="3"/>
  </w:num>
  <w:num w:numId="24">
    <w:abstractNumId w:val="69"/>
  </w:num>
  <w:num w:numId="25">
    <w:abstractNumId w:val="54"/>
  </w:num>
  <w:num w:numId="26">
    <w:abstractNumId w:val="55"/>
  </w:num>
  <w:num w:numId="27">
    <w:abstractNumId w:val="8"/>
  </w:num>
  <w:num w:numId="28">
    <w:abstractNumId w:val="46"/>
  </w:num>
  <w:num w:numId="29">
    <w:abstractNumId w:val="37"/>
  </w:num>
  <w:num w:numId="30">
    <w:abstractNumId w:val="61"/>
  </w:num>
  <w:num w:numId="31">
    <w:abstractNumId w:val="45"/>
  </w:num>
  <w:num w:numId="32">
    <w:abstractNumId w:val="29"/>
  </w:num>
  <w:num w:numId="33">
    <w:abstractNumId w:val="59"/>
  </w:num>
  <w:num w:numId="34">
    <w:abstractNumId w:val="9"/>
  </w:num>
  <w:num w:numId="35">
    <w:abstractNumId w:val="58"/>
  </w:num>
  <w:num w:numId="36">
    <w:abstractNumId w:val="50"/>
  </w:num>
  <w:num w:numId="37">
    <w:abstractNumId w:val="21"/>
  </w:num>
  <w:num w:numId="38">
    <w:abstractNumId w:val="2"/>
  </w:num>
  <w:num w:numId="39">
    <w:abstractNumId w:val="18"/>
  </w:num>
  <w:num w:numId="40">
    <w:abstractNumId w:val="10"/>
  </w:num>
  <w:num w:numId="41">
    <w:abstractNumId w:val="15"/>
  </w:num>
  <w:num w:numId="42">
    <w:abstractNumId w:val="34"/>
  </w:num>
  <w:num w:numId="43">
    <w:abstractNumId w:val="5"/>
  </w:num>
  <w:num w:numId="44">
    <w:abstractNumId w:val="52"/>
  </w:num>
  <w:num w:numId="45">
    <w:abstractNumId w:val="38"/>
  </w:num>
  <w:num w:numId="46">
    <w:abstractNumId w:val="39"/>
  </w:num>
  <w:num w:numId="47">
    <w:abstractNumId w:val="43"/>
  </w:num>
  <w:num w:numId="48">
    <w:abstractNumId w:val="25"/>
  </w:num>
  <w:num w:numId="49">
    <w:abstractNumId w:val="40"/>
  </w:num>
  <w:num w:numId="50">
    <w:abstractNumId w:val="65"/>
  </w:num>
  <w:num w:numId="51">
    <w:abstractNumId w:val="36"/>
  </w:num>
  <w:num w:numId="52">
    <w:abstractNumId w:val="53"/>
  </w:num>
  <w:num w:numId="53">
    <w:abstractNumId w:val="57"/>
  </w:num>
  <w:num w:numId="54">
    <w:abstractNumId w:val="13"/>
  </w:num>
  <w:num w:numId="55">
    <w:abstractNumId w:val="4"/>
  </w:num>
  <w:num w:numId="56">
    <w:abstractNumId w:val="66"/>
  </w:num>
  <w:num w:numId="57">
    <w:abstractNumId w:val="31"/>
  </w:num>
  <w:num w:numId="58">
    <w:abstractNumId w:val="7"/>
  </w:num>
  <w:num w:numId="59">
    <w:abstractNumId w:val="47"/>
  </w:num>
  <w:num w:numId="60">
    <w:abstractNumId w:val="16"/>
  </w:num>
  <w:num w:numId="61">
    <w:abstractNumId w:val="1"/>
  </w:num>
  <w:num w:numId="62">
    <w:abstractNumId w:val="51"/>
  </w:num>
  <w:num w:numId="63">
    <w:abstractNumId w:val="42"/>
  </w:num>
  <w:num w:numId="64">
    <w:abstractNumId w:val="35"/>
  </w:num>
  <w:num w:numId="65">
    <w:abstractNumId w:val="24"/>
  </w:num>
  <w:num w:numId="66">
    <w:abstractNumId w:val="67"/>
  </w:num>
  <w:num w:numId="67">
    <w:abstractNumId w:val="56"/>
  </w:num>
  <w:num w:numId="68">
    <w:abstractNumId w:val="20"/>
  </w:num>
  <w:num w:numId="69">
    <w:abstractNumId w:val="14"/>
  </w:num>
  <w:num w:numId="70">
    <w:abstractNumId w:val="71"/>
  </w:num>
  <w:num w:numId="71">
    <w:abstractNumId w:val="68"/>
  </w:num>
  <w:num w:numId="72">
    <w:abstractNumId w:val="19"/>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removePersonalInformation/>
  <w:removeDateAndTime/>
  <w:hideSpellingErrors/>
  <w:hideGrammaticalErrors/>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Vrinda" w:eastAsia="Calibri" w:hAnsi="Calibri"/>
        <w:sz w:val="22"/>
        <w:szCs w:val="28"/>
        <w:lang w:val="en-GB" w:bidi="bn-IN" w:eastAsia="en-US"/>
      </w:rPr>
    </w:rPrDefault>
    <w:pPrDefault>
      <w:pPr>
        <w:spacing w:after="160" w:lineRule="auto" w:line="259"/>
      </w:pPr>
    </w:pPrDefault>
  </w:docDefaults>
  <w:style w:type="paragraph" w:default="1" w:styleId="style0">
    <w:name w:val="Normal"/>
    <w:next w:val="style0"/>
    <w:qFormat/>
    <w:pPr>
      <w:spacing w:lineRule="auto" w:line="360"/>
      <w:jc w:val="both"/>
    </w:pPr>
    <w:rPr>
      <w:rFonts w:ascii="Arial" w:hAnsi="Arial"/>
      <w:sz w:val="24"/>
    </w:rPr>
  </w:style>
  <w:style w:type="paragraph" w:styleId="style1">
    <w:name w:val="heading 1"/>
    <w:basedOn w:val="style0"/>
    <w:next w:val="style0"/>
    <w:link w:val="style4097"/>
    <w:qFormat/>
    <w:uiPriority w:val="9"/>
    <w:pPr>
      <w:keepNext/>
      <w:keepLines/>
      <w:spacing w:before="240" w:after="0"/>
      <w:outlineLvl w:val="0"/>
    </w:pPr>
    <w:rPr>
      <w:rFonts w:cs="Vrinda" w:eastAsia="宋体"/>
      <w:b/>
      <w:sz w:val="32"/>
      <w:szCs w:val="40"/>
    </w:rPr>
  </w:style>
  <w:style w:type="paragraph" w:styleId="style2">
    <w:name w:val="heading 2"/>
    <w:basedOn w:val="style0"/>
    <w:next w:val="style0"/>
    <w:link w:val="style4098"/>
    <w:qFormat/>
    <w:uiPriority w:val="9"/>
    <w:pPr>
      <w:keepNext/>
      <w:keepLines/>
      <w:spacing w:before="40" w:after="0"/>
      <w:outlineLvl w:val="1"/>
    </w:pPr>
    <w:rPr>
      <w:rFonts w:cs="Vrinda" w:eastAsia="宋体"/>
      <w:b/>
      <w:sz w:val="28"/>
      <w:szCs w:val="33"/>
    </w:rPr>
  </w:style>
  <w:style w:type="paragraph" w:styleId="style3">
    <w:name w:val="heading 3"/>
    <w:basedOn w:val="style0"/>
    <w:next w:val="style0"/>
    <w:link w:val="style4099"/>
    <w:qFormat/>
    <w:uiPriority w:val="9"/>
    <w:pPr>
      <w:keepNext/>
      <w:keepLines/>
      <w:spacing w:before="40" w:after="0"/>
      <w:outlineLvl w:val="2"/>
    </w:pPr>
    <w:rPr>
      <w:rFonts w:cs="Vrinda" w:eastAsia="宋体"/>
      <w:b/>
      <w:szCs w:val="30"/>
    </w:rPr>
  </w:style>
  <w:style w:type="paragraph" w:styleId="style4">
    <w:name w:val="heading 4"/>
    <w:basedOn w:val="style0"/>
    <w:next w:val="style0"/>
    <w:link w:val="style4109"/>
    <w:qFormat/>
    <w:uiPriority w:val="9"/>
    <w:pPr>
      <w:keepNext/>
      <w:keepLines/>
      <w:spacing w:before="40" w:after="0"/>
      <w:outlineLvl w:val="3"/>
    </w:pPr>
    <w:rPr>
      <w:rFonts w:ascii="Calibri Light" w:cs="Vrinda" w:eastAsia="宋体" w:hAnsi="Calibri Light"/>
      <w:i/>
      <w:iCs/>
      <w:color w:val="2f5496"/>
    </w:rPr>
  </w:style>
  <w:style w:type="paragraph" w:styleId="style5">
    <w:name w:val="heading 5"/>
    <w:basedOn w:val="style0"/>
    <w:next w:val="style0"/>
    <w:link w:val="style4113"/>
    <w:qFormat/>
    <w:uiPriority w:val="9"/>
    <w:pPr>
      <w:keepNext/>
      <w:keepLines/>
      <w:spacing w:before="40" w:after="0"/>
      <w:outlineLvl w:val="4"/>
    </w:pPr>
    <w:rPr>
      <w:rFonts w:ascii="Calibri Light" w:cs="Vrinda" w:eastAsia="宋体" w:hAnsi="Calibri Light"/>
      <w:color w:val="2f5496"/>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1cd73fa5-914c-446c-acc6-9b765eef27d0"/>
    <w:basedOn w:val="style65"/>
    <w:next w:val="style4097"/>
    <w:link w:val="style1"/>
    <w:uiPriority w:val="9"/>
    <w:rPr>
      <w:rFonts w:ascii="Times New Roman" w:cs="Vrinda" w:eastAsia="宋体" w:hAnsi="Times New Roman"/>
      <w:b/>
      <w:sz w:val="32"/>
      <w:szCs w:val="40"/>
    </w:rPr>
  </w:style>
  <w:style w:type="character" w:customStyle="1" w:styleId="style4098">
    <w:name w:val="Heading 2 Char_41808728-4438-40af-a6eb-d1a4cd8fdfa5"/>
    <w:basedOn w:val="style65"/>
    <w:next w:val="style4098"/>
    <w:link w:val="style2"/>
    <w:uiPriority w:val="9"/>
    <w:rPr>
      <w:rFonts w:ascii="Times New Roman" w:cs="Vrinda" w:eastAsia="宋体" w:hAnsi="Times New Roman"/>
      <w:b/>
      <w:sz w:val="28"/>
      <w:szCs w:val="33"/>
    </w:rPr>
  </w:style>
  <w:style w:type="character" w:customStyle="1" w:styleId="style4099">
    <w:name w:val="Heading 3 Char_7f1d2a15-bea6-4ca4-b87c-5592605dd8ea"/>
    <w:basedOn w:val="style65"/>
    <w:next w:val="style4099"/>
    <w:link w:val="style3"/>
    <w:uiPriority w:val="9"/>
    <w:rPr>
      <w:rFonts w:ascii="Times New Roman" w:cs="Vrinda" w:eastAsia="宋体" w:hAnsi="Times New Roman"/>
      <w:b/>
      <w:sz w:val="24"/>
      <w:szCs w:val="30"/>
    </w:rPr>
  </w:style>
  <w:style w:type="paragraph" w:styleId="style34">
    <w:name w:val="caption"/>
    <w:basedOn w:val="style0"/>
    <w:next w:val="style0"/>
    <w:qFormat/>
    <w:uiPriority w:val="35"/>
    <w:pPr>
      <w:spacing w:after="200"/>
      <w:jc w:val="center"/>
    </w:pPr>
    <w:rPr>
      <w:b/>
      <w:iCs/>
      <w:sz w:val="20"/>
      <w:szCs w:val="22"/>
    </w:rPr>
  </w:style>
  <w:style w:type="paragraph" w:styleId="style266">
    <w:name w:val="TOC Heading"/>
    <w:basedOn w:val="style1"/>
    <w:next w:val="style0"/>
    <w:qFormat/>
    <w:uiPriority w:val="39"/>
    <w:pPr>
      <w:outlineLvl w:val="9"/>
    </w:pPr>
    <w:rPr>
      <w:szCs w:val="32"/>
      <w:lang w:bidi="ar-SA"/>
    </w:rPr>
  </w:style>
  <w:style w:type="paragraph" w:styleId="style31">
    <w:name w:val="header"/>
    <w:basedOn w:val="style0"/>
    <w:next w:val="style31"/>
    <w:link w:val="style4100"/>
    <w:uiPriority w:val="99"/>
    <w:pPr>
      <w:tabs>
        <w:tab w:val="center" w:leader="none" w:pos="4680"/>
        <w:tab w:val="right" w:leader="none" w:pos="9360"/>
      </w:tabs>
      <w:spacing w:after="0" w:lineRule="auto" w:line="240"/>
    </w:pPr>
    <w:rPr/>
  </w:style>
  <w:style w:type="character" w:customStyle="1" w:styleId="style4100">
    <w:name w:val="Header Char_1308ec0a-f088-4061-b3c4-b8dbbfa12e16"/>
    <w:basedOn w:val="style65"/>
    <w:next w:val="style4100"/>
    <w:link w:val="style31"/>
    <w:uiPriority w:val="99"/>
    <w:rPr>
      <w:rFonts w:ascii="Times New Roman" w:hAnsi="Times New Roman"/>
      <w:sz w:val="24"/>
    </w:rPr>
  </w:style>
  <w:style w:type="paragraph" w:styleId="style32">
    <w:name w:val="footer"/>
    <w:basedOn w:val="style0"/>
    <w:next w:val="style32"/>
    <w:link w:val="style4101"/>
    <w:uiPriority w:val="99"/>
    <w:pPr>
      <w:tabs>
        <w:tab w:val="center" w:leader="none" w:pos="4680"/>
        <w:tab w:val="right" w:leader="none" w:pos="9360"/>
      </w:tabs>
      <w:spacing w:after="0" w:lineRule="auto" w:line="240"/>
    </w:pPr>
    <w:rPr/>
  </w:style>
  <w:style w:type="character" w:customStyle="1" w:styleId="style4101">
    <w:name w:val="Footer Char_80ca9b2c-27de-4fb2-8124-9c387fbab1b2"/>
    <w:basedOn w:val="style65"/>
    <w:next w:val="style4101"/>
    <w:link w:val="style32"/>
    <w:uiPriority w:val="99"/>
    <w:rPr>
      <w:rFonts w:ascii="Times New Roman" w:hAnsi="Times New Roman"/>
      <w:sz w:val="24"/>
    </w:rPr>
  </w:style>
  <w:style w:type="table" w:styleId="style154">
    <w:name w:val="Table Grid"/>
    <w:basedOn w:val="style105"/>
    <w:next w:val="style154"/>
    <w:uiPriority w:val="59"/>
    <w:pPr>
      <w:spacing w:after="0" w:lineRule="auto" w:line="240"/>
    </w:pPr>
    <w:rPr>
      <w:szCs w:val="22"/>
      <w:lang w:val="en-US"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 w:type="paragraph" w:styleId="style179">
    <w:name w:val="List Paragraph"/>
    <w:basedOn w:val="style0"/>
    <w:next w:val="style179"/>
    <w:uiPriority w:val="1"/>
    <w:pPr>
      <w:ind w:left="720"/>
      <w:contextualSpacing/>
    </w:pPr>
    <w:rPr/>
  </w:style>
  <w:style w:type="paragraph" w:styleId="style94">
    <w:name w:val="Normal (Web)"/>
    <w:basedOn w:val="style0"/>
    <w:next w:val="style94"/>
    <w:uiPriority w:val="99"/>
    <w:pPr>
      <w:spacing w:before="100" w:beforeAutospacing="true" w:after="100" w:afterAutospacing="true" w:lineRule="auto" w:line="240"/>
      <w:jc w:val="left"/>
    </w:pPr>
    <w:rPr>
      <w:rFonts w:cs="Times New Roman" w:eastAsia="Times New Roman"/>
      <w:szCs w:val="24"/>
      <w:lang w:val="en-US" w:bidi="ar-SA"/>
    </w:rPr>
  </w:style>
  <w:style w:type="character" w:customStyle="1" w:styleId="style4102">
    <w:name w:val="apple-tab-span"/>
    <w:basedOn w:val="style65"/>
    <w:next w:val="style4102"/>
  </w:style>
  <w:style w:type="paragraph" w:styleId="style19">
    <w:name w:val="toc 1"/>
    <w:basedOn w:val="style0"/>
    <w:next w:val="style0"/>
    <w:uiPriority w:val="39"/>
    <w:pPr>
      <w:spacing w:after="100"/>
    </w:pPr>
    <w:rPr/>
  </w:style>
  <w:style w:type="character" w:styleId="style85">
    <w:name w:val="Hyperlink"/>
    <w:basedOn w:val="style65"/>
    <w:next w:val="style85"/>
    <w:uiPriority w:val="99"/>
    <w:rPr>
      <w:color w:val="0563c1"/>
      <w:u w:val="single"/>
    </w:rPr>
  </w:style>
  <w:style w:type="paragraph" w:styleId="style157">
    <w:name w:val="No Spacing"/>
    <w:next w:val="style157"/>
    <w:uiPriority w:val="1"/>
    <w:pPr>
      <w:spacing w:after="0" w:lineRule="auto" w:line="240"/>
      <w:jc w:val="both"/>
    </w:pPr>
    <w:rPr>
      <w:rFonts w:ascii="Times New Roman" w:hAnsi="Times New Roman"/>
      <w:sz w:val="24"/>
    </w:rPr>
  </w:style>
  <w:style w:type="character" w:customStyle="1" w:styleId="style4103">
    <w:name w:val="Unresolved Mention"/>
    <w:basedOn w:val="style65"/>
    <w:next w:val="style4103"/>
    <w:uiPriority w:val="99"/>
    <w:rPr>
      <w:color w:val="605e5c"/>
      <w:shd w:val="clear" w:color="auto" w:fill="e1dfdd"/>
    </w:rPr>
  </w:style>
  <w:style w:type="paragraph" w:styleId="style20">
    <w:name w:val="toc 2"/>
    <w:basedOn w:val="style0"/>
    <w:next w:val="style0"/>
    <w:uiPriority w:val="39"/>
    <w:pPr>
      <w:spacing w:after="100"/>
      <w:ind w:left="240"/>
    </w:pPr>
    <w:rPr/>
  </w:style>
  <w:style w:type="table" w:customStyle="1" w:styleId="style4104">
    <w:name w:val="TableGrid"/>
    <w:next w:val="style4104"/>
    <w:pPr>
      <w:spacing w:after="0" w:lineRule="auto" w:line="240"/>
    </w:pPr>
    <w:rPr>
      <w:rFonts w:eastAsia="宋体"/>
      <w:kern w:val="2"/>
      <w:szCs w:val="22"/>
      <w:lang w:val="en-US" w:bidi="ar-SA"/>
      <w14:ligatures xmlns:w14="http://schemas.microsoft.com/office/word/2010/wordml" w14:val="standardContextual"/>
    </w:rPr>
    <w:tblPr>
      <w:tblCellMar>
        <w:top w:w="0" w:type="dxa"/>
        <w:left w:w="0" w:type="dxa"/>
        <w:bottom w:w="0" w:type="dxa"/>
        <w:right w:w="0" w:type="dxa"/>
      </w:tblCellMar>
    </w:tblPr>
    <w:tcPr>
      <w:tcBorders/>
    </w:tcPr>
  </w:style>
  <w:style w:type="character" w:styleId="style87">
    <w:name w:val="Strong"/>
    <w:basedOn w:val="style65"/>
    <w:next w:val="style87"/>
    <w:qFormat/>
    <w:uiPriority w:val="22"/>
    <w:rPr>
      <w:b/>
      <w:bCs/>
    </w:rPr>
  </w:style>
  <w:style w:type="paragraph" w:styleId="style178">
    <w:name w:val="Revision"/>
    <w:next w:val="style178"/>
    <w:uiPriority w:val="99"/>
    <w:pPr>
      <w:spacing w:after="0" w:lineRule="auto" w:line="240"/>
    </w:pPr>
    <w:rPr>
      <w:rFonts w:ascii="Times New Roman" w:hAnsi="Times New Roman"/>
      <w:sz w:val="24"/>
    </w:rPr>
  </w:style>
  <w:style w:type="paragraph" w:styleId="style21">
    <w:name w:val="toc 3"/>
    <w:basedOn w:val="style0"/>
    <w:next w:val="style0"/>
    <w:uiPriority w:val="39"/>
    <w:pPr>
      <w:spacing w:after="100"/>
      <w:ind w:left="480"/>
    </w:pPr>
    <w:rPr/>
  </w:style>
  <w:style w:type="table" w:customStyle="1" w:styleId="style4105">
    <w:name w:val="Plain Table 4"/>
    <w:basedOn w:val="style105"/>
    <w:next w:val="style4105"/>
    <w:uiPriority w:val="44"/>
    <w:pPr>
      <w:spacing w:after="0" w:lineRule="auto" w:line="240"/>
    </w:pPr>
    <w:rPr/>
    <w:tblPr>
      <w:tblStyleRowBandSize w:val="1"/>
      <w:tblStyleColBandSize w:val="1"/>
    </w:tblPr>
    <w:tblStylePr w:type="firstRow">
      <w:pPr/>
      <w:rPr>
        <w:b/>
        <w:bCs/>
      </w:rPr>
      <w:tcPr>
        <w:tcBorders/>
      </w:tcPr>
    </w:tblStylePr>
    <w:tblStylePr w:type="lastRow">
      <w:pPr/>
      <w:rPr>
        <w:b/>
        <w:bCs/>
      </w:rPr>
      <w:tcPr>
        <w:tcBorders/>
      </w:tcPr>
    </w:tblStylePr>
    <w:tblStylePr w:type="band1Horz">
      <w:pPr/>
      <w:tblPr/>
      <w:tcPr>
        <w:tcBorders/>
        <w:shd w:val="clear" w:color="auto" w:fill="f2f2f2"/>
      </w:tcPr>
    </w:tblStylePr>
    <w:tblStylePr w:type="firstCol">
      <w:pPr/>
      <w:rPr>
        <w:b/>
        <w:bCs/>
      </w:rPr>
      <w:tcPr>
        <w:tcBorders/>
      </w:tcPr>
    </w:tblStylePr>
    <w:tblStylePr w:type="lastCol">
      <w:pPr/>
      <w:rPr>
        <w:b/>
        <w:bCs/>
      </w:rPr>
      <w:tcPr>
        <w:tcBorders/>
      </w:tcPr>
    </w:tblStylePr>
    <w:tblStylePr w:type="band1Vert">
      <w:pPr/>
      <w:tblPr/>
      <w:tcPr>
        <w:tcBorders/>
        <w:shd w:val="clear" w:color="auto" w:fill="f2f2f2"/>
      </w:tcPr>
    </w:tblStylePr>
    <w:tcPr>
      <w:tcBorders/>
    </w:tcPr>
  </w:style>
  <w:style w:type="table" w:customStyle="1" w:styleId="style4106">
    <w:name w:val="Grid Table 4 Accent 5"/>
    <w:basedOn w:val="style105"/>
    <w:next w:val="style4106"/>
    <w:uiPriority w:val="49"/>
    <w:pPr>
      <w:spacing w:after="0" w:lineRule="auto" w:line="240"/>
    </w:pPr>
    <w:rPr/>
    <w:tblPr>
      <w:tblStyleRowBandSize w:val="1"/>
      <w:tblStyleColBandSize w:val="1"/>
      <w:tblBorders>
        <w:top w:val="single" w:sz="4" w:space="0" w:color="9cc2e5"/>
        <w:left w:val="single" w:sz="4" w:space="0" w:color="9cc2e5"/>
        <w:bottom w:val="single" w:sz="4" w:space="0" w:color="9cc2e5"/>
        <w:right w:val="single" w:sz="4" w:space="0" w:color="9cc2e5"/>
        <w:insideH w:val="single" w:sz="4" w:space="0" w:color="9cc2e5"/>
        <w:insideV w:val="single" w:sz="4" w:space="0" w:color="9cc2e5"/>
      </w:tblBorders>
    </w:tblPr>
    <w:tblStylePr w:type="firstRow">
      <w:pPr/>
      <w:rPr>
        <w:b/>
        <w:bCs/>
        <w:color w:val="ffffff"/>
      </w:rPr>
      <w:tblPr/>
      <w:tcPr>
        <w:tcBorders>
          <w:top w:val="single" w:sz="4" w:space="0" w:color="5b9bd5"/>
          <w:left w:val="single" w:sz="4" w:space="0" w:color="5b9bd5"/>
          <w:bottom w:val="single" w:sz="4" w:space="0" w:color="5b9bd5"/>
          <w:right w:val="single" w:sz="4" w:space="0" w:color="5b9bd5"/>
          <w:insideH w:val="nil"/>
          <w:insideV w:val="nil"/>
        </w:tcBorders>
        <w:shd w:val="clear" w:color="auto" w:fill="5b9bd5"/>
      </w:tcPr>
    </w:tblStylePr>
    <w:tblStylePr w:type="lastRow">
      <w:pPr/>
      <w:rPr>
        <w:b/>
        <w:bCs/>
      </w:rPr>
      <w:tblPr/>
      <w:tcPr>
        <w:tcBorders>
          <w:top w:val="double" w:sz="4" w:space="0" w:color="5b9bd5"/>
        </w:tcBorders>
      </w:tcPr>
    </w:tblStylePr>
    <w:tblStylePr w:type="band1Horz">
      <w:pPr/>
      <w:tblPr/>
      <w:tcPr>
        <w:tcBorders/>
        <w:shd w:val="clear" w:color="auto" w:fill="deeaf6"/>
      </w:tcPr>
    </w:tblStylePr>
    <w:tblStylePr w:type="firstCol">
      <w:pPr/>
      <w:rPr>
        <w:b/>
        <w:bCs/>
      </w:rPr>
      <w:tcPr>
        <w:tcBorders/>
      </w:tcPr>
    </w:tblStylePr>
    <w:tblStylePr w:type="lastCol">
      <w:pPr/>
      <w:rPr>
        <w:b/>
        <w:bCs/>
      </w:rPr>
      <w:tcPr>
        <w:tcBorders/>
      </w:tcPr>
    </w:tblStylePr>
    <w:tblStylePr w:type="band1Vert">
      <w:pPr/>
      <w:tblPr/>
      <w:tcPr>
        <w:tcBorders/>
        <w:shd w:val="clear" w:color="auto" w:fill="deeaf6"/>
      </w:tcPr>
    </w:tblStylePr>
    <w:tcPr>
      <w:tcBorders/>
    </w:tcPr>
  </w:style>
  <w:style w:type="paragraph" w:styleId="style66">
    <w:name w:val="Body Text"/>
    <w:basedOn w:val="style0"/>
    <w:next w:val="style66"/>
    <w:link w:val="style4107"/>
    <w:qFormat/>
    <w:uiPriority w:val="1"/>
    <w:pPr>
      <w:widowControl w:val="false"/>
      <w:autoSpaceDE w:val="false"/>
      <w:autoSpaceDN w:val="false"/>
      <w:spacing w:before="70" w:after="0" w:lineRule="auto" w:line="240"/>
      <w:jc w:val="left"/>
    </w:pPr>
    <w:rPr>
      <w:rFonts w:cs="Times New Roman" w:eastAsia="Times New Roman"/>
      <w:sz w:val="20"/>
      <w:szCs w:val="20"/>
      <w:lang w:val="en-US" w:bidi="ar-SA"/>
    </w:rPr>
  </w:style>
  <w:style w:type="character" w:customStyle="1" w:styleId="style4107">
    <w:name w:val="Body Text Char"/>
    <w:basedOn w:val="style65"/>
    <w:next w:val="style4107"/>
    <w:link w:val="style66"/>
    <w:uiPriority w:val="1"/>
    <w:rPr>
      <w:rFonts w:ascii="Times New Roman" w:cs="Times New Roman" w:eastAsia="Times New Roman" w:hAnsi="Times New Roman"/>
      <w:sz w:val="20"/>
      <w:szCs w:val="20"/>
      <w:lang w:val="en-US" w:bidi="ar-SA"/>
    </w:rPr>
  </w:style>
  <w:style w:type="paragraph" w:styleId="style62">
    <w:name w:val="Title"/>
    <w:basedOn w:val="style0"/>
    <w:next w:val="style62"/>
    <w:link w:val="style4108"/>
    <w:qFormat/>
    <w:pPr>
      <w:widowControl w:val="false"/>
      <w:autoSpaceDE w:val="false"/>
      <w:autoSpaceDN w:val="false"/>
      <w:spacing w:before="418" w:after="0" w:lineRule="auto" w:line="240"/>
      <w:ind w:left="240" w:right="26"/>
      <w:jc w:val="center"/>
    </w:pPr>
    <w:rPr>
      <w:rFonts w:cs="Times New Roman" w:eastAsia="Times New Roman"/>
      <w:b/>
      <w:bCs/>
      <w:i/>
      <w:iCs/>
      <w:sz w:val="52"/>
      <w:szCs w:val="52"/>
      <w:lang w:val="en-US" w:bidi="ar-SA"/>
    </w:rPr>
  </w:style>
  <w:style w:type="character" w:customStyle="1" w:styleId="style4108">
    <w:name w:val="Title Char_1fc71561-a24c-4f9b-b966-f4a425d39372"/>
    <w:basedOn w:val="style65"/>
    <w:next w:val="style4108"/>
    <w:link w:val="style62"/>
    <w:rPr>
      <w:rFonts w:ascii="Times New Roman" w:cs="Times New Roman" w:eastAsia="Times New Roman" w:hAnsi="Times New Roman"/>
      <w:b/>
      <w:bCs/>
      <w:i/>
      <w:iCs/>
      <w:sz w:val="52"/>
      <w:szCs w:val="52"/>
      <w:lang w:val="en-US" w:bidi="ar-SA"/>
    </w:rPr>
  </w:style>
  <w:style w:type="character" w:customStyle="1" w:styleId="style4109">
    <w:name w:val="Heading 4 Char_fcec1907-26da-4678-8700-329e58a40e6b"/>
    <w:basedOn w:val="style65"/>
    <w:next w:val="style4109"/>
    <w:link w:val="style4"/>
    <w:uiPriority w:val="9"/>
    <w:rPr>
      <w:rFonts w:ascii="Calibri Light" w:cs="Vrinda" w:eastAsia="宋体" w:hAnsi="Calibri Light"/>
      <w:i/>
      <w:iCs/>
      <w:color w:val="2f5496"/>
      <w:sz w:val="24"/>
    </w:rPr>
  </w:style>
  <w:style w:type="character" w:styleId="style39">
    <w:name w:val="annotation reference"/>
    <w:basedOn w:val="style65"/>
    <w:next w:val="style39"/>
    <w:uiPriority w:val="99"/>
    <w:rPr>
      <w:sz w:val="16"/>
      <w:szCs w:val="16"/>
    </w:rPr>
  </w:style>
  <w:style w:type="paragraph" w:styleId="style30">
    <w:name w:val="annotation text"/>
    <w:basedOn w:val="style0"/>
    <w:next w:val="style30"/>
    <w:link w:val="style4110"/>
    <w:uiPriority w:val="99"/>
    <w:pPr>
      <w:spacing w:lineRule="auto" w:line="240"/>
    </w:pPr>
    <w:rPr>
      <w:sz w:val="20"/>
      <w:szCs w:val="25"/>
    </w:rPr>
  </w:style>
  <w:style w:type="character" w:customStyle="1" w:styleId="style4110">
    <w:name w:val="Comment Text Char"/>
    <w:basedOn w:val="style65"/>
    <w:next w:val="style4110"/>
    <w:link w:val="style30"/>
    <w:uiPriority w:val="99"/>
    <w:rPr>
      <w:rFonts w:ascii="Times New Roman" w:hAnsi="Times New Roman"/>
      <w:sz w:val="20"/>
      <w:szCs w:val="25"/>
    </w:rPr>
  </w:style>
  <w:style w:type="paragraph" w:styleId="style106">
    <w:name w:val="annotation subject"/>
    <w:basedOn w:val="style30"/>
    <w:next w:val="style30"/>
    <w:link w:val="style4111"/>
    <w:uiPriority w:val="99"/>
    <w:pPr/>
    <w:rPr>
      <w:b/>
      <w:bCs/>
    </w:rPr>
  </w:style>
  <w:style w:type="character" w:customStyle="1" w:styleId="style4111">
    <w:name w:val="Comment Subject Char"/>
    <w:basedOn w:val="style4110"/>
    <w:next w:val="style4111"/>
    <w:link w:val="style106"/>
    <w:uiPriority w:val="99"/>
    <w:rPr>
      <w:rFonts w:ascii="Times New Roman" w:hAnsi="Times New Roman"/>
      <w:b/>
      <w:bCs/>
      <w:sz w:val="20"/>
      <w:szCs w:val="25"/>
    </w:rPr>
  </w:style>
  <w:style w:type="table" w:customStyle="1" w:styleId="style4112">
    <w:name w:val="Plain Table 5"/>
    <w:basedOn w:val="style105"/>
    <w:next w:val="style4112"/>
    <w:uiPriority w:val="45"/>
    <w:pPr>
      <w:spacing w:after="0" w:lineRule="auto" w:line="240"/>
    </w:pPr>
    <w:rPr/>
    <w:tblPr>
      <w:tblStyleRowBandSize w:val="1"/>
      <w:tblStyleColBandSize w:val="1"/>
    </w:tblPr>
    <w:tblStylePr w:type="firstRow">
      <w:pPr/>
      <w:rPr>
        <w:rFonts w:ascii="Calibri Light" w:cs="Vrinda" w:eastAsia="宋体" w:hAnsi="Calibri Light"/>
        <w:i/>
        <w:iCs/>
        <w:sz w:val="26"/>
      </w:rPr>
      <w:tblPr/>
      <w:tcPr>
        <w:tcBorders>
          <w:bottom w:val="single" w:sz="4" w:space="0" w:color="7f7f7f"/>
        </w:tcBorders>
        <w:shd w:val="clear" w:color="auto" w:fill="ffffff"/>
      </w:tcPr>
    </w:tblStylePr>
    <w:tblStylePr w:type="lastRow">
      <w:pPr/>
      <w:rPr>
        <w:rFonts w:ascii="Calibri Light" w:cs="Vrinda" w:eastAsia="宋体" w:hAnsi="Calibri Light"/>
        <w:i/>
        <w:iCs/>
        <w:sz w:val="26"/>
      </w:rPr>
      <w:tblPr/>
      <w:tcPr>
        <w:tcBorders>
          <w:top w:val="single" w:sz="4" w:space="0" w:color="7f7f7f"/>
        </w:tcBorders>
        <w:shd w:val="clear" w:color="auto" w:fill="ffffff"/>
      </w:tcPr>
    </w:tblStylePr>
    <w:tblStylePr w:type="band1Horz">
      <w:pPr/>
      <w:tblPr/>
      <w:tcPr>
        <w:tcBorders/>
        <w:shd w:val="clear" w:color="auto" w:fill="f2f2f2"/>
      </w:tcPr>
    </w:tblStylePr>
    <w:tblStylePr w:type="firstCol">
      <w:pPr>
        <w:jc w:val="right"/>
      </w:pPr>
      <w:rPr>
        <w:rFonts w:ascii="Calibri Light" w:cs="Vrinda" w:eastAsia="宋体" w:hAnsi="Calibri Light"/>
        <w:i/>
        <w:iCs/>
        <w:sz w:val="26"/>
      </w:rPr>
      <w:tblPr/>
      <w:tcPr>
        <w:tcBorders>
          <w:right w:val="single" w:sz="4" w:space="0" w:color="7f7f7f"/>
        </w:tcBorders>
        <w:shd w:val="clear" w:color="auto" w:fill="ffffff"/>
      </w:tcPr>
    </w:tblStylePr>
    <w:tblStylePr w:type="lastCol">
      <w:pPr/>
      <w:rPr>
        <w:rFonts w:ascii="Calibri Light" w:cs="Vrinda" w:eastAsia="宋体" w:hAnsi="Calibri Light"/>
        <w:i/>
        <w:iCs/>
        <w:sz w:val="26"/>
      </w:rPr>
      <w:tblPr/>
      <w:tcPr>
        <w:tcBorders>
          <w:left w:val="single" w:sz="4" w:space="0" w:color="7f7f7f"/>
        </w:tcBorders>
        <w:shd w:val="clear" w:color="auto" w:fill="ffffff"/>
      </w:tcPr>
    </w:tblStylePr>
    <w:tblStylePr w:type="band1Vert">
      <w:pPr/>
      <w:tblPr/>
      <w:tcPr>
        <w:tcBorders/>
        <w:shd w:val="clear" w:color="auto" w:fill="f2f2f2"/>
      </w:tcPr>
    </w:tblStylePr>
    <w:tblStylePr w:type="neCell">
      <w:pPr/>
      <w:tblPr/>
      <w:tcPr>
        <w:tcBorders>
          <w:left w:val="nil"/>
        </w:tcBorders>
      </w:tcPr>
    </w:tblStylePr>
    <w:tblStylePr w:type="nwCell">
      <w:pPr/>
      <w:tblPr/>
      <w:tcPr>
        <w:tcBorders>
          <w:right w:val="nil"/>
        </w:tcBorders>
      </w:tcPr>
    </w:tblStylePr>
    <w:tblStylePr w:type="seCell">
      <w:pPr/>
      <w:tblPr/>
      <w:tcPr>
        <w:tcBorders>
          <w:left w:val="nil"/>
        </w:tcBorders>
      </w:tcPr>
    </w:tblStylePr>
    <w:tblStylePr w:type="swCell">
      <w:pPr/>
      <w:tblPr/>
      <w:tcPr>
        <w:tcBorders>
          <w:right w:val="nil"/>
        </w:tcBorders>
      </w:tcPr>
    </w:tblStylePr>
    <w:tcPr>
      <w:tcBorders/>
    </w:tcPr>
  </w:style>
  <w:style w:type="character" w:customStyle="1" w:styleId="style4113">
    <w:name w:val="Heading 5 Char_d275f119-1d96-47f7-9937-01648da8680c"/>
    <w:basedOn w:val="style65"/>
    <w:next w:val="style4113"/>
    <w:link w:val="style5"/>
    <w:uiPriority w:val="9"/>
    <w:rPr>
      <w:rFonts w:ascii="Calibri Light" w:cs="Vrinda" w:eastAsia="宋体" w:hAnsi="Calibri Light"/>
      <w:color w:val="2f5496"/>
      <w:sz w:val="24"/>
    </w:rPr>
  </w:style>
  <w:style w:type="character" w:styleId="style88">
    <w:name w:val="Emphasis"/>
    <w:basedOn w:val="style65"/>
    <w:next w:val="style88"/>
    <w:qFormat/>
    <w:uiPriority w:val="20"/>
    <w:rPr>
      <w:i/>
      <w:iCs/>
    </w:rPr>
  </w:style>
  <w:style w:type="paragraph" w:styleId="style29">
    <w:name w:val="footnote text"/>
    <w:basedOn w:val="style0"/>
    <w:next w:val="style29"/>
    <w:link w:val="style4114"/>
    <w:uiPriority w:val="99"/>
    <w:pPr>
      <w:spacing w:after="0" w:lineRule="auto" w:line="240"/>
    </w:pPr>
    <w:rPr>
      <w:sz w:val="20"/>
      <w:szCs w:val="25"/>
    </w:rPr>
  </w:style>
  <w:style w:type="character" w:customStyle="1" w:styleId="style4114">
    <w:name w:val="Footnote Text Char"/>
    <w:basedOn w:val="style65"/>
    <w:next w:val="style4114"/>
    <w:link w:val="style29"/>
    <w:uiPriority w:val="99"/>
    <w:rPr>
      <w:rFonts w:ascii="Times New Roman" w:hAnsi="Times New Roman"/>
      <w:sz w:val="20"/>
      <w:szCs w:val="25"/>
    </w:rPr>
  </w:style>
  <w:style w:type="character" w:styleId="style38">
    <w:name w:val="footnote reference"/>
    <w:basedOn w:val="style65"/>
    <w:next w:val="style38"/>
    <w:uiPriority w:val="99"/>
    <w:rPr>
      <w:vertAlign w:val="superscript"/>
    </w:rPr>
  </w:style>
  <w:style w:type="character" w:customStyle="1" w:styleId="style4115">
    <w:name w:val="overflow-hidden"/>
    <w:basedOn w:val="style65"/>
    <w:next w:val="style4115"/>
  </w:style>
  <w:style w:type="paragraph" w:styleId="style35">
    <w:name w:val="table of figures"/>
    <w:basedOn w:val="style0"/>
    <w:next w:val="style0"/>
    <w:uiPriority w:val="99"/>
    <w:pPr>
      <w:spacing w:after="0"/>
    </w:pPr>
    <w:rPr/>
  </w:style>
  <w:style w:type="paragraph" w:customStyle="1" w:styleId="style4116">
    <w:name w:val="Default"/>
    <w:next w:val="style4116"/>
    <w:pPr>
      <w:autoSpaceDE w:val="false"/>
      <w:autoSpaceDN w:val="false"/>
      <w:adjustRightInd w:val="false"/>
      <w:spacing w:after="0" w:lineRule="auto" w:line="240"/>
    </w:pPr>
    <w:rPr>
      <w:rFonts w:ascii="Times New Roman" w:cs="Times New Roman" w:hAnsi="Times New Roman"/>
      <w:color w:val="000000"/>
      <w:sz w:val="24"/>
      <w:szCs w:val="24"/>
      <w:lang w:val="en-US" w:bidi="ar-SA"/>
    </w:rPr>
  </w:style>
  <w:style w:type="character" w:customStyle="1" w:styleId="style4117">
    <w:name w:val="relative"/>
    <w:basedOn w:val="style65"/>
    <w:next w:val="style4117"/>
  </w:style>
  <w:style w:type="table" w:customStyle="1" w:styleId="style4118">
    <w:name w:val="Grid Table 5 Dark Accent 5"/>
    <w:basedOn w:val="style105"/>
    <w:next w:val="style4118"/>
    <w:uiPriority w:val="50"/>
    <w:pPr>
      <w:spacing w:after="0" w:lineRule="auto" w:line="240"/>
    </w:pPr>
    <w:rPr>
      <w:kern w:val="2"/>
      <w:szCs w:val="22"/>
      <w:lang w:bidi="ar-SA"/>
      <w14:ligatures xmlns:w14="http://schemas.microsoft.com/office/word/2010/wordml" w14:val="standardContextual"/>
    </w:rPr>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shd w:val="clear" w:color="auto" w:fill="deeaf6"/>
    </w:tblPr>
    <w:tblStylePr w:type="firstRow">
      <w:pPr/>
      <w:rPr>
        <w:b/>
        <w:bCs/>
        <w:color w:val="ffffff"/>
      </w:rPr>
      <w:tblPr/>
      <w:tcPr>
        <w:tcBorders>
          <w:top w:val="single" w:sz="4" w:space="0" w:color="ffffff"/>
          <w:left w:val="single" w:sz="4" w:space="0" w:color="ffffff"/>
          <w:right w:val="single" w:sz="4" w:space="0" w:color="ffffff"/>
          <w:insideH w:val="nil"/>
          <w:insideV w:val="nil"/>
        </w:tcBorders>
        <w:shd w:val="clear" w:color="auto" w:fill="5b9bd5"/>
      </w:tcPr>
    </w:tblStylePr>
    <w:tblStylePr w:type="lastRow">
      <w:pPr/>
      <w:rPr>
        <w:b/>
        <w:bCs/>
        <w:color w:val="ffffff"/>
      </w:rPr>
      <w:tblPr/>
      <w:tcPr>
        <w:tcBorders>
          <w:left w:val="single" w:sz="4" w:space="0" w:color="ffffff"/>
          <w:bottom w:val="single" w:sz="4" w:space="0" w:color="ffffff"/>
          <w:right w:val="single" w:sz="4" w:space="0" w:color="ffffff"/>
          <w:insideH w:val="nil"/>
          <w:insideV w:val="nil"/>
        </w:tcBorders>
        <w:shd w:val="clear" w:color="auto" w:fill="5b9bd5"/>
      </w:tcPr>
    </w:tblStylePr>
    <w:tblStylePr w:type="band1Horz">
      <w:pPr/>
      <w:tblPr/>
      <w:tcPr>
        <w:tcBorders/>
        <w:shd w:val="clear" w:color="auto" w:fill="bdd6ee"/>
      </w:tcPr>
    </w:tblStylePr>
    <w:tblStylePr w:type="firstCol">
      <w:pPr/>
      <w:rPr>
        <w:b/>
        <w:bCs/>
        <w:color w:val="ffffff"/>
      </w:rPr>
      <w:tblPr/>
      <w:tcPr>
        <w:tcBorders>
          <w:top w:val="single" w:sz="4" w:space="0" w:color="ffffff"/>
          <w:left w:val="single" w:sz="4" w:space="0" w:color="ffffff"/>
          <w:bottom w:val="single" w:sz="4" w:space="0" w:color="ffffff"/>
          <w:insideV w:val="nil"/>
        </w:tcBorders>
        <w:shd w:val="clear" w:color="auto" w:fill="5b9bd5"/>
      </w:tcPr>
    </w:tblStylePr>
    <w:tblStylePr w:type="lastCol">
      <w:pPr/>
      <w:rPr>
        <w:b/>
        <w:bCs/>
        <w:color w:val="ffffff"/>
      </w:rPr>
      <w:tblPr/>
      <w:tcPr>
        <w:tcBorders>
          <w:top w:val="single" w:sz="4" w:space="0" w:color="ffffff"/>
          <w:bottom w:val="single" w:sz="4" w:space="0" w:color="ffffff"/>
          <w:right w:val="single" w:sz="4" w:space="0" w:color="ffffff"/>
          <w:insideV w:val="nil"/>
        </w:tcBorders>
        <w:shd w:val="clear" w:color="auto" w:fill="5b9bd5"/>
      </w:tcPr>
    </w:tblStylePr>
    <w:tblStylePr w:type="band1Vert">
      <w:pPr/>
      <w:tblPr/>
      <w:tcPr>
        <w:tcBorders/>
        <w:shd w:val="clear" w:color="auto" w:fill="bdd6ee"/>
      </w:tcPr>
    </w:tblStylePr>
    <w:tcPr>
      <w:tcBorders/>
      <w:shd w:val="clear" w:color="auto" w:fill="deeaf6"/>
    </w:tcPr>
  </w:style>
  <w:style w:type="paragraph" w:customStyle="1" w:styleId="style4119">
    <w:name w:val="Table Paragraph"/>
    <w:basedOn w:val="style0"/>
    <w:next w:val="style4119"/>
    <w:uiPriority w:val="1"/>
    <w:pPr>
      <w:widowControl w:val="false"/>
      <w:autoSpaceDE w:val="false"/>
      <w:autoSpaceDN w:val="false"/>
      <w:spacing w:after="0" w:lineRule="auto" w:line="240"/>
      <w:ind w:left="107"/>
      <w:jc w:val="left"/>
    </w:pPr>
    <w:rPr>
      <w:rFonts w:ascii="Calibri" w:cs="Calibri" w:eastAsia="Calibri" w:hAnsi="Calibri"/>
      <w:sz w:val="22"/>
      <w:szCs w:val="22"/>
      <w:lang w:val="en-US" w:bidi="ar-SA"/>
    </w:rPr>
  </w:style>
  <w:style w:type="table" w:customStyle="1" w:styleId="style4120">
    <w:name w:val="List Table 5 Dark Accent 5"/>
    <w:basedOn w:val="style105"/>
    <w:next w:val="style4120"/>
    <w:uiPriority w:val="50"/>
    <w:pPr>
      <w:spacing w:after="0" w:lineRule="auto" w:line="240"/>
    </w:pPr>
    <w:rPr>
      <w:rFonts w:ascii="Calibri" w:cs="Arial" w:eastAsia="Calibri" w:hAnsi="Calibri"/>
      <w:color w:val="ffffff"/>
      <w:sz w:val="20"/>
      <w:szCs w:val="20"/>
      <w:lang w:bidi="ar-SA" w:eastAsia="en-GB"/>
    </w:rPr>
    <w:tblPr>
      <w:tblStyleRowBandSize w:val="1"/>
      <w:tblStyleColBandSize w:val="1"/>
      <w:tblBorders>
        <w:top w:val="single" w:sz="24" w:space="0" w:color="5b9bd5"/>
        <w:left w:val="single" w:sz="24" w:space="0" w:color="5b9bd5"/>
        <w:bottom w:val="single" w:sz="24" w:space="0" w:color="5b9bd5"/>
        <w:right w:val="single" w:sz="24" w:space="0" w:color="5b9bd5"/>
      </w:tblBorders>
      <w:shd w:val="clear" w:color="auto" w:fill="5b9bd5"/>
      <w:tblCellMar>
        <w:left w:w="0" w:type="dxa"/>
        <w:right w:w="0" w:type="dxa"/>
      </w:tblCellMar>
    </w:tblPr>
    <w:tblStylePr w:type="firstRow">
      <w:pPr/>
      <w:rPr>
        <w:b/>
        <w:bCs/>
      </w:rPr>
      <w:tblPr/>
      <w:tcPr>
        <w:tcBorders>
          <w:bottom w:val="single" w:sz="18" w:space="0" w:color="ffffff"/>
        </w:tcBorders>
      </w:tcPr>
    </w:tblStylePr>
    <w:tblStylePr w:type="lastRow">
      <w:pPr/>
      <w:rPr>
        <w:b/>
        <w:bCs/>
      </w:rPr>
      <w:tblPr/>
      <w:tcPr>
        <w:tcBorders>
          <w:top w:val="single" w:sz="4" w:space="0" w:color="ffffff"/>
        </w:tcBorders>
      </w:tcPr>
    </w:tblStylePr>
    <w:tblStylePr w:type="band1Horz">
      <w:pPr/>
      <w:tblPr/>
      <w:tcPr>
        <w:tcBorders>
          <w:top w:val="single" w:sz="4" w:space="0" w:color="ffffff"/>
          <w:bottom w:val="single" w:sz="4" w:space="0" w:color="ffffff"/>
        </w:tcBorders>
      </w:tcPr>
    </w:tblStylePr>
    <w:tblStylePr w:type="firstCol">
      <w:pPr/>
      <w:rPr>
        <w:b/>
        <w:bCs/>
      </w:rPr>
      <w:tblPr/>
      <w:tcPr>
        <w:tcBorders>
          <w:right w:val="single" w:sz="4" w:space="0" w:color="ffffff"/>
        </w:tcBorders>
      </w:tcPr>
    </w:tblStylePr>
    <w:tblStylePr w:type="lastCol">
      <w:pPr/>
      <w:rPr>
        <w:b/>
        <w:bCs/>
      </w:rPr>
      <w:tblPr/>
      <w:tcPr>
        <w:tcBorders>
          <w:left w:val="single" w:sz="4" w:space="0" w:color="ffffff"/>
        </w:tcBorders>
      </w:tcPr>
    </w:tblStylePr>
    <w:tblStylePr w:type="band1Vert">
      <w:pPr/>
      <w:tblPr/>
      <w:tcPr>
        <w:tcBorders>
          <w:left w:val="single" w:sz="4" w:space="0" w:color="ffffff"/>
          <w:right w:val="single" w:sz="4" w:space="0" w:color="ffffff"/>
        </w:tcBorders>
      </w:tcPr>
    </w:tblStylePr>
    <w:tblStylePr w:type="band2Vert">
      <w:pPr/>
      <w:tblPr/>
      <w:tcPr>
        <w:tcBorders>
          <w:left w:val="single" w:sz="4" w:space="0" w:color="ffffff"/>
          <w:right w:val="single" w:sz="4" w:space="0" w:color="ffffff"/>
        </w:tcBorders>
      </w:tcPr>
    </w:tblStylePr>
    <w:tblStylePr w:type="neCell">
      <w:pPr/>
      <w:tblPr/>
      <w:tcPr>
        <w:tcBorders>
          <w:left w:val="nil"/>
        </w:tcBorders>
      </w:tcPr>
    </w:tblStylePr>
    <w:tblStylePr w:type="nwCell">
      <w:pPr/>
      <w:tblPr/>
      <w:tcPr>
        <w:tcBorders>
          <w:right w:val="nil"/>
        </w:tcBorders>
      </w:tcPr>
    </w:tblStylePr>
    <w:tblStylePr w:type="seCell">
      <w:pPr/>
      <w:tblPr/>
      <w:tcPr>
        <w:tcBorders>
          <w:top w:val="nil"/>
          <w:left w:val="nil"/>
        </w:tcBorders>
      </w:tcPr>
    </w:tblStylePr>
    <w:tblStylePr w:type="swCell">
      <w:pPr/>
      <w:tblPr/>
      <w:tcPr>
        <w:tcBorders>
          <w:top w:val="nil"/>
          <w:right w:val="nil"/>
        </w:tcBorders>
      </w:tcPr>
    </w:tblStylePr>
    <w:tcPr>
      <w:tcBorders/>
      <w:shd w:val="clear" w:color="auto" w:fill="5b9bd5"/>
    </w:tcPr>
  </w:style>
  <w:style w:type="table" w:customStyle="1" w:styleId="style4121">
    <w:name w:val="List Table 4 Accent 5"/>
    <w:basedOn w:val="style105"/>
    <w:next w:val="style4121"/>
    <w:uiPriority w:val="49"/>
    <w:pPr>
      <w:spacing w:after="0" w:lineRule="auto" w:line="240"/>
    </w:pPr>
    <w:rPr>
      <w:rFonts w:ascii="Calibri" w:cs="Arial" w:eastAsia="Calibri" w:hAnsi="Calibri"/>
      <w:sz w:val="20"/>
      <w:szCs w:val="20"/>
      <w:lang w:bidi="ar-SA" w:eastAsia="en-GB"/>
    </w:rPr>
    <w:tblPr>
      <w:tblStyleRowBandSize w:val="1"/>
      <w:tblStyleColBandSize w:val="1"/>
      <w:tblBorders>
        <w:top w:val="single" w:sz="4" w:space="0" w:color="9cc2e5"/>
        <w:left w:val="single" w:sz="4" w:space="0" w:color="9cc2e5"/>
        <w:bottom w:val="single" w:sz="4" w:space="0" w:color="9cc2e5"/>
        <w:right w:val="single" w:sz="4" w:space="0" w:color="9cc2e5"/>
        <w:insideH w:val="single" w:sz="4" w:space="0" w:color="9cc2e5"/>
      </w:tblBorders>
      <w:tblCellMar>
        <w:left w:w="0" w:type="dxa"/>
        <w:right w:w="0" w:type="dxa"/>
      </w:tblCellMar>
    </w:tblPr>
    <w:tblStylePr w:type="firstRow">
      <w:pPr/>
      <w:rPr>
        <w:b/>
        <w:bCs/>
        <w:color w:val="ffffff"/>
      </w:rPr>
      <w:tblPr/>
      <w:tcPr>
        <w:tcBorders>
          <w:top w:val="single" w:sz="4" w:space="0" w:color="5b9bd5"/>
          <w:left w:val="single" w:sz="4" w:space="0" w:color="5b9bd5"/>
          <w:bottom w:val="single" w:sz="4" w:space="0" w:color="5b9bd5"/>
          <w:right w:val="single" w:sz="4" w:space="0" w:color="5b9bd5"/>
          <w:insideH w:val="nil"/>
        </w:tcBorders>
        <w:shd w:val="clear" w:color="auto" w:fill="5b9bd5"/>
      </w:tcPr>
    </w:tblStylePr>
    <w:tblStylePr w:type="lastRow">
      <w:pPr/>
      <w:rPr>
        <w:b/>
        <w:bCs/>
      </w:rPr>
      <w:tblPr/>
      <w:tcPr>
        <w:tcBorders>
          <w:top w:val="double" w:sz="4" w:space="0" w:color="9cc2e5"/>
        </w:tcBorders>
      </w:tcPr>
    </w:tblStylePr>
    <w:tblStylePr w:type="band1Horz">
      <w:pPr/>
      <w:tblPr/>
      <w:tcPr>
        <w:tcBorders/>
        <w:shd w:val="clear" w:color="auto" w:fill="deeaf6"/>
      </w:tcPr>
    </w:tblStylePr>
    <w:tblStylePr w:type="firstCol">
      <w:pPr/>
      <w:rPr>
        <w:b/>
        <w:bCs/>
      </w:rPr>
      <w:tcPr>
        <w:tcBorders/>
      </w:tcPr>
    </w:tblStylePr>
    <w:tblStylePr w:type="lastCol">
      <w:pPr/>
      <w:rPr>
        <w:b/>
        <w:bCs/>
      </w:rPr>
      <w:tcPr>
        <w:tcBorders/>
      </w:tcPr>
    </w:tblStylePr>
    <w:tblStylePr w:type="band1Vert">
      <w:pPr/>
      <w:tblPr/>
      <w:tcPr>
        <w:tcBorders/>
        <w:shd w:val="clear" w:color="auto" w:fill="deeaf6"/>
      </w:tcPr>
    </w:tblStylePr>
    <w:tcPr>
      <w:tcBorders/>
    </w:tcPr>
  </w:style>
  <w:style w:type="table" w:customStyle="1" w:styleId="style4122">
    <w:name w:val="Table Grid1"/>
    <w:basedOn w:val="style105"/>
    <w:next w:val="style154"/>
    <w:uiPriority w:val="59"/>
    <w:pPr>
      <w:spacing w:after="0" w:lineRule="auto" w:line="240"/>
    </w:pPr>
    <w:rPr>
      <w:rFonts w:eastAsia="Times New Roman"/>
      <w:sz w:val="24"/>
      <w:szCs w:val="24"/>
      <w:lang w:bidi="ar-SA" w:eastAsia="ja-JP"/>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tcPr>
      <w:tcBorders/>
    </w:tcPr>
  </w:style>
  <w:style w:type="table" w:customStyle="1" w:styleId="style4123">
    <w:name w:val="Grid Table Light"/>
    <w:basedOn w:val="style105"/>
    <w:next w:val="style4123"/>
    <w:uiPriority w:val="40"/>
    <w:pPr>
      <w:widowControl w:val="false"/>
      <w:autoSpaceDE w:val="false"/>
      <w:autoSpaceDN w:val="false"/>
      <w:spacing w:after="0" w:lineRule="auto" w:line="240"/>
    </w:pPr>
    <w:rPr>
      <w:szCs w:val="22"/>
      <w:lang w:val="en-US" w:bidi="ar-SA"/>
    </w:rPr>
    <w:tblPr>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cPr>
      <w:tcBorders/>
    </w:tcPr>
  </w:style>
  <w:style w:type="paragraph" w:styleId="style74">
    <w:name w:val="Subtitle"/>
    <w:basedOn w:val="style0"/>
    <w:next w:val="style0"/>
    <w:link w:val="style4124"/>
    <w:qFormat/>
    <w:uiPriority w:val="11"/>
    <w:pPr>
      <w:numPr>
        <w:ilvl w:val="1"/>
        <w:numId w:val="0"/>
      </w:numPr>
    </w:pPr>
    <w:rPr>
      <w:rFonts w:ascii="Calibri" w:eastAsia="宋体" w:hAnsi="Calibri"/>
      <w:color w:val="5a5a5a"/>
      <w:spacing w:val="15"/>
      <w:sz w:val="22"/>
    </w:rPr>
  </w:style>
  <w:style w:type="character" w:customStyle="1" w:styleId="style4124">
    <w:name w:val="Subtitle Char"/>
    <w:basedOn w:val="style65"/>
    <w:next w:val="style4124"/>
    <w:link w:val="style74"/>
    <w:uiPriority w:val="11"/>
    <w:rPr>
      <w:rFonts w:eastAsia="宋体"/>
      <w:color w:val="5a5a5a"/>
      <w:spacing w:val="15"/>
    </w:rPr>
  </w:style>
  <w:style w:type="table" w:customStyle="1" w:styleId="style4125">
    <w:name w:val="Table Grid2"/>
    <w:basedOn w:val="style105"/>
    <w:next w:val="style154"/>
    <w:uiPriority w:val="59"/>
    <w:pPr>
      <w:spacing w:after="0" w:lineRule="auto" w:line="240"/>
    </w:pPr>
    <w:rPr>
      <w:rFonts w:eastAsia="MS Mincho"/>
      <w:szCs w:val="22"/>
      <w:lang w:val="en-US"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header" Target="header1.xml"/><Relationship Id="rId4" Type="http://schemas.openxmlformats.org/officeDocument/2006/relationships/header" Target="header2.xml"/><Relationship Id="rId11" Type="http://schemas.openxmlformats.org/officeDocument/2006/relationships/theme" Target="theme/theme1.xml"/><Relationship Id="rId10" Type="http://schemas.openxmlformats.org/officeDocument/2006/relationships/settings" Target="settings.xml"/><Relationship Id="rId12" Type="http://schemas.openxmlformats.org/officeDocument/2006/relationships/customXml" Target="../customXml/item1.xml"/><Relationship Id="rId9" Type="http://schemas.openxmlformats.org/officeDocument/2006/relationships/fontTable" Target="fontTable.xml"/><Relationship Id="rId5" Type="http://schemas.openxmlformats.org/officeDocument/2006/relationships/footer" Target="footer3.xml"/><Relationship Id="rId6" Type="http://schemas.openxmlformats.org/officeDocument/2006/relationships/footer" Target="footer4.xml"/><Relationship Id="rId7" Type="http://schemas.openxmlformats.org/officeDocument/2006/relationships/header" Target="header5.xml"/><Relationship Id="rId8"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2A5B50-EE1D-4B39-BA95-96829F84DF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2829</Words>
  <Pages>14</Pages>
  <Characters>16334</Characters>
  <Application>WPS Office</Application>
  <DocSecurity>0</DocSecurity>
  <Paragraphs>272</Paragraphs>
  <ScaleCrop>false</ScaleCrop>
  <LinksUpToDate>false</LinksUpToDate>
  <CharactersWithSpaces>19113</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2026-02-19T13:24:00Z</dcterms:created>
  <dc:creator>WPS Office</dc:creator>
  <lastModifiedBy>SM-A566B</lastModifiedBy>
  <dcterms:modified xsi:type="dcterms:W3CDTF">2026-03-19T00:23:54Z</dcterms:modified>
  <revision>1</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550bbd3f-8420-46c4-9a83-e7c262acc1d2</vt:lpwstr>
  </property>
  <property fmtid="{D5CDD505-2E9C-101B-9397-08002B2CF9AE}" pid="3" name="ICV">
    <vt:lpwstr>fbd3aea8348145aebb6dbc26e987d83d</vt:lpwstr>
  </property>
</Properties>
</file>