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k="http://schemas.microsoft.com/office/drawing/2018/sketchyshapes" mc:Ignorable="w14 w15 w16se w16cid w16 w16cex w16sdtdh w16sdtfl w16du wp14">
  <w:body>
    <w:p w:rsidRPr="003266D1" w:rsidR="00010DDE" w:rsidP="00EC379A" w:rsidRDefault="00EC379A" w14:paraId="3D9EDA40" w14:textId="75B6F377">
      <w:pPr>
        <w:pBdr>
          <w:bottom w:val="single" w:color="auto" w:sz="6" w:space="1"/>
        </w:pBdr>
        <w:jc w:val="center"/>
        <w:rPr>
          <w:b/>
          <w:bCs/>
          <w:sz w:val="32"/>
          <w:szCs w:val="28"/>
        </w:rPr>
      </w:pPr>
      <w:r w:rsidRPr="003266D1">
        <w:rPr>
          <w:noProof/>
          <w:lang w:val="en-US" w:eastAsia="en-US"/>
        </w:rPr>
        <w:drawing>
          <wp:inline distT="0" distB="0" distL="0" distR="0" wp14:anchorId="48187A1A" wp14:editId="6E1101FF">
            <wp:extent cx="2514600" cy="1395144"/>
            <wp:effectExtent l="0" t="0" r="0" b="0"/>
            <wp:docPr id="1" name="Picture 1"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orld-Class Education in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1395144"/>
                    </a:xfrm>
                    <a:prstGeom prst="rect">
                      <a:avLst/>
                    </a:prstGeom>
                    <a:noFill/>
                    <a:ln>
                      <a:noFill/>
                    </a:ln>
                  </pic:spPr>
                </pic:pic>
              </a:graphicData>
            </a:graphic>
          </wp:inline>
        </w:drawing>
      </w:r>
    </w:p>
    <w:p w:rsidRPr="003266D1" w:rsidR="00010DDE" w:rsidP="00010DDE" w:rsidRDefault="00010DDE" w14:paraId="14388B96" w14:textId="77777777">
      <w:pPr>
        <w:pBdr>
          <w:bottom w:val="single" w:color="auto" w:sz="6" w:space="1"/>
        </w:pBdr>
        <w:jc w:val="center"/>
        <w:rPr>
          <w:b/>
          <w:bCs/>
          <w:sz w:val="32"/>
          <w:szCs w:val="28"/>
        </w:rPr>
      </w:pPr>
    </w:p>
    <w:p w:rsidRPr="003266D1" w:rsidR="000C4B1A" w:rsidP="007E492D" w:rsidRDefault="00010DDE" w14:paraId="6A6332D5" w14:textId="28B4265B">
      <w:pPr>
        <w:pBdr>
          <w:bottom w:val="single" w:color="auto" w:sz="6" w:space="1"/>
        </w:pBdr>
        <w:rPr>
          <w:b/>
          <w:bCs/>
          <w:sz w:val="32"/>
          <w:szCs w:val="32"/>
        </w:rPr>
      </w:pPr>
      <w:r w:rsidRPr="003266D1">
        <w:rPr>
          <w:b/>
          <w:bCs/>
          <w:sz w:val="32"/>
          <w:szCs w:val="32"/>
        </w:rPr>
        <w:t xml:space="preserve">Title: </w:t>
      </w:r>
      <w:r w:rsidRPr="003266D1" w:rsidR="007637BF">
        <w:rPr>
          <w:b/>
          <w:bCs/>
          <w:i/>
          <w:iCs/>
          <w:sz w:val="32"/>
          <w:szCs w:val="32"/>
        </w:rPr>
        <w:t>Strategic Management Analysis of Volkswagen Group: Building Sustainable Competitive Advantage Through Electrification, Software Transformation, and Strategic Governance</w:t>
      </w:r>
    </w:p>
    <w:p w:rsidRPr="003266D1" w:rsidR="000C4B1A" w:rsidP="004D45A7" w:rsidRDefault="000C4B1A" w14:paraId="7AA1F4FC" w14:textId="77777777">
      <w:pPr>
        <w:rPr>
          <w:b/>
          <w:bCs/>
          <w:sz w:val="28"/>
          <w:szCs w:val="24"/>
        </w:rPr>
      </w:pPr>
    </w:p>
    <w:p w:rsidRPr="003266D1" w:rsidR="00FE1D40" w:rsidP="004D45A7" w:rsidRDefault="00FE1D40" w14:paraId="6002FECE" w14:textId="77777777">
      <w:pPr>
        <w:rPr>
          <w:b/>
          <w:bCs/>
        </w:rPr>
      </w:pPr>
    </w:p>
    <w:p w:rsidRPr="003266D1" w:rsidR="00EC379A" w:rsidP="00EC379A" w:rsidRDefault="00EC379A" w14:paraId="38CB9405" w14:textId="3FBB3377">
      <w:pPr>
        <w:rPr>
          <w:b/>
        </w:rPr>
      </w:pPr>
      <w:r w:rsidRPr="003266D1">
        <w:rPr>
          <w:b/>
        </w:rPr>
        <w:t>Programme: Master of Business Administration</w:t>
      </w:r>
    </w:p>
    <w:p w:rsidRPr="003266D1" w:rsidR="000C4B1A" w:rsidP="00EC379A" w:rsidRDefault="00EC379A" w14:paraId="6A8B917F" w14:textId="08C997A7">
      <w:pPr>
        <w:rPr>
          <w:b/>
          <w:bCs/>
        </w:rPr>
      </w:pPr>
      <w:r w:rsidRPr="003266D1">
        <w:rPr>
          <w:b/>
          <w:bCs/>
        </w:rPr>
        <w:t>Module: Strategic Management (LCMB7003)</w:t>
      </w:r>
    </w:p>
    <w:p w:rsidRPr="003266D1" w:rsidR="00EC379A" w:rsidP="601E746B" w:rsidRDefault="00EC379A" w14:paraId="4AEB99EA" w14:textId="61F60F1A">
      <w:pPr>
        <w:pStyle w:val="Normal"/>
        <w:rPr>
          <w:rFonts w:ascii="Segoe UI" w:hAnsi="Segoe UI" w:eastAsia="Segoe UI" w:cs="Segoe UI"/>
          <w:b w:val="1"/>
          <w:bCs w:val="1"/>
          <w:i w:val="0"/>
          <w:iCs w:val="0"/>
          <w:caps w:val="0"/>
          <w:smallCaps w:val="0"/>
          <w:noProof w:val="0"/>
          <w:color w:val="1D2125"/>
          <w:sz w:val="22"/>
          <w:szCs w:val="22"/>
          <w:lang w:val="en-GB"/>
        </w:rPr>
      </w:pPr>
      <w:r w:rsidRPr="601E746B" w:rsidR="00EC379A">
        <w:rPr>
          <w:b w:val="1"/>
          <w:bCs w:val="1"/>
        </w:rPr>
        <w:t>Lecturer:</w:t>
      </w:r>
      <w:r w:rsidRPr="601E746B" w:rsidR="64F77227">
        <w:rPr>
          <w:b w:val="1"/>
          <w:bCs w:val="1"/>
        </w:rPr>
        <w:t xml:space="preserve"> Dr</w:t>
      </w:r>
      <w:r w:rsidRPr="601E746B" w:rsidR="00EC379A">
        <w:rPr>
          <w:b w:val="1"/>
          <w:bCs w:val="1"/>
        </w:rPr>
        <w:t xml:space="preserve"> </w:t>
      </w:r>
      <w:r w:rsidRPr="601E746B" w:rsidR="00EC379A">
        <w:rPr>
          <w:b w:val="1"/>
          <w:bCs w:val="1"/>
        </w:rPr>
        <w:t>Zulf</w:t>
      </w:r>
      <w:r w:rsidRPr="601E746B" w:rsidR="7FF81753">
        <w:rPr>
          <w:b w:val="1"/>
          <w:bCs w:val="1"/>
        </w:rPr>
        <w:t xml:space="preserve">iqar </w:t>
      </w:r>
      <w:r w:rsidRPr="601E746B" w:rsidR="00EC379A">
        <w:rPr>
          <w:b w:val="1"/>
          <w:bCs w:val="1"/>
        </w:rPr>
        <w:t>Khan</w:t>
      </w:r>
      <w:r w:rsidRPr="601E746B" w:rsidR="7CEC2912">
        <w:rPr>
          <w:b w:val="1"/>
          <w:bCs w:val="1"/>
        </w:rPr>
        <w:t xml:space="preserve"> </w:t>
      </w:r>
    </w:p>
    <w:p w:rsidRPr="003266D1" w:rsidR="00332AE1" w:rsidP="00332AE1" w:rsidRDefault="00332AE1" w14:paraId="52E6BE98" w14:textId="77777777">
      <w:pPr>
        <w:rPr>
          <w:b/>
        </w:rPr>
      </w:pPr>
      <w:r w:rsidRPr="003266D1">
        <w:rPr>
          <w:b/>
        </w:rPr>
        <w:t xml:space="preserve">Student name: Syed </w:t>
      </w:r>
      <w:proofErr w:type="spellStart"/>
      <w:r w:rsidRPr="003266D1">
        <w:rPr>
          <w:b/>
        </w:rPr>
        <w:t>Ajharul</w:t>
      </w:r>
      <w:proofErr w:type="spellEnd"/>
      <w:r w:rsidRPr="003266D1">
        <w:rPr>
          <w:b/>
        </w:rPr>
        <w:t xml:space="preserve"> Amin</w:t>
      </w:r>
    </w:p>
    <w:p w:rsidRPr="003266D1" w:rsidR="00332AE1" w:rsidP="00332AE1" w:rsidRDefault="00332AE1" w14:paraId="7B619E2D" w14:textId="77777777">
      <w:pPr>
        <w:rPr>
          <w:b/>
        </w:rPr>
      </w:pPr>
      <w:r w:rsidRPr="003266D1">
        <w:rPr>
          <w:b/>
        </w:rPr>
        <w:t>Student ID: 2436655</w:t>
      </w:r>
    </w:p>
    <w:p w:rsidRPr="003266D1" w:rsidR="00EC379A" w:rsidP="00332AE1" w:rsidRDefault="00EC379A" w14:paraId="6B490743" w14:textId="3B54FA41">
      <w:pPr>
        <w:rPr>
          <w:b/>
          <w:bCs/>
          <w:sz w:val="28"/>
          <w:szCs w:val="24"/>
        </w:rPr>
      </w:pPr>
      <w:r w:rsidRPr="003266D1">
        <w:rPr>
          <w:b/>
        </w:rPr>
        <w:t xml:space="preserve">Word count: </w:t>
      </w:r>
      <w:r w:rsidRPr="003266D1" w:rsidR="00893E37">
        <w:rPr>
          <w:b/>
        </w:rPr>
        <w:t>5</w:t>
      </w:r>
      <w:r w:rsidRPr="003266D1" w:rsidR="00A41C4D">
        <w:rPr>
          <w:b/>
        </w:rPr>
        <w:t>434</w:t>
      </w:r>
    </w:p>
    <w:p w:rsidRPr="003266D1" w:rsidR="00EC379A" w:rsidP="00EC379A" w:rsidRDefault="00EC379A" w14:paraId="6BA876BF" w14:textId="77777777">
      <w:pPr>
        <w:rPr>
          <w:b/>
        </w:rPr>
      </w:pPr>
      <w:r w:rsidRPr="003266D1">
        <w:rPr>
          <w:b/>
        </w:rPr>
        <w:t>Submission deadline: Wednesday 01/04/2026 by 2pm</w:t>
      </w:r>
    </w:p>
    <w:p w:rsidRPr="003266D1" w:rsidR="00383DFD" w:rsidRDefault="00383DFD" w14:paraId="0D18FD3F" w14:textId="77777777">
      <w:pPr>
        <w:spacing w:before="0" w:after="160" w:line="259" w:lineRule="auto"/>
        <w:jc w:val="left"/>
        <w:rPr>
          <w:b/>
          <w:bCs/>
        </w:rPr>
      </w:pPr>
      <w:r w:rsidRPr="003266D1">
        <w:rPr>
          <w:b/>
          <w:bCs/>
        </w:rPr>
        <w:br w:type="page"/>
      </w:r>
    </w:p>
    <w:p w:rsidRPr="003266D1" w:rsidR="00383DFD" w:rsidP="00E85270" w:rsidRDefault="00383DFD" w14:paraId="12B80F9D" w14:textId="77777777">
      <w:pPr>
        <w:pStyle w:val="Heading1"/>
        <w:numPr>
          <w:ilvl w:val="0"/>
          <w:numId w:val="0"/>
        </w:numPr>
        <w:ind w:left="360"/>
        <w:rPr>
          <w:color w:val="auto"/>
        </w:rPr>
      </w:pPr>
      <w:bookmarkStart w:name="_Toc224947378" w:id="0"/>
      <w:r w:rsidRPr="003266D1">
        <w:rPr>
          <w:color w:val="auto"/>
        </w:rPr>
        <w:lastRenderedPageBreak/>
        <w:t>Executive Summary</w:t>
      </w:r>
      <w:bookmarkEnd w:id="0"/>
    </w:p>
    <w:p w:rsidRPr="003266D1" w:rsidR="00383DFD" w:rsidP="00383DFD" w:rsidRDefault="00383DFD" w14:paraId="3A3BB694" w14:textId="77777777">
      <w:pPr>
        <w:rPr>
          <w:szCs w:val="24"/>
          <w:lang w:val="en-US"/>
        </w:rPr>
      </w:pPr>
      <w:r w:rsidRPr="003266D1">
        <w:rPr>
          <w:szCs w:val="24"/>
          <w:lang w:val="en-US"/>
        </w:rPr>
        <w:t xml:space="preserve">The report critically analyses the strategic management practises of Volkswagen Group focusing on how the firm aligns the capabilities of the firm with a business environment that is vulnerable to change in order to build a sustainable competitive advantage. The analysis shows that the strategic environment of Volkswagen is </w:t>
      </w:r>
      <w:proofErr w:type="spellStart"/>
      <w:r w:rsidRPr="003266D1">
        <w:rPr>
          <w:szCs w:val="24"/>
          <w:lang w:val="en-US"/>
        </w:rPr>
        <w:t>characterised</w:t>
      </w:r>
      <w:proofErr w:type="spellEnd"/>
      <w:r w:rsidRPr="003266D1">
        <w:rPr>
          <w:szCs w:val="24"/>
          <w:lang w:val="en-US"/>
        </w:rPr>
        <w:t xml:space="preserve"> by stricter regulations on CO2 standards in Europe, growing competition between Chinese EV producers, and a very high rate of technological change to software-defined cars. The response of Volkswagen lies in platform modularity and portfolio breadth and transformation agenda that is a combination of electrification, </w:t>
      </w:r>
      <w:proofErr w:type="spellStart"/>
      <w:r w:rsidRPr="003266D1">
        <w:rPr>
          <w:szCs w:val="24"/>
          <w:lang w:val="en-US"/>
        </w:rPr>
        <w:t>digitalisation</w:t>
      </w:r>
      <w:proofErr w:type="spellEnd"/>
      <w:r w:rsidRPr="003266D1">
        <w:rPr>
          <w:szCs w:val="24"/>
          <w:lang w:val="en-US"/>
        </w:rPr>
        <w:t xml:space="preserve"> and sustainability commitments. </w:t>
      </w:r>
    </w:p>
    <w:p w:rsidRPr="003266D1" w:rsidR="00383DFD" w:rsidP="00383DFD" w:rsidRDefault="00383DFD" w14:paraId="1FD81C9E" w14:textId="77777777">
      <w:pPr>
        <w:rPr>
          <w:szCs w:val="24"/>
          <w:lang w:val="en-US"/>
        </w:rPr>
      </w:pPr>
      <w:r w:rsidRPr="003266D1">
        <w:rPr>
          <w:szCs w:val="24"/>
          <w:lang w:val="en-US"/>
        </w:rPr>
        <w:t xml:space="preserve">External analysis based on PESTEL and competitive dynamics indicating compliance flexibility till 2027 without alleviating the overall strategic control of enhancing speed in product and cost and software capabilities (European Parliament and Council, 2025). Internal perspective VRIO analysis shows that the modular platform system and worldwide manufacturing scale can establish an advantage in Volkswagen provided that the alignment and execution discipline stay high according to the resource-based logic (Chatzoglou et al., 2018; Paz and Ruiz Gálvez, 2021). </w:t>
      </w:r>
    </w:p>
    <w:p w:rsidRPr="003266D1" w:rsidR="00383DFD" w:rsidP="00383DFD" w:rsidRDefault="00383DFD" w14:paraId="40CE8C80" w14:textId="77777777">
      <w:pPr>
        <w:rPr>
          <w:szCs w:val="24"/>
          <w:lang w:val="en-US"/>
        </w:rPr>
      </w:pPr>
      <w:r w:rsidRPr="003266D1">
        <w:rPr>
          <w:szCs w:val="24"/>
          <w:lang w:val="en-US"/>
        </w:rPr>
        <w:t xml:space="preserve">Nevertheless, the report also mentions the presence of the execution risks of the matter, which is associated with the </w:t>
      </w:r>
      <w:proofErr w:type="spellStart"/>
      <w:r w:rsidRPr="003266D1">
        <w:rPr>
          <w:szCs w:val="24"/>
          <w:lang w:val="en-US"/>
        </w:rPr>
        <w:t>organisational</w:t>
      </w:r>
      <w:proofErr w:type="spellEnd"/>
      <w:r w:rsidRPr="003266D1">
        <w:rPr>
          <w:szCs w:val="24"/>
          <w:lang w:val="en-US"/>
        </w:rPr>
        <w:t xml:space="preserve"> complexity, software delivery, and competitive pressure in China (Reuters, 2025). Balanced Scorecard is a transformation of the strategic priorities into quantifiable goals and initiatives (Kaplan and Norton, 1996). The report proposes a more focused portfolio and platform governance approach, a more integrated software and partnership capabilities, and a China strategy anchored on customer value differentiation and local innovation, and controlled by KPI-based assessment and risk management systems.</w:t>
      </w:r>
    </w:p>
    <w:p w:rsidRPr="003266D1" w:rsidR="00B52205" w:rsidRDefault="00B52205" w14:paraId="5ED687DE" w14:textId="424991D9">
      <w:pPr>
        <w:spacing w:before="0" w:after="160" w:line="259" w:lineRule="auto"/>
        <w:jc w:val="left"/>
        <w:rPr>
          <w:b/>
          <w:bCs/>
          <w:lang w:val="en-US"/>
        </w:rPr>
      </w:pPr>
      <w:r w:rsidRPr="003266D1">
        <w:rPr>
          <w:b/>
          <w:bCs/>
        </w:rPr>
        <w:br w:type="page"/>
      </w:r>
    </w:p>
    <w:sdt>
      <w:sdtPr>
        <w:id w:val="-1451705475"/>
        <w:docPartObj>
          <w:docPartGallery w:val="Table of Contents"/>
          <w:docPartUnique/>
        </w:docPartObj>
      </w:sdtPr>
      <w:sdtEndPr>
        <w:rPr>
          <w:b/>
          <w:bCs/>
          <w:noProof/>
        </w:rPr>
      </w:sdtEndPr>
      <w:sdtContent>
        <w:p w:rsidRPr="003266D1" w:rsidR="008E36B5" w:rsidP="00EC379A" w:rsidRDefault="008E36B5" w14:paraId="2376A400" w14:textId="52850924">
          <w:pPr>
            <w:jc w:val="center"/>
            <w:rPr>
              <w:b/>
              <w:bCs/>
              <w:sz w:val="28"/>
              <w:szCs w:val="24"/>
            </w:rPr>
          </w:pPr>
          <w:r w:rsidRPr="003266D1">
            <w:rPr>
              <w:b/>
              <w:bCs/>
              <w:sz w:val="28"/>
              <w:szCs w:val="24"/>
            </w:rPr>
            <w:t>Table of Contents</w:t>
          </w:r>
        </w:p>
        <w:p w:rsidRPr="003266D1" w:rsidR="00371EA5" w:rsidRDefault="008E36B5" w14:paraId="79511E45" w14:textId="19146DD5">
          <w:pPr>
            <w:pStyle w:val="TOC1"/>
            <w:rPr>
              <w:rFonts w:asciiTheme="minorHAnsi" w:hAnsiTheme="minorHAnsi" w:eastAsiaTheme="minorEastAsia" w:cstheme="minorBidi"/>
              <w:b w:val="0"/>
              <w:bCs w:val="0"/>
              <w:szCs w:val="24"/>
              <w:lang w:val="en-US" w:eastAsia="en-US"/>
            </w:rPr>
          </w:pPr>
          <w:r w:rsidRPr="003266D1">
            <w:rPr>
              <w:b w:val="0"/>
              <w:bCs w:val="0"/>
              <w:noProof w:val="0"/>
            </w:rPr>
            <w:fldChar w:fldCharType="begin"/>
          </w:r>
          <w:r w:rsidRPr="003266D1">
            <w:rPr>
              <w:b w:val="0"/>
              <w:bCs w:val="0"/>
            </w:rPr>
            <w:instrText xml:space="preserve"> TOC \o "1-3" \h \z \u </w:instrText>
          </w:r>
          <w:r w:rsidRPr="003266D1">
            <w:rPr>
              <w:b w:val="0"/>
              <w:bCs w:val="0"/>
              <w:noProof w:val="0"/>
            </w:rPr>
            <w:fldChar w:fldCharType="separate"/>
          </w:r>
          <w:hyperlink w:history="1" w:anchor="_Toc224947378">
            <w:r w:rsidRPr="003266D1" w:rsidR="00371EA5">
              <w:rPr>
                <w:rStyle w:val="Hyperlink"/>
                <w:color w:val="auto"/>
              </w:rPr>
              <w:t>Executive Summary</w:t>
            </w:r>
            <w:r w:rsidRPr="003266D1" w:rsidR="00371EA5">
              <w:rPr>
                <w:webHidden/>
              </w:rPr>
              <w:tab/>
            </w:r>
            <w:r w:rsidRPr="003266D1" w:rsidR="00371EA5">
              <w:rPr>
                <w:webHidden/>
              </w:rPr>
              <w:fldChar w:fldCharType="begin"/>
            </w:r>
            <w:r w:rsidRPr="003266D1" w:rsidR="00371EA5">
              <w:rPr>
                <w:webHidden/>
              </w:rPr>
              <w:instrText xml:space="preserve"> PAGEREF _Toc224947378 \h </w:instrText>
            </w:r>
            <w:r w:rsidRPr="003266D1" w:rsidR="00371EA5">
              <w:rPr>
                <w:webHidden/>
              </w:rPr>
            </w:r>
            <w:r w:rsidRPr="003266D1" w:rsidR="00371EA5">
              <w:rPr>
                <w:webHidden/>
              </w:rPr>
              <w:fldChar w:fldCharType="separate"/>
            </w:r>
            <w:r w:rsidRPr="003266D1" w:rsidR="00371EA5">
              <w:rPr>
                <w:webHidden/>
              </w:rPr>
              <w:t>2</w:t>
            </w:r>
            <w:r w:rsidRPr="003266D1" w:rsidR="00371EA5">
              <w:rPr>
                <w:webHidden/>
              </w:rPr>
              <w:fldChar w:fldCharType="end"/>
            </w:r>
          </w:hyperlink>
        </w:p>
        <w:p w:rsidRPr="003266D1" w:rsidR="00371EA5" w:rsidRDefault="00371EA5" w14:paraId="38032392" w14:textId="344DC7BB">
          <w:pPr>
            <w:pStyle w:val="TOC1"/>
            <w:tabs>
              <w:tab w:val="left" w:pos="480"/>
            </w:tabs>
            <w:rPr>
              <w:rFonts w:asciiTheme="minorHAnsi" w:hAnsiTheme="minorHAnsi" w:eastAsiaTheme="minorEastAsia" w:cstheme="minorBidi"/>
              <w:b w:val="0"/>
              <w:bCs w:val="0"/>
              <w:szCs w:val="24"/>
              <w:lang w:val="en-US" w:eastAsia="en-US"/>
            </w:rPr>
          </w:pPr>
          <w:hyperlink w:history="1" w:anchor="_Toc224947379">
            <w:r w:rsidRPr="003266D1">
              <w:rPr>
                <w:rStyle w:val="Hyperlink"/>
                <w:color w:val="auto"/>
              </w:rPr>
              <w:t>1.</w:t>
            </w:r>
            <w:r w:rsidRPr="003266D1">
              <w:rPr>
                <w:rFonts w:asciiTheme="minorHAnsi" w:hAnsiTheme="minorHAnsi" w:eastAsiaTheme="minorEastAsia" w:cstheme="minorBidi"/>
                <w:b w:val="0"/>
                <w:bCs w:val="0"/>
                <w:szCs w:val="24"/>
                <w:lang w:val="en-US" w:eastAsia="en-US"/>
              </w:rPr>
              <w:tab/>
            </w:r>
            <w:r w:rsidRPr="003266D1">
              <w:rPr>
                <w:rStyle w:val="Hyperlink"/>
                <w:color w:val="auto"/>
              </w:rPr>
              <w:t>Introduction</w:t>
            </w:r>
            <w:r w:rsidRPr="003266D1">
              <w:rPr>
                <w:webHidden/>
              </w:rPr>
              <w:tab/>
            </w:r>
            <w:r w:rsidRPr="003266D1">
              <w:rPr>
                <w:webHidden/>
              </w:rPr>
              <w:fldChar w:fldCharType="begin"/>
            </w:r>
            <w:r w:rsidRPr="003266D1">
              <w:rPr>
                <w:webHidden/>
              </w:rPr>
              <w:instrText xml:space="preserve"> PAGEREF _Toc224947379 \h </w:instrText>
            </w:r>
            <w:r w:rsidRPr="003266D1">
              <w:rPr>
                <w:webHidden/>
              </w:rPr>
            </w:r>
            <w:r w:rsidRPr="003266D1">
              <w:rPr>
                <w:webHidden/>
              </w:rPr>
              <w:fldChar w:fldCharType="separate"/>
            </w:r>
            <w:r w:rsidRPr="003266D1">
              <w:rPr>
                <w:webHidden/>
              </w:rPr>
              <w:t>5</w:t>
            </w:r>
            <w:r w:rsidRPr="003266D1">
              <w:rPr>
                <w:webHidden/>
              </w:rPr>
              <w:fldChar w:fldCharType="end"/>
            </w:r>
          </w:hyperlink>
        </w:p>
        <w:p w:rsidRPr="003266D1" w:rsidR="00371EA5" w:rsidRDefault="00371EA5" w14:paraId="6B785E18" w14:textId="7C0EEE28">
          <w:pPr>
            <w:pStyle w:val="TOC1"/>
            <w:tabs>
              <w:tab w:val="left" w:pos="480"/>
            </w:tabs>
            <w:rPr>
              <w:rFonts w:asciiTheme="minorHAnsi" w:hAnsiTheme="minorHAnsi" w:eastAsiaTheme="minorEastAsia" w:cstheme="minorBidi"/>
              <w:b w:val="0"/>
              <w:bCs w:val="0"/>
              <w:szCs w:val="24"/>
              <w:lang w:val="en-US" w:eastAsia="en-US"/>
            </w:rPr>
          </w:pPr>
          <w:hyperlink w:history="1" w:anchor="_Toc224947380">
            <w:r w:rsidRPr="003266D1">
              <w:rPr>
                <w:rStyle w:val="Hyperlink"/>
                <w:color w:val="auto"/>
              </w:rPr>
              <w:t>2.</w:t>
            </w:r>
            <w:r w:rsidRPr="003266D1">
              <w:rPr>
                <w:rFonts w:asciiTheme="minorHAnsi" w:hAnsiTheme="minorHAnsi" w:eastAsiaTheme="minorEastAsia" w:cstheme="minorBidi"/>
                <w:b w:val="0"/>
                <w:bCs w:val="0"/>
                <w:szCs w:val="24"/>
                <w:lang w:val="en-US" w:eastAsia="en-US"/>
              </w:rPr>
              <w:tab/>
            </w:r>
            <w:r w:rsidRPr="003266D1">
              <w:rPr>
                <w:rStyle w:val="Hyperlink"/>
                <w:color w:val="auto"/>
              </w:rPr>
              <w:t>Current Situation</w:t>
            </w:r>
            <w:r w:rsidRPr="003266D1">
              <w:rPr>
                <w:webHidden/>
              </w:rPr>
              <w:tab/>
            </w:r>
            <w:r w:rsidRPr="003266D1">
              <w:rPr>
                <w:webHidden/>
              </w:rPr>
              <w:fldChar w:fldCharType="begin"/>
            </w:r>
            <w:r w:rsidRPr="003266D1">
              <w:rPr>
                <w:webHidden/>
              </w:rPr>
              <w:instrText xml:space="preserve"> PAGEREF _Toc224947380 \h </w:instrText>
            </w:r>
            <w:r w:rsidRPr="003266D1">
              <w:rPr>
                <w:webHidden/>
              </w:rPr>
            </w:r>
            <w:r w:rsidRPr="003266D1">
              <w:rPr>
                <w:webHidden/>
              </w:rPr>
              <w:fldChar w:fldCharType="separate"/>
            </w:r>
            <w:r w:rsidRPr="003266D1">
              <w:rPr>
                <w:webHidden/>
              </w:rPr>
              <w:t>6</w:t>
            </w:r>
            <w:r w:rsidRPr="003266D1">
              <w:rPr>
                <w:webHidden/>
              </w:rPr>
              <w:fldChar w:fldCharType="end"/>
            </w:r>
          </w:hyperlink>
        </w:p>
        <w:p w:rsidRPr="003266D1" w:rsidR="00371EA5" w:rsidRDefault="00371EA5" w14:paraId="03BEB88E" w14:textId="403DF88C">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81">
            <w:r w:rsidRPr="003266D1">
              <w:rPr>
                <w:rStyle w:val="Hyperlink"/>
                <w:rFonts w:eastAsiaTheme="majorEastAsia"/>
                <w:noProof/>
                <w:color w:val="auto"/>
              </w:rPr>
              <w:t>2.1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Description of the Business</w:t>
            </w:r>
            <w:r w:rsidRPr="003266D1">
              <w:rPr>
                <w:noProof/>
                <w:webHidden/>
              </w:rPr>
              <w:tab/>
            </w:r>
            <w:r w:rsidRPr="003266D1">
              <w:rPr>
                <w:noProof/>
                <w:webHidden/>
              </w:rPr>
              <w:fldChar w:fldCharType="begin"/>
            </w:r>
            <w:r w:rsidRPr="003266D1">
              <w:rPr>
                <w:noProof/>
                <w:webHidden/>
              </w:rPr>
              <w:instrText xml:space="preserve"> PAGEREF _Toc224947381 \h </w:instrText>
            </w:r>
            <w:r w:rsidRPr="003266D1">
              <w:rPr>
                <w:noProof/>
                <w:webHidden/>
              </w:rPr>
            </w:r>
            <w:r w:rsidRPr="003266D1">
              <w:rPr>
                <w:noProof/>
                <w:webHidden/>
              </w:rPr>
              <w:fldChar w:fldCharType="separate"/>
            </w:r>
            <w:r w:rsidRPr="003266D1">
              <w:rPr>
                <w:noProof/>
                <w:webHidden/>
              </w:rPr>
              <w:t>6</w:t>
            </w:r>
            <w:r w:rsidRPr="003266D1">
              <w:rPr>
                <w:noProof/>
                <w:webHidden/>
              </w:rPr>
              <w:fldChar w:fldCharType="end"/>
            </w:r>
          </w:hyperlink>
        </w:p>
        <w:p w:rsidRPr="003266D1" w:rsidR="00371EA5" w:rsidRDefault="00371EA5" w14:paraId="46BAE08C" w14:textId="33DD49E2">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82">
            <w:r w:rsidRPr="003266D1">
              <w:rPr>
                <w:rStyle w:val="Hyperlink"/>
                <w:rFonts w:eastAsiaTheme="majorEastAsia"/>
                <w:noProof/>
                <w:color w:val="auto"/>
              </w:rPr>
              <w:t>2.2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Industry, competitors, and market position</w:t>
            </w:r>
            <w:r w:rsidRPr="003266D1">
              <w:rPr>
                <w:noProof/>
                <w:webHidden/>
              </w:rPr>
              <w:tab/>
            </w:r>
            <w:r w:rsidRPr="003266D1">
              <w:rPr>
                <w:noProof/>
                <w:webHidden/>
              </w:rPr>
              <w:fldChar w:fldCharType="begin"/>
            </w:r>
            <w:r w:rsidRPr="003266D1">
              <w:rPr>
                <w:noProof/>
                <w:webHidden/>
              </w:rPr>
              <w:instrText xml:space="preserve"> PAGEREF _Toc224947382 \h </w:instrText>
            </w:r>
            <w:r w:rsidRPr="003266D1">
              <w:rPr>
                <w:noProof/>
                <w:webHidden/>
              </w:rPr>
            </w:r>
            <w:r w:rsidRPr="003266D1">
              <w:rPr>
                <w:noProof/>
                <w:webHidden/>
              </w:rPr>
              <w:fldChar w:fldCharType="separate"/>
            </w:r>
            <w:r w:rsidRPr="003266D1">
              <w:rPr>
                <w:noProof/>
                <w:webHidden/>
              </w:rPr>
              <w:t>7</w:t>
            </w:r>
            <w:r w:rsidRPr="003266D1">
              <w:rPr>
                <w:noProof/>
                <w:webHidden/>
              </w:rPr>
              <w:fldChar w:fldCharType="end"/>
            </w:r>
          </w:hyperlink>
        </w:p>
        <w:p w:rsidRPr="003266D1" w:rsidR="00371EA5" w:rsidRDefault="00371EA5" w14:paraId="0A454736" w14:textId="76C074B2">
          <w:pPr>
            <w:pStyle w:val="TOC1"/>
            <w:tabs>
              <w:tab w:val="left" w:pos="480"/>
            </w:tabs>
            <w:rPr>
              <w:rFonts w:asciiTheme="minorHAnsi" w:hAnsiTheme="minorHAnsi" w:eastAsiaTheme="minorEastAsia" w:cstheme="minorBidi"/>
              <w:b w:val="0"/>
              <w:bCs w:val="0"/>
              <w:szCs w:val="24"/>
              <w:lang w:val="en-US" w:eastAsia="en-US"/>
            </w:rPr>
          </w:pPr>
          <w:hyperlink w:history="1" w:anchor="_Toc224947383">
            <w:r w:rsidRPr="003266D1">
              <w:rPr>
                <w:rStyle w:val="Hyperlink"/>
                <w:color w:val="auto"/>
              </w:rPr>
              <w:t>3.</w:t>
            </w:r>
            <w:r w:rsidRPr="003266D1">
              <w:rPr>
                <w:rFonts w:asciiTheme="minorHAnsi" w:hAnsiTheme="minorHAnsi" w:eastAsiaTheme="minorEastAsia" w:cstheme="minorBidi"/>
                <w:b w:val="0"/>
                <w:bCs w:val="0"/>
                <w:szCs w:val="24"/>
                <w:lang w:val="en-US" w:eastAsia="en-US"/>
              </w:rPr>
              <w:tab/>
            </w:r>
            <w:r w:rsidRPr="003266D1">
              <w:rPr>
                <w:rStyle w:val="Hyperlink"/>
                <w:color w:val="auto"/>
              </w:rPr>
              <w:t>External Audit</w:t>
            </w:r>
            <w:r w:rsidRPr="003266D1">
              <w:rPr>
                <w:webHidden/>
              </w:rPr>
              <w:tab/>
            </w:r>
            <w:r w:rsidRPr="003266D1">
              <w:rPr>
                <w:webHidden/>
              </w:rPr>
              <w:fldChar w:fldCharType="begin"/>
            </w:r>
            <w:r w:rsidRPr="003266D1">
              <w:rPr>
                <w:webHidden/>
              </w:rPr>
              <w:instrText xml:space="preserve"> PAGEREF _Toc224947383 \h </w:instrText>
            </w:r>
            <w:r w:rsidRPr="003266D1">
              <w:rPr>
                <w:webHidden/>
              </w:rPr>
            </w:r>
            <w:r w:rsidRPr="003266D1">
              <w:rPr>
                <w:webHidden/>
              </w:rPr>
              <w:fldChar w:fldCharType="separate"/>
            </w:r>
            <w:r w:rsidRPr="003266D1">
              <w:rPr>
                <w:webHidden/>
              </w:rPr>
              <w:t>8</w:t>
            </w:r>
            <w:r w:rsidRPr="003266D1">
              <w:rPr>
                <w:webHidden/>
              </w:rPr>
              <w:fldChar w:fldCharType="end"/>
            </w:r>
          </w:hyperlink>
        </w:p>
        <w:p w:rsidRPr="003266D1" w:rsidR="00371EA5" w:rsidRDefault="00371EA5" w14:paraId="1EC988C2" w14:textId="3BBBFC5D">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84">
            <w:r w:rsidRPr="003266D1">
              <w:rPr>
                <w:rStyle w:val="Hyperlink"/>
                <w:rFonts w:eastAsiaTheme="majorEastAsia"/>
                <w:noProof/>
                <w:color w:val="auto"/>
              </w:rPr>
              <w:t>3.1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External environment and its importance</w:t>
            </w:r>
            <w:r w:rsidRPr="003266D1">
              <w:rPr>
                <w:noProof/>
                <w:webHidden/>
              </w:rPr>
              <w:tab/>
            </w:r>
            <w:r w:rsidRPr="003266D1">
              <w:rPr>
                <w:noProof/>
                <w:webHidden/>
              </w:rPr>
              <w:fldChar w:fldCharType="begin"/>
            </w:r>
            <w:r w:rsidRPr="003266D1">
              <w:rPr>
                <w:noProof/>
                <w:webHidden/>
              </w:rPr>
              <w:instrText xml:space="preserve"> PAGEREF _Toc224947384 \h </w:instrText>
            </w:r>
            <w:r w:rsidRPr="003266D1">
              <w:rPr>
                <w:noProof/>
                <w:webHidden/>
              </w:rPr>
            </w:r>
            <w:r w:rsidRPr="003266D1">
              <w:rPr>
                <w:noProof/>
                <w:webHidden/>
              </w:rPr>
              <w:fldChar w:fldCharType="separate"/>
            </w:r>
            <w:r w:rsidRPr="003266D1">
              <w:rPr>
                <w:noProof/>
                <w:webHidden/>
              </w:rPr>
              <w:t>8</w:t>
            </w:r>
            <w:r w:rsidRPr="003266D1">
              <w:rPr>
                <w:noProof/>
                <w:webHidden/>
              </w:rPr>
              <w:fldChar w:fldCharType="end"/>
            </w:r>
          </w:hyperlink>
        </w:p>
        <w:p w:rsidRPr="003266D1" w:rsidR="00371EA5" w:rsidRDefault="00371EA5" w14:paraId="34903F69" w14:textId="1FB9DF8D">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85">
            <w:r w:rsidRPr="003266D1">
              <w:rPr>
                <w:rStyle w:val="Hyperlink"/>
                <w:rFonts w:eastAsiaTheme="majorEastAsia"/>
                <w:noProof/>
                <w:color w:val="auto"/>
              </w:rPr>
              <w:t>3.2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PESTEL Analysis for Volkswagen and key issues emerging</w:t>
            </w:r>
            <w:r w:rsidRPr="003266D1">
              <w:rPr>
                <w:noProof/>
                <w:webHidden/>
              </w:rPr>
              <w:tab/>
            </w:r>
            <w:r w:rsidRPr="003266D1">
              <w:rPr>
                <w:noProof/>
                <w:webHidden/>
              </w:rPr>
              <w:fldChar w:fldCharType="begin"/>
            </w:r>
            <w:r w:rsidRPr="003266D1">
              <w:rPr>
                <w:noProof/>
                <w:webHidden/>
              </w:rPr>
              <w:instrText xml:space="preserve"> PAGEREF _Toc224947385 \h </w:instrText>
            </w:r>
            <w:r w:rsidRPr="003266D1">
              <w:rPr>
                <w:noProof/>
                <w:webHidden/>
              </w:rPr>
            </w:r>
            <w:r w:rsidRPr="003266D1">
              <w:rPr>
                <w:noProof/>
                <w:webHidden/>
              </w:rPr>
              <w:fldChar w:fldCharType="separate"/>
            </w:r>
            <w:r w:rsidRPr="003266D1">
              <w:rPr>
                <w:noProof/>
                <w:webHidden/>
              </w:rPr>
              <w:t>8</w:t>
            </w:r>
            <w:r w:rsidRPr="003266D1">
              <w:rPr>
                <w:noProof/>
                <w:webHidden/>
              </w:rPr>
              <w:fldChar w:fldCharType="end"/>
            </w:r>
          </w:hyperlink>
        </w:p>
        <w:p w:rsidRPr="003266D1" w:rsidR="00371EA5" w:rsidRDefault="00371EA5" w14:paraId="1CDD7D2F" w14:textId="02BB7A54">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86">
            <w:r w:rsidRPr="003266D1">
              <w:rPr>
                <w:rStyle w:val="Hyperlink"/>
                <w:rFonts w:eastAsiaTheme="majorEastAsia"/>
                <w:noProof/>
                <w:color w:val="auto"/>
              </w:rPr>
              <w:t>3.3</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Industrial Organization (I/O) Model of Above-Average Returns</w:t>
            </w:r>
            <w:r w:rsidRPr="003266D1">
              <w:rPr>
                <w:noProof/>
                <w:webHidden/>
              </w:rPr>
              <w:tab/>
            </w:r>
            <w:r w:rsidRPr="003266D1">
              <w:rPr>
                <w:noProof/>
                <w:webHidden/>
              </w:rPr>
              <w:fldChar w:fldCharType="begin"/>
            </w:r>
            <w:r w:rsidRPr="003266D1">
              <w:rPr>
                <w:noProof/>
                <w:webHidden/>
              </w:rPr>
              <w:instrText xml:space="preserve"> PAGEREF _Toc224947386 \h </w:instrText>
            </w:r>
            <w:r w:rsidRPr="003266D1">
              <w:rPr>
                <w:noProof/>
                <w:webHidden/>
              </w:rPr>
            </w:r>
            <w:r w:rsidRPr="003266D1">
              <w:rPr>
                <w:noProof/>
                <w:webHidden/>
              </w:rPr>
              <w:fldChar w:fldCharType="separate"/>
            </w:r>
            <w:r w:rsidRPr="003266D1">
              <w:rPr>
                <w:noProof/>
                <w:webHidden/>
              </w:rPr>
              <w:t>9</w:t>
            </w:r>
            <w:r w:rsidRPr="003266D1">
              <w:rPr>
                <w:noProof/>
                <w:webHidden/>
              </w:rPr>
              <w:fldChar w:fldCharType="end"/>
            </w:r>
          </w:hyperlink>
        </w:p>
        <w:p w:rsidRPr="003266D1" w:rsidR="00371EA5" w:rsidRDefault="00371EA5" w14:paraId="781825F9" w14:textId="4829D4B3">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87">
            <w:r w:rsidRPr="003266D1">
              <w:rPr>
                <w:rStyle w:val="Hyperlink"/>
                <w:rFonts w:eastAsiaTheme="majorEastAsia"/>
                <w:noProof/>
                <w:color w:val="auto"/>
              </w:rPr>
              <w:t>3.4</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Competitive dynamics using Porter’s Five Forces Framework</w:t>
            </w:r>
            <w:r w:rsidRPr="003266D1">
              <w:rPr>
                <w:noProof/>
                <w:webHidden/>
              </w:rPr>
              <w:tab/>
            </w:r>
            <w:r w:rsidRPr="003266D1">
              <w:rPr>
                <w:noProof/>
                <w:webHidden/>
              </w:rPr>
              <w:fldChar w:fldCharType="begin"/>
            </w:r>
            <w:r w:rsidRPr="003266D1">
              <w:rPr>
                <w:noProof/>
                <w:webHidden/>
              </w:rPr>
              <w:instrText xml:space="preserve"> PAGEREF _Toc224947387 \h </w:instrText>
            </w:r>
            <w:r w:rsidRPr="003266D1">
              <w:rPr>
                <w:noProof/>
                <w:webHidden/>
              </w:rPr>
            </w:r>
            <w:r w:rsidRPr="003266D1">
              <w:rPr>
                <w:noProof/>
                <w:webHidden/>
              </w:rPr>
              <w:fldChar w:fldCharType="separate"/>
            </w:r>
            <w:r w:rsidRPr="003266D1">
              <w:rPr>
                <w:noProof/>
                <w:webHidden/>
              </w:rPr>
              <w:t>10</w:t>
            </w:r>
            <w:r w:rsidRPr="003266D1">
              <w:rPr>
                <w:noProof/>
                <w:webHidden/>
              </w:rPr>
              <w:fldChar w:fldCharType="end"/>
            </w:r>
          </w:hyperlink>
        </w:p>
        <w:p w:rsidRPr="003266D1" w:rsidR="00371EA5" w:rsidRDefault="00371EA5" w14:paraId="5175C09C" w14:textId="10C619FB">
          <w:pPr>
            <w:pStyle w:val="TOC1"/>
            <w:tabs>
              <w:tab w:val="left" w:pos="480"/>
            </w:tabs>
            <w:rPr>
              <w:rFonts w:asciiTheme="minorHAnsi" w:hAnsiTheme="minorHAnsi" w:eastAsiaTheme="minorEastAsia" w:cstheme="minorBidi"/>
              <w:b w:val="0"/>
              <w:bCs w:val="0"/>
              <w:szCs w:val="24"/>
              <w:lang w:val="en-US" w:eastAsia="en-US"/>
            </w:rPr>
          </w:pPr>
          <w:hyperlink w:history="1" w:anchor="_Toc224947388">
            <w:r w:rsidRPr="003266D1">
              <w:rPr>
                <w:rStyle w:val="Hyperlink"/>
                <w:color w:val="auto"/>
              </w:rPr>
              <w:t>4.</w:t>
            </w:r>
            <w:r w:rsidRPr="003266D1">
              <w:rPr>
                <w:rFonts w:asciiTheme="minorHAnsi" w:hAnsiTheme="minorHAnsi" w:eastAsiaTheme="minorEastAsia" w:cstheme="minorBidi"/>
                <w:b w:val="0"/>
                <w:bCs w:val="0"/>
                <w:szCs w:val="24"/>
                <w:lang w:val="en-US" w:eastAsia="en-US"/>
              </w:rPr>
              <w:tab/>
            </w:r>
            <w:r w:rsidRPr="003266D1">
              <w:rPr>
                <w:rStyle w:val="Hyperlink"/>
                <w:color w:val="auto"/>
              </w:rPr>
              <w:t>Internal Audit</w:t>
            </w:r>
            <w:r w:rsidRPr="003266D1">
              <w:rPr>
                <w:webHidden/>
              </w:rPr>
              <w:tab/>
            </w:r>
            <w:r w:rsidRPr="003266D1">
              <w:rPr>
                <w:webHidden/>
              </w:rPr>
              <w:fldChar w:fldCharType="begin"/>
            </w:r>
            <w:r w:rsidRPr="003266D1">
              <w:rPr>
                <w:webHidden/>
              </w:rPr>
              <w:instrText xml:space="preserve"> PAGEREF _Toc224947388 \h </w:instrText>
            </w:r>
            <w:r w:rsidRPr="003266D1">
              <w:rPr>
                <w:webHidden/>
              </w:rPr>
            </w:r>
            <w:r w:rsidRPr="003266D1">
              <w:rPr>
                <w:webHidden/>
              </w:rPr>
              <w:fldChar w:fldCharType="separate"/>
            </w:r>
            <w:r w:rsidRPr="003266D1">
              <w:rPr>
                <w:webHidden/>
              </w:rPr>
              <w:t>12</w:t>
            </w:r>
            <w:r w:rsidRPr="003266D1">
              <w:rPr>
                <w:webHidden/>
              </w:rPr>
              <w:fldChar w:fldCharType="end"/>
            </w:r>
          </w:hyperlink>
        </w:p>
        <w:p w:rsidRPr="003266D1" w:rsidR="00371EA5" w:rsidRDefault="00371EA5" w14:paraId="2D6B03F4" w14:textId="091D811F">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89">
            <w:r w:rsidRPr="003266D1">
              <w:rPr>
                <w:rStyle w:val="Hyperlink"/>
                <w:rFonts w:eastAsiaTheme="majorEastAsia"/>
                <w:noProof/>
                <w:color w:val="auto"/>
              </w:rPr>
              <w:t>4.1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Internal environment and its importance</w:t>
            </w:r>
            <w:r w:rsidRPr="003266D1">
              <w:rPr>
                <w:noProof/>
                <w:webHidden/>
              </w:rPr>
              <w:tab/>
            </w:r>
            <w:r w:rsidRPr="003266D1">
              <w:rPr>
                <w:noProof/>
                <w:webHidden/>
              </w:rPr>
              <w:fldChar w:fldCharType="begin"/>
            </w:r>
            <w:r w:rsidRPr="003266D1">
              <w:rPr>
                <w:noProof/>
                <w:webHidden/>
              </w:rPr>
              <w:instrText xml:space="preserve"> PAGEREF _Toc224947389 \h </w:instrText>
            </w:r>
            <w:r w:rsidRPr="003266D1">
              <w:rPr>
                <w:noProof/>
                <w:webHidden/>
              </w:rPr>
            </w:r>
            <w:r w:rsidRPr="003266D1">
              <w:rPr>
                <w:noProof/>
                <w:webHidden/>
              </w:rPr>
              <w:fldChar w:fldCharType="separate"/>
            </w:r>
            <w:r w:rsidRPr="003266D1">
              <w:rPr>
                <w:noProof/>
                <w:webHidden/>
              </w:rPr>
              <w:t>12</w:t>
            </w:r>
            <w:r w:rsidRPr="003266D1">
              <w:rPr>
                <w:noProof/>
                <w:webHidden/>
              </w:rPr>
              <w:fldChar w:fldCharType="end"/>
            </w:r>
          </w:hyperlink>
        </w:p>
        <w:p w:rsidRPr="003266D1" w:rsidR="00371EA5" w:rsidRDefault="00371EA5" w14:paraId="7D8374F7" w14:textId="308C00C0">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0">
            <w:r w:rsidRPr="003266D1">
              <w:rPr>
                <w:rStyle w:val="Hyperlink"/>
                <w:rFonts w:eastAsiaTheme="majorEastAsia"/>
                <w:noProof/>
                <w:color w:val="auto"/>
              </w:rPr>
              <w:t>4.2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Key resources, capabilities, and core competencies</w:t>
            </w:r>
            <w:r w:rsidRPr="003266D1">
              <w:rPr>
                <w:noProof/>
                <w:webHidden/>
              </w:rPr>
              <w:tab/>
            </w:r>
            <w:r w:rsidRPr="003266D1">
              <w:rPr>
                <w:noProof/>
                <w:webHidden/>
              </w:rPr>
              <w:fldChar w:fldCharType="begin"/>
            </w:r>
            <w:r w:rsidRPr="003266D1">
              <w:rPr>
                <w:noProof/>
                <w:webHidden/>
              </w:rPr>
              <w:instrText xml:space="preserve"> PAGEREF _Toc224947390 \h </w:instrText>
            </w:r>
            <w:r w:rsidRPr="003266D1">
              <w:rPr>
                <w:noProof/>
                <w:webHidden/>
              </w:rPr>
            </w:r>
            <w:r w:rsidRPr="003266D1">
              <w:rPr>
                <w:noProof/>
                <w:webHidden/>
              </w:rPr>
              <w:fldChar w:fldCharType="separate"/>
            </w:r>
            <w:r w:rsidRPr="003266D1">
              <w:rPr>
                <w:noProof/>
                <w:webHidden/>
              </w:rPr>
              <w:t>12</w:t>
            </w:r>
            <w:r w:rsidRPr="003266D1">
              <w:rPr>
                <w:noProof/>
                <w:webHidden/>
              </w:rPr>
              <w:fldChar w:fldCharType="end"/>
            </w:r>
          </w:hyperlink>
        </w:p>
        <w:p w:rsidRPr="003266D1" w:rsidR="00371EA5" w:rsidRDefault="00371EA5" w14:paraId="372B12F4" w14:textId="1F69854F">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1">
            <w:r w:rsidRPr="003266D1">
              <w:rPr>
                <w:rStyle w:val="Hyperlink"/>
                <w:rFonts w:eastAsiaTheme="majorEastAsia"/>
                <w:noProof/>
                <w:color w:val="auto"/>
              </w:rPr>
              <w:t>4.3</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VRIO evaluation of Volkswagen’s strategic capabilities</w:t>
            </w:r>
            <w:r w:rsidRPr="003266D1">
              <w:rPr>
                <w:noProof/>
                <w:webHidden/>
              </w:rPr>
              <w:tab/>
            </w:r>
            <w:r w:rsidRPr="003266D1">
              <w:rPr>
                <w:noProof/>
                <w:webHidden/>
              </w:rPr>
              <w:fldChar w:fldCharType="begin"/>
            </w:r>
            <w:r w:rsidRPr="003266D1">
              <w:rPr>
                <w:noProof/>
                <w:webHidden/>
              </w:rPr>
              <w:instrText xml:space="preserve"> PAGEREF _Toc224947391 \h </w:instrText>
            </w:r>
            <w:r w:rsidRPr="003266D1">
              <w:rPr>
                <w:noProof/>
                <w:webHidden/>
              </w:rPr>
            </w:r>
            <w:r w:rsidRPr="003266D1">
              <w:rPr>
                <w:noProof/>
                <w:webHidden/>
              </w:rPr>
              <w:fldChar w:fldCharType="separate"/>
            </w:r>
            <w:r w:rsidRPr="003266D1">
              <w:rPr>
                <w:noProof/>
                <w:webHidden/>
              </w:rPr>
              <w:t>12</w:t>
            </w:r>
            <w:r w:rsidRPr="003266D1">
              <w:rPr>
                <w:noProof/>
                <w:webHidden/>
              </w:rPr>
              <w:fldChar w:fldCharType="end"/>
            </w:r>
          </w:hyperlink>
        </w:p>
        <w:p w:rsidRPr="003266D1" w:rsidR="00371EA5" w:rsidRDefault="00371EA5" w14:paraId="0A82F1C9" w14:textId="640E18CF">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2">
            <w:r w:rsidRPr="003266D1">
              <w:rPr>
                <w:rStyle w:val="Hyperlink"/>
                <w:rFonts w:eastAsiaTheme="majorEastAsia"/>
                <w:noProof/>
                <w:color w:val="auto"/>
              </w:rPr>
              <w:t>4.4</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Resource-Based Model (RBV) of Above-Average Returns</w:t>
            </w:r>
            <w:r w:rsidRPr="003266D1">
              <w:rPr>
                <w:noProof/>
                <w:webHidden/>
              </w:rPr>
              <w:tab/>
            </w:r>
            <w:r w:rsidRPr="003266D1">
              <w:rPr>
                <w:noProof/>
                <w:webHidden/>
              </w:rPr>
              <w:fldChar w:fldCharType="begin"/>
            </w:r>
            <w:r w:rsidRPr="003266D1">
              <w:rPr>
                <w:noProof/>
                <w:webHidden/>
              </w:rPr>
              <w:instrText xml:space="preserve"> PAGEREF _Toc224947392 \h </w:instrText>
            </w:r>
            <w:r w:rsidRPr="003266D1">
              <w:rPr>
                <w:noProof/>
                <w:webHidden/>
              </w:rPr>
            </w:r>
            <w:r w:rsidRPr="003266D1">
              <w:rPr>
                <w:noProof/>
                <w:webHidden/>
              </w:rPr>
              <w:fldChar w:fldCharType="separate"/>
            </w:r>
            <w:r w:rsidRPr="003266D1">
              <w:rPr>
                <w:noProof/>
                <w:webHidden/>
              </w:rPr>
              <w:t>13</w:t>
            </w:r>
            <w:r w:rsidRPr="003266D1">
              <w:rPr>
                <w:noProof/>
                <w:webHidden/>
              </w:rPr>
              <w:fldChar w:fldCharType="end"/>
            </w:r>
          </w:hyperlink>
        </w:p>
        <w:p w:rsidRPr="003266D1" w:rsidR="00371EA5" w:rsidRDefault="00371EA5" w14:paraId="5C826902" w14:textId="60A9B536">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3">
            <w:r w:rsidRPr="003266D1">
              <w:rPr>
                <w:rStyle w:val="Hyperlink"/>
                <w:rFonts w:eastAsiaTheme="majorEastAsia"/>
                <w:noProof/>
                <w:color w:val="auto"/>
              </w:rPr>
              <w:t>4.5</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Relationship between internal and external environments</w:t>
            </w:r>
            <w:r w:rsidRPr="003266D1">
              <w:rPr>
                <w:noProof/>
                <w:webHidden/>
              </w:rPr>
              <w:tab/>
            </w:r>
            <w:r w:rsidRPr="003266D1">
              <w:rPr>
                <w:noProof/>
                <w:webHidden/>
              </w:rPr>
              <w:fldChar w:fldCharType="begin"/>
            </w:r>
            <w:r w:rsidRPr="003266D1">
              <w:rPr>
                <w:noProof/>
                <w:webHidden/>
              </w:rPr>
              <w:instrText xml:space="preserve"> PAGEREF _Toc224947393 \h </w:instrText>
            </w:r>
            <w:r w:rsidRPr="003266D1">
              <w:rPr>
                <w:noProof/>
                <w:webHidden/>
              </w:rPr>
            </w:r>
            <w:r w:rsidRPr="003266D1">
              <w:rPr>
                <w:noProof/>
                <w:webHidden/>
              </w:rPr>
              <w:fldChar w:fldCharType="separate"/>
            </w:r>
            <w:r w:rsidRPr="003266D1">
              <w:rPr>
                <w:noProof/>
                <w:webHidden/>
              </w:rPr>
              <w:t>14</w:t>
            </w:r>
            <w:r w:rsidRPr="003266D1">
              <w:rPr>
                <w:noProof/>
                <w:webHidden/>
              </w:rPr>
              <w:fldChar w:fldCharType="end"/>
            </w:r>
          </w:hyperlink>
        </w:p>
        <w:p w:rsidRPr="003266D1" w:rsidR="00371EA5" w:rsidRDefault="00371EA5" w14:paraId="12036C63" w14:textId="49AD752C">
          <w:pPr>
            <w:pStyle w:val="TOC1"/>
            <w:tabs>
              <w:tab w:val="left" w:pos="480"/>
            </w:tabs>
            <w:rPr>
              <w:rFonts w:asciiTheme="minorHAnsi" w:hAnsiTheme="minorHAnsi" w:eastAsiaTheme="minorEastAsia" w:cstheme="minorBidi"/>
              <w:b w:val="0"/>
              <w:bCs w:val="0"/>
              <w:szCs w:val="24"/>
              <w:lang w:val="en-US" w:eastAsia="en-US"/>
            </w:rPr>
          </w:pPr>
          <w:hyperlink w:history="1" w:anchor="_Toc224947394">
            <w:r w:rsidRPr="003266D1">
              <w:rPr>
                <w:rStyle w:val="Hyperlink"/>
                <w:color w:val="auto"/>
              </w:rPr>
              <w:t>5.</w:t>
            </w:r>
            <w:r w:rsidRPr="003266D1">
              <w:rPr>
                <w:rFonts w:asciiTheme="minorHAnsi" w:hAnsiTheme="minorHAnsi" w:eastAsiaTheme="minorEastAsia" w:cstheme="minorBidi"/>
                <w:b w:val="0"/>
                <w:bCs w:val="0"/>
                <w:szCs w:val="24"/>
                <w:lang w:val="en-US" w:eastAsia="en-US"/>
              </w:rPr>
              <w:tab/>
            </w:r>
            <w:r w:rsidRPr="003266D1">
              <w:rPr>
                <w:rStyle w:val="Hyperlink"/>
                <w:color w:val="auto"/>
              </w:rPr>
              <w:t>CSR and Sustainability Objectives</w:t>
            </w:r>
            <w:r w:rsidRPr="003266D1">
              <w:rPr>
                <w:webHidden/>
              </w:rPr>
              <w:tab/>
            </w:r>
            <w:r w:rsidRPr="003266D1">
              <w:rPr>
                <w:webHidden/>
              </w:rPr>
              <w:fldChar w:fldCharType="begin"/>
            </w:r>
            <w:r w:rsidRPr="003266D1">
              <w:rPr>
                <w:webHidden/>
              </w:rPr>
              <w:instrText xml:space="preserve"> PAGEREF _Toc224947394 \h </w:instrText>
            </w:r>
            <w:r w:rsidRPr="003266D1">
              <w:rPr>
                <w:webHidden/>
              </w:rPr>
            </w:r>
            <w:r w:rsidRPr="003266D1">
              <w:rPr>
                <w:webHidden/>
              </w:rPr>
              <w:fldChar w:fldCharType="separate"/>
            </w:r>
            <w:r w:rsidRPr="003266D1">
              <w:rPr>
                <w:webHidden/>
              </w:rPr>
              <w:t>16</w:t>
            </w:r>
            <w:r w:rsidRPr="003266D1">
              <w:rPr>
                <w:webHidden/>
              </w:rPr>
              <w:fldChar w:fldCharType="end"/>
            </w:r>
          </w:hyperlink>
        </w:p>
        <w:p w:rsidRPr="003266D1" w:rsidR="00371EA5" w:rsidRDefault="00371EA5" w14:paraId="2861D2B4" w14:textId="0A9C7769">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5">
            <w:r w:rsidRPr="003266D1">
              <w:rPr>
                <w:rStyle w:val="Hyperlink"/>
                <w:rFonts w:eastAsiaTheme="majorEastAsia"/>
                <w:noProof/>
                <w:color w:val="auto"/>
              </w:rPr>
              <w:t>5.1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Conceptual framing: CSR, sustainability and strategic CSR</w:t>
            </w:r>
            <w:r w:rsidRPr="003266D1">
              <w:rPr>
                <w:noProof/>
                <w:webHidden/>
              </w:rPr>
              <w:tab/>
            </w:r>
            <w:r w:rsidRPr="003266D1">
              <w:rPr>
                <w:noProof/>
                <w:webHidden/>
              </w:rPr>
              <w:fldChar w:fldCharType="begin"/>
            </w:r>
            <w:r w:rsidRPr="003266D1">
              <w:rPr>
                <w:noProof/>
                <w:webHidden/>
              </w:rPr>
              <w:instrText xml:space="preserve"> PAGEREF _Toc224947395 \h </w:instrText>
            </w:r>
            <w:r w:rsidRPr="003266D1">
              <w:rPr>
                <w:noProof/>
                <w:webHidden/>
              </w:rPr>
            </w:r>
            <w:r w:rsidRPr="003266D1">
              <w:rPr>
                <w:noProof/>
                <w:webHidden/>
              </w:rPr>
              <w:fldChar w:fldCharType="separate"/>
            </w:r>
            <w:r w:rsidRPr="003266D1">
              <w:rPr>
                <w:noProof/>
                <w:webHidden/>
              </w:rPr>
              <w:t>16</w:t>
            </w:r>
            <w:r w:rsidRPr="003266D1">
              <w:rPr>
                <w:noProof/>
                <w:webHidden/>
              </w:rPr>
              <w:fldChar w:fldCharType="end"/>
            </w:r>
          </w:hyperlink>
        </w:p>
        <w:p w:rsidRPr="003266D1" w:rsidR="00371EA5" w:rsidRDefault="00371EA5" w14:paraId="4BDD1AD5" w14:textId="4E906878">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6">
            <w:r w:rsidRPr="003266D1">
              <w:rPr>
                <w:rStyle w:val="Hyperlink"/>
                <w:rFonts w:eastAsiaTheme="majorEastAsia"/>
                <w:noProof/>
                <w:color w:val="auto"/>
              </w:rPr>
              <w:t>5.2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Volkswagen’s CSR strategy: legitimacy rebuilding and system integration</w:t>
            </w:r>
            <w:r w:rsidRPr="003266D1">
              <w:rPr>
                <w:noProof/>
                <w:webHidden/>
              </w:rPr>
              <w:tab/>
            </w:r>
            <w:r w:rsidRPr="003266D1">
              <w:rPr>
                <w:noProof/>
                <w:webHidden/>
              </w:rPr>
              <w:fldChar w:fldCharType="begin"/>
            </w:r>
            <w:r w:rsidRPr="003266D1">
              <w:rPr>
                <w:noProof/>
                <w:webHidden/>
              </w:rPr>
              <w:instrText xml:space="preserve"> PAGEREF _Toc224947396 \h </w:instrText>
            </w:r>
            <w:r w:rsidRPr="003266D1">
              <w:rPr>
                <w:noProof/>
                <w:webHidden/>
              </w:rPr>
            </w:r>
            <w:r w:rsidRPr="003266D1">
              <w:rPr>
                <w:noProof/>
                <w:webHidden/>
              </w:rPr>
              <w:fldChar w:fldCharType="separate"/>
            </w:r>
            <w:r w:rsidRPr="003266D1">
              <w:rPr>
                <w:noProof/>
                <w:webHidden/>
              </w:rPr>
              <w:t>17</w:t>
            </w:r>
            <w:r w:rsidRPr="003266D1">
              <w:rPr>
                <w:noProof/>
                <w:webHidden/>
              </w:rPr>
              <w:fldChar w:fldCharType="end"/>
            </w:r>
          </w:hyperlink>
        </w:p>
        <w:p w:rsidRPr="003266D1" w:rsidR="00371EA5" w:rsidRDefault="00371EA5" w14:paraId="7C5B363E" w14:textId="6C384715">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7">
            <w:r w:rsidRPr="003266D1">
              <w:rPr>
                <w:rStyle w:val="Hyperlink"/>
                <w:rFonts w:eastAsiaTheme="majorEastAsia"/>
                <w:noProof/>
                <w:color w:val="auto"/>
              </w:rPr>
              <w:t>5.3</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Alignment with business objectives: value creation and risk management</w:t>
            </w:r>
            <w:r w:rsidRPr="003266D1">
              <w:rPr>
                <w:noProof/>
                <w:webHidden/>
              </w:rPr>
              <w:tab/>
            </w:r>
            <w:r w:rsidRPr="003266D1">
              <w:rPr>
                <w:noProof/>
                <w:webHidden/>
              </w:rPr>
              <w:fldChar w:fldCharType="begin"/>
            </w:r>
            <w:r w:rsidRPr="003266D1">
              <w:rPr>
                <w:noProof/>
                <w:webHidden/>
              </w:rPr>
              <w:instrText xml:space="preserve"> PAGEREF _Toc224947397 \h </w:instrText>
            </w:r>
            <w:r w:rsidRPr="003266D1">
              <w:rPr>
                <w:noProof/>
                <w:webHidden/>
              </w:rPr>
            </w:r>
            <w:r w:rsidRPr="003266D1">
              <w:rPr>
                <w:noProof/>
                <w:webHidden/>
              </w:rPr>
              <w:fldChar w:fldCharType="separate"/>
            </w:r>
            <w:r w:rsidRPr="003266D1">
              <w:rPr>
                <w:noProof/>
                <w:webHidden/>
              </w:rPr>
              <w:t>18</w:t>
            </w:r>
            <w:r w:rsidRPr="003266D1">
              <w:rPr>
                <w:noProof/>
                <w:webHidden/>
              </w:rPr>
              <w:fldChar w:fldCharType="end"/>
            </w:r>
          </w:hyperlink>
        </w:p>
        <w:p w:rsidRPr="003266D1" w:rsidR="00371EA5" w:rsidRDefault="00371EA5" w14:paraId="523CD2B2" w14:textId="4F7F9707">
          <w:pPr>
            <w:pStyle w:val="TOC1"/>
            <w:tabs>
              <w:tab w:val="left" w:pos="480"/>
            </w:tabs>
            <w:rPr>
              <w:rFonts w:asciiTheme="minorHAnsi" w:hAnsiTheme="minorHAnsi" w:eastAsiaTheme="minorEastAsia" w:cstheme="minorBidi"/>
              <w:b w:val="0"/>
              <w:bCs w:val="0"/>
              <w:szCs w:val="24"/>
              <w:lang w:val="en-US" w:eastAsia="en-US"/>
            </w:rPr>
          </w:pPr>
          <w:hyperlink w:history="1" w:anchor="_Toc224947398">
            <w:r w:rsidRPr="003266D1">
              <w:rPr>
                <w:rStyle w:val="Hyperlink"/>
                <w:color w:val="auto"/>
              </w:rPr>
              <w:t>6.</w:t>
            </w:r>
            <w:r w:rsidRPr="003266D1">
              <w:rPr>
                <w:rFonts w:asciiTheme="minorHAnsi" w:hAnsiTheme="minorHAnsi" w:eastAsiaTheme="minorEastAsia" w:cstheme="minorBidi"/>
                <w:b w:val="0"/>
                <w:bCs w:val="0"/>
                <w:szCs w:val="24"/>
                <w:lang w:val="en-US" w:eastAsia="en-US"/>
              </w:rPr>
              <w:tab/>
            </w:r>
            <w:r w:rsidRPr="003266D1">
              <w:rPr>
                <w:rStyle w:val="Hyperlink"/>
                <w:color w:val="auto"/>
              </w:rPr>
              <w:t>Strategy Formulation</w:t>
            </w:r>
            <w:r w:rsidRPr="003266D1">
              <w:rPr>
                <w:webHidden/>
              </w:rPr>
              <w:tab/>
            </w:r>
            <w:r w:rsidRPr="003266D1">
              <w:rPr>
                <w:webHidden/>
              </w:rPr>
              <w:fldChar w:fldCharType="begin"/>
            </w:r>
            <w:r w:rsidRPr="003266D1">
              <w:rPr>
                <w:webHidden/>
              </w:rPr>
              <w:instrText xml:space="preserve"> PAGEREF _Toc224947398 \h </w:instrText>
            </w:r>
            <w:r w:rsidRPr="003266D1">
              <w:rPr>
                <w:webHidden/>
              </w:rPr>
            </w:r>
            <w:r w:rsidRPr="003266D1">
              <w:rPr>
                <w:webHidden/>
              </w:rPr>
              <w:fldChar w:fldCharType="separate"/>
            </w:r>
            <w:r w:rsidRPr="003266D1">
              <w:rPr>
                <w:webHidden/>
              </w:rPr>
              <w:t>19</w:t>
            </w:r>
            <w:r w:rsidRPr="003266D1">
              <w:rPr>
                <w:webHidden/>
              </w:rPr>
              <w:fldChar w:fldCharType="end"/>
            </w:r>
          </w:hyperlink>
        </w:p>
        <w:p w:rsidRPr="003266D1" w:rsidR="00371EA5" w:rsidRDefault="00371EA5" w14:paraId="026BDF58" w14:textId="45CF3FF4">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399">
            <w:r w:rsidRPr="003266D1">
              <w:rPr>
                <w:rStyle w:val="Hyperlink"/>
                <w:rFonts w:eastAsiaTheme="majorEastAsia"/>
                <w:noProof/>
                <w:color w:val="auto"/>
              </w:rPr>
              <w:t>6.1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Framing strategic choice under turbulence</w:t>
            </w:r>
            <w:r w:rsidRPr="003266D1">
              <w:rPr>
                <w:noProof/>
                <w:webHidden/>
              </w:rPr>
              <w:tab/>
            </w:r>
            <w:r w:rsidRPr="003266D1">
              <w:rPr>
                <w:noProof/>
                <w:webHidden/>
              </w:rPr>
              <w:fldChar w:fldCharType="begin"/>
            </w:r>
            <w:r w:rsidRPr="003266D1">
              <w:rPr>
                <w:noProof/>
                <w:webHidden/>
              </w:rPr>
              <w:instrText xml:space="preserve"> PAGEREF _Toc224947399 \h </w:instrText>
            </w:r>
            <w:r w:rsidRPr="003266D1">
              <w:rPr>
                <w:noProof/>
                <w:webHidden/>
              </w:rPr>
            </w:r>
            <w:r w:rsidRPr="003266D1">
              <w:rPr>
                <w:noProof/>
                <w:webHidden/>
              </w:rPr>
              <w:fldChar w:fldCharType="separate"/>
            </w:r>
            <w:r w:rsidRPr="003266D1">
              <w:rPr>
                <w:noProof/>
                <w:webHidden/>
              </w:rPr>
              <w:t>19</w:t>
            </w:r>
            <w:r w:rsidRPr="003266D1">
              <w:rPr>
                <w:noProof/>
                <w:webHidden/>
              </w:rPr>
              <w:fldChar w:fldCharType="end"/>
            </w:r>
          </w:hyperlink>
        </w:p>
        <w:p w:rsidRPr="003266D1" w:rsidR="00371EA5" w:rsidRDefault="00371EA5" w14:paraId="7F63DCED" w14:textId="26435FC0">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00">
            <w:r w:rsidRPr="003266D1">
              <w:rPr>
                <w:rStyle w:val="Hyperlink"/>
                <w:rFonts w:eastAsiaTheme="majorEastAsia"/>
                <w:noProof/>
                <w:color w:val="auto"/>
              </w:rPr>
              <w:t>6.2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Business-level and corporate-level strategic choices and recommended direction</w:t>
            </w:r>
            <w:r w:rsidRPr="003266D1">
              <w:rPr>
                <w:noProof/>
                <w:webHidden/>
              </w:rPr>
              <w:tab/>
            </w:r>
            <w:r w:rsidRPr="003266D1">
              <w:rPr>
                <w:noProof/>
                <w:webHidden/>
              </w:rPr>
              <w:fldChar w:fldCharType="begin"/>
            </w:r>
            <w:r w:rsidRPr="003266D1">
              <w:rPr>
                <w:noProof/>
                <w:webHidden/>
              </w:rPr>
              <w:instrText xml:space="preserve"> PAGEREF _Toc224947400 \h </w:instrText>
            </w:r>
            <w:r w:rsidRPr="003266D1">
              <w:rPr>
                <w:noProof/>
                <w:webHidden/>
              </w:rPr>
            </w:r>
            <w:r w:rsidRPr="003266D1">
              <w:rPr>
                <w:noProof/>
                <w:webHidden/>
              </w:rPr>
              <w:fldChar w:fldCharType="separate"/>
            </w:r>
            <w:r w:rsidRPr="003266D1">
              <w:rPr>
                <w:noProof/>
                <w:webHidden/>
              </w:rPr>
              <w:t>19</w:t>
            </w:r>
            <w:r w:rsidRPr="003266D1">
              <w:rPr>
                <w:noProof/>
                <w:webHidden/>
              </w:rPr>
              <w:fldChar w:fldCharType="end"/>
            </w:r>
          </w:hyperlink>
        </w:p>
        <w:p w:rsidRPr="003266D1" w:rsidR="00371EA5" w:rsidRDefault="00371EA5" w14:paraId="351F6583" w14:textId="4E46DF26">
          <w:pPr>
            <w:pStyle w:val="TOC1"/>
            <w:tabs>
              <w:tab w:val="left" w:pos="480"/>
            </w:tabs>
            <w:rPr>
              <w:rFonts w:asciiTheme="minorHAnsi" w:hAnsiTheme="minorHAnsi" w:eastAsiaTheme="minorEastAsia" w:cstheme="minorBidi"/>
              <w:b w:val="0"/>
              <w:bCs w:val="0"/>
              <w:szCs w:val="24"/>
              <w:lang w:val="en-US" w:eastAsia="en-US"/>
            </w:rPr>
          </w:pPr>
          <w:hyperlink w:history="1" w:anchor="_Toc224947401">
            <w:r w:rsidRPr="003266D1">
              <w:rPr>
                <w:rStyle w:val="Hyperlink"/>
                <w:color w:val="auto"/>
              </w:rPr>
              <w:t>7.</w:t>
            </w:r>
            <w:r w:rsidRPr="003266D1">
              <w:rPr>
                <w:rFonts w:asciiTheme="minorHAnsi" w:hAnsiTheme="minorHAnsi" w:eastAsiaTheme="minorEastAsia" w:cstheme="minorBidi"/>
                <w:b w:val="0"/>
                <w:bCs w:val="0"/>
                <w:szCs w:val="24"/>
                <w:lang w:val="en-US" w:eastAsia="en-US"/>
              </w:rPr>
              <w:tab/>
            </w:r>
            <w:r w:rsidRPr="003266D1">
              <w:rPr>
                <w:rStyle w:val="Hyperlink"/>
                <w:color w:val="auto"/>
              </w:rPr>
              <w:t>Strategy Implementation</w:t>
            </w:r>
            <w:r w:rsidRPr="003266D1">
              <w:rPr>
                <w:webHidden/>
              </w:rPr>
              <w:tab/>
            </w:r>
            <w:r w:rsidRPr="003266D1">
              <w:rPr>
                <w:webHidden/>
              </w:rPr>
              <w:fldChar w:fldCharType="begin"/>
            </w:r>
            <w:r w:rsidRPr="003266D1">
              <w:rPr>
                <w:webHidden/>
              </w:rPr>
              <w:instrText xml:space="preserve"> PAGEREF _Toc224947401 \h </w:instrText>
            </w:r>
            <w:r w:rsidRPr="003266D1">
              <w:rPr>
                <w:webHidden/>
              </w:rPr>
            </w:r>
            <w:r w:rsidRPr="003266D1">
              <w:rPr>
                <w:webHidden/>
              </w:rPr>
              <w:fldChar w:fldCharType="separate"/>
            </w:r>
            <w:r w:rsidRPr="003266D1">
              <w:rPr>
                <w:webHidden/>
              </w:rPr>
              <w:t>21</w:t>
            </w:r>
            <w:r w:rsidRPr="003266D1">
              <w:rPr>
                <w:webHidden/>
              </w:rPr>
              <w:fldChar w:fldCharType="end"/>
            </w:r>
          </w:hyperlink>
        </w:p>
        <w:p w:rsidRPr="003266D1" w:rsidR="00371EA5" w:rsidRDefault="00371EA5" w14:paraId="10863546" w14:textId="5D6CDA5A">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02">
            <w:r w:rsidRPr="003266D1">
              <w:rPr>
                <w:rStyle w:val="Hyperlink"/>
                <w:rFonts w:eastAsiaTheme="majorEastAsia"/>
                <w:noProof/>
                <w:color w:val="auto"/>
              </w:rPr>
              <w:t>7.1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Implementation as change management and capability building</w:t>
            </w:r>
            <w:r w:rsidRPr="003266D1">
              <w:rPr>
                <w:noProof/>
                <w:webHidden/>
              </w:rPr>
              <w:tab/>
            </w:r>
            <w:r w:rsidRPr="003266D1">
              <w:rPr>
                <w:noProof/>
                <w:webHidden/>
              </w:rPr>
              <w:fldChar w:fldCharType="begin"/>
            </w:r>
            <w:r w:rsidRPr="003266D1">
              <w:rPr>
                <w:noProof/>
                <w:webHidden/>
              </w:rPr>
              <w:instrText xml:space="preserve"> PAGEREF _Toc224947402 \h </w:instrText>
            </w:r>
            <w:r w:rsidRPr="003266D1">
              <w:rPr>
                <w:noProof/>
                <w:webHidden/>
              </w:rPr>
            </w:r>
            <w:r w:rsidRPr="003266D1">
              <w:rPr>
                <w:noProof/>
                <w:webHidden/>
              </w:rPr>
              <w:fldChar w:fldCharType="separate"/>
            </w:r>
            <w:r w:rsidRPr="003266D1">
              <w:rPr>
                <w:noProof/>
                <w:webHidden/>
              </w:rPr>
              <w:t>21</w:t>
            </w:r>
            <w:r w:rsidRPr="003266D1">
              <w:rPr>
                <w:noProof/>
                <w:webHidden/>
              </w:rPr>
              <w:fldChar w:fldCharType="end"/>
            </w:r>
          </w:hyperlink>
        </w:p>
        <w:p w:rsidRPr="003266D1" w:rsidR="00371EA5" w:rsidRDefault="00371EA5" w14:paraId="07B67A60" w14:textId="3D6938B4">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03">
            <w:r w:rsidRPr="003266D1">
              <w:rPr>
                <w:rStyle w:val="Hyperlink"/>
                <w:rFonts w:eastAsiaTheme="majorEastAsia"/>
                <w:noProof/>
                <w:color w:val="auto"/>
              </w:rPr>
              <w:t>7.2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Implementation priorities, governance risks, and control mechanisms</w:t>
            </w:r>
            <w:r w:rsidRPr="003266D1">
              <w:rPr>
                <w:noProof/>
                <w:webHidden/>
              </w:rPr>
              <w:tab/>
            </w:r>
            <w:r w:rsidRPr="003266D1">
              <w:rPr>
                <w:noProof/>
                <w:webHidden/>
              </w:rPr>
              <w:fldChar w:fldCharType="begin"/>
            </w:r>
            <w:r w:rsidRPr="003266D1">
              <w:rPr>
                <w:noProof/>
                <w:webHidden/>
              </w:rPr>
              <w:instrText xml:space="preserve"> PAGEREF _Toc224947403 \h </w:instrText>
            </w:r>
            <w:r w:rsidRPr="003266D1">
              <w:rPr>
                <w:noProof/>
                <w:webHidden/>
              </w:rPr>
            </w:r>
            <w:r w:rsidRPr="003266D1">
              <w:rPr>
                <w:noProof/>
                <w:webHidden/>
              </w:rPr>
              <w:fldChar w:fldCharType="separate"/>
            </w:r>
            <w:r w:rsidRPr="003266D1">
              <w:rPr>
                <w:noProof/>
                <w:webHidden/>
              </w:rPr>
              <w:t>21</w:t>
            </w:r>
            <w:r w:rsidRPr="003266D1">
              <w:rPr>
                <w:noProof/>
                <w:webHidden/>
              </w:rPr>
              <w:fldChar w:fldCharType="end"/>
            </w:r>
          </w:hyperlink>
        </w:p>
        <w:p w:rsidRPr="003266D1" w:rsidR="00371EA5" w:rsidRDefault="00371EA5" w14:paraId="7E817456" w14:textId="10B19E27">
          <w:pPr>
            <w:pStyle w:val="TOC1"/>
            <w:tabs>
              <w:tab w:val="left" w:pos="480"/>
            </w:tabs>
            <w:rPr>
              <w:rFonts w:asciiTheme="minorHAnsi" w:hAnsiTheme="minorHAnsi" w:eastAsiaTheme="minorEastAsia" w:cstheme="minorBidi"/>
              <w:b w:val="0"/>
              <w:bCs w:val="0"/>
              <w:szCs w:val="24"/>
              <w:lang w:val="en-US" w:eastAsia="en-US"/>
            </w:rPr>
          </w:pPr>
          <w:hyperlink w:history="1" w:anchor="_Toc224947404">
            <w:r w:rsidRPr="003266D1">
              <w:rPr>
                <w:rStyle w:val="Hyperlink"/>
                <w:color w:val="auto"/>
              </w:rPr>
              <w:t>8.</w:t>
            </w:r>
            <w:r w:rsidRPr="003266D1">
              <w:rPr>
                <w:rFonts w:asciiTheme="minorHAnsi" w:hAnsiTheme="minorHAnsi" w:eastAsiaTheme="minorEastAsia" w:cstheme="minorBidi"/>
                <w:b w:val="0"/>
                <w:bCs w:val="0"/>
                <w:szCs w:val="24"/>
                <w:lang w:val="en-US" w:eastAsia="en-US"/>
              </w:rPr>
              <w:tab/>
            </w:r>
            <w:r w:rsidRPr="003266D1">
              <w:rPr>
                <w:rStyle w:val="Hyperlink"/>
                <w:color w:val="auto"/>
              </w:rPr>
              <w:t>Evaluation and Control</w:t>
            </w:r>
            <w:r w:rsidRPr="003266D1">
              <w:rPr>
                <w:webHidden/>
              </w:rPr>
              <w:tab/>
            </w:r>
            <w:r w:rsidRPr="003266D1">
              <w:rPr>
                <w:webHidden/>
              </w:rPr>
              <w:fldChar w:fldCharType="begin"/>
            </w:r>
            <w:r w:rsidRPr="003266D1">
              <w:rPr>
                <w:webHidden/>
              </w:rPr>
              <w:instrText xml:space="preserve"> PAGEREF _Toc224947404 \h </w:instrText>
            </w:r>
            <w:r w:rsidRPr="003266D1">
              <w:rPr>
                <w:webHidden/>
              </w:rPr>
            </w:r>
            <w:r w:rsidRPr="003266D1">
              <w:rPr>
                <w:webHidden/>
              </w:rPr>
              <w:fldChar w:fldCharType="separate"/>
            </w:r>
            <w:r w:rsidRPr="003266D1">
              <w:rPr>
                <w:webHidden/>
              </w:rPr>
              <w:t>23</w:t>
            </w:r>
            <w:r w:rsidRPr="003266D1">
              <w:rPr>
                <w:webHidden/>
              </w:rPr>
              <w:fldChar w:fldCharType="end"/>
            </w:r>
          </w:hyperlink>
        </w:p>
        <w:p w:rsidRPr="003266D1" w:rsidR="00371EA5" w:rsidRDefault="00371EA5" w14:paraId="475901AD" w14:textId="4EFE4B5D">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05">
            <w:r w:rsidRPr="003266D1">
              <w:rPr>
                <w:rStyle w:val="Hyperlink"/>
                <w:rFonts w:eastAsiaTheme="majorEastAsia"/>
                <w:noProof/>
                <w:color w:val="auto"/>
              </w:rPr>
              <w:t>8.1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Importance of evaluation and control</w:t>
            </w:r>
            <w:r w:rsidRPr="003266D1">
              <w:rPr>
                <w:noProof/>
                <w:webHidden/>
              </w:rPr>
              <w:tab/>
            </w:r>
            <w:r w:rsidRPr="003266D1">
              <w:rPr>
                <w:noProof/>
                <w:webHidden/>
              </w:rPr>
              <w:fldChar w:fldCharType="begin"/>
            </w:r>
            <w:r w:rsidRPr="003266D1">
              <w:rPr>
                <w:noProof/>
                <w:webHidden/>
              </w:rPr>
              <w:instrText xml:space="preserve"> PAGEREF _Toc224947405 \h </w:instrText>
            </w:r>
            <w:r w:rsidRPr="003266D1">
              <w:rPr>
                <w:noProof/>
                <w:webHidden/>
              </w:rPr>
            </w:r>
            <w:r w:rsidRPr="003266D1">
              <w:rPr>
                <w:noProof/>
                <w:webHidden/>
              </w:rPr>
              <w:fldChar w:fldCharType="separate"/>
            </w:r>
            <w:r w:rsidRPr="003266D1">
              <w:rPr>
                <w:noProof/>
                <w:webHidden/>
              </w:rPr>
              <w:t>23</w:t>
            </w:r>
            <w:r w:rsidRPr="003266D1">
              <w:rPr>
                <w:noProof/>
                <w:webHidden/>
              </w:rPr>
              <w:fldChar w:fldCharType="end"/>
            </w:r>
          </w:hyperlink>
        </w:p>
        <w:p w:rsidRPr="003266D1" w:rsidR="00371EA5" w:rsidRDefault="00371EA5" w14:paraId="3CA21C32" w14:textId="28FC6E6C">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06">
            <w:r w:rsidRPr="003266D1">
              <w:rPr>
                <w:rStyle w:val="Hyperlink"/>
                <w:rFonts w:eastAsiaTheme="majorEastAsia"/>
                <w:noProof/>
                <w:color w:val="auto"/>
              </w:rPr>
              <w:t>8.2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Balanced Scorecard for Volkswagen</w:t>
            </w:r>
            <w:r w:rsidRPr="003266D1">
              <w:rPr>
                <w:noProof/>
                <w:webHidden/>
              </w:rPr>
              <w:tab/>
            </w:r>
            <w:r w:rsidRPr="003266D1">
              <w:rPr>
                <w:noProof/>
                <w:webHidden/>
              </w:rPr>
              <w:fldChar w:fldCharType="begin"/>
            </w:r>
            <w:r w:rsidRPr="003266D1">
              <w:rPr>
                <w:noProof/>
                <w:webHidden/>
              </w:rPr>
              <w:instrText xml:space="preserve"> PAGEREF _Toc224947406 \h </w:instrText>
            </w:r>
            <w:r w:rsidRPr="003266D1">
              <w:rPr>
                <w:noProof/>
                <w:webHidden/>
              </w:rPr>
            </w:r>
            <w:r w:rsidRPr="003266D1">
              <w:rPr>
                <w:noProof/>
                <w:webHidden/>
              </w:rPr>
              <w:fldChar w:fldCharType="separate"/>
            </w:r>
            <w:r w:rsidRPr="003266D1">
              <w:rPr>
                <w:noProof/>
                <w:webHidden/>
              </w:rPr>
              <w:t>23</w:t>
            </w:r>
            <w:r w:rsidRPr="003266D1">
              <w:rPr>
                <w:noProof/>
                <w:webHidden/>
              </w:rPr>
              <w:fldChar w:fldCharType="end"/>
            </w:r>
          </w:hyperlink>
        </w:p>
        <w:p w:rsidRPr="003266D1" w:rsidR="00371EA5" w:rsidRDefault="00371EA5" w14:paraId="3220758B" w14:textId="6106F153">
          <w:pPr>
            <w:pStyle w:val="TOC1"/>
            <w:tabs>
              <w:tab w:val="left" w:pos="480"/>
            </w:tabs>
            <w:rPr>
              <w:rFonts w:asciiTheme="minorHAnsi" w:hAnsiTheme="minorHAnsi" w:eastAsiaTheme="minorEastAsia" w:cstheme="minorBidi"/>
              <w:b w:val="0"/>
              <w:bCs w:val="0"/>
              <w:szCs w:val="24"/>
              <w:lang w:val="en-US" w:eastAsia="en-US"/>
            </w:rPr>
          </w:pPr>
          <w:hyperlink w:history="1" w:anchor="_Toc224947407">
            <w:r w:rsidRPr="003266D1">
              <w:rPr>
                <w:rStyle w:val="Hyperlink"/>
                <w:color w:val="auto"/>
              </w:rPr>
              <w:t>9.</w:t>
            </w:r>
            <w:r w:rsidRPr="003266D1">
              <w:rPr>
                <w:rFonts w:asciiTheme="minorHAnsi" w:hAnsiTheme="minorHAnsi" w:eastAsiaTheme="minorEastAsia" w:cstheme="minorBidi"/>
                <w:b w:val="0"/>
                <w:bCs w:val="0"/>
                <w:szCs w:val="24"/>
                <w:lang w:val="en-US" w:eastAsia="en-US"/>
              </w:rPr>
              <w:tab/>
            </w:r>
            <w:r w:rsidRPr="003266D1">
              <w:rPr>
                <w:rStyle w:val="Hyperlink"/>
                <w:color w:val="auto"/>
              </w:rPr>
              <w:t>Financial Plan</w:t>
            </w:r>
            <w:r w:rsidRPr="003266D1">
              <w:rPr>
                <w:webHidden/>
              </w:rPr>
              <w:tab/>
            </w:r>
            <w:r w:rsidRPr="003266D1">
              <w:rPr>
                <w:webHidden/>
              </w:rPr>
              <w:fldChar w:fldCharType="begin"/>
            </w:r>
            <w:r w:rsidRPr="003266D1">
              <w:rPr>
                <w:webHidden/>
              </w:rPr>
              <w:instrText xml:space="preserve"> PAGEREF _Toc224947407 \h </w:instrText>
            </w:r>
            <w:r w:rsidRPr="003266D1">
              <w:rPr>
                <w:webHidden/>
              </w:rPr>
            </w:r>
            <w:r w:rsidRPr="003266D1">
              <w:rPr>
                <w:webHidden/>
              </w:rPr>
              <w:fldChar w:fldCharType="separate"/>
            </w:r>
            <w:r w:rsidRPr="003266D1">
              <w:rPr>
                <w:webHidden/>
              </w:rPr>
              <w:t>25</w:t>
            </w:r>
            <w:r w:rsidRPr="003266D1">
              <w:rPr>
                <w:webHidden/>
              </w:rPr>
              <w:fldChar w:fldCharType="end"/>
            </w:r>
          </w:hyperlink>
        </w:p>
        <w:p w:rsidRPr="003266D1" w:rsidR="00371EA5" w:rsidRDefault="00371EA5" w14:paraId="224A24FF" w14:textId="5233D8F6">
          <w:pPr>
            <w:pStyle w:val="TOC1"/>
            <w:tabs>
              <w:tab w:val="left" w:pos="720"/>
            </w:tabs>
            <w:rPr>
              <w:rFonts w:asciiTheme="minorHAnsi" w:hAnsiTheme="minorHAnsi" w:eastAsiaTheme="minorEastAsia" w:cstheme="minorBidi"/>
              <w:b w:val="0"/>
              <w:bCs w:val="0"/>
              <w:szCs w:val="24"/>
              <w:lang w:val="en-US" w:eastAsia="en-US"/>
            </w:rPr>
          </w:pPr>
          <w:hyperlink w:history="1" w:anchor="_Toc224947408">
            <w:r w:rsidRPr="003266D1">
              <w:rPr>
                <w:rStyle w:val="Hyperlink"/>
                <w:color w:val="auto"/>
              </w:rPr>
              <w:t>10.</w:t>
            </w:r>
            <w:r w:rsidRPr="003266D1">
              <w:rPr>
                <w:rFonts w:asciiTheme="minorHAnsi" w:hAnsiTheme="minorHAnsi" w:eastAsiaTheme="minorEastAsia" w:cstheme="minorBidi"/>
                <w:b w:val="0"/>
                <w:bCs w:val="0"/>
                <w:szCs w:val="24"/>
                <w:lang w:val="en-US" w:eastAsia="en-US"/>
              </w:rPr>
              <w:tab/>
            </w:r>
            <w:r w:rsidRPr="003266D1">
              <w:rPr>
                <w:rStyle w:val="Hyperlink"/>
                <w:color w:val="auto"/>
              </w:rPr>
              <w:t>Recommendation and Conclusion</w:t>
            </w:r>
            <w:r w:rsidRPr="003266D1">
              <w:rPr>
                <w:webHidden/>
              </w:rPr>
              <w:tab/>
            </w:r>
            <w:r w:rsidRPr="003266D1">
              <w:rPr>
                <w:webHidden/>
              </w:rPr>
              <w:fldChar w:fldCharType="begin"/>
            </w:r>
            <w:r w:rsidRPr="003266D1">
              <w:rPr>
                <w:webHidden/>
              </w:rPr>
              <w:instrText xml:space="preserve"> PAGEREF _Toc224947408 \h </w:instrText>
            </w:r>
            <w:r w:rsidRPr="003266D1">
              <w:rPr>
                <w:webHidden/>
              </w:rPr>
            </w:r>
            <w:r w:rsidRPr="003266D1">
              <w:rPr>
                <w:webHidden/>
              </w:rPr>
              <w:fldChar w:fldCharType="separate"/>
            </w:r>
            <w:r w:rsidRPr="003266D1">
              <w:rPr>
                <w:webHidden/>
              </w:rPr>
              <w:t>26</w:t>
            </w:r>
            <w:r w:rsidRPr="003266D1">
              <w:rPr>
                <w:webHidden/>
              </w:rPr>
              <w:fldChar w:fldCharType="end"/>
            </w:r>
          </w:hyperlink>
        </w:p>
        <w:p w:rsidRPr="003266D1" w:rsidR="00371EA5" w:rsidRDefault="00371EA5" w14:paraId="117A19C4" w14:textId="578EC982">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09">
            <w:r w:rsidRPr="003266D1">
              <w:rPr>
                <w:rStyle w:val="Hyperlink"/>
                <w:rFonts w:eastAsiaTheme="majorEastAsia"/>
                <w:noProof/>
                <w:color w:val="auto"/>
              </w:rPr>
              <w:t>10.1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Strategic evaluation using SWOT and Ansoff</w:t>
            </w:r>
            <w:r w:rsidRPr="003266D1">
              <w:rPr>
                <w:noProof/>
                <w:webHidden/>
              </w:rPr>
              <w:tab/>
            </w:r>
            <w:r w:rsidRPr="003266D1">
              <w:rPr>
                <w:noProof/>
                <w:webHidden/>
              </w:rPr>
              <w:fldChar w:fldCharType="begin"/>
            </w:r>
            <w:r w:rsidRPr="003266D1">
              <w:rPr>
                <w:noProof/>
                <w:webHidden/>
              </w:rPr>
              <w:instrText xml:space="preserve"> PAGEREF _Toc224947409 \h </w:instrText>
            </w:r>
            <w:r w:rsidRPr="003266D1">
              <w:rPr>
                <w:noProof/>
                <w:webHidden/>
              </w:rPr>
            </w:r>
            <w:r w:rsidRPr="003266D1">
              <w:rPr>
                <w:noProof/>
                <w:webHidden/>
              </w:rPr>
              <w:fldChar w:fldCharType="separate"/>
            </w:r>
            <w:r w:rsidRPr="003266D1">
              <w:rPr>
                <w:noProof/>
                <w:webHidden/>
              </w:rPr>
              <w:t>26</w:t>
            </w:r>
            <w:r w:rsidRPr="003266D1">
              <w:rPr>
                <w:noProof/>
                <w:webHidden/>
              </w:rPr>
              <w:fldChar w:fldCharType="end"/>
            </w:r>
          </w:hyperlink>
        </w:p>
        <w:p w:rsidRPr="003266D1" w:rsidR="00371EA5" w:rsidRDefault="00371EA5" w14:paraId="143B207D" w14:textId="66CFA319">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10">
            <w:r w:rsidRPr="003266D1">
              <w:rPr>
                <w:rStyle w:val="Hyperlink"/>
                <w:rFonts w:eastAsiaTheme="majorEastAsia"/>
                <w:noProof/>
                <w:color w:val="auto"/>
              </w:rPr>
              <w:t>10.2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Recommendations (evidence-led and implementation-oriented)</w:t>
            </w:r>
            <w:r w:rsidRPr="003266D1">
              <w:rPr>
                <w:noProof/>
                <w:webHidden/>
              </w:rPr>
              <w:tab/>
            </w:r>
            <w:r w:rsidRPr="003266D1">
              <w:rPr>
                <w:noProof/>
                <w:webHidden/>
              </w:rPr>
              <w:fldChar w:fldCharType="begin"/>
            </w:r>
            <w:r w:rsidRPr="003266D1">
              <w:rPr>
                <w:noProof/>
                <w:webHidden/>
              </w:rPr>
              <w:instrText xml:space="preserve"> PAGEREF _Toc224947410 \h </w:instrText>
            </w:r>
            <w:r w:rsidRPr="003266D1">
              <w:rPr>
                <w:noProof/>
                <w:webHidden/>
              </w:rPr>
            </w:r>
            <w:r w:rsidRPr="003266D1">
              <w:rPr>
                <w:noProof/>
                <w:webHidden/>
              </w:rPr>
              <w:fldChar w:fldCharType="separate"/>
            </w:r>
            <w:r w:rsidRPr="003266D1">
              <w:rPr>
                <w:noProof/>
                <w:webHidden/>
              </w:rPr>
              <w:t>27</w:t>
            </w:r>
            <w:r w:rsidRPr="003266D1">
              <w:rPr>
                <w:noProof/>
                <w:webHidden/>
              </w:rPr>
              <w:fldChar w:fldCharType="end"/>
            </w:r>
          </w:hyperlink>
        </w:p>
        <w:p w:rsidRPr="003266D1" w:rsidR="00371EA5" w:rsidRDefault="00371EA5" w14:paraId="3B5A1C4C" w14:textId="0CDCAC18">
          <w:pPr>
            <w:pStyle w:val="TOC1"/>
            <w:tabs>
              <w:tab w:val="left" w:pos="720"/>
            </w:tabs>
            <w:rPr>
              <w:rFonts w:asciiTheme="minorHAnsi" w:hAnsiTheme="minorHAnsi" w:eastAsiaTheme="minorEastAsia" w:cstheme="minorBidi"/>
              <w:b w:val="0"/>
              <w:bCs w:val="0"/>
              <w:szCs w:val="24"/>
              <w:lang w:val="en-US" w:eastAsia="en-US"/>
            </w:rPr>
          </w:pPr>
          <w:hyperlink w:history="1" w:anchor="_Toc224947411">
            <w:r w:rsidRPr="003266D1">
              <w:rPr>
                <w:rStyle w:val="Hyperlink"/>
                <w:color w:val="auto"/>
              </w:rPr>
              <w:t>11.</w:t>
            </w:r>
            <w:r w:rsidRPr="003266D1">
              <w:rPr>
                <w:rFonts w:asciiTheme="minorHAnsi" w:hAnsiTheme="minorHAnsi" w:eastAsiaTheme="minorEastAsia" w:cstheme="minorBidi"/>
                <w:b w:val="0"/>
                <w:bCs w:val="0"/>
                <w:szCs w:val="24"/>
                <w:lang w:val="en-US" w:eastAsia="en-US"/>
              </w:rPr>
              <w:tab/>
            </w:r>
            <w:r w:rsidRPr="003266D1">
              <w:rPr>
                <w:rStyle w:val="Hyperlink"/>
                <w:color w:val="auto"/>
              </w:rPr>
              <w:t>Conclusion</w:t>
            </w:r>
            <w:r w:rsidRPr="003266D1">
              <w:rPr>
                <w:webHidden/>
              </w:rPr>
              <w:tab/>
            </w:r>
            <w:r w:rsidRPr="003266D1">
              <w:rPr>
                <w:webHidden/>
              </w:rPr>
              <w:fldChar w:fldCharType="begin"/>
            </w:r>
            <w:r w:rsidRPr="003266D1">
              <w:rPr>
                <w:webHidden/>
              </w:rPr>
              <w:instrText xml:space="preserve"> PAGEREF _Toc224947411 \h </w:instrText>
            </w:r>
            <w:r w:rsidRPr="003266D1">
              <w:rPr>
                <w:webHidden/>
              </w:rPr>
            </w:r>
            <w:r w:rsidRPr="003266D1">
              <w:rPr>
                <w:webHidden/>
              </w:rPr>
              <w:fldChar w:fldCharType="separate"/>
            </w:r>
            <w:r w:rsidRPr="003266D1">
              <w:rPr>
                <w:webHidden/>
              </w:rPr>
              <w:t>28</w:t>
            </w:r>
            <w:r w:rsidRPr="003266D1">
              <w:rPr>
                <w:webHidden/>
              </w:rPr>
              <w:fldChar w:fldCharType="end"/>
            </w:r>
          </w:hyperlink>
        </w:p>
        <w:p w:rsidRPr="003266D1" w:rsidR="00371EA5" w:rsidRDefault="00371EA5" w14:paraId="0AFC74FE" w14:textId="32C9405F">
          <w:pPr>
            <w:pStyle w:val="TOC1"/>
            <w:tabs>
              <w:tab w:val="left" w:pos="720"/>
            </w:tabs>
            <w:rPr>
              <w:rFonts w:asciiTheme="minorHAnsi" w:hAnsiTheme="minorHAnsi" w:eastAsiaTheme="minorEastAsia" w:cstheme="minorBidi"/>
              <w:b w:val="0"/>
              <w:bCs w:val="0"/>
              <w:szCs w:val="24"/>
              <w:lang w:val="en-US" w:eastAsia="en-US"/>
            </w:rPr>
          </w:pPr>
          <w:hyperlink w:history="1" w:anchor="_Toc224947412">
            <w:r w:rsidRPr="003266D1">
              <w:rPr>
                <w:rStyle w:val="Hyperlink"/>
                <w:color w:val="auto"/>
              </w:rPr>
              <w:t>12.</w:t>
            </w:r>
            <w:r w:rsidRPr="003266D1">
              <w:rPr>
                <w:rFonts w:asciiTheme="minorHAnsi" w:hAnsiTheme="minorHAnsi" w:eastAsiaTheme="minorEastAsia" w:cstheme="minorBidi"/>
                <w:b w:val="0"/>
                <w:bCs w:val="0"/>
                <w:szCs w:val="24"/>
                <w:lang w:val="en-US" w:eastAsia="en-US"/>
              </w:rPr>
              <w:tab/>
            </w:r>
            <w:r w:rsidRPr="003266D1">
              <w:rPr>
                <w:rStyle w:val="Hyperlink"/>
                <w:color w:val="auto"/>
              </w:rPr>
              <w:t>Reflective Account (Gibbs’ Reflective Cycle)</w:t>
            </w:r>
            <w:r w:rsidRPr="003266D1">
              <w:rPr>
                <w:webHidden/>
              </w:rPr>
              <w:tab/>
            </w:r>
            <w:r w:rsidRPr="003266D1">
              <w:rPr>
                <w:webHidden/>
              </w:rPr>
              <w:fldChar w:fldCharType="begin"/>
            </w:r>
            <w:r w:rsidRPr="003266D1">
              <w:rPr>
                <w:webHidden/>
              </w:rPr>
              <w:instrText xml:space="preserve"> PAGEREF _Toc224947412 \h </w:instrText>
            </w:r>
            <w:r w:rsidRPr="003266D1">
              <w:rPr>
                <w:webHidden/>
              </w:rPr>
            </w:r>
            <w:r w:rsidRPr="003266D1">
              <w:rPr>
                <w:webHidden/>
              </w:rPr>
              <w:fldChar w:fldCharType="separate"/>
            </w:r>
            <w:r w:rsidRPr="003266D1">
              <w:rPr>
                <w:webHidden/>
              </w:rPr>
              <w:t>29</w:t>
            </w:r>
            <w:r w:rsidRPr="003266D1">
              <w:rPr>
                <w:webHidden/>
              </w:rPr>
              <w:fldChar w:fldCharType="end"/>
            </w:r>
          </w:hyperlink>
        </w:p>
        <w:p w:rsidRPr="003266D1" w:rsidR="00371EA5" w:rsidRDefault="00371EA5" w14:paraId="1220DE89" w14:textId="2DEB8732">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13">
            <w:r w:rsidRPr="003266D1">
              <w:rPr>
                <w:rStyle w:val="Hyperlink"/>
                <w:rFonts w:eastAsiaTheme="majorEastAsia"/>
                <w:noProof/>
                <w:color w:val="auto"/>
              </w:rPr>
              <w:t>12.1</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Description</w:t>
            </w:r>
            <w:r w:rsidRPr="003266D1">
              <w:rPr>
                <w:noProof/>
                <w:webHidden/>
              </w:rPr>
              <w:tab/>
            </w:r>
            <w:r w:rsidRPr="003266D1">
              <w:rPr>
                <w:noProof/>
                <w:webHidden/>
              </w:rPr>
              <w:fldChar w:fldCharType="begin"/>
            </w:r>
            <w:r w:rsidRPr="003266D1">
              <w:rPr>
                <w:noProof/>
                <w:webHidden/>
              </w:rPr>
              <w:instrText xml:space="preserve"> PAGEREF _Toc224947413 \h </w:instrText>
            </w:r>
            <w:r w:rsidRPr="003266D1">
              <w:rPr>
                <w:noProof/>
                <w:webHidden/>
              </w:rPr>
            </w:r>
            <w:r w:rsidRPr="003266D1">
              <w:rPr>
                <w:noProof/>
                <w:webHidden/>
              </w:rPr>
              <w:fldChar w:fldCharType="separate"/>
            </w:r>
            <w:r w:rsidRPr="003266D1">
              <w:rPr>
                <w:noProof/>
                <w:webHidden/>
              </w:rPr>
              <w:t>29</w:t>
            </w:r>
            <w:r w:rsidRPr="003266D1">
              <w:rPr>
                <w:noProof/>
                <w:webHidden/>
              </w:rPr>
              <w:fldChar w:fldCharType="end"/>
            </w:r>
          </w:hyperlink>
        </w:p>
        <w:p w:rsidRPr="003266D1" w:rsidR="00371EA5" w:rsidRDefault="00371EA5" w14:paraId="1205F255" w14:textId="1E588336">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14">
            <w:r w:rsidRPr="003266D1">
              <w:rPr>
                <w:rStyle w:val="Hyperlink"/>
                <w:rFonts w:eastAsiaTheme="majorEastAsia"/>
                <w:noProof/>
                <w:color w:val="auto"/>
              </w:rPr>
              <w:t>12.2</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Feelings</w:t>
            </w:r>
            <w:r w:rsidRPr="003266D1">
              <w:rPr>
                <w:noProof/>
                <w:webHidden/>
              </w:rPr>
              <w:tab/>
            </w:r>
            <w:r w:rsidRPr="003266D1">
              <w:rPr>
                <w:noProof/>
                <w:webHidden/>
              </w:rPr>
              <w:fldChar w:fldCharType="begin"/>
            </w:r>
            <w:r w:rsidRPr="003266D1">
              <w:rPr>
                <w:noProof/>
                <w:webHidden/>
              </w:rPr>
              <w:instrText xml:space="preserve"> PAGEREF _Toc224947414 \h </w:instrText>
            </w:r>
            <w:r w:rsidRPr="003266D1">
              <w:rPr>
                <w:noProof/>
                <w:webHidden/>
              </w:rPr>
            </w:r>
            <w:r w:rsidRPr="003266D1">
              <w:rPr>
                <w:noProof/>
                <w:webHidden/>
              </w:rPr>
              <w:fldChar w:fldCharType="separate"/>
            </w:r>
            <w:r w:rsidRPr="003266D1">
              <w:rPr>
                <w:noProof/>
                <w:webHidden/>
              </w:rPr>
              <w:t>29</w:t>
            </w:r>
            <w:r w:rsidRPr="003266D1">
              <w:rPr>
                <w:noProof/>
                <w:webHidden/>
              </w:rPr>
              <w:fldChar w:fldCharType="end"/>
            </w:r>
          </w:hyperlink>
        </w:p>
        <w:p w:rsidRPr="003266D1" w:rsidR="00371EA5" w:rsidRDefault="00371EA5" w14:paraId="092E6213" w14:textId="754012FC">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15">
            <w:r w:rsidRPr="003266D1">
              <w:rPr>
                <w:rStyle w:val="Hyperlink"/>
                <w:rFonts w:eastAsiaTheme="majorEastAsia"/>
                <w:noProof/>
                <w:color w:val="auto"/>
              </w:rPr>
              <w:t>12.3</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Evaluation</w:t>
            </w:r>
            <w:r w:rsidRPr="003266D1">
              <w:rPr>
                <w:noProof/>
                <w:webHidden/>
              </w:rPr>
              <w:tab/>
            </w:r>
            <w:r w:rsidRPr="003266D1">
              <w:rPr>
                <w:noProof/>
                <w:webHidden/>
              </w:rPr>
              <w:fldChar w:fldCharType="begin"/>
            </w:r>
            <w:r w:rsidRPr="003266D1">
              <w:rPr>
                <w:noProof/>
                <w:webHidden/>
              </w:rPr>
              <w:instrText xml:space="preserve"> PAGEREF _Toc224947415 \h </w:instrText>
            </w:r>
            <w:r w:rsidRPr="003266D1">
              <w:rPr>
                <w:noProof/>
                <w:webHidden/>
              </w:rPr>
            </w:r>
            <w:r w:rsidRPr="003266D1">
              <w:rPr>
                <w:noProof/>
                <w:webHidden/>
              </w:rPr>
              <w:fldChar w:fldCharType="separate"/>
            </w:r>
            <w:r w:rsidRPr="003266D1">
              <w:rPr>
                <w:noProof/>
                <w:webHidden/>
              </w:rPr>
              <w:t>29</w:t>
            </w:r>
            <w:r w:rsidRPr="003266D1">
              <w:rPr>
                <w:noProof/>
                <w:webHidden/>
              </w:rPr>
              <w:fldChar w:fldCharType="end"/>
            </w:r>
          </w:hyperlink>
        </w:p>
        <w:p w:rsidRPr="003266D1" w:rsidR="00371EA5" w:rsidRDefault="00371EA5" w14:paraId="53753969" w14:textId="4FDF939A">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16">
            <w:r w:rsidRPr="003266D1">
              <w:rPr>
                <w:rStyle w:val="Hyperlink"/>
                <w:rFonts w:eastAsiaTheme="majorEastAsia"/>
                <w:noProof/>
                <w:color w:val="auto"/>
              </w:rPr>
              <w:t>12.4</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Analysis</w:t>
            </w:r>
            <w:r w:rsidRPr="003266D1">
              <w:rPr>
                <w:noProof/>
                <w:webHidden/>
              </w:rPr>
              <w:tab/>
            </w:r>
            <w:r w:rsidRPr="003266D1">
              <w:rPr>
                <w:noProof/>
                <w:webHidden/>
              </w:rPr>
              <w:fldChar w:fldCharType="begin"/>
            </w:r>
            <w:r w:rsidRPr="003266D1">
              <w:rPr>
                <w:noProof/>
                <w:webHidden/>
              </w:rPr>
              <w:instrText xml:space="preserve"> PAGEREF _Toc224947416 \h </w:instrText>
            </w:r>
            <w:r w:rsidRPr="003266D1">
              <w:rPr>
                <w:noProof/>
                <w:webHidden/>
              </w:rPr>
            </w:r>
            <w:r w:rsidRPr="003266D1">
              <w:rPr>
                <w:noProof/>
                <w:webHidden/>
              </w:rPr>
              <w:fldChar w:fldCharType="separate"/>
            </w:r>
            <w:r w:rsidRPr="003266D1">
              <w:rPr>
                <w:noProof/>
                <w:webHidden/>
              </w:rPr>
              <w:t>30</w:t>
            </w:r>
            <w:r w:rsidRPr="003266D1">
              <w:rPr>
                <w:noProof/>
                <w:webHidden/>
              </w:rPr>
              <w:fldChar w:fldCharType="end"/>
            </w:r>
          </w:hyperlink>
        </w:p>
        <w:p w:rsidRPr="003266D1" w:rsidR="00371EA5" w:rsidRDefault="00371EA5" w14:paraId="5328480F" w14:textId="3E04A560">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17">
            <w:r w:rsidRPr="003266D1">
              <w:rPr>
                <w:rStyle w:val="Hyperlink"/>
                <w:rFonts w:eastAsiaTheme="majorEastAsia"/>
                <w:noProof/>
                <w:color w:val="auto"/>
              </w:rPr>
              <w:t>12.5</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Conclusion</w:t>
            </w:r>
            <w:r w:rsidRPr="003266D1">
              <w:rPr>
                <w:noProof/>
                <w:webHidden/>
              </w:rPr>
              <w:tab/>
            </w:r>
            <w:r w:rsidRPr="003266D1">
              <w:rPr>
                <w:noProof/>
                <w:webHidden/>
              </w:rPr>
              <w:fldChar w:fldCharType="begin"/>
            </w:r>
            <w:r w:rsidRPr="003266D1">
              <w:rPr>
                <w:noProof/>
                <w:webHidden/>
              </w:rPr>
              <w:instrText xml:space="preserve"> PAGEREF _Toc224947417 \h </w:instrText>
            </w:r>
            <w:r w:rsidRPr="003266D1">
              <w:rPr>
                <w:noProof/>
                <w:webHidden/>
              </w:rPr>
            </w:r>
            <w:r w:rsidRPr="003266D1">
              <w:rPr>
                <w:noProof/>
                <w:webHidden/>
              </w:rPr>
              <w:fldChar w:fldCharType="separate"/>
            </w:r>
            <w:r w:rsidRPr="003266D1">
              <w:rPr>
                <w:noProof/>
                <w:webHidden/>
              </w:rPr>
              <w:t>30</w:t>
            </w:r>
            <w:r w:rsidRPr="003266D1">
              <w:rPr>
                <w:noProof/>
                <w:webHidden/>
              </w:rPr>
              <w:fldChar w:fldCharType="end"/>
            </w:r>
          </w:hyperlink>
        </w:p>
        <w:p w:rsidRPr="003266D1" w:rsidR="00371EA5" w:rsidRDefault="00371EA5" w14:paraId="4B615C43" w14:textId="3888815F">
          <w:pPr>
            <w:pStyle w:val="TOC2"/>
            <w:tabs>
              <w:tab w:val="left" w:pos="960"/>
              <w:tab w:val="right" w:leader="dot" w:pos="9016"/>
            </w:tabs>
            <w:rPr>
              <w:rFonts w:asciiTheme="minorHAnsi" w:hAnsiTheme="minorHAnsi" w:eastAsiaTheme="minorEastAsia" w:cstheme="minorBidi"/>
              <w:noProof/>
              <w:szCs w:val="24"/>
              <w:lang w:val="en-US" w:eastAsia="en-US"/>
            </w:rPr>
          </w:pPr>
          <w:hyperlink w:history="1" w:anchor="_Toc224947418">
            <w:r w:rsidRPr="003266D1">
              <w:rPr>
                <w:rStyle w:val="Hyperlink"/>
                <w:rFonts w:eastAsiaTheme="majorEastAsia"/>
                <w:noProof/>
                <w:color w:val="auto"/>
              </w:rPr>
              <w:t>12.6</w:t>
            </w:r>
            <w:r w:rsidRPr="003266D1">
              <w:rPr>
                <w:rFonts w:asciiTheme="minorHAnsi" w:hAnsiTheme="minorHAnsi" w:eastAsiaTheme="minorEastAsia" w:cstheme="minorBidi"/>
                <w:noProof/>
                <w:szCs w:val="24"/>
                <w:lang w:val="en-US" w:eastAsia="en-US"/>
              </w:rPr>
              <w:tab/>
            </w:r>
            <w:r w:rsidRPr="003266D1">
              <w:rPr>
                <w:rStyle w:val="Hyperlink"/>
                <w:rFonts w:eastAsiaTheme="majorEastAsia"/>
                <w:noProof/>
                <w:color w:val="auto"/>
              </w:rPr>
              <w:t>Action Plan</w:t>
            </w:r>
            <w:r w:rsidRPr="003266D1">
              <w:rPr>
                <w:noProof/>
                <w:webHidden/>
              </w:rPr>
              <w:tab/>
            </w:r>
            <w:r w:rsidRPr="003266D1">
              <w:rPr>
                <w:noProof/>
                <w:webHidden/>
              </w:rPr>
              <w:fldChar w:fldCharType="begin"/>
            </w:r>
            <w:r w:rsidRPr="003266D1">
              <w:rPr>
                <w:noProof/>
                <w:webHidden/>
              </w:rPr>
              <w:instrText xml:space="preserve"> PAGEREF _Toc224947418 \h </w:instrText>
            </w:r>
            <w:r w:rsidRPr="003266D1">
              <w:rPr>
                <w:noProof/>
                <w:webHidden/>
              </w:rPr>
            </w:r>
            <w:r w:rsidRPr="003266D1">
              <w:rPr>
                <w:noProof/>
                <w:webHidden/>
              </w:rPr>
              <w:fldChar w:fldCharType="separate"/>
            </w:r>
            <w:r w:rsidRPr="003266D1">
              <w:rPr>
                <w:noProof/>
                <w:webHidden/>
              </w:rPr>
              <w:t>31</w:t>
            </w:r>
            <w:r w:rsidRPr="003266D1">
              <w:rPr>
                <w:noProof/>
                <w:webHidden/>
              </w:rPr>
              <w:fldChar w:fldCharType="end"/>
            </w:r>
          </w:hyperlink>
        </w:p>
        <w:p w:rsidRPr="003266D1" w:rsidR="00371EA5" w:rsidRDefault="00371EA5" w14:paraId="711D56FF" w14:textId="5F9A5827">
          <w:pPr>
            <w:pStyle w:val="TOC1"/>
            <w:tabs>
              <w:tab w:val="left" w:pos="720"/>
            </w:tabs>
            <w:rPr>
              <w:rFonts w:asciiTheme="minorHAnsi" w:hAnsiTheme="minorHAnsi" w:eastAsiaTheme="minorEastAsia" w:cstheme="minorBidi"/>
              <w:b w:val="0"/>
              <w:bCs w:val="0"/>
              <w:szCs w:val="24"/>
              <w:lang w:val="en-US" w:eastAsia="en-US"/>
            </w:rPr>
          </w:pPr>
          <w:hyperlink w:history="1" w:anchor="_Toc224947419">
            <w:r w:rsidRPr="003266D1">
              <w:rPr>
                <w:rStyle w:val="Hyperlink"/>
                <w:color w:val="auto"/>
              </w:rPr>
              <w:t>13.</w:t>
            </w:r>
            <w:r w:rsidRPr="003266D1">
              <w:rPr>
                <w:rFonts w:asciiTheme="minorHAnsi" w:hAnsiTheme="minorHAnsi" w:eastAsiaTheme="minorEastAsia" w:cstheme="minorBidi"/>
                <w:b w:val="0"/>
                <w:bCs w:val="0"/>
                <w:szCs w:val="24"/>
                <w:lang w:val="en-US" w:eastAsia="en-US"/>
              </w:rPr>
              <w:tab/>
            </w:r>
            <w:r w:rsidRPr="003266D1">
              <w:rPr>
                <w:rStyle w:val="Hyperlink"/>
                <w:color w:val="auto"/>
              </w:rPr>
              <w:t>Reference List</w:t>
            </w:r>
            <w:r w:rsidRPr="003266D1">
              <w:rPr>
                <w:webHidden/>
              </w:rPr>
              <w:tab/>
            </w:r>
            <w:r w:rsidRPr="003266D1">
              <w:rPr>
                <w:webHidden/>
              </w:rPr>
              <w:fldChar w:fldCharType="begin"/>
            </w:r>
            <w:r w:rsidRPr="003266D1">
              <w:rPr>
                <w:webHidden/>
              </w:rPr>
              <w:instrText xml:space="preserve"> PAGEREF _Toc224947419 \h </w:instrText>
            </w:r>
            <w:r w:rsidRPr="003266D1">
              <w:rPr>
                <w:webHidden/>
              </w:rPr>
            </w:r>
            <w:r w:rsidRPr="003266D1">
              <w:rPr>
                <w:webHidden/>
              </w:rPr>
              <w:fldChar w:fldCharType="separate"/>
            </w:r>
            <w:r w:rsidRPr="003266D1">
              <w:rPr>
                <w:webHidden/>
              </w:rPr>
              <w:t>32</w:t>
            </w:r>
            <w:r w:rsidRPr="003266D1">
              <w:rPr>
                <w:webHidden/>
              </w:rPr>
              <w:fldChar w:fldCharType="end"/>
            </w:r>
          </w:hyperlink>
        </w:p>
        <w:p w:rsidRPr="003266D1" w:rsidR="008E36B5" w:rsidP="004D45A7" w:rsidRDefault="008E36B5" w14:paraId="197E5F88" w14:textId="0D9F5A9E">
          <w:r w:rsidRPr="003266D1">
            <w:rPr>
              <w:noProof/>
            </w:rPr>
            <w:fldChar w:fldCharType="end"/>
          </w:r>
        </w:p>
      </w:sdtContent>
    </w:sdt>
    <w:p w:rsidRPr="003266D1" w:rsidR="000C4B1A" w:rsidP="004D45A7" w:rsidRDefault="000C4B1A" w14:paraId="206503F5" w14:textId="77777777">
      <w:pPr>
        <w:rPr>
          <w:b/>
          <w:bCs/>
        </w:rPr>
      </w:pPr>
    </w:p>
    <w:p w:rsidRPr="003266D1" w:rsidR="004B06A6" w:rsidRDefault="004B06A6" w14:paraId="619735AA" w14:textId="0A2D33D5">
      <w:pPr>
        <w:spacing w:before="0" w:after="160" w:line="259" w:lineRule="auto"/>
        <w:jc w:val="left"/>
      </w:pPr>
      <w:r w:rsidRPr="003266D1">
        <w:br w:type="page"/>
      </w:r>
    </w:p>
    <w:p w:rsidRPr="003266D1" w:rsidR="004B06A6" w:rsidP="00E85270" w:rsidRDefault="004B06A6" w14:paraId="103ADFD9" w14:textId="0AF6B968">
      <w:pPr>
        <w:pStyle w:val="Heading1"/>
        <w:rPr>
          <w:color w:val="auto"/>
        </w:rPr>
      </w:pPr>
      <w:bookmarkStart w:name="_Toc224947379" w:id="1"/>
      <w:r w:rsidRPr="003266D1">
        <w:rPr>
          <w:color w:val="auto"/>
        </w:rPr>
        <w:t>Introduction</w:t>
      </w:r>
      <w:bookmarkEnd w:id="1"/>
    </w:p>
    <w:p w:rsidRPr="003266D1" w:rsidR="008740ED" w:rsidP="008740ED" w:rsidRDefault="008740ED" w14:paraId="74349C94" w14:textId="2BE713B3">
      <w:pPr>
        <w:rPr>
          <w:szCs w:val="24"/>
          <w:lang w:val="en-US"/>
        </w:rPr>
      </w:pPr>
      <w:r w:rsidRPr="003266D1">
        <w:rPr>
          <w:szCs w:val="24"/>
          <w:lang w:val="en-US"/>
        </w:rPr>
        <w:t xml:space="preserve">Strategic management entails a keen synthesis of the way organisations fit the internal resources and capabilities to the external circumstances in order to develop and sustain competitive advantage in the face of uncertainty (Hitt et al., 2019). This report analyses the case of Volkswagen Group, a multinational automotive corporation that is experiencing structural disruption in regulation, technology, and competition. The method adheres to a logical strategy process that links the diagnosis of situation to formulation, implementation and evaluation and acknowledges that strategy is also emergent and may be subject to learning and change over time (Mintzberg et al., 2008). The analysis uses the explicit models of the module; PESTEL, VRIO, competitive positioning logic, CSR </w:t>
      </w:r>
      <w:r w:rsidRPr="003266D1" w:rsidR="008C044D">
        <w:rPr>
          <w:szCs w:val="24"/>
          <w:lang w:val="en-US"/>
        </w:rPr>
        <w:t>and</w:t>
      </w:r>
      <w:r w:rsidRPr="003266D1">
        <w:rPr>
          <w:szCs w:val="24"/>
          <w:lang w:val="en-US"/>
        </w:rPr>
        <w:t xml:space="preserve"> sustainability viewpoints, Balanced Scorecard, and strategy assessment tools such as, SWOT and Ansoff to formulate recommendations on theory and evidence basis (David et al., 2017).</w:t>
      </w:r>
    </w:p>
    <w:p w:rsidRPr="003266D1" w:rsidR="004B06A6" w:rsidRDefault="004B06A6" w14:paraId="35CBB705" w14:textId="77777777">
      <w:pPr>
        <w:spacing w:before="0" w:after="160" w:line="259" w:lineRule="auto"/>
        <w:jc w:val="left"/>
        <w:rPr>
          <w:lang w:val="en-US"/>
        </w:rPr>
      </w:pPr>
      <w:r w:rsidRPr="003266D1">
        <w:rPr>
          <w:lang w:val="en-US"/>
        </w:rPr>
        <w:br w:type="page"/>
      </w:r>
    </w:p>
    <w:p w:rsidRPr="003266D1" w:rsidR="004B06A6" w:rsidP="00E85270" w:rsidRDefault="004B06A6" w14:paraId="23339E3D" w14:textId="4953FADC">
      <w:pPr>
        <w:pStyle w:val="Heading1"/>
        <w:rPr>
          <w:color w:val="auto"/>
        </w:rPr>
      </w:pPr>
      <w:bookmarkStart w:name="_Toc224947380" w:id="2"/>
      <w:r w:rsidRPr="003266D1">
        <w:rPr>
          <w:color w:val="auto"/>
        </w:rPr>
        <w:t>Current Situation</w:t>
      </w:r>
      <w:bookmarkEnd w:id="2"/>
    </w:p>
    <w:p w:rsidRPr="003266D1" w:rsidR="004B06A6" w:rsidP="00E85270" w:rsidRDefault="004B06A6" w14:paraId="0E4A5278" w14:textId="251877CD">
      <w:pPr>
        <w:pStyle w:val="Heading2"/>
        <w:rPr>
          <w:color w:val="auto"/>
        </w:rPr>
      </w:pPr>
      <w:bookmarkStart w:name="_Toc224947381" w:id="3"/>
      <w:r w:rsidRPr="003266D1">
        <w:rPr>
          <w:color w:val="auto"/>
        </w:rPr>
        <w:t>Description of the Business</w:t>
      </w:r>
      <w:bookmarkEnd w:id="3"/>
    </w:p>
    <w:p w:rsidRPr="003266D1" w:rsidR="00B83A52" w:rsidP="00B83A52" w:rsidRDefault="00B83A52" w14:paraId="27EF197D" w14:textId="17380ACD">
      <w:pPr>
        <w:rPr>
          <w:szCs w:val="24"/>
          <w:lang w:val="en-US"/>
        </w:rPr>
      </w:pPr>
      <w:r w:rsidRPr="003266D1">
        <w:rPr>
          <w:szCs w:val="24"/>
          <w:lang w:val="en-US"/>
        </w:rPr>
        <w:t>Volkswagen Group is a multi-brand motor group that is in the business of passenger car, premium brands, and commercial cars coupled with its industrial business, research and development, and services</w:t>
      </w:r>
      <w:r w:rsidRPr="003266D1" w:rsidR="00742FAE">
        <w:rPr>
          <w:szCs w:val="24"/>
          <w:lang w:val="en-US"/>
        </w:rPr>
        <w:t xml:space="preserve"> (Volkswagen Group, 2025)</w:t>
      </w:r>
      <w:r w:rsidRPr="003266D1">
        <w:rPr>
          <w:szCs w:val="24"/>
          <w:lang w:val="en-US"/>
        </w:rPr>
        <w:t xml:space="preserve">. The post-emissions scandal governance of the firm and the legitimacy rebuilding efforts that led to compliance, sustainability and stakeholder trust centralization of the strategy discussions have a significant impact on the strategic trajectory of the firm (Poier, 2020). The business model of Volkswagen is a blend of the scale production, application of the modular platforms, differentiation of the brand portfolio, and coverage of the global market; it has some leverage and complexity. The 2024 annual report of the Group explains its transformation as focused on electrification, digital products and sustainability with corporate reporting according to the current expectations of ESG disclosure (Volkswagen AG, 2024). </w:t>
      </w:r>
    </w:p>
    <w:p w:rsidRPr="003266D1" w:rsidR="004B06A6" w:rsidP="004B06A6" w:rsidRDefault="004B06A6" w14:paraId="49B44675" w14:textId="2BB2A1DD">
      <w:pPr>
        <w:pStyle w:val="Caption"/>
        <w:rPr>
          <w:lang w:val="en-US"/>
        </w:rPr>
      </w:pPr>
      <w:r w:rsidRPr="003266D1">
        <w:rPr>
          <w:b w:val="0"/>
          <w:bCs/>
          <w:lang w:val="en-US"/>
        </w:rPr>
        <w:t xml:space="preserve"> </w:t>
      </w:r>
      <w:bookmarkStart w:name="_Toc223389537" w:id="4"/>
      <w:r w:rsidRPr="003266D1">
        <w:t xml:space="preserve">Table </w:t>
      </w:r>
      <w:r w:rsidRPr="003266D1">
        <w:fldChar w:fldCharType="begin"/>
      </w:r>
      <w:r w:rsidRPr="003266D1">
        <w:instrText xml:space="preserve"> SEQ Table \* ARABIC </w:instrText>
      </w:r>
      <w:r w:rsidRPr="003266D1">
        <w:fldChar w:fldCharType="separate"/>
      </w:r>
      <w:r w:rsidRPr="003266D1" w:rsidR="00371EA5">
        <w:t>1</w:t>
      </w:r>
      <w:r w:rsidRPr="003266D1">
        <w:fldChar w:fldCharType="end"/>
      </w:r>
      <w:r w:rsidRPr="003266D1">
        <w:t>. Volkswagen strategic context snapshot</w:t>
      </w:r>
      <w:r w:rsidRPr="003266D1" w:rsidR="00D34F3C">
        <w:t xml:space="preserve"> </w:t>
      </w:r>
      <w:r w:rsidRPr="003266D1" w:rsidR="00D34F3C">
        <w:rPr>
          <w:lang w:val="en-US"/>
        </w:rPr>
        <w:t>(Volkswagen AG, 2024</w:t>
      </w:r>
      <w:r w:rsidRPr="003266D1" w:rsidR="00E85270">
        <w:rPr>
          <w:lang w:val="en-US"/>
        </w:rPr>
        <w:t>; Poier, 2020</w:t>
      </w:r>
      <w:r w:rsidRPr="003266D1" w:rsidR="00D34F3C">
        <w:rPr>
          <w:lang w:val="en-US"/>
        </w:rPr>
        <w:t>)</w:t>
      </w:r>
      <w:bookmarkEnd w:id="4"/>
    </w:p>
    <w:p w:rsidRPr="003266D1" w:rsidR="004B06A6" w:rsidP="004B06A6" w:rsidRDefault="00A41C4D" w14:paraId="36C765E2" w14:textId="1AD8D589">
      <w:pPr>
        <w:rPr>
          <w:b/>
          <w:bCs/>
          <w:lang w:val="en-US"/>
        </w:rPr>
      </w:pPr>
      <w:r w:rsidRPr="003266D1">
        <w:rPr>
          <w:b/>
          <w:bCs/>
          <w:noProof/>
          <w:lang w:val="en-US"/>
        </w:rPr>
        <w:drawing>
          <wp:inline distT="0" distB="0" distL="0" distR="0" wp14:anchorId="0B8495F4" wp14:editId="35E59833">
            <wp:extent cx="5731510" cy="3766820"/>
            <wp:effectExtent l="0" t="0" r="2540" b="5080"/>
            <wp:docPr id="1030268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68522" name=""/>
                    <pic:cNvPicPr/>
                  </pic:nvPicPr>
                  <pic:blipFill>
                    <a:blip r:embed="rId9"/>
                    <a:stretch>
                      <a:fillRect/>
                    </a:stretch>
                  </pic:blipFill>
                  <pic:spPr>
                    <a:xfrm>
                      <a:off x="0" y="0"/>
                      <a:ext cx="5733003" cy="3767801"/>
                    </a:xfrm>
                    <a:prstGeom prst="rect">
                      <a:avLst/>
                    </a:prstGeom>
                  </pic:spPr>
                </pic:pic>
              </a:graphicData>
            </a:graphic>
          </wp:inline>
        </w:drawing>
      </w:r>
    </w:p>
    <w:p w:rsidRPr="003266D1" w:rsidR="004B06A6" w:rsidP="00E85270" w:rsidRDefault="004B06A6" w14:paraId="62D5FA9A" w14:textId="1F12FED8">
      <w:pPr>
        <w:pStyle w:val="Heading2"/>
        <w:rPr>
          <w:color w:val="auto"/>
        </w:rPr>
      </w:pPr>
      <w:bookmarkStart w:name="_Toc224947382" w:id="5"/>
      <w:r w:rsidRPr="003266D1">
        <w:rPr>
          <w:color w:val="auto"/>
        </w:rPr>
        <w:t>Industry, competitors, and market position</w:t>
      </w:r>
      <w:bookmarkEnd w:id="5"/>
    </w:p>
    <w:p w:rsidRPr="003266D1" w:rsidR="00BF0D6B" w:rsidP="00BF0D6B" w:rsidRDefault="00BF0D6B" w14:paraId="37F01DB4" w14:textId="1FFD5DD7">
      <w:pPr>
        <w:rPr>
          <w:szCs w:val="24"/>
          <w:lang w:val="en-US"/>
        </w:rPr>
      </w:pPr>
      <w:r w:rsidRPr="003266D1">
        <w:rPr>
          <w:szCs w:val="24"/>
          <w:lang w:val="en-US"/>
        </w:rPr>
        <w:t xml:space="preserve">Electrification, </w:t>
      </w:r>
      <w:proofErr w:type="spellStart"/>
      <w:r w:rsidRPr="003266D1">
        <w:rPr>
          <w:szCs w:val="24"/>
          <w:lang w:val="en-US"/>
        </w:rPr>
        <w:t>digitalisation</w:t>
      </w:r>
      <w:proofErr w:type="spellEnd"/>
      <w:r w:rsidRPr="003266D1">
        <w:rPr>
          <w:szCs w:val="24"/>
          <w:lang w:val="en-US"/>
        </w:rPr>
        <w:t>, and intervention by policies are leading to a structural change in the automotive industry</w:t>
      </w:r>
      <w:r w:rsidRPr="003266D1" w:rsidR="00E85270">
        <w:rPr>
          <w:szCs w:val="24"/>
          <w:lang w:val="en-US"/>
        </w:rPr>
        <w:t xml:space="preserve"> (Chen, 2024)</w:t>
      </w:r>
      <w:r w:rsidRPr="003266D1">
        <w:rPr>
          <w:szCs w:val="24"/>
          <w:lang w:val="en-US"/>
        </w:rPr>
        <w:t>. In Europe, CO2 compliance schemes remain at an eye of the competitive viability, but short-term flexibility in compliance calculations towards 2025-2027 change the direction of travel but not the direction (European Parliament and Council, 2025). All over the world, competition has been elevated with the aim of Chinese</w:t>
      </w:r>
      <w:r w:rsidRPr="003266D1" w:rsidR="00E85270">
        <w:rPr>
          <w:szCs w:val="24"/>
          <w:lang w:val="en-US"/>
        </w:rPr>
        <w:t xml:space="preserve"> EV</w:t>
      </w:r>
      <w:r w:rsidRPr="003266D1">
        <w:rPr>
          <w:szCs w:val="24"/>
          <w:lang w:val="en-US"/>
        </w:rPr>
        <w:t xml:space="preserve"> manufacturers scaling up and putting pressure on the price/performance of the incumbent, this influences the strategic space of Volkswagen more in China (Reuters, 2025). Simultaneously, the diffusion of EVs in diverse markets is increasing but not evenly distributed, and thus, strategic choices should consider the variations in the aspect of regulations, infrastructure and consumer preparedness (IEA, 2025).</w:t>
      </w:r>
    </w:p>
    <w:p w:rsidRPr="003266D1" w:rsidR="00D5035D" w:rsidP="004B06A6" w:rsidRDefault="00D5035D" w14:paraId="3D40021C" w14:textId="11C99D62">
      <w:pPr>
        <w:rPr>
          <w:lang w:val="en-US"/>
        </w:rPr>
      </w:pPr>
      <w:r w:rsidRPr="003266D1">
        <w:rPr>
          <w:noProof/>
          <w:lang w:val="en-US" w:eastAsia="en-US"/>
        </w:rPr>
        <w:drawing>
          <wp:inline distT="0" distB="0" distL="0" distR="0" wp14:anchorId="30CEE4F7" wp14:editId="067F130D">
            <wp:extent cx="5594571" cy="3729714"/>
            <wp:effectExtent l="19050" t="19050" r="25400" b="23495"/>
            <wp:docPr id="175248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9223" cy="3746149"/>
                    </a:xfrm>
                    <a:prstGeom prst="rect">
                      <a:avLst/>
                    </a:prstGeom>
                    <a:noFill/>
                    <a:ln>
                      <a:solidFill>
                        <a:schemeClr val="accent5">
                          <a:lumMod val="20000"/>
                          <a:lumOff val="80000"/>
                        </a:schemeClr>
                      </a:solidFill>
                    </a:ln>
                  </pic:spPr>
                </pic:pic>
              </a:graphicData>
            </a:graphic>
          </wp:inline>
        </w:drawing>
      </w:r>
    </w:p>
    <w:p w:rsidRPr="003266D1" w:rsidR="004B06A6" w:rsidP="00D5035D" w:rsidRDefault="00D5035D" w14:paraId="6ACA7C35" w14:textId="2E6BD9EB">
      <w:pPr>
        <w:pStyle w:val="Caption"/>
        <w:rPr>
          <w:lang w:val="en-US"/>
        </w:rPr>
      </w:pPr>
      <w:r w:rsidRPr="003266D1">
        <w:rPr>
          <w:b w:val="0"/>
          <w:bCs/>
          <w:lang w:val="en-US"/>
        </w:rPr>
        <w:t xml:space="preserve"> </w:t>
      </w:r>
      <w:bookmarkStart w:name="_Toc223389529" w:id="6"/>
      <w:r w:rsidRPr="003266D1">
        <w:t xml:space="preserve">Figure </w:t>
      </w:r>
      <w:r w:rsidRPr="003266D1">
        <w:fldChar w:fldCharType="begin"/>
      </w:r>
      <w:r w:rsidRPr="003266D1">
        <w:instrText xml:space="preserve"> SEQ Figure \* ARABIC </w:instrText>
      </w:r>
      <w:r w:rsidRPr="003266D1">
        <w:fldChar w:fldCharType="separate"/>
      </w:r>
      <w:r w:rsidRPr="003266D1" w:rsidR="00B650D7">
        <w:t>1</w:t>
      </w:r>
      <w:r w:rsidRPr="003266D1">
        <w:fldChar w:fldCharType="end"/>
      </w:r>
      <w:r w:rsidRPr="003266D1">
        <w:t>. Volkswagen’s Competitive Arena (2024–2026) (Self-Designed based on European Parliament and Council, 2025; Reuters, 2025; IEA, 2025)</w:t>
      </w:r>
      <w:bookmarkEnd w:id="6"/>
    </w:p>
    <w:p w:rsidRPr="003266D1" w:rsidR="00CE0C6D" w:rsidRDefault="00CE0C6D" w14:paraId="38F481F8" w14:textId="77777777">
      <w:pPr>
        <w:spacing w:before="0" w:after="160" w:line="259" w:lineRule="auto"/>
        <w:jc w:val="left"/>
        <w:rPr>
          <w:lang w:val="en-US"/>
        </w:rPr>
      </w:pPr>
      <w:r w:rsidRPr="003266D1">
        <w:rPr>
          <w:lang w:val="en-US"/>
        </w:rPr>
        <w:br w:type="page"/>
      </w:r>
    </w:p>
    <w:p w:rsidRPr="003266D1" w:rsidR="004B06A6" w:rsidP="00E85270" w:rsidRDefault="004B06A6" w14:paraId="677A69A9" w14:textId="188B742C">
      <w:pPr>
        <w:pStyle w:val="Heading1"/>
        <w:rPr>
          <w:color w:val="auto"/>
        </w:rPr>
      </w:pPr>
      <w:bookmarkStart w:name="_Toc224947383" w:id="7"/>
      <w:r w:rsidRPr="003266D1">
        <w:rPr>
          <w:color w:val="auto"/>
        </w:rPr>
        <w:t>External Audit</w:t>
      </w:r>
      <w:bookmarkEnd w:id="7"/>
    </w:p>
    <w:p w:rsidRPr="003266D1" w:rsidR="004B06A6" w:rsidP="00E85270" w:rsidRDefault="004B06A6" w14:paraId="5E3469E9" w14:textId="54BF4740">
      <w:pPr>
        <w:pStyle w:val="Heading2"/>
        <w:rPr>
          <w:color w:val="auto"/>
        </w:rPr>
      </w:pPr>
      <w:bookmarkStart w:name="_Toc224947384" w:id="8"/>
      <w:r w:rsidRPr="003266D1">
        <w:rPr>
          <w:color w:val="auto"/>
        </w:rPr>
        <w:t>External environment and its importance</w:t>
      </w:r>
      <w:bookmarkEnd w:id="8"/>
    </w:p>
    <w:p w:rsidRPr="003266D1" w:rsidR="00D024B5" w:rsidP="00D024B5" w:rsidRDefault="00D024B5" w14:paraId="59636DE4" w14:textId="2A65DE16">
      <w:pPr>
        <w:rPr>
          <w:szCs w:val="24"/>
          <w:lang w:val="en-US"/>
        </w:rPr>
      </w:pPr>
      <w:r w:rsidRPr="003266D1">
        <w:rPr>
          <w:szCs w:val="24"/>
          <w:lang w:val="en-US"/>
        </w:rPr>
        <w:t>External analysis refers to the fact that the performance of organisations cannot be accounted by the internal decisions alone since the strategy has limited ability and capacity to be constrained and facilitated by the forces and dynamics of macro environmental and industries</w:t>
      </w:r>
      <w:r w:rsidRPr="003266D1" w:rsidR="00E85270">
        <w:rPr>
          <w:szCs w:val="24"/>
          <w:lang w:val="en-US"/>
        </w:rPr>
        <w:t xml:space="preserve"> </w:t>
      </w:r>
      <w:r w:rsidRPr="003266D1" w:rsidR="00E85270">
        <w:t>(Collins et al., 2024)</w:t>
      </w:r>
      <w:r w:rsidRPr="003266D1">
        <w:rPr>
          <w:szCs w:val="24"/>
          <w:lang w:val="en-US"/>
        </w:rPr>
        <w:t xml:space="preserve">. PESTEL can be applied to scan the pressure that influences the strategic decision-making process, but it is essential to note that the tool needs to be used as a </w:t>
      </w:r>
      <w:r w:rsidRPr="003266D1" w:rsidR="00D34F3C">
        <w:rPr>
          <w:szCs w:val="24"/>
          <w:lang w:val="en-US"/>
        </w:rPr>
        <w:t>dependent</w:t>
      </w:r>
      <w:r w:rsidRPr="003266D1">
        <w:rPr>
          <w:szCs w:val="24"/>
          <w:lang w:val="en-US"/>
        </w:rPr>
        <w:t xml:space="preserve"> category because </w:t>
      </w:r>
      <w:proofErr w:type="spellStart"/>
      <w:r w:rsidRPr="003266D1">
        <w:rPr>
          <w:szCs w:val="24"/>
          <w:lang w:val="en-US"/>
        </w:rPr>
        <w:t>categorising</w:t>
      </w:r>
      <w:proofErr w:type="spellEnd"/>
      <w:r w:rsidRPr="003266D1">
        <w:rPr>
          <w:szCs w:val="24"/>
          <w:lang w:val="en-US"/>
        </w:rPr>
        <w:t xml:space="preserve"> the pressure as changing and interdependent is an oversimplified approach to urgent decisions </w:t>
      </w:r>
      <w:r w:rsidRPr="003266D1" w:rsidR="00594D32">
        <w:rPr>
          <w:szCs w:val="24"/>
          <w:lang w:val="en-US"/>
        </w:rPr>
        <w:t>(</w:t>
      </w:r>
      <w:r w:rsidRPr="003266D1">
        <w:rPr>
          <w:szCs w:val="24"/>
          <w:lang w:val="en-US"/>
        </w:rPr>
        <w:t xml:space="preserve">Buye, 2021). Critically applied, PESTEL makes us conscious of the reality that </w:t>
      </w:r>
      <w:r w:rsidRPr="003266D1" w:rsidR="00D34F3C">
        <w:rPr>
          <w:szCs w:val="24"/>
          <w:lang w:val="en-US"/>
        </w:rPr>
        <w:t>Volkswagen</w:t>
      </w:r>
      <w:r w:rsidRPr="003266D1">
        <w:rPr>
          <w:szCs w:val="24"/>
          <w:lang w:val="en-US"/>
        </w:rPr>
        <w:t xml:space="preserve"> is being faced by what can be considered as regulatory, technological and geo-political pressures that can compound one another and can expedite the strategic urgency (Bou Hatoum et al., 2023).</w:t>
      </w:r>
    </w:p>
    <w:p w:rsidRPr="003266D1" w:rsidR="004B06A6" w:rsidP="00E85270" w:rsidRDefault="004B06A6" w14:paraId="134E1F70" w14:textId="1D1D0F56">
      <w:pPr>
        <w:pStyle w:val="Heading2"/>
        <w:rPr>
          <w:color w:val="auto"/>
        </w:rPr>
      </w:pPr>
      <w:bookmarkStart w:name="_Toc224947385" w:id="9"/>
      <w:r w:rsidRPr="003266D1">
        <w:rPr>
          <w:color w:val="auto"/>
        </w:rPr>
        <w:t xml:space="preserve">PESTEL </w:t>
      </w:r>
      <w:r w:rsidRPr="003266D1" w:rsidR="00E85270">
        <w:rPr>
          <w:color w:val="auto"/>
        </w:rPr>
        <w:t>A</w:t>
      </w:r>
      <w:r w:rsidRPr="003266D1">
        <w:rPr>
          <w:color w:val="auto"/>
        </w:rPr>
        <w:t>nalysis for Volkswagen and key issues emerging</w:t>
      </w:r>
      <w:bookmarkEnd w:id="9"/>
    </w:p>
    <w:p w:rsidRPr="003266D1" w:rsidR="002720E8" w:rsidP="002720E8" w:rsidRDefault="002720E8" w14:paraId="2C910298" w14:textId="1C422616">
      <w:pPr>
        <w:rPr>
          <w:szCs w:val="24"/>
          <w:lang w:val="en-US"/>
        </w:rPr>
      </w:pPr>
      <w:r w:rsidRPr="003266D1">
        <w:rPr>
          <w:szCs w:val="24"/>
          <w:lang w:val="en-US"/>
        </w:rPr>
        <w:t>Critical interpretation of it shows that regulation is not a binding tool but a market-forming influence that redistributes benefit to those companies that can perform compliance-compliant innovation at scale</w:t>
      </w:r>
      <w:r w:rsidRPr="003266D1" w:rsidR="00786EE2">
        <w:rPr>
          <w:szCs w:val="24"/>
          <w:lang w:val="en-US"/>
        </w:rPr>
        <w:t xml:space="preserve"> </w:t>
      </w:r>
      <w:r w:rsidRPr="003266D1" w:rsidR="00786EE2">
        <w:rPr>
          <w:lang w:val="en-US"/>
        </w:rPr>
        <w:t>(</w:t>
      </w:r>
      <w:proofErr w:type="spellStart"/>
      <w:r w:rsidRPr="003266D1" w:rsidR="00786EE2">
        <w:rPr>
          <w:lang w:val="en-US"/>
        </w:rPr>
        <w:t>Ulubeyli</w:t>
      </w:r>
      <w:proofErr w:type="spellEnd"/>
      <w:r w:rsidRPr="003266D1" w:rsidR="00786EE2">
        <w:rPr>
          <w:lang w:val="en-US"/>
        </w:rPr>
        <w:t xml:space="preserve"> et al., 2019)</w:t>
      </w:r>
      <w:r w:rsidRPr="003266D1">
        <w:rPr>
          <w:szCs w:val="24"/>
          <w:lang w:val="en-US"/>
        </w:rPr>
        <w:t xml:space="preserve">. The flexibility adaptation in 2025-27 aims to </w:t>
      </w:r>
      <w:proofErr w:type="spellStart"/>
      <w:r w:rsidRPr="003266D1">
        <w:rPr>
          <w:szCs w:val="24"/>
          <w:lang w:val="en-US"/>
        </w:rPr>
        <w:t>minimise</w:t>
      </w:r>
      <w:proofErr w:type="spellEnd"/>
      <w:r w:rsidRPr="003266D1">
        <w:rPr>
          <w:szCs w:val="24"/>
          <w:lang w:val="en-US"/>
        </w:rPr>
        <w:t xml:space="preserve"> the immediate compliance risk, but may also lead to more competition as firms may opt to postpone transformation through this, and may result in a steeper capability gap in the future (European Parliament and Council, 2025). The size of the Chinese EV market that has already transformed the competitive landscape and challenged the cost and speed leadership of established players increases competition in the market (Reuters, 2025; Chen, 2024).</w:t>
      </w:r>
    </w:p>
    <w:p w:rsidRPr="003266D1" w:rsidR="004B06A6" w:rsidP="006C340B" w:rsidRDefault="006C340B" w14:paraId="3718B6D9" w14:textId="768B9D00">
      <w:pPr>
        <w:pStyle w:val="Caption"/>
        <w:rPr>
          <w:lang w:val="en-US"/>
        </w:rPr>
      </w:pPr>
      <w:r w:rsidRPr="003266D1">
        <w:rPr>
          <w:b w:val="0"/>
          <w:bCs/>
          <w:lang w:val="en-US"/>
        </w:rPr>
        <w:t xml:space="preserve"> </w:t>
      </w:r>
      <w:bookmarkStart w:name="_Toc223389538" w:id="10"/>
      <w:r w:rsidRPr="003266D1">
        <w:t xml:space="preserve">Table </w:t>
      </w:r>
      <w:r w:rsidRPr="003266D1">
        <w:fldChar w:fldCharType="begin"/>
      </w:r>
      <w:r w:rsidRPr="003266D1">
        <w:instrText xml:space="preserve"> SEQ Table \* ARABIC </w:instrText>
      </w:r>
      <w:r w:rsidRPr="003266D1">
        <w:fldChar w:fldCharType="separate"/>
      </w:r>
      <w:r w:rsidRPr="003266D1" w:rsidR="00371EA5">
        <w:t>2</w:t>
      </w:r>
      <w:r w:rsidRPr="003266D1">
        <w:fldChar w:fldCharType="end"/>
      </w:r>
      <w:r w:rsidRPr="003266D1">
        <w:t>. PESTEL factors shaping Volkswagen’s strategic decisions</w:t>
      </w:r>
      <w:r w:rsidRPr="003266D1" w:rsidR="00E95F31">
        <w:t xml:space="preserve"> </w:t>
      </w:r>
      <w:r w:rsidRPr="003266D1" w:rsidR="00E95F31">
        <w:rPr>
          <w:lang w:val="en-US"/>
        </w:rPr>
        <w:t xml:space="preserve">(McKinsey </w:t>
      </w:r>
      <w:r w:rsidRPr="003266D1" w:rsidR="008C044D">
        <w:rPr>
          <w:lang w:val="en-US"/>
        </w:rPr>
        <w:t>and</w:t>
      </w:r>
      <w:r w:rsidRPr="003266D1" w:rsidR="00E95F31">
        <w:rPr>
          <w:lang w:val="en-US"/>
        </w:rPr>
        <w:t xml:space="preserve"> Company, 2025; Reuters, 2025; Chen, 2024)</w:t>
      </w:r>
      <w:bookmarkEnd w:id="10"/>
    </w:p>
    <w:tbl>
      <w:tblPr>
        <w:tblStyle w:val="TableGrid"/>
        <w:tblW w:w="0" w:type="auto"/>
        <w:tblLook w:val="04A0" w:firstRow="1" w:lastRow="0" w:firstColumn="1" w:lastColumn="0" w:noHBand="0" w:noVBand="1"/>
      </w:tblPr>
      <w:tblGrid>
        <w:gridCol w:w="1669"/>
        <w:gridCol w:w="3890"/>
        <w:gridCol w:w="3437"/>
      </w:tblGrid>
      <w:tr w:rsidRPr="003266D1" w:rsidR="003266D1" w:rsidTr="006C340B" w14:paraId="1AF4E41B"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3266D1" w:rsidR="004B06A6" w:rsidP="004B06A6" w:rsidRDefault="004B06A6" w14:paraId="4A2B6E49" w14:textId="77777777">
            <w:pPr>
              <w:rPr>
                <w:bCs/>
                <w:lang w:val="en-US"/>
              </w:rPr>
            </w:pPr>
            <w:r w:rsidRPr="003266D1">
              <w:rPr>
                <w:bCs/>
                <w:lang w:val="en-US"/>
              </w:rPr>
              <w:t>PESTEL factor</w:t>
            </w:r>
          </w:p>
        </w:tc>
        <w:tc>
          <w:tcPr>
            <w:tcW w:w="0" w:type="auto"/>
            <w:hideMark/>
          </w:tcPr>
          <w:p w:rsidRPr="003266D1" w:rsidR="004B06A6" w:rsidP="004B06A6" w:rsidRDefault="004B06A6" w14:paraId="7F32BCFC" w14:textId="77777777">
            <w:pPr>
              <w:rPr>
                <w:bCs/>
                <w:lang w:val="en-US"/>
              </w:rPr>
            </w:pPr>
            <w:r w:rsidRPr="003266D1">
              <w:rPr>
                <w:bCs/>
                <w:lang w:val="en-US"/>
              </w:rPr>
              <w:t>Volkswagen-relevant evidence</w:t>
            </w:r>
          </w:p>
        </w:tc>
        <w:tc>
          <w:tcPr>
            <w:tcW w:w="0" w:type="auto"/>
            <w:hideMark/>
          </w:tcPr>
          <w:p w:rsidRPr="003266D1" w:rsidR="004B06A6" w:rsidP="004B06A6" w:rsidRDefault="004B06A6" w14:paraId="588900EA" w14:textId="77777777">
            <w:pPr>
              <w:rPr>
                <w:bCs/>
                <w:lang w:val="en-US"/>
              </w:rPr>
            </w:pPr>
            <w:r w:rsidRPr="003266D1">
              <w:rPr>
                <w:bCs/>
                <w:lang w:val="en-US"/>
              </w:rPr>
              <w:t>Strategic implication</w:t>
            </w:r>
          </w:p>
        </w:tc>
      </w:tr>
      <w:tr w:rsidRPr="003266D1" w:rsidR="003266D1" w:rsidTr="006C340B" w14:paraId="77D9A1A5" w14:textId="77777777">
        <w:tc>
          <w:tcPr>
            <w:tcW w:w="0" w:type="auto"/>
            <w:hideMark/>
          </w:tcPr>
          <w:p w:rsidRPr="003266D1" w:rsidR="004B06A6" w:rsidP="004B06A6" w:rsidRDefault="004B06A6" w14:paraId="3FDFA425" w14:textId="77777777">
            <w:pPr>
              <w:rPr>
                <w:lang w:val="en-US"/>
              </w:rPr>
            </w:pPr>
            <w:r w:rsidRPr="003266D1">
              <w:rPr>
                <w:lang w:val="en-US"/>
              </w:rPr>
              <w:t>Political</w:t>
            </w:r>
          </w:p>
        </w:tc>
        <w:tc>
          <w:tcPr>
            <w:tcW w:w="0" w:type="auto"/>
            <w:hideMark/>
          </w:tcPr>
          <w:p w:rsidRPr="003266D1" w:rsidR="004B06A6" w:rsidP="004B06A6" w:rsidRDefault="004B06A6" w14:paraId="01A8EC19" w14:textId="77777777">
            <w:pPr>
              <w:rPr>
                <w:lang w:val="en-US"/>
              </w:rPr>
            </w:pPr>
            <w:r w:rsidRPr="003266D1">
              <w:rPr>
                <w:lang w:val="en-US"/>
              </w:rPr>
              <w:t>EU policy and regulatory interventions shape compliance requirements (European Parliament and Council, 2025)</w:t>
            </w:r>
          </w:p>
        </w:tc>
        <w:tc>
          <w:tcPr>
            <w:tcW w:w="0" w:type="auto"/>
            <w:hideMark/>
          </w:tcPr>
          <w:p w:rsidRPr="003266D1" w:rsidR="004B06A6" w:rsidP="004B06A6" w:rsidRDefault="004B06A6" w14:paraId="48762797" w14:textId="4CC98054">
            <w:pPr>
              <w:rPr>
                <w:lang w:val="en-US"/>
              </w:rPr>
            </w:pPr>
            <w:r w:rsidRPr="003266D1">
              <w:rPr>
                <w:lang w:val="en-US"/>
              </w:rPr>
              <w:t>Product and pricing strategy must align with compliance pathways</w:t>
            </w:r>
            <w:r w:rsidRPr="003266D1" w:rsidR="00E85270">
              <w:rPr>
                <w:lang w:val="en-US"/>
              </w:rPr>
              <w:t xml:space="preserve"> </w:t>
            </w:r>
            <w:r w:rsidRPr="003266D1" w:rsidR="00E85270">
              <w:t>(Collins et al., 2024)</w:t>
            </w:r>
          </w:p>
        </w:tc>
      </w:tr>
      <w:tr w:rsidRPr="003266D1" w:rsidR="003266D1" w:rsidTr="006C340B" w14:paraId="4AE6FDF4" w14:textId="77777777">
        <w:tc>
          <w:tcPr>
            <w:tcW w:w="0" w:type="auto"/>
            <w:hideMark/>
          </w:tcPr>
          <w:p w:rsidRPr="003266D1" w:rsidR="004B06A6" w:rsidP="004B06A6" w:rsidRDefault="004B06A6" w14:paraId="731B41C8" w14:textId="77777777">
            <w:pPr>
              <w:rPr>
                <w:lang w:val="en-US"/>
              </w:rPr>
            </w:pPr>
            <w:r w:rsidRPr="003266D1">
              <w:rPr>
                <w:lang w:val="en-US"/>
              </w:rPr>
              <w:t>Economic</w:t>
            </w:r>
          </w:p>
        </w:tc>
        <w:tc>
          <w:tcPr>
            <w:tcW w:w="0" w:type="auto"/>
            <w:hideMark/>
          </w:tcPr>
          <w:p w:rsidRPr="003266D1" w:rsidR="004B06A6" w:rsidP="004B06A6" w:rsidRDefault="004B06A6" w14:paraId="77B785D2" w14:textId="04254A6A">
            <w:pPr>
              <w:rPr>
                <w:lang w:val="en-US"/>
              </w:rPr>
            </w:pPr>
            <w:r w:rsidRPr="003266D1">
              <w:rPr>
                <w:lang w:val="en-US"/>
              </w:rPr>
              <w:t xml:space="preserve">Industry cost pressure and affordability concerns in Europe (McKinsey </w:t>
            </w:r>
            <w:r w:rsidRPr="003266D1" w:rsidR="008C044D">
              <w:rPr>
                <w:lang w:val="en-US"/>
              </w:rPr>
              <w:t>and</w:t>
            </w:r>
            <w:r w:rsidRPr="003266D1">
              <w:rPr>
                <w:lang w:val="en-US"/>
              </w:rPr>
              <w:t xml:space="preserve"> Company, 2025)</w:t>
            </w:r>
          </w:p>
        </w:tc>
        <w:tc>
          <w:tcPr>
            <w:tcW w:w="0" w:type="auto"/>
            <w:hideMark/>
          </w:tcPr>
          <w:p w:rsidRPr="003266D1" w:rsidR="004B06A6" w:rsidP="004B06A6" w:rsidRDefault="004B06A6" w14:paraId="5695C658" w14:textId="77777777">
            <w:pPr>
              <w:rPr>
                <w:lang w:val="en-US"/>
              </w:rPr>
            </w:pPr>
            <w:r w:rsidRPr="003266D1">
              <w:rPr>
                <w:lang w:val="en-US"/>
              </w:rPr>
              <w:t>Platform efficiencies and procurement leverage become decisive</w:t>
            </w:r>
          </w:p>
        </w:tc>
      </w:tr>
      <w:tr w:rsidRPr="003266D1" w:rsidR="003266D1" w:rsidTr="006C340B" w14:paraId="1D7DE41B" w14:textId="77777777">
        <w:tc>
          <w:tcPr>
            <w:tcW w:w="0" w:type="auto"/>
            <w:hideMark/>
          </w:tcPr>
          <w:p w:rsidRPr="003266D1" w:rsidR="004B06A6" w:rsidP="004B06A6" w:rsidRDefault="004B06A6" w14:paraId="1AA94745" w14:textId="77777777">
            <w:pPr>
              <w:rPr>
                <w:lang w:val="en-US"/>
              </w:rPr>
            </w:pPr>
            <w:r w:rsidRPr="003266D1">
              <w:rPr>
                <w:lang w:val="en-US"/>
              </w:rPr>
              <w:t>Social</w:t>
            </w:r>
          </w:p>
        </w:tc>
        <w:tc>
          <w:tcPr>
            <w:tcW w:w="0" w:type="auto"/>
            <w:hideMark/>
          </w:tcPr>
          <w:p w:rsidRPr="003266D1" w:rsidR="004B06A6" w:rsidP="004B06A6" w:rsidRDefault="004B06A6" w14:paraId="6B1FDC6F" w14:textId="77777777">
            <w:pPr>
              <w:rPr>
                <w:lang w:val="en-US"/>
              </w:rPr>
            </w:pPr>
            <w:r w:rsidRPr="003266D1">
              <w:rPr>
                <w:lang w:val="en-US"/>
              </w:rPr>
              <w:t>Sustainability expectations and trust recovery post-scandal (Poier, 2020)</w:t>
            </w:r>
          </w:p>
        </w:tc>
        <w:tc>
          <w:tcPr>
            <w:tcW w:w="0" w:type="auto"/>
            <w:hideMark/>
          </w:tcPr>
          <w:p w:rsidRPr="003266D1" w:rsidR="004B06A6" w:rsidP="004B06A6" w:rsidRDefault="004B06A6" w14:paraId="40587B45" w14:textId="77777777">
            <w:pPr>
              <w:rPr>
                <w:lang w:val="en-US"/>
              </w:rPr>
            </w:pPr>
            <w:r w:rsidRPr="003266D1">
              <w:rPr>
                <w:lang w:val="en-US"/>
              </w:rPr>
              <w:t>CSR credibility affects brand value and stakeholder support</w:t>
            </w:r>
          </w:p>
        </w:tc>
      </w:tr>
      <w:tr w:rsidRPr="003266D1" w:rsidR="003266D1" w:rsidTr="006C340B" w14:paraId="7D5D9B44" w14:textId="77777777">
        <w:tc>
          <w:tcPr>
            <w:tcW w:w="0" w:type="auto"/>
            <w:hideMark/>
          </w:tcPr>
          <w:p w:rsidRPr="003266D1" w:rsidR="004B06A6" w:rsidP="004B06A6" w:rsidRDefault="004B06A6" w14:paraId="01A491B7" w14:textId="77777777">
            <w:pPr>
              <w:rPr>
                <w:lang w:val="en-US"/>
              </w:rPr>
            </w:pPr>
            <w:r w:rsidRPr="003266D1">
              <w:rPr>
                <w:lang w:val="en-US"/>
              </w:rPr>
              <w:t>Technological</w:t>
            </w:r>
          </w:p>
        </w:tc>
        <w:tc>
          <w:tcPr>
            <w:tcW w:w="0" w:type="auto"/>
            <w:hideMark/>
          </w:tcPr>
          <w:p w:rsidRPr="003266D1" w:rsidR="004B06A6" w:rsidP="004B06A6" w:rsidRDefault="004B06A6" w14:paraId="2176CBE9" w14:textId="77777777">
            <w:pPr>
              <w:rPr>
                <w:lang w:val="en-US"/>
              </w:rPr>
            </w:pPr>
            <w:r w:rsidRPr="003266D1">
              <w:rPr>
                <w:lang w:val="en-US"/>
              </w:rPr>
              <w:t>EV diffusion + software-defined vehicles shift basis of competition (IEA, 2025; Volkswagen Group, 2026)</w:t>
            </w:r>
          </w:p>
        </w:tc>
        <w:tc>
          <w:tcPr>
            <w:tcW w:w="0" w:type="auto"/>
            <w:hideMark/>
          </w:tcPr>
          <w:p w:rsidRPr="003266D1" w:rsidR="004B06A6" w:rsidP="004B06A6" w:rsidRDefault="004B06A6" w14:paraId="6579667C" w14:textId="77777777">
            <w:pPr>
              <w:rPr>
                <w:lang w:val="en-US"/>
              </w:rPr>
            </w:pPr>
            <w:r w:rsidRPr="003266D1">
              <w:rPr>
                <w:lang w:val="en-US"/>
              </w:rPr>
              <w:t>Competitive advantage depends on software delivery and digital customer value</w:t>
            </w:r>
          </w:p>
        </w:tc>
      </w:tr>
      <w:tr w:rsidRPr="003266D1" w:rsidR="003266D1" w:rsidTr="006C340B" w14:paraId="0ABEB909" w14:textId="77777777">
        <w:tc>
          <w:tcPr>
            <w:tcW w:w="0" w:type="auto"/>
            <w:hideMark/>
          </w:tcPr>
          <w:p w:rsidRPr="003266D1" w:rsidR="004B06A6" w:rsidP="004B06A6" w:rsidRDefault="004B06A6" w14:paraId="0B1A7DBC" w14:textId="77777777">
            <w:pPr>
              <w:rPr>
                <w:lang w:val="en-US"/>
              </w:rPr>
            </w:pPr>
            <w:r w:rsidRPr="003266D1">
              <w:rPr>
                <w:lang w:val="en-US"/>
              </w:rPr>
              <w:t>Environmental</w:t>
            </w:r>
          </w:p>
        </w:tc>
        <w:tc>
          <w:tcPr>
            <w:tcW w:w="0" w:type="auto"/>
            <w:hideMark/>
          </w:tcPr>
          <w:p w:rsidRPr="003266D1" w:rsidR="004B06A6" w:rsidP="004B06A6" w:rsidRDefault="004B06A6" w14:paraId="12565CDB" w14:textId="77777777">
            <w:pPr>
              <w:rPr>
                <w:lang w:val="en-US"/>
              </w:rPr>
            </w:pPr>
            <w:r w:rsidRPr="003266D1">
              <w:rPr>
                <w:lang w:val="en-US"/>
              </w:rPr>
              <w:t>Climate transition increases lifecycle scrutiny and disclosure intensity (Sheehy and Farneti, 2021)</w:t>
            </w:r>
          </w:p>
        </w:tc>
        <w:tc>
          <w:tcPr>
            <w:tcW w:w="0" w:type="auto"/>
            <w:hideMark/>
          </w:tcPr>
          <w:p w:rsidRPr="003266D1" w:rsidR="004B06A6" w:rsidP="004B06A6" w:rsidRDefault="004B06A6" w14:paraId="163502F2" w14:textId="77777777">
            <w:pPr>
              <w:rPr>
                <w:lang w:val="en-US"/>
              </w:rPr>
            </w:pPr>
            <w:r w:rsidRPr="003266D1">
              <w:rPr>
                <w:lang w:val="en-US"/>
              </w:rPr>
              <w:t xml:space="preserve">Operations and supply chain </w:t>
            </w:r>
            <w:proofErr w:type="spellStart"/>
            <w:r w:rsidRPr="003266D1">
              <w:rPr>
                <w:lang w:val="en-US"/>
              </w:rPr>
              <w:t>decarbonisation</w:t>
            </w:r>
            <w:proofErr w:type="spellEnd"/>
            <w:r w:rsidRPr="003266D1">
              <w:rPr>
                <w:lang w:val="en-US"/>
              </w:rPr>
              <w:t xml:space="preserve"> must be measurable and reportable</w:t>
            </w:r>
          </w:p>
        </w:tc>
      </w:tr>
      <w:tr w:rsidRPr="003266D1" w:rsidR="003266D1" w:rsidTr="006C340B" w14:paraId="01F82CFB" w14:textId="77777777">
        <w:tc>
          <w:tcPr>
            <w:tcW w:w="0" w:type="auto"/>
            <w:hideMark/>
          </w:tcPr>
          <w:p w:rsidRPr="003266D1" w:rsidR="004B06A6" w:rsidP="004B06A6" w:rsidRDefault="004B06A6" w14:paraId="51CD4DCF" w14:textId="77777777">
            <w:pPr>
              <w:rPr>
                <w:lang w:val="en-US"/>
              </w:rPr>
            </w:pPr>
            <w:r w:rsidRPr="003266D1">
              <w:rPr>
                <w:lang w:val="en-US"/>
              </w:rPr>
              <w:t>Legal</w:t>
            </w:r>
          </w:p>
        </w:tc>
        <w:tc>
          <w:tcPr>
            <w:tcW w:w="0" w:type="auto"/>
            <w:hideMark/>
          </w:tcPr>
          <w:p w:rsidRPr="003266D1" w:rsidR="004B06A6" w:rsidP="004B06A6" w:rsidRDefault="004B06A6" w14:paraId="4C2ED93D" w14:textId="77777777">
            <w:pPr>
              <w:rPr>
                <w:lang w:val="en-US"/>
              </w:rPr>
            </w:pPr>
            <w:r w:rsidRPr="003266D1">
              <w:rPr>
                <w:lang w:val="en-US"/>
              </w:rPr>
              <w:t>CO₂ compliance standards with 2025–2027 flexibility adjustment (European Parliament and Council, 2025)</w:t>
            </w:r>
          </w:p>
        </w:tc>
        <w:tc>
          <w:tcPr>
            <w:tcW w:w="0" w:type="auto"/>
            <w:hideMark/>
          </w:tcPr>
          <w:p w:rsidRPr="003266D1" w:rsidR="004B06A6" w:rsidP="004B06A6" w:rsidRDefault="004B06A6" w14:paraId="3C50C73C" w14:textId="77777777">
            <w:pPr>
              <w:rPr>
                <w:lang w:val="en-US"/>
              </w:rPr>
            </w:pPr>
            <w:r w:rsidRPr="003266D1">
              <w:rPr>
                <w:lang w:val="en-US"/>
              </w:rPr>
              <w:t>Short-term compliance relief but no long-term reduction in transition pressure</w:t>
            </w:r>
          </w:p>
        </w:tc>
      </w:tr>
    </w:tbl>
    <w:p w:rsidRPr="003266D1" w:rsidR="006C340B" w:rsidP="004B06A6" w:rsidRDefault="006C340B" w14:paraId="451E0C10" w14:textId="77777777">
      <w:pPr>
        <w:rPr>
          <w:b/>
          <w:bCs/>
          <w:lang w:val="en-US"/>
        </w:rPr>
      </w:pPr>
    </w:p>
    <w:p w:rsidRPr="003266D1" w:rsidR="00E85270" w:rsidP="00E85270" w:rsidRDefault="00E85270" w14:paraId="349A9033" w14:textId="77777777">
      <w:pPr>
        <w:pStyle w:val="Heading2"/>
        <w:rPr>
          <w:color w:val="auto"/>
        </w:rPr>
      </w:pPr>
      <w:bookmarkStart w:name="_Toc224947386" w:id="11"/>
      <w:r w:rsidRPr="003266D1">
        <w:rPr>
          <w:color w:val="auto"/>
        </w:rPr>
        <w:t>Industrial Organization (I/O) Model of Above-Average Returns</w:t>
      </w:r>
      <w:bookmarkEnd w:id="11"/>
    </w:p>
    <w:p w:rsidRPr="003266D1" w:rsidR="00E85270" w:rsidP="00E85270" w:rsidRDefault="00E85270" w14:paraId="289AC65A" w14:textId="41A72FC5">
      <w:pPr>
        <w:rPr>
          <w:lang w:val="en-US"/>
        </w:rPr>
      </w:pPr>
      <w:r w:rsidRPr="003266D1">
        <w:rPr>
          <w:lang w:val="en-US"/>
        </w:rPr>
        <w:t>The Industrial Organisation (I/O) model states that the capabilities of a firm to generate returns above average are largely influenced by the external environment, particularly industry structure and competition (Berry et al., 2019). This model presumes that companies operating in the industry are likely to be similar in terms of resources and resources required can be easily acquired, as the market conditions are responsible to create performance disparities rather than specific internal strengths (Hitt et al., 2019; David et al., 2017). The I/O perspective can be applied to the Volkswagen case since the company is in an industry where stiff competition exists, pressure on suppliers in battery and chip industries, evolving customer preferences, government intervention, and the proliferation of Chinese EVs. Therefore, the profitability of Volkswagen relies heavily on its response to the industry appeal, market dynamics, and the positioning (Hitt et al., 2019).</w:t>
      </w:r>
    </w:p>
    <w:p w:rsidRPr="003266D1" w:rsidR="00E85270" w:rsidP="00E85270" w:rsidRDefault="00E85270" w14:paraId="54B82BA8" w14:textId="4686ADD4">
      <w:pPr>
        <w:pStyle w:val="Caption"/>
        <w:rPr>
          <w:lang w:val="en-US"/>
        </w:rPr>
      </w:pPr>
      <w:r w:rsidRPr="003266D1">
        <w:rPr>
          <w:b w:val="0"/>
          <w:bCs/>
          <w:lang w:val="en-US"/>
        </w:rPr>
        <w:t xml:space="preserve"> </w:t>
      </w:r>
      <w:r w:rsidRPr="003266D1">
        <w:t xml:space="preserve">Table </w:t>
      </w:r>
      <w:r w:rsidRPr="003266D1">
        <w:fldChar w:fldCharType="begin"/>
      </w:r>
      <w:r w:rsidRPr="003266D1">
        <w:instrText xml:space="preserve"> SEQ Table \* ARABIC </w:instrText>
      </w:r>
      <w:r w:rsidRPr="003266D1">
        <w:fldChar w:fldCharType="separate"/>
      </w:r>
      <w:r w:rsidRPr="003266D1" w:rsidR="00371EA5">
        <w:t>3</w:t>
      </w:r>
      <w:r w:rsidRPr="003266D1">
        <w:fldChar w:fldCharType="end"/>
      </w:r>
      <w:r w:rsidRPr="003266D1">
        <w:t>. Industrial Organization (I/O) model applied to Volkswagen (Berry et al., 2019; Hitt et al. (2019) and David et al. (2017)</w:t>
      </w:r>
    </w:p>
    <w:tbl>
      <w:tblPr>
        <w:tblStyle w:val="TableGrid"/>
        <w:tblW w:w="0" w:type="auto"/>
        <w:tblLook w:val="04A0" w:firstRow="1" w:lastRow="0" w:firstColumn="1" w:lastColumn="0" w:noHBand="0" w:noVBand="1"/>
      </w:tblPr>
      <w:tblGrid>
        <w:gridCol w:w="1738"/>
        <w:gridCol w:w="3753"/>
        <w:gridCol w:w="3505"/>
      </w:tblGrid>
      <w:tr w:rsidRPr="003266D1" w:rsidR="003266D1" w:rsidTr="00E85270" w14:paraId="0360130B"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3266D1" w:rsidR="00E85270" w:rsidP="00E85270" w:rsidRDefault="00E85270" w14:paraId="386FB861" w14:textId="77777777">
            <w:pPr>
              <w:rPr>
                <w:bCs/>
                <w:lang w:val="en-US"/>
              </w:rPr>
            </w:pPr>
            <w:r w:rsidRPr="003266D1">
              <w:rPr>
                <w:bCs/>
                <w:lang w:val="en-US"/>
              </w:rPr>
              <w:t>I/O model element</w:t>
            </w:r>
          </w:p>
        </w:tc>
        <w:tc>
          <w:tcPr>
            <w:tcW w:w="0" w:type="auto"/>
            <w:hideMark/>
          </w:tcPr>
          <w:p w:rsidRPr="003266D1" w:rsidR="00E85270" w:rsidP="00E85270" w:rsidRDefault="00E85270" w14:paraId="31012DBE" w14:textId="77777777">
            <w:pPr>
              <w:rPr>
                <w:bCs/>
                <w:lang w:val="en-US"/>
              </w:rPr>
            </w:pPr>
            <w:r w:rsidRPr="003266D1">
              <w:rPr>
                <w:bCs/>
                <w:lang w:val="en-US"/>
              </w:rPr>
              <w:t>Explanation</w:t>
            </w:r>
          </w:p>
        </w:tc>
        <w:tc>
          <w:tcPr>
            <w:tcW w:w="0" w:type="auto"/>
            <w:hideMark/>
          </w:tcPr>
          <w:p w:rsidRPr="003266D1" w:rsidR="00E85270" w:rsidP="00E85270" w:rsidRDefault="00E85270" w14:paraId="154496F6" w14:textId="77777777">
            <w:pPr>
              <w:rPr>
                <w:bCs/>
                <w:lang w:val="en-US"/>
              </w:rPr>
            </w:pPr>
            <w:r w:rsidRPr="003266D1">
              <w:rPr>
                <w:bCs/>
                <w:lang w:val="en-US"/>
              </w:rPr>
              <w:t>Application to Volkswagen</w:t>
            </w:r>
          </w:p>
        </w:tc>
      </w:tr>
      <w:tr w:rsidRPr="003266D1" w:rsidR="003266D1" w:rsidTr="00E85270" w14:paraId="01E871B6" w14:textId="77777777">
        <w:tc>
          <w:tcPr>
            <w:tcW w:w="0" w:type="auto"/>
            <w:hideMark/>
          </w:tcPr>
          <w:p w:rsidRPr="003266D1" w:rsidR="00E85270" w:rsidP="00E85270" w:rsidRDefault="00E85270" w14:paraId="17C73EE7" w14:textId="77777777">
            <w:pPr>
              <w:rPr>
                <w:lang w:val="en-US"/>
              </w:rPr>
            </w:pPr>
            <w:r w:rsidRPr="003266D1">
              <w:rPr>
                <w:lang w:val="en-US"/>
              </w:rPr>
              <w:t>External environment</w:t>
            </w:r>
          </w:p>
        </w:tc>
        <w:tc>
          <w:tcPr>
            <w:tcW w:w="0" w:type="auto"/>
            <w:hideMark/>
          </w:tcPr>
          <w:p w:rsidRPr="003266D1" w:rsidR="00E85270" w:rsidP="00E85270" w:rsidRDefault="00E85270" w14:paraId="51C4D658" w14:textId="4D166577">
            <w:pPr>
              <w:rPr>
                <w:lang w:val="en-US"/>
              </w:rPr>
            </w:pPr>
            <w:r w:rsidRPr="003266D1">
              <w:rPr>
                <w:lang w:val="en-US"/>
              </w:rPr>
              <w:t>Industry structure shapes profitability (</w:t>
            </w:r>
            <w:r w:rsidRPr="003266D1">
              <w:t>Berry et al., 2019).</w:t>
            </w:r>
          </w:p>
        </w:tc>
        <w:tc>
          <w:tcPr>
            <w:tcW w:w="0" w:type="auto"/>
            <w:hideMark/>
          </w:tcPr>
          <w:p w:rsidRPr="003266D1" w:rsidR="00E85270" w:rsidP="00E85270" w:rsidRDefault="00E85270" w14:paraId="075FD12D" w14:textId="77777777">
            <w:pPr>
              <w:rPr>
                <w:lang w:val="en-US"/>
              </w:rPr>
            </w:pPr>
            <w:r w:rsidRPr="003266D1">
              <w:rPr>
                <w:lang w:val="en-US"/>
              </w:rPr>
              <w:t>EV transition, regulation, and market turbulence strongly affect Volkswagen</w:t>
            </w:r>
          </w:p>
        </w:tc>
      </w:tr>
      <w:tr w:rsidRPr="003266D1" w:rsidR="003266D1" w:rsidTr="00E85270" w14:paraId="42D7173E" w14:textId="77777777">
        <w:tc>
          <w:tcPr>
            <w:tcW w:w="0" w:type="auto"/>
            <w:hideMark/>
          </w:tcPr>
          <w:p w:rsidRPr="003266D1" w:rsidR="00E85270" w:rsidP="00E85270" w:rsidRDefault="00E85270" w14:paraId="4D5EF5BC" w14:textId="77777777">
            <w:pPr>
              <w:rPr>
                <w:lang w:val="en-US"/>
              </w:rPr>
            </w:pPr>
            <w:r w:rsidRPr="003266D1">
              <w:rPr>
                <w:lang w:val="en-US"/>
              </w:rPr>
              <w:t>Industry attractiveness</w:t>
            </w:r>
          </w:p>
        </w:tc>
        <w:tc>
          <w:tcPr>
            <w:tcW w:w="0" w:type="auto"/>
            <w:hideMark/>
          </w:tcPr>
          <w:p w:rsidRPr="003266D1" w:rsidR="00E85270" w:rsidP="00E85270" w:rsidRDefault="00E85270" w14:paraId="4F0603FE" w14:textId="77777777">
            <w:pPr>
              <w:rPr>
                <w:lang w:val="en-US"/>
              </w:rPr>
            </w:pPr>
            <w:r w:rsidRPr="003266D1">
              <w:rPr>
                <w:lang w:val="en-US"/>
              </w:rPr>
              <w:t>Firms seek industries/segments with strong profit potential</w:t>
            </w:r>
          </w:p>
        </w:tc>
        <w:tc>
          <w:tcPr>
            <w:tcW w:w="0" w:type="auto"/>
            <w:hideMark/>
          </w:tcPr>
          <w:p w:rsidRPr="003266D1" w:rsidR="00E85270" w:rsidP="00E85270" w:rsidRDefault="00E85270" w14:paraId="34D3F7D3" w14:textId="0EFBC9C0">
            <w:pPr>
              <w:rPr>
                <w:lang w:val="en-US"/>
              </w:rPr>
            </w:pPr>
            <w:r w:rsidRPr="003266D1">
              <w:rPr>
                <w:lang w:val="en-US"/>
              </w:rPr>
              <w:t>Volkswagen must compete in attractive EV and digital mobility segments (Reuters, 2025).</w:t>
            </w:r>
          </w:p>
        </w:tc>
      </w:tr>
      <w:tr w:rsidRPr="003266D1" w:rsidR="003266D1" w:rsidTr="00E85270" w14:paraId="039FE075" w14:textId="77777777">
        <w:tc>
          <w:tcPr>
            <w:tcW w:w="0" w:type="auto"/>
            <w:hideMark/>
          </w:tcPr>
          <w:p w:rsidRPr="003266D1" w:rsidR="00E85270" w:rsidP="00E85270" w:rsidRDefault="00E85270" w14:paraId="50A38B33" w14:textId="77777777">
            <w:pPr>
              <w:rPr>
                <w:lang w:val="en-US"/>
              </w:rPr>
            </w:pPr>
            <w:r w:rsidRPr="003266D1">
              <w:rPr>
                <w:lang w:val="en-US"/>
              </w:rPr>
              <w:t>Competitive forces</w:t>
            </w:r>
          </w:p>
        </w:tc>
        <w:tc>
          <w:tcPr>
            <w:tcW w:w="0" w:type="auto"/>
            <w:hideMark/>
          </w:tcPr>
          <w:p w:rsidRPr="003266D1" w:rsidR="00E85270" w:rsidP="00E85270" w:rsidRDefault="00E85270" w14:paraId="2D201006" w14:textId="77777777">
            <w:pPr>
              <w:rPr>
                <w:lang w:val="en-US"/>
              </w:rPr>
            </w:pPr>
            <w:r w:rsidRPr="003266D1">
              <w:rPr>
                <w:lang w:val="en-US"/>
              </w:rPr>
              <w:t>Rivalry, buyer power, supplier power, substitutes, and entrants influence returns</w:t>
            </w:r>
          </w:p>
        </w:tc>
        <w:tc>
          <w:tcPr>
            <w:tcW w:w="0" w:type="auto"/>
            <w:hideMark/>
          </w:tcPr>
          <w:p w:rsidRPr="003266D1" w:rsidR="00E85270" w:rsidP="00E85270" w:rsidRDefault="00E85270" w14:paraId="4213909E" w14:textId="77777777">
            <w:pPr>
              <w:rPr>
                <w:lang w:val="en-US"/>
              </w:rPr>
            </w:pPr>
            <w:r w:rsidRPr="003266D1">
              <w:rPr>
                <w:lang w:val="en-US"/>
              </w:rPr>
              <w:t>Chinese EV brands, battery suppliers, and changing customer expectations increase pressure</w:t>
            </w:r>
          </w:p>
        </w:tc>
      </w:tr>
      <w:tr w:rsidRPr="003266D1" w:rsidR="003266D1" w:rsidTr="00E85270" w14:paraId="52D40CF6" w14:textId="77777777">
        <w:tc>
          <w:tcPr>
            <w:tcW w:w="0" w:type="auto"/>
            <w:hideMark/>
          </w:tcPr>
          <w:p w:rsidRPr="003266D1" w:rsidR="00E85270" w:rsidP="00E85270" w:rsidRDefault="00E85270" w14:paraId="2772A0ED" w14:textId="77777777">
            <w:pPr>
              <w:rPr>
                <w:lang w:val="en-US"/>
              </w:rPr>
            </w:pPr>
            <w:r w:rsidRPr="003266D1">
              <w:rPr>
                <w:lang w:val="en-US"/>
              </w:rPr>
              <w:t>Strategic implication</w:t>
            </w:r>
          </w:p>
        </w:tc>
        <w:tc>
          <w:tcPr>
            <w:tcW w:w="0" w:type="auto"/>
            <w:hideMark/>
          </w:tcPr>
          <w:p w:rsidRPr="003266D1" w:rsidR="00E85270" w:rsidP="00E85270" w:rsidRDefault="00E85270" w14:paraId="73947551" w14:textId="6B7F8733">
            <w:pPr>
              <w:rPr>
                <w:lang w:val="en-US"/>
              </w:rPr>
            </w:pPr>
            <w:r w:rsidRPr="003266D1">
              <w:rPr>
                <w:lang w:val="en-US"/>
              </w:rPr>
              <w:t xml:space="preserve">Firms must position themselves effectively within industry constraints </w:t>
            </w:r>
            <w:r w:rsidRPr="003266D1">
              <w:t>Hitt et al. (2019).</w:t>
            </w:r>
          </w:p>
        </w:tc>
        <w:tc>
          <w:tcPr>
            <w:tcW w:w="0" w:type="auto"/>
            <w:hideMark/>
          </w:tcPr>
          <w:p w:rsidRPr="003266D1" w:rsidR="00E85270" w:rsidP="00E85270" w:rsidRDefault="00E85270" w14:paraId="2165A0BC" w14:textId="77777777">
            <w:pPr>
              <w:rPr>
                <w:lang w:val="en-US"/>
              </w:rPr>
            </w:pPr>
            <w:r w:rsidRPr="003266D1">
              <w:rPr>
                <w:lang w:val="en-US"/>
              </w:rPr>
              <w:t>Volkswagen needs cost efficiency, differentiation, and faster response to market change</w:t>
            </w:r>
          </w:p>
        </w:tc>
      </w:tr>
    </w:tbl>
    <w:p w:rsidRPr="003266D1" w:rsidR="00E85270" w:rsidP="00E85270" w:rsidRDefault="00E85270" w14:paraId="50D7C745" w14:textId="77777777">
      <w:pPr>
        <w:rPr>
          <w:lang w:val="en-US"/>
        </w:rPr>
      </w:pPr>
    </w:p>
    <w:p w:rsidRPr="003266D1" w:rsidR="004B06A6" w:rsidP="00E85270" w:rsidRDefault="004B06A6" w14:paraId="15DEBBFE" w14:textId="0DF7EB64">
      <w:pPr>
        <w:pStyle w:val="Heading2"/>
        <w:rPr>
          <w:color w:val="auto"/>
        </w:rPr>
      </w:pPr>
      <w:bookmarkStart w:name="_Toc224947387" w:id="12"/>
      <w:r w:rsidRPr="003266D1">
        <w:rPr>
          <w:color w:val="auto"/>
        </w:rPr>
        <w:t>Competitive dynamics using Porter</w:t>
      </w:r>
      <w:r w:rsidRPr="003266D1" w:rsidR="00E85270">
        <w:rPr>
          <w:color w:val="auto"/>
        </w:rPr>
        <w:t>’s Five Forces Framework</w:t>
      </w:r>
      <w:bookmarkEnd w:id="12"/>
    </w:p>
    <w:p w:rsidRPr="003266D1" w:rsidR="005E4C4D" w:rsidP="005E4C4D" w:rsidRDefault="005E4C4D" w14:paraId="0635EE39" w14:textId="31305A48">
      <w:pPr>
        <w:rPr>
          <w:szCs w:val="24"/>
          <w:lang w:val="en-US"/>
        </w:rPr>
      </w:pPr>
      <w:r w:rsidRPr="003266D1">
        <w:rPr>
          <w:szCs w:val="24"/>
          <w:lang w:val="en-US"/>
        </w:rPr>
        <w:t>In order to supplement PESTEL, the industry pressure can be presented in terms of industry pressure logic, where the bargaining power, rivalry, substitute and entry threats dictate the strategic profitability</w:t>
      </w:r>
      <w:r w:rsidRPr="003266D1" w:rsidR="00E85270">
        <w:rPr>
          <w:szCs w:val="24"/>
          <w:lang w:val="en-US"/>
        </w:rPr>
        <w:t xml:space="preserve"> (</w:t>
      </w:r>
      <w:r w:rsidRPr="003266D1" w:rsidR="00E85270">
        <w:t>Dobbs, 2014)</w:t>
      </w:r>
      <w:r w:rsidRPr="003266D1">
        <w:rPr>
          <w:szCs w:val="24"/>
          <w:lang w:val="en-US"/>
        </w:rPr>
        <w:t>. Although the nature of the five forces will be different in each region and segment, the macrotrend is that competition is growing, switching costs are going down through platform convergence and the suppliers of inputs like batteries and chips, which are very essential, influence margins and schedules. This corresponds to the perception that sustainable advantage consists of the differentiation of capability, rather than mere market presence (Hitt</w:t>
      </w:r>
      <w:r w:rsidRPr="003266D1" w:rsidR="0042579B">
        <w:rPr>
          <w:szCs w:val="24"/>
          <w:lang w:val="en-US"/>
        </w:rPr>
        <w:t xml:space="preserve"> et al.</w:t>
      </w:r>
      <w:r w:rsidRPr="003266D1">
        <w:rPr>
          <w:szCs w:val="24"/>
          <w:lang w:val="en-US"/>
        </w:rPr>
        <w:t>, 2019).</w:t>
      </w:r>
    </w:p>
    <w:p w:rsidRPr="003266D1" w:rsidR="004B06A6" w:rsidP="000E05D1" w:rsidRDefault="000E05D1" w14:paraId="29959DBB" w14:textId="37B4D121">
      <w:pPr>
        <w:pStyle w:val="Caption"/>
        <w:rPr>
          <w:lang w:val="en-US"/>
        </w:rPr>
      </w:pPr>
      <w:r w:rsidRPr="003266D1">
        <w:rPr>
          <w:b w:val="0"/>
          <w:bCs/>
          <w:lang w:val="en-US"/>
        </w:rPr>
        <w:t xml:space="preserve"> </w:t>
      </w:r>
      <w:bookmarkStart w:name="_Toc223389539" w:id="13"/>
      <w:r w:rsidRPr="003266D1">
        <w:t xml:space="preserve">Table </w:t>
      </w:r>
      <w:r w:rsidRPr="003266D1">
        <w:fldChar w:fldCharType="begin"/>
      </w:r>
      <w:r w:rsidRPr="003266D1">
        <w:instrText xml:space="preserve"> SEQ Table \* ARABIC </w:instrText>
      </w:r>
      <w:r w:rsidRPr="003266D1">
        <w:fldChar w:fldCharType="separate"/>
      </w:r>
      <w:r w:rsidRPr="003266D1" w:rsidR="00371EA5">
        <w:t>4</w:t>
      </w:r>
      <w:r w:rsidRPr="003266D1">
        <w:fldChar w:fldCharType="end"/>
      </w:r>
      <w:r w:rsidRPr="003266D1">
        <w:t>. Competitive pressure summary (industry pressure logic applied to Volkswagen)</w:t>
      </w:r>
      <w:bookmarkEnd w:id="13"/>
    </w:p>
    <w:p w:rsidRPr="003266D1" w:rsidR="00EA362B" w:rsidRDefault="00A41C4D" w14:paraId="630F36AA" w14:textId="45CDB683">
      <w:pPr>
        <w:spacing w:before="0" w:after="160" w:line="259" w:lineRule="auto"/>
        <w:jc w:val="left"/>
        <w:rPr>
          <w:b/>
          <w:bCs/>
          <w:lang w:val="en-US"/>
        </w:rPr>
      </w:pPr>
      <w:r w:rsidRPr="003266D1">
        <w:rPr>
          <w:b/>
          <w:bCs/>
          <w:noProof/>
          <w:lang w:val="en-US"/>
        </w:rPr>
        <w:drawing>
          <wp:inline distT="0" distB="0" distL="0" distR="0" wp14:anchorId="7FDFA963" wp14:editId="71F10554">
            <wp:extent cx="5793871" cy="4789283"/>
            <wp:effectExtent l="0" t="0" r="0" b="0"/>
            <wp:docPr id="450181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181157" name=""/>
                    <pic:cNvPicPr/>
                  </pic:nvPicPr>
                  <pic:blipFill>
                    <a:blip r:embed="rId11"/>
                    <a:stretch>
                      <a:fillRect/>
                    </a:stretch>
                  </pic:blipFill>
                  <pic:spPr>
                    <a:xfrm>
                      <a:off x="0" y="0"/>
                      <a:ext cx="5797141" cy="4791986"/>
                    </a:xfrm>
                    <a:prstGeom prst="rect">
                      <a:avLst/>
                    </a:prstGeom>
                  </pic:spPr>
                </pic:pic>
              </a:graphicData>
            </a:graphic>
          </wp:inline>
        </w:drawing>
      </w:r>
    </w:p>
    <w:p w:rsidRPr="003266D1" w:rsidR="00E85270" w:rsidRDefault="00E85270" w14:paraId="2D1AB117" w14:textId="77777777">
      <w:pPr>
        <w:spacing w:before="0" w:after="160" w:line="259" w:lineRule="auto"/>
        <w:jc w:val="left"/>
        <w:rPr>
          <w:rFonts w:eastAsiaTheme="majorEastAsia" w:cstheme="majorBidi"/>
          <w:b/>
          <w:sz w:val="32"/>
          <w:szCs w:val="32"/>
          <w:lang w:val="en-US"/>
        </w:rPr>
      </w:pPr>
      <w:r w:rsidRPr="003266D1">
        <w:br w:type="page"/>
      </w:r>
    </w:p>
    <w:p w:rsidRPr="003266D1" w:rsidR="004B06A6" w:rsidP="00E85270" w:rsidRDefault="004B06A6" w14:paraId="74F916F8" w14:textId="066D6079">
      <w:pPr>
        <w:pStyle w:val="Heading1"/>
        <w:rPr>
          <w:color w:val="auto"/>
        </w:rPr>
      </w:pPr>
      <w:bookmarkStart w:name="_Toc224947388" w:id="14"/>
      <w:r w:rsidRPr="003266D1">
        <w:rPr>
          <w:color w:val="auto"/>
        </w:rPr>
        <w:t>Internal Audit</w:t>
      </w:r>
      <w:bookmarkEnd w:id="14"/>
    </w:p>
    <w:p w:rsidRPr="003266D1" w:rsidR="004B06A6" w:rsidP="00E85270" w:rsidRDefault="004B06A6" w14:paraId="12F31BC9" w14:textId="7175E539">
      <w:pPr>
        <w:pStyle w:val="Heading2"/>
        <w:rPr>
          <w:color w:val="auto"/>
        </w:rPr>
      </w:pPr>
      <w:bookmarkStart w:name="_Toc224947389" w:id="15"/>
      <w:r w:rsidRPr="003266D1">
        <w:rPr>
          <w:color w:val="auto"/>
        </w:rPr>
        <w:t>Internal environment and its importance</w:t>
      </w:r>
      <w:bookmarkEnd w:id="15"/>
    </w:p>
    <w:p w:rsidRPr="003266D1" w:rsidR="00932936" w:rsidP="00932936" w:rsidRDefault="00932936" w14:paraId="0E842199" w14:textId="680B626F">
      <w:pPr>
        <w:rPr>
          <w:szCs w:val="24"/>
          <w:lang w:val="en-US"/>
        </w:rPr>
      </w:pPr>
      <w:r w:rsidRPr="003266D1">
        <w:rPr>
          <w:szCs w:val="24"/>
          <w:lang w:val="en-US"/>
        </w:rPr>
        <w:t xml:space="preserve">Internal analysis determines how resources and capabilities are involved in the strategic choice and performance. Another goal at the postgraduate level is to determine the value of assets, their rarity, imitation, and </w:t>
      </w:r>
      <w:proofErr w:type="spellStart"/>
      <w:r w:rsidRPr="003266D1">
        <w:rPr>
          <w:szCs w:val="24"/>
          <w:lang w:val="en-US"/>
        </w:rPr>
        <w:t>organisational</w:t>
      </w:r>
      <w:proofErr w:type="spellEnd"/>
      <w:r w:rsidRPr="003266D1">
        <w:rPr>
          <w:szCs w:val="24"/>
          <w:lang w:val="en-US"/>
        </w:rPr>
        <w:t xml:space="preserve"> systems to support them, which is different, in line with the resource-based view and the VRIO logic (Chatzoglou et al., 2018). More recent research also points out that VRIO needs to be </w:t>
      </w:r>
      <w:proofErr w:type="spellStart"/>
      <w:r w:rsidRPr="003266D1">
        <w:rPr>
          <w:szCs w:val="24"/>
          <w:lang w:val="en-US"/>
        </w:rPr>
        <w:t>utilised</w:t>
      </w:r>
      <w:proofErr w:type="spellEnd"/>
      <w:r w:rsidRPr="003266D1">
        <w:rPr>
          <w:szCs w:val="24"/>
          <w:lang w:val="en-US"/>
        </w:rPr>
        <w:t xml:space="preserve"> in a systematic manner so as to transform resources into quantifiable capability constructs and prevent any superficial assessment (Larbi</w:t>
      </w:r>
      <w:r w:rsidRPr="003266D1" w:rsidR="00F1483B">
        <w:rPr>
          <w:szCs w:val="24"/>
          <w:lang w:val="en-US"/>
        </w:rPr>
        <w:t xml:space="preserve"> et al.</w:t>
      </w:r>
      <w:r w:rsidRPr="003266D1">
        <w:rPr>
          <w:szCs w:val="24"/>
          <w:lang w:val="en-US"/>
        </w:rPr>
        <w:t>, 2024).</w:t>
      </w:r>
    </w:p>
    <w:p w:rsidRPr="003266D1" w:rsidR="004B06A6" w:rsidP="00E85270" w:rsidRDefault="004B06A6" w14:paraId="584438CE" w14:textId="770F4A7D">
      <w:pPr>
        <w:pStyle w:val="Heading2"/>
        <w:rPr>
          <w:color w:val="auto"/>
        </w:rPr>
      </w:pPr>
      <w:bookmarkStart w:name="_Toc224947390" w:id="16"/>
      <w:r w:rsidRPr="003266D1">
        <w:rPr>
          <w:color w:val="auto"/>
        </w:rPr>
        <w:t>Key resources, capabilities, and core competencies</w:t>
      </w:r>
      <w:bookmarkEnd w:id="16"/>
    </w:p>
    <w:p w:rsidRPr="003266D1" w:rsidR="00243FC1" w:rsidP="00243FC1" w:rsidRDefault="00243FC1" w14:paraId="650089A3" w14:textId="1C1472E7">
      <w:pPr>
        <w:rPr>
          <w:szCs w:val="24"/>
          <w:lang w:val="en-US"/>
        </w:rPr>
      </w:pPr>
      <w:r w:rsidRPr="003266D1">
        <w:rPr>
          <w:szCs w:val="24"/>
          <w:lang w:val="en-US"/>
        </w:rPr>
        <w:t>The tangible resources of Volkswagen are global manufacturing capacity, access to capital and extensive product portfolio, and the intangible resources are brand equity and engineering reputation that has had to be restored after the emissions crisis revealed the governance flaws (Poier, 2020). One of the strengths is the strategy of modular platform. Supplier-impact evidences in the Polo production by Volkswagen in Navarra show that the modular platforms re</w:t>
      </w:r>
      <w:r w:rsidRPr="003266D1" w:rsidR="00B12C3B">
        <w:rPr>
          <w:szCs w:val="24"/>
          <w:lang w:val="en-US"/>
        </w:rPr>
        <w:t>-</w:t>
      </w:r>
      <w:proofErr w:type="spellStart"/>
      <w:r w:rsidRPr="003266D1">
        <w:rPr>
          <w:szCs w:val="24"/>
          <w:lang w:val="en-US"/>
        </w:rPr>
        <w:t>organise</w:t>
      </w:r>
      <w:proofErr w:type="spellEnd"/>
      <w:r w:rsidRPr="003266D1">
        <w:rPr>
          <w:szCs w:val="24"/>
          <w:lang w:val="en-US"/>
        </w:rPr>
        <w:t xml:space="preserve"> supplier relations and the potential to improve coordination and performance by means of the use of </w:t>
      </w:r>
      <w:proofErr w:type="spellStart"/>
      <w:r w:rsidRPr="003266D1">
        <w:rPr>
          <w:szCs w:val="24"/>
          <w:lang w:val="en-US"/>
        </w:rPr>
        <w:t>standardisation</w:t>
      </w:r>
      <w:proofErr w:type="spellEnd"/>
      <w:r w:rsidRPr="003266D1">
        <w:rPr>
          <w:szCs w:val="24"/>
          <w:lang w:val="en-US"/>
        </w:rPr>
        <w:t xml:space="preserve"> and interface management (Paz and Ruiz Gálvez, 2021). This is a capacity of importance in the EV </w:t>
      </w:r>
      <w:proofErr w:type="spellStart"/>
      <w:r w:rsidRPr="003266D1">
        <w:rPr>
          <w:szCs w:val="24"/>
          <w:lang w:val="en-US"/>
        </w:rPr>
        <w:t>transistion</w:t>
      </w:r>
      <w:proofErr w:type="spellEnd"/>
      <w:r w:rsidRPr="003266D1">
        <w:rPr>
          <w:szCs w:val="24"/>
          <w:lang w:val="en-US"/>
        </w:rPr>
        <w:t xml:space="preserve"> since it is supportive to scale, cost control and speed in the event of coherent governance and execution. </w:t>
      </w:r>
    </w:p>
    <w:p w:rsidRPr="003266D1" w:rsidR="004B06A6" w:rsidP="00E85270" w:rsidRDefault="004B06A6" w14:paraId="6AA24A1F" w14:textId="6637EF36">
      <w:pPr>
        <w:pStyle w:val="Heading2"/>
        <w:rPr>
          <w:color w:val="auto"/>
        </w:rPr>
      </w:pPr>
      <w:bookmarkStart w:name="_Toc224947391" w:id="17"/>
      <w:r w:rsidRPr="003266D1">
        <w:rPr>
          <w:color w:val="auto"/>
        </w:rPr>
        <w:t>VRIO evaluation of Volkswagen’s strategic capabilities</w:t>
      </w:r>
      <w:bookmarkEnd w:id="17"/>
    </w:p>
    <w:p w:rsidRPr="003266D1" w:rsidR="005C0C68" w:rsidP="005C0C68" w:rsidRDefault="005C0C68" w14:paraId="75764190" w14:textId="64480012">
      <w:pPr>
        <w:rPr>
          <w:szCs w:val="24"/>
          <w:lang w:val="en-US"/>
        </w:rPr>
      </w:pPr>
      <w:r w:rsidRPr="003266D1">
        <w:rPr>
          <w:szCs w:val="24"/>
          <w:lang w:val="en-US"/>
        </w:rPr>
        <w:t xml:space="preserve">This VRIO rationale would imply that </w:t>
      </w:r>
      <w:proofErr w:type="spellStart"/>
      <w:r w:rsidRPr="003266D1">
        <w:rPr>
          <w:szCs w:val="24"/>
          <w:lang w:val="en-US"/>
        </w:rPr>
        <w:t>organisational</w:t>
      </w:r>
      <w:proofErr w:type="spellEnd"/>
      <w:r w:rsidRPr="003266D1">
        <w:rPr>
          <w:szCs w:val="24"/>
          <w:lang w:val="en-US"/>
        </w:rPr>
        <w:t xml:space="preserve"> systems of scale and modularity are the most credible characteristics of sustainability advantage at Volkswagen</w:t>
      </w:r>
      <w:r w:rsidRPr="003266D1" w:rsidR="00DB27CA">
        <w:rPr>
          <w:szCs w:val="24"/>
          <w:lang w:val="en-US"/>
        </w:rPr>
        <w:t xml:space="preserve"> </w:t>
      </w:r>
      <w:r w:rsidRPr="003266D1" w:rsidR="00DB27CA">
        <w:rPr>
          <w:lang w:val="en-US"/>
        </w:rPr>
        <w:t>(</w:t>
      </w:r>
      <w:proofErr w:type="spellStart"/>
      <w:r w:rsidRPr="003266D1" w:rsidR="00DB27CA">
        <w:rPr>
          <w:lang w:val="en-US"/>
        </w:rPr>
        <w:t>Miethlich</w:t>
      </w:r>
      <w:proofErr w:type="spellEnd"/>
      <w:r w:rsidRPr="003266D1" w:rsidR="00DB27CA">
        <w:rPr>
          <w:lang w:val="en-US"/>
        </w:rPr>
        <w:t xml:space="preserve"> and Oldenburg, 2019)</w:t>
      </w:r>
      <w:r w:rsidRPr="003266D1">
        <w:rPr>
          <w:szCs w:val="24"/>
          <w:lang w:val="en-US"/>
        </w:rPr>
        <w:t xml:space="preserve">. In the case of capabilities that are developing, e.g. software integration, benefits are contingent on learning and </w:t>
      </w:r>
      <w:proofErr w:type="spellStart"/>
      <w:r w:rsidRPr="003266D1">
        <w:rPr>
          <w:szCs w:val="24"/>
          <w:lang w:val="en-US"/>
        </w:rPr>
        <w:t>organisational</w:t>
      </w:r>
      <w:proofErr w:type="spellEnd"/>
      <w:r w:rsidRPr="003266D1">
        <w:rPr>
          <w:szCs w:val="24"/>
          <w:lang w:val="en-US"/>
        </w:rPr>
        <w:t xml:space="preserve"> redesign, and not merely on investment (Chatzoglou et al., 2018; Larbi et al., 2024). It can be concluded that integrating capability should be considered by Volkswagen as a strategic competence instead of a technical project according to modern strategic management emphasis on dynamic capability in an uncertain environment (Hitt et al., 2019).</w:t>
      </w:r>
    </w:p>
    <w:p w:rsidRPr="003266D1" w:rsidR="004B06A6" w:rsidP="00EA362B" w:rsidRDefault="00EA362B" w14:paraId="6F026DFC" w14:textId="7EB7E6B9">
      <w:pPr>
        <w:pStyle w:val="Caption"/>
        <w:rPr>
          <w:lang w:val="en-US"/>
        </w:rPr>
      </w:pPr>
      <w:r w:rsidRPr="003266D1">
        <w:rPr>
          <w:b w:val="0"/>
          <w:bCs/>
          <w:lang w:val="en-US"/>
        </w:rPr>
        <w:t xml:space="preserve"> </w:t>
      </w:r>
      <w:bookmarkStart w:name="_Toc223389540" w:id="18"/>
      <w:r w:rsidRPr="003266D1">
        <w:t xml:space="preserve">Table </w:t>
      </w:r>
      <w:r w:rsidRPr="003266D1">
        <w:fldChar w:fldCharType="begin"/>
      </w:r>
      <w:r w:rsidRPr="003266D1">
        <w:instrText xml:space="preserve"> SEQ Table \* ARABIC </w:instrText>
      </w:r>
      <w:r w:rsidRPr="003266D1">
        <w:fldChar w:fldCharType="separate"/>
      </w:r>
      <w:r w:rsidRPr="003266D1" w:rsidR="00371EA5">
        <w:t>5</w:t>
      </w:r>
      <w:r w:rsidRPr="003266D1">
        <w:fldChar w:fldCharType="end"/>
      </w:r>
      <w:r w:rsidRPr="003266D1">
        <w:t>. VRIO assessment of selected Volkswagen capabilities</w:t>
      </w:r>
      <w:r w:rsidRPr="003266D1" w:rsidR="003B1D94">
        <w:t xml:space="preserve"> </w:t>
      </w:r>
      <w:r w:rsidRPr="003266D1" w:rsidR="003B1D94">
        <w:rPr>
          <w:sz w:val="22"/>
          <w:szCs w:val="20"/>
          <w:lang w:val="en-US"/>
        </w:rPr>
        <w:t>(Paz and Ruiz Gálvez, 2021; Ainvest, 2025; Volkswagen Group, 2026)</w:t>
      </w:r>
      <w:bookmarkEnd w:id="18"/>
    </w:p>
    <w:tbl>
      <w:tblPr>
        <w:tblStyle w:val="TableGrid"/>
        <w:tblW w:w="9345" w:type="dxa"/>
        <w:tblLayout w:type="fixed"/>
        <w:tblLook w:val="04A0" w:firstRow="1" w:lastRow="0" w:firstColumn="1" w:lastColumn="0" w:noHBand="0" w:noVBand="1"/>
      </w:tblPr>
      <w:tblGrid>
        <w:gridCol w:w="1695"/>
        <w:gridCol w:w="1710"/>
        <w:gridCol w:w="1000"/>
        <w:gridCol w:w="1158"/>
        <w:gridCol w:w="1477"/>
        <w:gridCol w:w="2305"/>
      </w:tblGrid>
      <w:tr w:rsidRPr="003266D1" w:rsidR="003266D1" w:rsidTr="00D5035D" w14:paraId="676DDF20" w14:textId="77777777">
        <w:trPr>
          <w:cnfStyle w:val="100000000000" w:firstRow="1" w:lastRow="0" w:firstColumn="0" w:lastColumn="0" w:oddVBand="0" w:evenVBand="0" w:oddHBand="0" w:evenHBand="0" w:firstRowFirstColumn="0" w:firstRowLastColumn="0" w:lastRowFirstColumn="0" w:lastRowLastColumn="0"/>
        </w:trPr>
        <w:tc>
          <w:tcPr>
            <w:tcW w:w="1695" w:type="dxa"/>
            <w:hideMark/>
          </w:tcPr>
          <w:p w:rsidRPr="003266D1" w:rsidR="00D5035D" w:rsidP="004B06A6" w:rsidRDefault="004B06A6" w14:paraId="76C1AA2A" w14:textId="77777777">
            <w:pPr>
              <w:rPr>
                <w:b w:val="0"/>
                <w:bCs/>
                <w:i w:val="0"/>
                <w:sz w:val="22"/>
                <w:szCs w:val="20"/>
                <w:lang w:val="en-US"/>
              </w:rPr>
            </w:pPr>
            <w:r w:rsidRPr="003266D1">
              <w:rPr>
                <w:bCs/>
                <w:sz w:val="22"/>
                <w:szCs w:val="20"/>
                <w:lang w:val="en-US"/>
              </w:rPr>
              <w:t>Capability/</w:t>
            </w:r>
          </w:p>
          <w:p w:rsidRPr="003266D1" w:rsidR="004B06A6" w:rsidP="004B06A6" w:rsidRDefault="004B06A6" w14:paraId="4B425DDF" w14:textId="6C904C07">
            <w:pPr>
              <w:rPr>
                <w:bCs/>
                <w:sz w:val="22"/>
                <w:szCs w:val="20"/>
                <w:lang w:val="en-US"/>
              </w:rPr>
            </w:pPr>
            <w:r w:rsidRPr="003266D1">
              <w:rPr>
                <w:bCs/>
                <w:sz w:val="22"/>
                <w:szCs w:val="20"/>
                <w:lang w:val="en-US"/>
              </w:rPr>
              <w:t>resource</w:t>
            </w:r>
          </w:p>
        </w:tc>
        <w:tc>
          <w:tcPr>
            <w:tcW w:w="1710" w:type="dxa"/>
            <w:hideMark/>
          </w:tcPr>
          <w:p w:rsidRPr="003266D1" w:rsidR="004B06A6" w:rsidP="004B06A6" w:rsidRDefault="004B06A6" w14:paraId="4C1821A2" w14:textId="77777777">
            <w:pPr>
              <w:rPr>
                <w:bCs/>
                <w:sz w:val="22"/>
                <w:szCs w:val="20"/>
                <w:lang w:val="en-US"/>
              </w:rPr>
            </w:pPr>
            <w:r w:rsidRPr="003266D1">
              <w:rPr>
                <w:bCs/>
                <w:sz w:val="22"/>
                <w:szCs w:val="20"/>
                <w:lang w:val="en-US"/>
              </w:rPr>
              <w:t>Value</w:t>
            </w:r>
          </w:p>
        </w:tc>
        <w:tc>
          <w:tcPr>
            <w:tcW w:w="1000" w:type="dxa"/>
            <w:hideMark/>
          </w:tcPr>
          <w:p w:rsidRPr="003266D1" w:rsidR="004B06A6" w:rsidP="004B06A6" w:rsidRDefault="004B06A6" w14:paraId="54CF13B9" w14:textId="77777777">
            <w:pPr>
              <w:rPr>
                <w:bCs/>
                <w:sz w:val="22"/>
                <w:szCs w:val="20"/>
                <w:lang w:val="en-US"/>
              </w:rPr>
            </w:pPr>
            <w:r w:rsidRPr="003266D1">
              <w:rPr>
                <w:bCs/>
                <w:sz w:val="22"/>
                <w:szCs w:val="20"/>
                <w:lang w:val="en-US"/>
              </w:rPr>
              <w:t>Rarity</w:t>
            </w:r>
          </w:p>
        </w:tc>
        <w:tc>
          <w:tcPr>
            <w:tcW w:w="1158" w:type="dxa"/>
            <w:hideMark/>
          </w:tcPr>
          <w:p w:rsidRPr="003266D1" w:rsidR="004B06A6" w:rsidP="004B06A6" w:rsidRDefault="004B06A6" w14:paraId="2734922D" w14:textId="77777777">
            <w:pPr>
              <w:rPr>
                <w:bCs/>
                <w:sz w:val="22"/>
                <w:szCs w:val="20"/>
                <w:lang w:val="en-US"/>
              </w:rPr>
            </w:pPr>
            <w:r w:rsidRPr="003266D1">
              <w:rPr>
                <w:bCs/>
                <w:sz w:val="22"/>
                <w:szCs w:val="20"/>
                <w:lang w:val="en-US"/>
              </w:rPr>
              <w:t>Imitability</w:t>
            </w:r>
          </w:p>
        </w:tc>
        <w:tc>
          <w:tcPr>
            <w:tcW w:w="1477" w:type="dxa"/>
            <w:hideMark/>
          </w:tcPr>
          <w:p w:rsidRPr="003266D1" w:rsidR="004B06A6" w:rsidP="004B06A6" w:rsidRDefault="004B06A6" w14:paraId="26D88664" w14:textId="77777777">
            <w:pPr>
              <w:rPr>
                <w:bCs/>
                <w:sz w:val="22"/>
                <w:szCs w:val="20"/>
                <w:lang w:val="en-US"/>
              </w:rPr>
            </w:pPr>
            <w:r w:rsidRPr="003266D1">
              <w:rPr>
                <w:bCs/>
                <w:sz w:val="22"/>
                <w:szCs w:val="20"/>
                <w:lang w:val="en-US"/>
              </w:rPr>
              <w:t>Organisation</w:t>
            </w:r>
          </w:p>
        </w:tc>
        <w:tc>
          <w:tcPr>
            <w:tcW w:w="2305" w:type="dxa"/>
            <w:hideMark/>
          </w:tcPr>
          <w:p w:rsidRPr="003266D1" w:rsidR="004B06A6" w:rsidP="004B06A6" w:rsidRDefault="004B06A6" w14:paraId="5BA86D16" w14:textId="77777777">
            <w:pPr>
              <w:rPr>
                <w:bCs/>
                <w:sz w:val="22"/>
                <w:szCs w:val="20"/>
                <w:lang w:val="en-US"/>
              </w:rPr>
            </w:pPr>
            <w:r w:rsidRPr="003266D1">
              <w:rPr>
                <w:bCs/>
                <w:sz w:val="22"/>
                <w:szCs w:val="20"/>
                <w:lang w:val="en-US"/>
              </w:rPr>
              <w:t>Strategic implication</w:t>
            </w:r>
          </w:p>
        </w:tc>
      </w:tr>
      <w:tr w:rsidRPr="003266D1" w:rsidR="003266D1" w:rsidTr="00D5035D" w14:paraId="77458584" w14:textId="77777777">
        <w:tc>
          <w:tcPr>
            <w:tcW w:w="1695" w:type="dxa"/>
            <w:hideMark/>
          </w:tcPr>
          <w:p w:rsidRPr="003266D1" w:rsidR="004B06A6" w:rsidP="004B06A6" w:rsidRDefault="004B06A6" w14:paraId="7D15AB4F" w14:textId="77777777">
            <w:pPr>
              <w:rPr>
                <w:sz w:val="22"/>
                <w:szCs w:val="20"/>
                <w:lang w:val="en-US"/>
              </w:rPr>
            </w:pPr>
            <w:r w:rsidRPr="003266D1">
              <w:rPr>
                <w:sz w:val="22"/>
                <w:szCs w:val="20"/>
                <w:lang w:val="en-US"/>
              </w:rPr>
              <w:t>Modular platform capability</w:t>
            </w:r>
          </w:p>
        </w:tc>
        <w:tc>
          <w:tcPr>
            <w:tcW w:w="1710" w:type="dxa"/>
            <w:hideMark/>
          </w:tcPr>
          <w:p w:rsidRPr="003266D1" w:rsidR="004B06A6" w:rsidP="004B06A6" w:rsidRDefault="004B06A6" w14:paraId="4359E9FD" w14:textId="217EAB19">
            <w:pPr>
              <w:rPr>
                <w:sz w:val="22"/>
                <w:szCs w:val="20"/>
                <w:lang w:val="en-US"/>
              </w:rPr>
            </w:pPr>
            <w:r w:rsidRPr="003266D1">
              <w:rPr>
                <w:sz w:val="22"/>
                <w:szCs w:val="20"/>
                <w:lang w:val="en-US"/>
              </w:rPr>
              <w:t xml:space="preserve">High (cost and variety leverage) </w:t>
            </w:r>
          </w:p>
        </w:tc>
        <w:tc>
          <w:tcPr>
            <w:tcW w:w="1000" w:type="dxa"/>
            <w:hideMark/>
          </w:tcPr>
          <w:p w:rsidRPr="003266D1" w:rsidR="004B06A6" w:rsidP="004B06A6" w:rsidRDefault="004B06A6" w14:paraId="6B726526" w14:textId="77777777">
            <w:pPr>
              <w:rPr>
                <w:sz w:val="22"/>
                <w:szCs w:val="20"/>
                <w:lang w:val="en-US"/>
              </w:rPr>
            </w:pPr>
            <w:r w:rsidRPr="003266D1">
              <w:rPr>
                <w:sz w:val="22"/>
                <w:szCs w:val="20"/>
                <w:lang w:val="en-US"/>
              </w:rPr>
              <w:t>Medium</w:t>
            </w:r>
          </w:p>
        </w:tc>
        <w:tc>
          <w:tcPr>
            <w:tcW w:w="1158" w:type="dxa"/>
            <w:hideMark/>
          </w:tcPr>
          <w:p w:rsidRPr="003266D1" w:rsidR="004B06A6" w:rsidP="004B06A6" w:rsidRDefault="004B06A6" w14:paraId="1E9F65A2" w14:textId="77777777">
            <w:pPr>
              <w:rPr>
                <w:sz w:val="22"/>
                <w:szCs w:val="20"/>
                <w:lang w:val="en-US"/>
              </w:rPr>
            </w:pPr>
            <w:r w:rsidRPr="003266D1">
              <w:rPr>
                <w:sz w:val="22"/>
                <w:szCs w:val="20"/>
                <w:lang w:val="en-US"/>
              </w:rPr>
              <w:t>Medium</w:t>
            </w:r>
          </w:p>
        </w:tc>
        <w:tc>
          <w:tcPr>
            <w:tcW w:w="1477" w:type="dxa"/>
            <w:hideMark/>
          </w:tcPr>
          <w:p w:rsidRPr="003266D1" w:rsidR="004B06A6" w:rsidP="004B06A6" w:rsidRDefault="004B06A6" w14:paraId="640AB105" w14:textId="77777777">
            <w:pPr>
              <w:rPr>
                <w:sz w:val="22"/>
                <w:szCs w:val="20"/>
                <w:lang w:val="en-US"/>
              </w:rPr>
            </w:pPr>
            <w:r w:rsidRPr="003266D1">
              <w:rPr>
                <w:sz w:val="22"/>
                <w:szCs w:val="20"/>
                <w:lang w:val="en-US"/>
              </w:rPr>
              <w:t>High if governance strong</w:t>
            </w:r>
          </w:p>
        </w:tc>
        <w:tc>
          <w:tcPr>
            <w:tcW w:w="2305" w:type="dxa"/>
            <w:hideMark/>
          </w:tcPr>
          <w:p w:rsidRPr="003266D1" w:rsidR="004B06A6" w:rsidP="004B06A6" w:rsidRDefault="004B06A6" w14:paraId="0935FD5D" w14:textId="77777777">
            <w:pPr>
              <w:rPr>
                <w:sz w:val="22"/>
                <w:szCs w:val="20"/>
                <w:lang w:val="en-US"/>
              </w:rPr>
            </w:pPr>
            <w:r w:rsidRPr="003266D1">
              <w:rPr>
                <w:sz w:val="22"/>
                <w:szCs w:val="20"/>
                <w:lang w:val="en-US"/>
              </w:rPr>
              <w:t>Potential sustained advantage if execution remains disciplined</w:t>
            </w:r>
          </w:p>
        </w:tc>
      </w:tr>
      <w:tr w:rsidRPr="003266D1" w:rsidR="003266D1" w:rsidTr="00D5035D" w14:paraId="11EA90D3" w14:textId="77777777">
        <w:tc>
          <w:tcPr>
            <w:tcW w:w="1695" w:type="dxa"/>
            <w:hideMark/>
          </w:tcPr>
          <w:p w:rsidRPr="003266D1" w:rsidR="004B06A6" w:rsidP="004B06A6" w:rsidRDefault="004B06A6" w14:paraId="412003A7" w14:textId="77777777">
            <w:pPr>
              <w:rPr>
                <w:sz w:val="22"/>
                <w:szCs w:val="20"/>
                <w:lang w:val="en-US"/>
              </w:rPr>
            </w:pPr>
            <w:r w:rsidRPr="003266D1">
              <w:rPr>
                <w:sz w:val="22"/>
                <w:szCs w:val="20"/>
                <w:lang w:val="en-US"/>
              </w:rPr>
              <w:t>Global manufacturing scale</w:t>
            </w:r>
          </w:p>
        </w:tc>
        <w:tc>
          <w:tcPr>
            <w:tcW w:w="1710" w:type="dxa"/>
            <w:hideMark/>
          </w:tcPr>
          <w:p w:rsidRPr="003266D1" w:rsidR="004B06A6" w:rsidP="004B06A6" w:rsidRDefault="004B06A6" w14:paraId="0438EA53" w14:textId="61F07656">
            <w:pPr>
              <w:rPr>
                <w:sz w:val="22"/>
                <w:szCs w:val="20"/>
                <w:lang w:val="en-US"/>
              </w:rPr>
            </w:pPr>
            <w:r w:rsidRPr="003266D1">
              <w:rPr>
                <w:sz w:val="22"/>
                <w:szCs w:val="20"/>
                <w:lang w:val="en-US"/>
              </w:rPr>
              <w:t>High</w:t>
            </w:r>
            <w:r w:rsidRPr="003266D1" w:rsidR="00D5035D">
              <w:rPr>
                <w:sz w:val="22"/>
                <w:szCs w:val="20"/>
                <w:lang w:val="en-US"/>
              </w:rPr>
              <w:t xml:space="preserve"> (Paz and Ruiz Gálvez, 2021)</w:t>
            </w:r>
          </w:p>
        </w:tc>
        <w:tc>
          <w:tcPr>
            <w:tcW w:w="1000" w:type="dxa"/>
            <w:hideMark/>
          </w:tcPr>
          <w:p w:rsidRPr="003266D1" w:rsidR="004B06A6" w:rsidP="004B06A6" w:rsidRDefault="004B06A6" w14:paraId="16821EAA" w14:textId="77777777">
            <w:pPr>
              <w:rPr>
                <w:sz w:val="22"/>
                <w:szCs w:val="20"/>
                <w:lang w:val="en-US"/>
              </w:rPr>
            </w:pPr>
            <w:r w:rsidRPr="003266D1">
              <w:rPr>
                <w:sz w:val="22"/>
                <w:szCs w:val="20"/>
                <w:lang w:val="en-US"/>
              </w:rPr>
              <w:t>Medium</w:t>
            </w:r>
          </w:p>
        </w:tc>
        <w:tc>
          <w:tcPr>
            <w:tcW w:w="1158" w:type="dxa"/>
            <w:hideMark/>
          </w:tcPr>
          <w:p w:rsidRPr="003266D1" w:rsidR="004B06A6" w:rsidP="004B06A6" w:rsidRDefault="004B06A6" w14:paraId="18DF0F31" w14:textId="77777777">
            <w:pPr>
              <w:rPr>
                <w:sz w:val="22"/>
                <w:szCs w:val="20"/>
                <w:lang w:val="en-US"/>
              </w:rPr>
            </w:pPr>
            <w:r w:rsidRPr="003266D1">
              <w:rPr>
                <w:sz w:val="22"/>
                <w:szCs w:val="20"/>
                <w:lang w:val="en-US"/>
              </w:rPr>
              <w:t>Medium</w:t>
            </w:r>
          </w:p>
        </w:tc>
        <w:tc>
          <w:tcPr>
            <w:tcW w:w="1477" w:type="dxa"/>
            <w:hideMark/>
          </w:tcPr>
          <w:p w:rsidRPr="003266D1" w:rsidR="004B06A6" w:rsidP="004B06A6" w:rsidRDefault="004B06A6" w14:paraId="40567D74" w14:textId="77777777">
            <w:pPr>
              <w:rPr>
                <w:sz w:val="22"/>
                <w:szCs w:val="20"/>
                <w:lang w:val="en-US"/>
              </w:rPr>
            </w:pPr>
            <w:r w:rsidRPr="003266D1">
              <w:rPr>
                <w:sz w:val="22"/>
                <w:szCs w:val="20"/>
                <w:lang w:val="en-US"/>
              </w:rPr>
              <w:t>High</w:t>
            </w:r>
          </w:p>
        </w:tc>
        <w:tc>
          <w:tcPr>
            <w:tcW w:w="2305" w:type="dxa"/>
            <w:hideMark/>
          </w:tcPr>
          <w:p w:rsidRPr="003266D1" w:rsidR="004B06A6" w:rsidP="004B06A6" w:rsidRDefault="004B06A6" w14:paraId="51179CE3" w14:textId="77777777">
            <w:pPr>
              <w:rPr>
                <w:sz w:val="22"/>
                <w:szCs w:val="20"/>
                <w:lang w:val="en-US"/>
              </w:rPr>
            </w:pPr>
            <w:r w:rsidRPr="003266D1">
              <w:rPr>
                <w:sz w:val="22"/>
                <w:szCs w:val="20"/>
                <w:lang w:val="en-US"/>
              </w:rPr>
              <w:t>Competitive parity to advantage depending on cost position</w:t>
            </w:r>
          </w:p>
        </w:tc>
      </w:tr>
      <w:tr w:rsidRPr="003266D1" w:rsidR="003266D1" w:rsidTr="00D5035D" w14:paraId="5A2F5C1D" w14:textId="77777777">
        <w:tc>
          <w:tcPr>
            <w:tcW w:w="1695" w:type="dxa"/>
            <w:hideMark/>
          </w:tcPr>
          <w:p w:rsidRPr="003266D1" w:rsidR="004B06A6" w:rsidP="004B06A6" w:rsidRDefault="004B06A6" w14:paraId="6EC2B8C1" w14:textId="77777777">
            <w:pPr>
              <w:rPr>
                <w:sz w:val="22"/>
                <w:szCs w:val="20"/>
                <w:lang w:val="en-US"/>
              </w:rPr>
            </w:pPr>
            <w:r w:rsidRPr="003266D1">
              <w:rPr>
                <w:sz w:val="22"/>
                <w:szCs w:val="20"/>
                <w:lang w:val="en-US"/>
              </w:rPr>
              <w:t>Multi-brand portfolio management</w:t>
            </w:r>
          </w:p>
        </w:tc>
        <w:tc>
          <w:tcPr>
            <w:tcW w:w="1710" w:type="dxa"/>
            <w:hideMark/>
          </w:tcPr>
          <w:p w:rsidRPr="003266D1" w:rsidR="004B06A6" w:rsidP="004B06A6" w:rsidRDefault="004B06A6" w14:paraId="3F36B69B" w14:textId="77777777">
            <w:pPr>
              <w:rPr>
                <w:sz w:val="22"/>
                <w:szCs w:val="20"/>
                <w:lang w:val="en-US"/>
              </w:rPr>
            </w:pPr>
            <w:r w:rsidRPr="003266D1">
              <w:rPr>
                <w:sz w:val="22"/>
                <w:szCs w:val="20"/>
                <w:lang w:val="en-US"/>
              </w:rPr>
              <w:t>High</w:t>
            </w:r>
          </w:p>
        </w:tc>
        <w:tc>
          <w:tcPr>
            <w:tcW w:w="1000" w:type="dxa"/>
            <w:hideMark/>
          </w:tcPr>
          <w:p w:rsidRPr="003266D1" w:rsidR="004B06A6" w:rsidP="004B06A6" w:rsidRDefault="004B06A6" w14:paraId="310820C4" w14:textId="77777777">
            <w:pPr>
              <w:rPr>
                <w:sz w:val="22"/>
                <w:szCs w:val="20"/>
                <w:lang w:val="en-US"/>
              </w:rPr>
            </w:pPr>
            <w:r w:rsidRPr="003266D1">
              <w:rPr>
                <w:sz w:val="22"/>
                <w:szCs w:val="20"/>
                <w:lang w:val="en-US"/>
              </w:rPr>
              <w:t>Medium</w:t>
            </w:r>
          </w:p>
        </w:tc>
        <w:tc>
          <w:tcPr>
            <w:tcW w:w="1158" w:type="dxa"/>
            <w:hideMark/>
          </w:tcPr>
          <w:p w:rsidRPr="003266D1" w:rsidR="004B06A6" w:rsidP="004B06A6" w:rsidRDefault="004B06A6" w14:paraId="1FDDCB7B" w14:textId="77777777">
            <w:pPr>
              <w:rPr>
                <w:sz w:val="22"/>
                <w:szCs w:val="20"/>
                <w:lang w:val="en-US"/>
              </w:rPr>
            </w:pPr>
            <w:r w:rsidRPr="003266D1">
              <w:rPr>
                <w:sz w:val="22"/>
                <w:szCs w:val="20"/>
                <w:lang w:val="en-US"/>
              </w:rPr>
              <w:t>Medium</w:t>
            </w:r>
          </w:p>
        </w:tc>
        <w:tc>
          <w:tcPr>
            <w:tcW w:w="1477" w:type="dxa"/>
            <w:hideMark/>
          </w:tcPr>
          <w:p w:rsidRPr="003266D1" w:rsidR="004B06A6" w:rsidP="004B06A6" w:rsidRDefault="004B06A6" w14:paraId="1AD40414" w14:textId="77777777">
            <w:pPr>
              <w:rPr>
                <w:sz w:val="22"/>
                <w:szCs w:val="20"/>
                <w:lang w:val="en-US"/>
              </w:rPr>
            </w:pPr>
            <w:r w:rsidRPr="003266D1">
              <w:rPr>
                <w:sz w:val="22"/>
                <w:szCs w:val="20"/>
                <w:lang w:val="en-US"/>
              </w:rPr>
              <w:t>Medium</w:t>
            </w:r>
          </w:p>
        </w:tc>
        <w:tc>
          <w:tcPr>
            <w:tcW w:w="2305" w:type="dxa"/>
            <w:hideMark/>
          </w:tcPr>
          <w:p w:rsidRPr="003266D1" w:rsidR="004B06A6" w:rsidP="004B06A6" w:rsidRDefault="004B06A6" w14:paraId="52AD374D" w14:textId="0B3A9D68">
            <w:pPr>
              <w:rPr>
                <w:sz w:val="22"/>
                <w:szCs w:val="20"/>
                <w:lang w:val="en-US"/>
              </w:rPr>
            </w:pPr>
            <w:r w:rsidRPr="003266D1">
              <w:rPr>
                <w:sz w:val="22"/>
                <w:szCs w:val="20"/>
                <w:lang w:val="en-US"/>
              </w:rPr>
              <w:t xml:space="preserve">Advantage if complexity is controlled; </w:t>
            </w:r>
            <w:r w:rsidRPr="003266D1" w:rsidR="00D5035D">
              <w:rPr>
                <w:sz w:val="22"/>
                <w:szCs w:val="20"/>
                <w:lang w:val="en-US"/>
              </w:rPr>
              <w:t>otherwise,</w:t>
            </w:r>
            <w:r w:rsidRPr="003266D1">
              <w:rPr>
                <w:sz w:val="22"/>
                <w:szCs w:val="20"/>
                <w:lang w:val="en-US"/>
              </w:rPr>
              <w:t xml:space="preserve"> strategic drag</w:t>
            </w:r>
          </w:p>
        </w:tc>
      </w:tr>
      <w:tr w:rsidRPr="003266D1" w:rsidR="003266D1" w:rsidTr="00D5035D" w14:paraId="07E0D33E" w14:textId="77777777">
        <w:tc>
          <w:tcPr>
            <w:tcW w:w="1695" w:type="dxa"/>
            <w:hideMark/>
          </w:tcPr>
          <w:p w:rsidRPr="003266D1" w:rsidR="004B06A6" w:rsidP="004B06A6" w:rsidRDefault="004B06A6" w14:paraId="65EDA7E3" w14:textId="77777777">
            <w:pPr>
              <w:rPr>
                <w:sz w:val="22"/>
                <w:szCs w:val="20"/>
                <w:lang w:val="en-US"/>
              </w:rPr>
            </w:pPr>
            <w:r w:rsidRPr="003266D1">
              <w:rPr>
                <w:sz w:val="22"/>
                <w:szCs w:val="20"/>
                <w:lang w:val="en-US"/>
              </w:rPr>
              <w:t>Post-scandal compliance and reporting systems</w:t>
            </w:r>
          </w:p>
        </w:tc>
        <w:tc>
          <w:tcPr>
            <w:tcW w:w="1710" w:type="dxa"/>
            <w:hideMark/>
          </w:tcPr>
          <w:p w:rsidRPr="003266D1" w:rsidR="004B06A6" w:rsidP="004B06A6" w:rsidRDefault="004B06A6" w14:paraId="694EAA1F" w14:textId="77777777">
            <w:pPr>
              <w:rPr>
                <w:sz w:val="22"/>
                <w:szCs w:val="20"/>
                <w:lang w:val="en-US"/>
              </w:rPr>
            </w:pPr>
            <w:r w:rsidRPr="003266D1">
              <w:rPr>
                <w:sz w:val="22"/>
                <w:szCs w:val="20"/>
                <w:lang w:val="en-US"/>
              </w:rPr>
              <w:t>High</w:t>
            </w:r>
          </w:p>
        </w:tc>
        <w:tc>
          <w:tcPr>
            <w:tcW w:w="1000" w:type="dxa"/>
            <w:hideMark/>
          </w:tcPr>
          <w:p w:rsidRPr="003266D1" w:rsidR="004B06A6" w:rsidP="004B06A6" w:rsidRDefault="004B06A6" w14:paraId="09E14E5E" w14:textId="77777777">
            <w:pPr>
              <w:rPr>
                <w:sz w:val="22"/>
                <w:szCs w:val="20"/>
                <w:lang w:val="en-US"/>
              </w:rPr>
            </w:pPr>
            <w:r w:rsidRPr="003266D1">
              <w:rPr>
                <w:sz w:val="22"/>
                <w:szCs w:val="20"/>
                <w:lang w:val="en-US"/>
              </w:rPr>
              <w:t>Medium</w:t>
            </w:r>
          </w:p>
        </w:tc>
        <w:tc>
          <w:tcPr>
            <w:tcW w:w="1158" w:type="dxa"/>
            <w:hideMark/>
          </w:tcPr>
          <w:p w:rsidRPr="003266D1" w:rsidR="004B06A6" w:rsidP="004B06A6" w:rsidRDefault="004B06A6" w14:paraId="23881D3B" w14:textId="77777777">
            <w:pPr>
              <w:rPr>
                <w:sz w:val="22"/>
                <w:szCs w:val="20"/>
                <w:lang w:val="en-US"/>
              </w:rPr>
            </w:pPr>
            <w:r w:rsidRPr="003266D1">
              <w:rPr>
                <w:sz w:val="22"/>
                <w:szCs w:val="20"/>
                <w:lang w:val="en-US"/>
              </w:rPr>
              <w:t>Medium</w:t>
            </w:r>
          </w:p>
        </w:tc>
        <w:tc>
          <w:tcPr>
            <w:tcW w:w="1477" w:type="dxa"/>
            <w:hideMark/>
          </w:tcPr>
          <w:p w:rsidRPr="003266D1" w:rsidR="004B06A6" w:rsidP="004B06A6" w:rsidRDefault="004B06A6" w14:paraId="37D612F0" w14:textId="77777777">
            <w:pPr>
              <w:rPr>
                <w:sz w:val="22"/>
                <w:szCs w:val="20"/>
                <w:lang w:val="en-US"/>
              </w:rPr>
            </w:pPr>
            <w:r w:rsidRPr="003266D1">
              <w:rPr>
                <w:sz w:val="22"/>
                <w:szCs w:val="20"/>
                <w:lang w:val="en-US"/>
              </w:rPr>
              <w:t>Medium–High</w:t>
            </w:r>
          </w:p>
        </w:tc>
        <w:tc>
          <w:tcPr>
            <w:tcW w:w="2305" w:type="dxa"/>
            <w:hideMark/>
          </w:tcPr>
          <w:p w:rsidRPr="003266D1" w:rsidR="004B06A6" w:rsidP="004B06A6" w:rsidRDefault="004B06A6" w14:paraId="2AA14500" w14:textId="77777777">
            <w:pPr>
              <w:rPr>
                <w:sz w:val="22"/>
                <w:szCs w:val="20"/>
                <w:lang w:val="en-US"/>
              </w:rPr>
            </w:pPr>
            <w:r w:rsidRPr="003266D1">
              <w:rPr>
                <w:sz w:val="22"/>
                <w:szCs w:val="20"/>
                <w:lang w:val="en-US"/>
              </w:rPr>
              <w:t>Supports legitimacy and risk reduction (Poier, 2020)</w:t>
            </w:r>
          </w:p>
        </w:tc>
      </w:tr>
      <w:tr w:rsidRPr="003266D1" w:rsidR="003266D1" w:rsidTr="00D5035D" w14:paraId="6612036A" w14:textId="77777777">
        <w:tc>
          <w:tcPr>
            <w:tcW w:w="1695" w:type="dxa"/>
            <w:hideMark/>
          </w:tcPr>
          <w:p w:rsidRPr="003266D1" w:rsidR="004B06A6" w:rsidP="004B06A6" w:rsidRDefault="004B06A6" w14:paraId="57149484" w14:textId="77777777">
            <w:pPr>
              <w:rPr>
                <w:sz w:val="22"/>
                <w:szCs w:val="20"/>
                <w:lang w:val="en-US"/>
              </w:rPr>
            </w:pPr>
            <w:r w:rsidRPr="003266D1">
              <w:rPr>
                <w:sz w:val="22"/>
                <w:szCs w:val="20"/>
                <w:lang w:val="en-US"/>
              </w:rPr>
              <w:t>Software and digital integration capability</w:t>
            </w:r>
          </w:p>
        </w:tc>
        <w:tc>
          <w:tcPr>
            <w:tcW w:w="1710" w:type="dxa"/>
            <w:hideMark/>
          </w:tcPr>
          <w:p w:rsidRPr="003266D1" w:rsidR="004B06A6" w:rsidP="004B06A6" w:rsidRDefault="004B06A6" w14:paraId="4B925F20" w14:textId="77777777">
            <w:pPr>
              <w:rPr>
                <w:sz w:val="22"/>
                <w:szCs w:val="20"/>
                <w:lang w:val="en-US"/>
              </w:rPr>
            </w:pPr>
            <w:r w:rsidRPr="003266D1">
              <w:rPr>
                <w:sz w:val="22"/>
                <w:szCs w:val="20"/>
                <w:lang w:val="en-US"/>
              </w:rPr>
              <w:t>High</w:t>
            </w:r>
          </w:p>
        </w:tc>
        <w:tc>
          <w:tcPr>
            <w:tcW w:w="1000" w:type="dxa"/>
            <w:hideMark/>
          </w:tcPr>
          <w:p w:rsidRPr="003266D1" w:rsidR="004B06A6" w:rsidP="004B06A6" w:rsidRDefault="004B06A6" w14:paraId="495819ED" w14:textId="77777777">
            <w:pPr>
              <w:rPr>
                <w:sz w:val="22"/>
                <w:szCs w:val="20"/>
                <w:lang w:val="en-US"/>
              </w:rPr>
            </w:pPr>
            <w:r w:rsidRPr="003266D1">
              <w:rPr>
                <w:sz w:val="22"/>
                <w:szCs w:val="20"/>
                <w:lang w:val="en-US"/>
              </w:rPr>
              <w:t>Low–Medium</w:t>
            </w:r>
          </w:p>
        </w:tc>
        <w:tc>
          <w:tcPr>
            <w:tcW w:w="1158" w:type="dxa"/>
            <w:hideMark/>
          </w:tcPr>
          <w:p w:rsidRPr="003266D1" w:rsidR="004B06A6" w:rsidP="004B06A6" w:rsidRDefault="004B06A6" w14:paraId="53E787FE" w14:textId="77777777">
            <w:pPr>
              <w:rPr>
                <w:sz w:val="22"/>
                <w:szCs w:val="20"/>
                <w:lang w:val="en-US"/>
              </w:rPr>
            </w:pPr>
            <w:r w:rsidRPr="003266D1">
              <w:rPr>
                <w:sz w:val="22"/>
                <w:szCs w:val="20"/>
                <w:lang w:val="en-US"/>
              </w:rPr>
              <w:t>Medium</w:t>
            </w:r>
          </w:p>
        </w:tc>
        <w:tc>
          <w:tcPr>
            <w:tcW w:w="1477" w:type="dxa"/>
            <w:hideMark/>
          </w:tcPr>
          <w:p w:rsidRPr="003266D1" w:rsidR="004B06A6" w:rsidP="004B06A6" w:rsidRDefault="004B06A6" w14:paraId="7458EE84" w14:textId="77777777">
            <w:pPr>
              <w:rPr>
                <w:sz w:val="22"/>
                <w:szCs w:val="20"/>
                <w:lang w:val="en-US"/>
              </w:rPr>
            </w:pPr>
            <w:r w:rsidRPr="003266D1">
              <w:rPr>
                <w:sz w:val="22"/>
                <w:szCs w:val="20"/>
                <w:lang w:val="en-US"/>
              </w:rPr>
              <w:t>Developing</w:t>
            </w:r>
          </w:p>
        </w:tc>
        <w:tc>
          <w:tcPr>
            <w:tcW w:w="2305" w:type="dxa"/>
            <w:hideMark/>
          </w:tcPr>
          <w:p w:rsidRPr="003266D1" w:rsidR="004B06A6" w:rsidP="004B06A6" w:rsidRDefault="004B06A6" w14:paraId="12C33697" w14:textId="77777777">
            <w:pPr>
              <w:rPr>
                <w:sz w:val="22"/>
                <w:szCs w:val="20"/>
                <w:lang w:val="en-US"/>
              </w:rPr>
            </w:pPr>
            <w:r w:rsidRPr="003266D1">
              <w:rPr>
                <w:sz w:val="22"/>
                <w:szCs w:val="20"/>
                <w:lang w:val="en-US"/>
              </w:rPr>
              <w:t xml:space="preserve">Advantage depends on </w:t>
            </w:r>
            <w:proofErr w:type="spellStart"/>
            <w:r w:rsidRPr="003266D1">
              <w:rPr>
                <w:sz w:val="22"/>
                <w:szCs w:val="20"/>
                <w:lang w:val="en-US"/>
              </w:rPr>
              <w:t>organisational</w:t>
            </w:r>
            <w:proofErr w:type="spellEnd"/>
            <w:r w:rsidRPr="003266D1">
              <w:rPr>
                <w:sz w:val="22"/>
                <w:szCs w:val="20"/>
                <w:lang w:val="en-US"/>
              </w:rPr>
              <w:t xml:space="preserve"> learning and integration execution (Ainvest, 2025; Volkswagen Group, 2026)</w:t>
            </w:r>
          </w:p>
        </w:tc>
      </w:tr>
    </w:tbl>
    <w:p w:rsidRPr="003266D1" w:rsidR="00EA362B" w:rsidP="004B06A6" w:rsidRDefault="00EA362B" w14:paraId="60EC1974" w14:textId="77777777">
      <w:pPr>
        <w:rPr>
          <w:b/>
          <w:bCs/>
          <w:lang w:val="en-US"/>
        </w:rPr>
      </w:pPr>
    </w:p>
    <w:p w:rsidRPr="003266D1" w:rsidR="00E85270" w:rsidP="00E85270" w:rsidRDefault="00E85270" w14:paraId="705B9AAA" w14:textId="77777777">
      <w:pPr>
        <w:pStyle w:val="Heading2"/>
        <w:rPr>
          <w:color w:val="auto"/>
        </w:rPr>
      </w:pPr>
      <w:bookmarkStart w:name="_Toc224947392" w:id="19"/>
      <w:r w:rsidRPr="003266D1">
        <w:rPr>
          <w:color w:val="auto"/>
        </w:rPr>
        <w:t>Resource-Based Model (RBV) of Above-Average Returns</w:t>
      </w:r>
      <w:bookmarkEnd w:id="19"/>
    </w:p>
    <w:p w:rsidRPr="003266D1" w:rsidR="00E85270" w:rsidP="00E85270" w:rsidRDefault="00E85270" w14:paraId="054955A3" w14:textId="64C3EE6F">
      <w:pPr>
        <w:rPr>
          <w:lang w:val="en-US"/>
        </w:rPr>
      </w:pPr>
      <w:r w:rsidRPr="003266D1">
        <w:rPr>
          <w:lang w:val="en-US"/>
        </w:rPr>
        <w:t>Resource-Based View (RBV) is a theory that proposes above-average returns as a result of factors that are internal to a firm and do not solely rely on the industry structure (Lubis, 2022). It presupposes the difference in the resources that organisations possess and that the difference may be permanent since useful capabilities are not mobile or easily copied (Hitt et al., 2019; Chatzoglou et al., 2018). Within this reasoning, the competitive capability of Volkswagen is pegged on its ability to integrate physical resources, human expertise, and organisation systems into meaningful capabilities. They include modular platform architecture, massive production, knowledge in engineering, and coordination of global brand portfolio. When such resources are of value, hard to imitate, and well-</w:t>
      </w:r>
      <w:proofErr w:type="spellStart"/>
      <w:r w:rsidRPr="003266D1">
        <w:rPr>
          <w:lang w:val="en-US"/>
        </w:rPr>
        <w:t>organised</w:t>
      </w:r>
      <w:proofErr w:type="spellEnd"/>
      <w:r w:rsidRPr="003266D1">
        <w:rPr>
          <w:lang w:val="en-US"/>
        </w:rPr>
        <w:t>, they may sustain competitive advantage and greater strategic performance throughout the EV and software transformation (Hitt et al., 2019; Paz and Ruiz Gálvez, 2021).</w:t>
      </w:r>
    </w:p>
    <w:p w:rsidRPr="003266D1" w:rsidR="00E85270" w:rsidP="00E85270" w:rsidRDefault="00E85270" w14:paraId="6966F4A7" w14:textId="159D15D6">
      <w:pPr>
        <w:pStyle w:val="Caption"/>
        <w:rPr>
          <w:lang w:val="en-US"/>
        </w:rPr>
      </w:pPr>
      <w:r w:rsidRPr="003266D1">
        <w:rPr>
          <w:b w:val="0"/>
          <w:bCs/>
          <w:lang w:val="en-US"/>
        </w:rPr>
        <w:t xml:space="preserve"> </w:t>
      </w:r>
      <w:r w:rsidRPr="003266D1">
        <w:t xml:space="preserve">Table </w:t>
      </w:r>
      <w:r w:rsidRPr="003266D1">
        <w:fldChar w:fldCharType="begin"/>
      </w:r>
      <w:r w:rsidRPr="003266D1">
        <w:instrText xml:space="preserve"> SEQ Table \* ARABIC </w:instrText>
      </w:r>
      <w:r w:rsidRPr="003266D1">
        <w:fldChar w:fldCharType="separate"/>
      </w:r>
      <w:r w:rsidRPr="003266D1" w:rsidR="00371EA5">
        <w:t>6</w:t>
      </w:r>
      <w:r w:rsidRPr="003266D1">
        <w:fldChar w:fldCharType="end"/>
      </w:r>
      <w:r w:rsidRPr="003266D1">
        <w:t>. Resource-Based Model (RBV) applied to Volkswagen (Hitt et al. (2019), Chatzoglou et al. (2018), and Paz and Ruiz Gálvez (2021)</w:t>
      </w:r>
    </w:p>
    <w:tbl>
      <w:tblPr>
        <w:tblStyle w:val="TableGrid"/>
        <w:tblW w:w="0" w:type="auto"/>
        <w:tblLook w:val="04A0" w:firstRow="1" w:lastRow="0" w:firstColumn="1" w:lastColumn="0" w:noHBand="0" w:noVBand="1"/>
      </w:tblPr>
      <w:tblGrid>
        <w:gridCol w:w="1681"/>
        <w:gridCol w:w="3523"/>
        <w:gridCol w:w="3792"/>
      </w:tblGrid>
      <w:tr w:rsidRPr="003266D1" w:rsidR="003266D1" w:rsidTr="00E85270" w14:paraId="446884FF"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3266D1" w:rsidR="00E85270" w:rsidP="00E85270" w:rsidRDefault="00E85270" w14:paraId="2DC48B7A" w14:textId="77777777">
            <w:pPr>
              <w:rPr>
                <w:bCs/>
                <w:lang w:val="en-US"/>
              </w:rPr>
            </w:pPr>
            <w:r w:rsidRPr="003266D1">
              <w:rPr>
                <w:bCs/>
                <w:lang w:val="en-US"/>
              </w:rPr>
              <w:t>RBV element</w:t>
            </w:r>
          </w:p>
        </w:tc>
        <w:tc>
          <w:tcPr>
            <w:tcW w:w="0" w:type="auto"/>
            <w:hideMark/>
          </w:tcPr>
          <w:p w:rsidRPr="003266D1" w:rsidR="00E85270" w:rsidP="00E85270" w:rsidRDefault="00E85270" w14:paraId="682794DE" w14:textId="77777777">
            <w:pPr>
              <w:rPr>
                <w:bCs/>
                <w:lang w:val="en-US"/>
              </w:rPr>
            </w:pPr>
            <w:r w:rsidRPr="003266D1">
              <w:rPr>
                <w:bCs/>
                <w:lang w:val="en-US"/>
              </w:rPr>
              <w:t>Explanation</w:t>
            </w:r>
          </w:p>
        </w:tc>
        <w:tc>
          <w:tcPr>
            <w:tcW w:w="0" w:type="auto"/>
            <w:hideMark/>
          </w:tcPr>
          <w:p w:rsidRPr="003266D1" w:rsidR="00E85270" w:rsidP="00E85270" w:rsidRDefault="00E85270" w14:paraId="518708C6" w14:textId="77777777">
            <w:pPr>
              <w:rPr>
                <w:bCs/>
                <w:lang w:val="en-US"/>
              </w:rPr>
            </w:pPr>
            <w:r w:rsidRPr="003266D1">
              <w:rPr>
                <w:bCs/>
                <w:lang w:val="en-US"/>
              </w:rPr>
              <w:t>Application to Volkswagen</w:t>
            </w:r>
          </w:p>
        </w:tc>
      </w:tr>
      <w:tr w:rsidRPr="003266D1" w:rsidR="003266D1" w:rsidTr="00E85270" w14:paraId="17A7DBDE" w14:textId="77777777">
        <w:tc>
          <w:tcPr>
            <w:tcW w:w="0" w:type="auto"/>
            <w:hideMark/>
          </w:tcPr>
          <w:p w:rsidRPr="003266D1" w:rsidR="00E85270" w:rsidP="00E85270" w:rsidRDefault="00E85270" w14:paraId="78C30825" w14:textId="77777777">
            <w:pPr>
              <w:rPr>
                <w:lang w:val="en-US"/>
              </w:rPr>
            </w:pPr>
            <w:r w:rsidRPr="003266D1">
              <w:rPr>
                <w:lang w:val="en-US"/>
              </w:rPr>
              <w:t>Resources</w:t>
            </w:r>
          </w:p>
        </w:tc>
        <w:tc>
          <w:tcPr>
            <w:tcW w:w="0" w:type="auto"/>
            <w:hideMark/>
          </w:tcPr>
          <w:p w:rsidRPr="003266D1" w:rsidR="00E85270" w:rsidP="00E85270" w:rsidRDefault="00E85270" w14:paraId="6D1C67A7" w14:textId="7748C739">
            <w:pPr>
              <w:rPr>
                <w:lang w:val="en-US"/>
              </w:rPr>
            </w:pPr>
            <w:r w:rsidRPr="003266D1">
              <w:rPr>
                <w:lang w:val="en-US"/>
              </w:rPr>
              <w:t>Firms possess different tangible and intangible assets</w:t>
            </w:r>
            <w:r w:rsidRPr="003266D1" w:rsidR="00371EA5">
              <w:rPr>
                <w:lang w:val="en-US"/>
              </w:rPr>
              <w:t xml:space="preserve"> (Paz and Ruiz Gálvez, 2021).</w:t>
            </w:r>
          </w:p>
        </w:tc>
        <w:tc>
          <w:tcPr>
            <w:tcW w:w="0" w:type="auto"/>
            <w:hideMark/>
          </w:tcPr>
          <w:p w:rsidRPr="003266D1" w:rsidR="00E85270" w:rsidP="00E85270" w:rsidRDefault="00E85270" w14:paraId="75C16761" w14:textId="77777777">
            <w:pPr>
              <w:rPr>
                <w:lang w:val="en-US"/>
              </w:rPr>
            </w:pPr>
            <w:r w:rsidRPr="003266D1">
              <w:rPr>
                <w:lang w:val="en-US"/>
              </w:rPr>
              <w:t>Volkswagen has manufacturing scale, brands, capital, and engineering expertise</w:t>
            </w:r>
          </w:p>
        </w:tc>
      </w:tr>
      <w:tr w:rsidRPr="003266D1" w:rsidR="003266D1" w:rsidTr="00E85270" w14:paraId="67A4B51F" w14:textId="77777777">
        <w:tc>
          <w:tcPr>
            <w:tcW w:w="0" w:type="auto"/>
            <w:hideMark/>
          </w:tcPr>
          <w:p w:rsidRPr="003266D1" w:rsidR="00E85270" w:rsidP="00E85270" w:rsidRDefault="00E85270" w14:paraId="1DAA8F38" w14:textId="77777777">
            <w:pPr>
              <w:rPr>
                <w:lang w:val="en-US"/>
              </w:rPr>
            </w:pPr>
            <w:r w:rsidRPr="003266D1">
              <w:rPr>
                <w:lang w:val="en-US"/>
              </w:rPr>
              <w:t>Capabilities</w:t>
            </w:r>
          </w:p>
        </w:tc>
        <w:tc>
          <w:tcPr>
            <w:tcW w:w="0" w:type="auto"/>
            <w:hideMark/>
          </w:tcPr>
          <w:p w:rsidRPr="003266D1" w:rsidR="00E85270" w:rsidP="00E85270" w:rsidRDefault="00E85270" w14:paraId="33451A55" w14:textId="77777777">
            <w:pPr>
              <w:rPr>
                <w:lang w:val="en-US"/>
              </w:rPr>
            </w:pPr>
            <w:r w:rsidRPr="003266D1">
              <w:rPr>
                <w:lang w:val="en-US"/>
              </w:rPr>
              <w:t>Resources are integrated to perform activities effectively</w:t>
            </w:r>
          </w:p>
        </w:tc>
        <w:tc>
          <w:tcPr>
            <w:tcW w:w="0" w:type="auto"/>
            <w:hideMark/>
          </w:tcPr>
          <w:p w:rsidRPr="003266D1" w:rsidR="00E85270" w:rsidP="00E85270" w:rsidRDefault="00E85270" w14:paraId="7D0FF130" w14:textId="77E7FCE2">
            <w:pPr>
              <w:rPr>
                <w:lang w:val="en-US"/>
              </w:rPr>
            </w:pPr>
            <w:r w:rsidRPr="003266D1">
              <w:rPr>
                <w:lang w:val="en-US"/>
              </w:rPr>
              <w:t>Modular platforms and cross-brand production systems support efficiency</w:t>
            </w:r>
            <w:r w:rsidRPr="003266D1" w:rsidR="00371EA5">
              <w:rPr>
                <w:lang w:val="en-US"/>
              </w:rPr>
              <w:t xml:space="preserve"> (Volkswagen Group, 2026).</w:t>
            </w:r>
          </w:p>
        </w:tc>
      </w:tr>
      <w:tr w:rsidRPr="003266D1" w:rsidR="003266D1" w:rsidTr="00E85270" w14:paraId="433D16BA" w14:textId="77777777">
        <w:tc>
          <w:tcPr>
            <w:tcW w:w="0" w:type="auto"/>
            <w:hideMark/>
          </w:tcPr>
          <w:p w:rsidRPr="003266D1" w:rsidR="00E85270" w:rsidP="00E85270" w:rsidRDefault="00E85270" w14:paraId="34C55BAD" w14:textId="77777777">
            <w:pPr>
              <w:rPr>
                <w:lang w:val="en-US"/>
              </w:rPr>
            </w:pPr>
            <w:r w:rsidRPr="003266D1">
              <w:rPr>
                <w:lang w:val="en-US"/>
              </w:rPr>
              <w:t>Core competencies</w:t>
            </w:r>
          </w:p>
        </w:tc>
        <w:tc>
          <w:tcPr>
            <w:tcW w:w="0" w:type="auto"/>
            <w:hideMark/>
          </w:tcPr>
          <w:p w:rsidRPr="003266D1" w:rsidR="00E85270" w:rsidP="00E85270" w:rsidRDefault="00E85270" w14:paraId="125AC787" w14:textId="5D7BF3E7">
            <w:pPr>
              <w:rPr>
                <w:lang w:val="en-US"/>
              </w:rPr>
            </w:pPr>
            <w:r w:rsidRPr="003266D1">
              <w:rPr>
                <w:lang w:val="en-US"/>
              </w:rPr>
              <w:t>Certain capabilities become sources of competitive advantage</w:t>
            </w:r>
            <w:r w:rsidRPr="003266D1" w:rsidR="00371EA5">
              <w:rPr>
                <w:lang w:val="en-US"/>
              </w:rPr>
              <w:t xml:space="preserve"> (Hitt et al., 2019; Paz and Ruiz Gálvez, 2021).</w:t>
            </w:r>
          </w:p>
        </w:tc>
        <w:tc>
          <w:tcPr>
            <w:tcW w:w="0" w:type="auto"/>
            <w:hideMark/>
          </w:tcPr>
          <w:p w:rsidRPr="003266D1" w:rsidR="00E85270" w:rsidP="00E85270" w:rsidRDefault="00E85270" w14:paraId="3FA54B0D" w14:textId="77777777">
            <w:pPr>
              <w:rPr>
                <w:lang w:val="en-US"/>
              </w:rPr>
            </w:pPr>
            <w:r w:rsidRPr="003266D1">
              <w:rPr>
                <w:lang w:val="en-US"/>
              </w:rPr>
              <w:t>Platform management and global scale can strengthen Volkswagen’s market position</w:t>
            </w:r>
          </w:p>
        </w:tc>
      </w:tr>
      <w:tr w:rsidRPr="003266D1" w:rsidR="003266D1" w:rsidTr="00E85270" w14:paraId="2A6F093E" w14:textId="77777777">
        <w:tc>
          <w:tcPr>
            <w:tcW w:w="0" w:type="auto"/>
            <w:hideMark/>
          </w:tcPr>
          <w:p w:rsidRPr="003266D1" w:rsidR="00E85270" w:rsidP="00E85270" w:rsidRDefault="00E85270" w14:paraId="199DB1B8" w14:textId="77777777">
            <w:pPr>
              <w:rPr>
                <w:lang w:val="en-US"/>
              </w:rPr>
            </w:pPr>
            <w:r w:rsidRPr="003266D1">
              <w:rPr>
                <w:lang w:val="en-US"/>
              </w:rPr>
              <w:t>Strategic implication</w:t>
            </w:r>
          </w:p>
        </w:tc>
        <w:tc>
          <w:tcPr>
            <w:tcW w:w="0" w:type="auto"/>
            <w:hideMark/>
          </w:tcPr>
          <w:p w:rsidRPr="003266D1" w:rsidR="00E85270" w:rsidP="00E85270" w:rsidRDefault="00E85270" w14:paraId="51B792A5" w14:textId="77777777">
            <w:pPr>
              <w:rPr>
                <w:lang w:val="en-US"/>
              </w:rPr>
            </w:pPr>
            <w:r w:rsidRPr="003266D1">
              <w:rPr>
                <w:lang w:val="en-US"/>
              </w:rPr>
              <w:t>Superior returns come from unique, hard-to-imitate capabilities</w:t>
            </w:r>
          </w:p>
        </w:tc>
        <w:tc>
          <w:tcPr>
            <w:tcW w:w="0" w:type="auto"/>
            <w:hideMark/>
          </w:tcPr>
          <w:p w:rsidRPr="003266D1" w:rsidR="00E85270" w:rsidP="00E85270" w:rsidRDefault="00E85270" w14:paraId="0A81A3A1" w14:textId="7E4803E8">
            <w:pPr>
              <w:rPr>
                <w:lang w:val="en-US"/>
              </w:rPr>
            </w:pPr>
            <w:r w:rsidRPr="003266D1">
              <w:rPr>
                <w:lang w:val="en-US"/>
              </w:rPr>
              <w:t>Volkswagen must strengthen software integration and governance to sustain advantage</w:t>
            </w:r>
            <w:r w:rsidRPr="003266D1" w:rsidR="00371EA5">
              <w:rPr>
                <w:lang w:val="en-US"/>
              </w:rPr>
              <w:t xml:space="preserve"> (Volkswagen Group, 2026).</w:t>
            </w:r>
          </w:p>
        </w:tc>
      </w:tr>
    </w:tbl>
    <w:p w:rsidRPr="003266D1" w:rsidR="00E85270" w:rsidP="00E85270" w:rsidRDefault="00E85270" w14:paraId="049CF65F" w14:textId="77777777">
      <w:pPr>
        <w:rPr>
          <w:lang w:val="en-US"/>
        </w:rPr>
      </w:pPr>
    </w:p>
    <w:p w:rsidRPr="003266D1" w:rsidR="004B06A6" w:rsidP="00E85270" w:rsidRDefault="004B06A6" w14:paraId="66F5E1AE" w14:textId="48041D7D">
      <w:pPr>
        <w:pStyle w:val="Heading2"/>
        <w:rPr>
          <w:color w:val="auto"/>
        </w:rPr>
      </w:pPr>
      <w:bookmarkStart w:name="_Toc224947393" w:id="20"/>
      <w:r w:rsidRPr="003266D1">
        <w:rPr>
          <w:color w:val="auto"/>
        </w:rPr>
        <w:t>Relationship between internal and external environments</w:t>
      </w:r>
      <w:bookmarkEnd w:id="20"/>
    </w:p>
    <w:p w:rsidRPr="003266D1" w:rsidR="00070535" w:rsidP="00070535" w:rsidRDefault="00070535" w14:paraId="6573D3A9" w14:textId="1CD21E25">
      <w:pPr>
        <w:rPr>
          <w:szCs w:val="24"/>
          <w:lang w:val="en-US"/>
        </w:rPr>
      </w:pPr>
      <w:r w:rsidRPr="003266D1">
        <w:rPr>
          <w:szCs w:val="24"/>
          <w:lang w:val="en-US"/>
        </w:rPr>
        <w:t>The operational capabilities and size strengths of Volkswagen are a direct response to the external forces of low cost, compliance and increased competition</w:t>
      </w:r>
      <w:r w:rsidRPr="003266D1" w:rsidR="00371EA5">
        <w:rPr>
          <w:szCs w:val="24"/>
          <w:lang w:val="en-US"/>
        </w:rPr>
        <w:t xml:space="preserve"> </w:t>
      </w:r>
      <w:r w:rsidRPr="003266D1" w:rsidR="00371EA5">
        <w:rPr>
          <w:lang w:val="en-US"/>
        </w:rPr>
        <w:t>(Volkswagen Group, 2026)</w:t>
      </w:r>
      <w:r w:rsidRPr="003266D1">
        <w:rPr>
          <w:szCs w:val="24"/>
          <w:lang w:val="en-US"/>
        </w:rPr>
        <w:t>. However, the same external factors disclose internal weaknesses: the complexity of organisations slows down their responsiveness, and the discrepancies in software capabilities are found when customers use different brands and different ecosystems to call on digital experiences (IEA, 2025; Ainvest, 2025). Thus, internal-external fit is not just a question of strategic positioning, but also the implementation architecture, in line with the opinion that strategic advantage is based on both the strategy selection and implementation capability (David et al., 2017).</w:t>
      </w:r>
    </w:p>
    <w:p w:rsidRPr="003266D1" w:rsidR="001F36F0" w:rsidP="004B06A6" w:rsidRDefault="001F36F0" w14:paraId="581A61F8" w14:textId="17EF12DE">
      <w:pPr>
        <w:rPr>
          <w:lang w:val="en-US"/>
        </w:rPr>
      </w:pPr>
      <w:r w:rsidRPr="003266D1">
        <w:rPr>
          <w:noProof/>
          <w:lang w:val="en-US" w:eastAsia="en-US"/>
        </w:rPr>
        <w:drawing>
          <wp:inline distT="0" distB="0" distL="0" distR="0" wp14:anchorId="4E17F3A9" wp14:editId="096BD7AC">
            <wp:extent cx="5594571" cy="3844925"/>
            <wp:effectExtent l="19050" t="19050" r="25400" b="22225"/>
            <wp:docPr id="2144807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996"/>
                    <a:stretch>
                      <a:fillRect/>
                    </a:stretch>
                  </pic:blipFill>
                  <pic:spPr bwMode="auto">
                    <a:xfrm>
                      <a:off x="0" y="0"/>
                      <a:ext cx="5611787" cy="3856757"/>
                    </a:xfrm>
                    <a:prstGeom prst="rect">
                      <a:avLst/>
                    </a:prstGeom>
                    <a:noFill/>
                    <a:ln w="9525" cap="flat" cmpd="sng" algn="ctr">
                      <a:solidFill>
                        <a:srgbClr val="5B9BD5">
                          <a:lumMod val="20000"/>
                          <a:lumOff val="8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rsidRPr="003266D1" w:rsidR="004B06A6" w:rsidP="00E74A94" w:rsidRDefault="00E74A94" w14:paraId="01DB293A" w14:textId="2A2EB71B">
      <w:pPr>
        <w:pStyle w:val="Caption"/>
        <w:rPr>
          <w:lang w:val="en-US"/>
        </w:rPr>
      </w:pPr>
      <w:r w:rsidRPr="003266D1">
        <w:rPr>
          <w:b w:val="0"/>
          <w:bCs/>
          <w:lang w:val="en-US"/>
        </w:rPr>
        <w:t xml:space="preserve"> </w:t>
      </w:r>
      <w:bookmarkStart w:name="_Toc223389530" w:id="21"/>
      <w:r w:rsidRPr="003266D1">
        <w:t xml:space="preserve">Figure </w:t>
      </w:r>
      <w:r w:rsidRPr="003266D1">
        <w:fldChar w:fldCharType="begin"/>
      </w:r>
      <w:r w:rsidRPr="003266D1">
        <w:instrText xml:space="preserve"> SEQ Figure \* ARABIC </w:instrText>
      </w:r>
      <w:r w:rsidRPr="003266D1">
        <w:fldChar w:fldCharType="separate"/>
      </w:r>
      <w:r w:rsidRPr="003266D1" w:rsidR="00E85270">
        <w:t>2</w:t>
      </w:r>
      <w:r w:rsidRPr="003266D1">
        <w:fldChar w:fldCharType="end"/>
      </w:r>
      <w:r w:rsidRPr="003266D1">
        <w:t>. Internal–External Fit at Volkswagen (Self-Designed based on European Parliament and Council, 2025; Reuters, 2025; Paz and Ruiz Gálvez, 2021; Hayes, 2010)</w:t>
      </w:r>
      <w:bookmarkEnd w:id="21"/>
    </w:p>
    <w:p w:rsidRPr="003266D1" w:rsidR="00AC2331" w:rsidRDefault="00AC2331" w14:paraId="614FB8D0" w14:textId="77777777">
      <w:pPr>
        <w:spacing w:before="0" w:after="160" w:line="259" w:lineRule="auto"/>
        <w:jc w:val="left"/>
        <w:rPr>
          <w:lang w:val="en-US"/>
        </w:rPr>
      </w:pPr>
      <w:r w:rsidRPr="003266D1">
        <w:rPr>
          <w:lang w:val="en-US"/>
        </w:rPr>
        <w:br w:type="page"/>
      </w:r>
    </w:p>
    <w:p w:rsidRPr="003266D1" w:rsidR="004B06A6" w:rsidP="00E85270" w:rsidRDefault="004B06A6" w14:paraId="791CFCC2" w14:textId="455ECF9E">
      <w:pPr>
        <w:pStyle w:val="Heading1"/>
        <w:rPr>
          <w:color w:val="auto"/>
        </w:rPr>
      </w:pPr>
      <w:bookmarkStart w:name="_Toc224947394" w:id="22"/>
      <w:r w:rsidRPr="003266D1">
        <w:rPr>
          <w:color w:val="auto"/>
        </w:rPr>
        <w:t>CSR and Sustainability Objectives</w:t>
      </w:r>
      <w:bookmarkEnd w:id="22"/>
    </w:p>
    <w:p w:rsidRPr="003266D1" w:rsidR="00CF6755" w:rsidP="00E85270" w:rsidRDefault="00CF6755" w14:paraId="224A8EE2" w14:textId="7E9DD484">
      <w:pPr>
        <w:pStyle w:val="Heading2"/>
        <w:rPr>
          <w:color w:val="auto"/>
        </w:rPr>
      </w:pPr>
      <w:bookmarkStart w:name="_Toc224947395" w:id="23"/>
      <w:r w:rsidRPr="003266D1">
        <w:rPr>
          <w:color w:val="auto"/>
        </w:rPr>
        <w:t>Conceptual framing: CSR, sustainability and strategic CSR</w:t>
      </w:r>
      <w:bookmarkEnd w:id="23"/>
    </w:p>
    <w:p w:rsidRPr="003266D1" w:rsidR="00E85270" w:rsidP="00E85270" w:rsidRDefault="00AB5A15" w14:paraId="161DADBE" w14:textId="06BB0D2F">
      <w:pPr>
        <w:rPr>
          <w:szCs w:val="24"/>
          <w:lang w:val="en-US"/>
        </w:rPr>
      </w:pPr>
      <w:r w:rsidRPr="003266D1">
        <w:rPr>
          <w:szCs w:val="24"/>
          <w:lang w:val="en-US"/>
        </w:rPr>
        <w:t>CSR and sustainability can be used interchangeably, although there are differences between the two that cannot be described as absolute</w:t>
      </w:r>
      <w:r w:rsidRPr="003266D1" w:rsidR="00371EA5">
        <w:rPr>
          <w:szCs w:val="24"/>
          <w:lang w:val="en-US"/>
        </w:rPr>
        <w:t xml:space="preserve"> </w:t>
      </w:r>
      <w:r w:rsidRPr="003266D1" w:rsidR="00371EA5">
        <w:t>(Sheehy and Farneti, 2021)</w:t>
      </w:r>
      <w:r w:rsidRPr="003266D1">
        <w:rPr>
          <w:szCs w:val="24"/>
          <w:lang w:val="en-US"/>
        </w:rPr>
        <w:t xml:space="preserve">. CSR belongs to an organisation to its stakeholders and the society, and, in the case of sustainability, the focus is placed on environmental and social sustainability over the long term and corporate sustainability is bringing these responsibilities into the strategy and governance and performance systems (Sheehy and Farneti, 2021). In the case of Volkswagen, this difference is significant since CSR should not be regarded as a reputational add-on, it must be </w:t>
      </w:r>
      <w:proofErr w:type="spellStart"/>
      <w:r w:rsidRPr="003266D1">
        <w:rPr>
          <w:szCs w:val="24"/>
          <w:lang w:val="en-US"/>
        </w:rPr>
        <w:t>operationalised</w:t>
      </w:r>
      <w:proofErr w:type="spellEnd"/>
      <w:r w:rsidRPr="003266D1">
        <w:rPr>
          <w:szCs w:val="24"/>
          <w:lang w:val="en-US"/>
        </w:rPr>
        <w:t xml:space="preserve"> as a strategic management capability that helps avoid risk and sustain long term competitiveness</w:t>
      </w:r>
      <w:r w:rsidRPr="003266D1" w:rsidR="00371EA5">
        <w:rPr>
          <w:szCs w:val="24"/>
          <w:lang w:val="en-US"/>
        </w:rPr>
        <w:t xml:space="preserve"> </w:t>
      </w:r>
      <w:r w:rsidRPr="003266D1" w:rsidR="00371EA5">
        <w:rPr>
          <w:lang w:val="en-US"/>
        </w:rPr>
        <w:t>(Volkswagen Group, 2026)</w:t>
      </w:r>
      <w:r w:rsidRPr="003266D1">
        <w:rPr>
          <w:szCs w:val="24"/>
          <w:lang w:val="en-US"/>
        </w:rPr>
        <w:t>. Strategic CSR hence demands systematic policies, management norms and quantifiable results that are directly connected with the generation of value, risk containment and validity in the stakeholder markets (Fonseca</w:t>
      </w:r>
      <w:r w:rsidRPr="003266D1" w:rsidR="00584071">
        <w:rPr>
          <w:szCs w:val="24"/>
          <w:lang w:val="en-US"/>
        </w:rPr>
        <w:t xml:space="preserve"> et al.</w:t>
      </w:r>
      <w:r w:rsidRPr="003266D1">
        <w:rPr>
          <w:szCs w:val="24"/>
          <w:lang w:val="en-US"/>
        </w:rPr>
        <w:t>, 2023).</w:t>
      </w:r>
    </w:p>
    <w:p w:rsidRPr="003266D1" w:rsidR="00371EA5" w:rsidP="00371EA5" w:rsidRDefault="00371EA5" w14:paraId="49FEF19C" w14:textId="0326F2A0">
      <w:pPr>
        <w:pStyle w:val="Caption"/>
        <w:rPr>
          <w:lang w:val="en-US"/>
        </w:rPr>
      </w:pPr>
      <w:r w:rsidRPr="003266D1">
        <w:t xml:space="preserve">Table </w:t>
      </w:r>
      <w:r w:rsidRPr="003266D1">
        <w:fldChar w:fldCharType="begin"/>
      </w:r>
      <w:r w:rsidRPr="003266D1">
        <w:instrText xml:space="preserve"> SEQ Table \* ARABIC </w:instrText>
      </w:r>
      <w:r w:rsidRPr="003266D1">
        <w:fldChar w:fldCharType="separate"/>
      </w:r>
      <w:r w:rsidRPr="003266D1">
        <w:t>7</w:t>
      </w:r>
      <w:r w:rsidRPr="003266D1">
        <w:fldChar w:fldCharType="end"/>
      </w:r>
      <w:r w:rsidRPr="003266D1">
        <w:t>. Comparison of CSR, sustainability, and strategic CSR in Volkswagen’s context (Sheehy and Farneti (2021), Fonseca et al. (2023), Ismail (2021), and Volkswagen AG (2024)</w:t>
      </w:r>
    </w:p>
    <w:tbl>
      <w:tblPr>
        <w:tblStyle w:val="TableGrid"/>
        <w:tblW w:w="0" w:type="auto"/>
        <w:tblLook w:val="04A0" w:firstRow="1" w:lastRow="0" w:firstColumn="1" w:lastColumn="0" w:noHBand="0" w:noVBand="1"/>
      </w:tblPr>
      <w:tblGrid>
        <w:gridCol w:w="1432"/>
        <w:gridCol w:w="2197"/>
        <w:gridCol w:w="2026"/>
        <w:gridCol w:w="3341"/>
      </w:tblGrid>
      <w:tr w:rsidRPr="003266D1" w:rsidR="003266D1" w:rsidTr="00371EA5" w14:paraId="12B41FE3"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3266D1" w:rsidR="00E85270" w:rsidP="00E85270" w:rsidRDefault="00E85270" w14:paraId="0B9EFE62" w14:textId="77777777">
            <w:pPr>
              <w:rPr>
                <w:bCs/>
                <w:sz w:val="22"/>
                <w:lang w:val="en-US"/>
              </w:rPr>
            </w:pPr>
            <w:r w:rsidRPr="003266D1">
              <w:rPr>
                <w:bCs/>
                <w:sz w:val="22"/>
                <w:lang w:val="en-US"/>
              </w:rPr>
              <w:t>Concept</w:t>
            </w:r>
          </w:p>
        </w:tc>
        <w:tc>
          <w:tcPr>
            <w:tcW w:w="0" w:type="auto"/>
            <w:hideMark/>
          </w:tcPr>
          <w:p w:rsidRPr="003266D1" w:rsidR="00E85270" w:rsidP="00E85270" w:rsidRDefault="00E85270" w14:paraId="6D91BD75" w14:textId="77777777">
            <w:pPr>
              <w:rPr>
                <w:bCs/>
                <w:sz w:val="22"/>
                <w:lang w:val="en-US"/>
              </w:rPr>
            </w:pPr>
            <w:r w:rsidRPr="003266D1">
              <w:rPr>
                <w:bCs/>
                <w:sz w:val="22"/>
                <w:lang w:val="en-US"/>
              </w:rPr>
              <w:t>Main focus</w:t>
            </w:r>
          </w:p>
        </w:tc>
        <w:tc>
          <w:tcPr>
            <w:tcW w:w="2026" w:type="dxa"/>
            <w:hideMark/>
          </w:tcPr>
          <w:p w:rsidRPr="003266D1" w:rsidR="00E85270" w:rsidP="00E85270" w:rsidRDefault="00E85270" w14:paraId="0B1E12C4" w14:textId="77777777">
            <w:pPr>
              <w:rPr>
                <w:bCs/>
                <w:sz w:val="22"/>
                <w:lang w:val="en-US"/>
              </w:rPr>
            </w:pPr>
            <w:r w:rsidRPr="003266D1">
              <w:rPr>
                <w:bCs/>
                <w:sz w:val="22"/>
                <w:lang w:val="en-US"/>
              </w:rPr>
              <w:t>Strategic meaning</w:t>
            </w:r>
          </w:p>
        </w:tc>
        <w:tc>
          <w:tcPr>
            <w:tcW w:w="3341" w:type="dxa"/>
            <w:hideMark/>
          </w:tcPr>
          <w:p w:rsidRPr="003266D1" w:rsidR="00E85270" w:rsidP="00E85270" w:rsidRDefault="00E85270" w14:paraId="1BC293FD" w14:textId="77777777">
            <w:pPr>
              <w:rPr>
                <w:bCs/>
                <w:sz w:val="22"/>
                <w:lang w:val="en-US"/>
              </w:rPr>
            </w:pPr>
            <w:r w:rsidRPr="003266D1">
              <w:rPr>
                <w:bCs/>
                <w:sz w:val="22"/>
                <w:lang w:val="en-US"/>
              </w:rPr>
              <w:t>Relevance to Volkswagen</w:t>
            </w:r>
          </w:p>
        </w:tc>
      </w:tr>
      <w:tr w:rsidRPr="003266D1" w:rsidR="003266D1" w:rsidTr="00371EA5" w14:paraId="4A20A352" w14:textId="77777777">
        <w:tc>
          <w:tcPr>
            <w:tcW w:w="0" w:type="auto"/>
            <w:hideMark/>
          </w:tcPr>
          <w:p w:rsidRPr="003266D1" w:rsidR="00E85270" w:rsidP="00E85270" w:rsidRDefault="00E85270" w14:paraId="23380C2D" w14:textId="77777777">
            <w:pPr>
              <w:rPr>
                <w:sz w:val="22"/>
                <w:lang w:val="en-US"/>
              </w:rPr>
            </w:pPr>
            <w:r w:rsidRPr="003266D1">
              <w:rPr>
                <w:sz w:val="22"/>
                <w:lang w:val="en-US"/>
              </w:rPr>
              <w:t>CSR</w:t>
            </w:r>
          </w:p>
        </w:tc>
        <w:tc>
          <w:tcPr>
            <w:tcW w:w="0" w:type="auto"/>
            <w:hideMark/>
          </w:tcPr>
          <w:p w:rsidRPr="003266D1" w:rsidR="00E85270" w:rsidP="00E85270" w:rsidRDefault="00E85270" w14:paraId="3837E37A" w14:textId="45267DD6">
            <w:pPr>
              <w:rPr>
                <w:sz w:val="22"/>
                <w:lang w:val="en-US"/>
              </w:rPr>
            </w:pPr>
            <w:r w:rsidRPr="003266D1">
              <w:rPr>
                <w:sz w:val="22"/>
                <w:lang w:val="en-US"/>
              </w:rPr>
              <w:t>Responsibility to stakeholders and society</w:t>
            </w:r>
            <w:r w:rsidRPr="003266D1" w:rsidR="00371EA5">
              <w:rPr>
                <w:sz w:val="22"/>
                <w:lang w:val="en-US"/>
              </w:rPr>
              <w:t xml:space="preserve"> (Sheehy and Farneti, 2021).</w:t>
            </w:r>
          </w:p>
        </w:tc>
        <w:tc>
          <w:tcPr>
            <w:tcW w:w="2026" w:type="dxa"/>
            <w:hideMark/>
          </w:tcPr>
          <w:p w:rsidRPr="003266D1" w:rsidR="00E85270" w:rsidP="00E85270" w:rsidRDefault="00E85270" w14:paraId="531EA3F3" w14:textId="77777777">
            <w:pPr>
              <w:rPr>
                <w:sz w:val="22"/>
                <w:lang w:val="en-US"/>
              </w:rPr>
            </w:pPr>
            <w:r w:rsidRPr="003266D1">
              <w:rPr>
                <w:sz w:val="22"/>
                <w:lang w:val="en-US"/>
              </w:rPr>
              <w:t>Ethical conduct, accountability, and legitimacy</w:t>
            </w:r>
          </w:p>
        </w:tc>
        <w:tc>
          <w:tcPr>
            <w:tcW w:w="3341" w:type="dxa"/>
            <w:hideMark/>
          </w:tcPr>
          <w:p w:rsidRPr="003266D1" w:rsidR="00E85270" w:rsidP="00E85270" w:rsidRDefault="00E85270" w14:paraId="598478F1" w14:textId="77777777">
            <w:pPr>
              <w:rPr>
                <w:sz w:val="22"/>
                <w:lang w:val="en-US"/>
              </w:rPr>
            </w:pPr>
            <w:r w:rsidRPr="003266D1">
              <w:rPr>
                <w:sz w:val="22"/>
                <w:lang w:val="en-US"/>
              </w:rPr>
              <w:t>Important because Volkswagen must rebuild stakeholder trust after the emissions scandal (Poier, 2020)</w:t>
            </w:r>
          </w:p>
        </w:tc>
      </w:tr>
      <w:tr w:rsidRPr="003266D1" w:rsidR="003266D1" w:rsidTr="00371EA5" w14:paraId="7B07A9B1" w14:textId="77777777">
        <w:tc>
          <w:tcPr>
            <w:tcW w:w="0" w:type="auto"/>
            <w:hideMark/>
          </w:tcPr>
          <w:p w:rsidRPr="003266D1" w:rsidR="00E85270" w:rsidP="00E85270" w:rsidRDefault="00E85270" w14:paraId="61265E99" w14:textId="77777777">
            <w:pPr>
              <w:rPr>
                <w:sz w:val="22"/>
                <w:lang w:val="en-US"/>
              </w:rPr>
            </w:pPr>
            <w:r w:rsidRPr="003266D1">
              <w:rPr>
                <w:sz w:val="22"/>
                <w:lang w:val="en-US"/>
              </w:rPr>
              <w:t>Sustainability</w:t>
            </w:r>
          </w:p>
        </w:tc>
        <w:tc>
          <w:tcPr>
            <w:tcW w:w="0" w:type="auto"/>
            <w:hideMark/>
          </w:tcPr>
          <w:p w:rsidRPr="003266D1" w:rsidR="00E85270" w:rsidP="00E85270" w:rsidRDefault="00E85270" w14:paraId="1807FD4F" w14:textId="77777777">
            <w:pPr>
              <w:rPr>
                <w:sz w:val="22"/>
                <w:lang w:val="en-US"/>
              </w:rPr>
            </w:pPr>
            <w:r w:rsidRPr="003266D1">
              <w:rPr>
                <w:sz w:val="22"/>
                <w:lang w:val="en-US"/>
              </w:rPr>
              <w:t>Long-term environmental, social, and economic balance</w:t>
            </w:r>
          </w:p>
        </w:tc>
        <w:tc>
          <w:tcPr>
            <w:tcW w:w="2026" w:type="dxa"/>
            <w:hideMark/>
          </w:tcPr>
          <w:p w:rsidRPr="003266D1" w:rsidR="00E85270" w:rsidP="00E85270" w:rsidRDefault="00E85270" w14:paraId="058D7E7E" w14:textId="77777777">
            <w:pPr>
              <w:rPr>
                <w:sz w:val="22"/>
                <w:lang w:val="en-US"/>
              </w:rPr>
            </w:pPr>
            <w:r w:rsidRPr="003266D1">
              <w:rPr>
                <w:sz w:val="22"/>
                <w:lang w:val="en-US"/>
              </w:rPr>
              <w:t>Focuses on continuity, resilience, and responsible value creation</w:t>
            </w:r>
          </w:p>
        </w:tc>
        <w:tc>
          <w:tcPr>
            <w:tcW w:w="3341" w:type="dxa"/>
            <w:hideMark/>
          </w:tcPr>
          <w:p w:rsidRPr="003266D1" w:rsidR="00E85270" w:rsidP="00E85270" w:rsidRDefault="00E85270" w14:paraId="203A637E" w14:textId="10AB68A4">
            <w:pPr>
              <w:rPr>
                <w:sz w:val="22"/>
                <w:lang w:val="en-US"/>
              </w:rPr>
            </w:pPr>
            <w:r w:rsidRPr="003266D1">
              <w:rPr>
                <w:sz w:val="22"/>
                <w:lang w:val="en-US"/>
              </w:rPr>
              <w:t xml:space="preserve">Relevant due to </w:t>
            </w:r>
            <w:proofErr w:type="spellStart"/>
            <w:r w:rsidRPr="003266D1">
              <w:rPr>
                <w:sz w:val="22"/>
                <w:lang w:val="en-US"/>
              </w:rPr>
              <w:t>decarbonisation</w:t>
            </w:r>
            <w:proofErr w:type="spellEnd"/>
            <w:r w:rsidRPr="003266D1">
              <w:rPr>
                <w:sz w:val="22"/>
                <w:lang w:val="en-US"/>
              </w:rPr>
              <w:t>, ESG reporting, and supply-chain scrutiny (Volkswagen AG, 2024)</w:t>
            </w:r>
          </w:p>
        </w:tc>
      </w:tr>
      <w:tr w:rsidRPr="003266D1" w:rsidR="003266D1" w:rsidTr="00371EA5" w14:paraId="78673C93" w14:textId="77777777">
        <w:tc>
          <w:tcPr>
            <w:tcW w:w="0" w:type="auto"/>
            <w:hideMark/>
          </w:tcPr>
          <w:p w:rsidRPr="003266D1" w:rsidR="00E85270" w:rsidP="00E85270" w:rsidRDefault="00E85270" w14:paraId="7005F218" w14:textId="77777777">
            <w:pPr>
              <w:rPr>
                <w:sz w:val="22"/>
                <w:lang w:val="en-US"/>
              </w:rPr>
            </w:pPr>
            <w:r w:rsidRPr="003266D1">
              <w:rPr>
                <w:sz w:val="22"/>
                <w:lang w:val="en-US"/>
              </w:rPr>
              <w:t>Strategic CSR</w:t>
            </w:r>
          </w:p>
        </w:tc>
        <w:tc>
          <w:tcPr>
            <w:tcW w:w="0" w:type="auto"/>
            <w:hideMark/>
          </w:tcPr>
          <w:p w:rsidRPr="003266D1" w:rsidR="00E85270" w:rsidP="00E85270" w:rsidRDefault="00E85270" w14:paraId="2F257A3B" w14:textId="77777777">
            <w:pPr>
              <w:rPr>
                <w:sz w:val="22"/>
                <w:lang w:val="en-US"/>
              </w:rPr>
            </w:pPr>
            <w:r w:rsidRPr="003266D1">
              <w:rPr>
                <w:sz w:val="22"/>
                <w:lang w:val="en-US"/>
              </w:rPr>
              <w:t>Integration of CSR into strategy, governance, and performance systems</w:t>
            </w:r>
          </w:p>
        </w:tc>
        <w:tc>
          <w:tcPr>
            <w:tcW w:w="2026" w:type="dxa"/>
            <w:hideMark/>
          </w:tcPr>
          <w:p w:rsidRPr="003266D1" w:rsidR="00E85270" w:rsidP="00E85270" w:rsidRDefault="00E85270" w14:paraId="4BCEF87C" w14:textId="77777777">
            <w:pPr>
              <w:rPr>
                <w:sz w:val="22"/>
                <w:lang w:val="en-US"/>
              </w:rPr>
            </w:pPr>
            <w:r w:rsidRPr="003266D1">
              <w:rPr>
                <w:sz w:val="22"/>
                <w:lang w:val="en-US"/>
              </w:rPr>
              <w:t>Turns responsibility into measurable value creation and risk management</w:t>
            </w:r>
          </w:p>
        </w:tc>
        <w:tc>
          <w:tcPr>
            <w:tcW w:w="3341" w:type="dxa"/>
            <w:hideMark/>
          </w:tcPr>
          <w:p w:rsidRPr="003266D1" w:rsidR="00E85270" w:rsidP="00E85270" w:rsidRDefault="00E85270" w14:paraId="5E1F78B9" w14:textId="77777777">
            <w:pPr>
              <w:rPr>
                <w:sz w:val="22"/>
                <w:lang w:val="en-US"/>
              </w:rPr>
            </w:pPr>
            <w:r w:rsidRPr="003266D1">
              <w:rPr>
                <w:sz w:val="22"/>
                <w:lang w:val="en-US"/>
              </w:rPr>
              <w:t>Helps Volkswagen align legitimacy rebuilding with business performance and compliance capability (Fonseca et al., 2023; Volkswagen AG, 2024)</w:t>
            </w:r>
          </w:p>
        </w:tc>
      </w:tr>
    </w:tbl>
    <w:p w:rsidRPr="003266D1" w:rsidR="00E85270" w:rsidP="00AB5A15" w:rsidRDefault="00E85270" w14:paraId="1EF1A1BB" w14:textId="77777777">
      <w:pPr>
        <w:rPr>
          <w:szCs w:val="24"/>
          <w:lang w:val="en-US"/>
        </w:rPr>
      </w:pPr>
    </w:p>
    <w:p w:rsidRPr="003266D1" w:rsidR="00CF6755" w:rsidP="00E85270" w:rsidRDefault="00CF6755" w14:paraId="51C47E77" w14:textId="39C5F8E4">
      <w:pPr>
        <w:pStyle w:val="Heading2"/>
        <w:rPr>
          <w:color w:val="auto"/>
        </w:rPr>
      </w:pPr>
      <w:bookmarkStart w:name="_Toc224947396" w:id="24"/>
      <w:r w:rsidRPr="003266D1">
        <w:rPr>
          <w:color w:val="auto"/>
        </w:rPr>
        <w:t>Volkswagen’s CSR strategy: legitimacy rebuilding and system integration</w:t>
      </w:r>
      <w:bookmarkEnd w:id="24"/>
    </w:p>
    <w:p w:rsidRPr="003266D1" w:rsidR="00FB0EC8" w:rsidP="00FB0EC8" w:rsidRDefault="00FB0EC8" w14:paraId="20DF3193" w14:textId="28712F8E">
      <w:pPr>
        <w:rPr>
          <w:szCs w:val="24"/>
          <w:lang w:val="en-US"/>
        </w:rPr>
      </w:pPr>
      <w:r w:rsidRPr="003266D1">
        <w:rPr>
          <w:szCs w:val="24"/>
          <w:lang w:val="en-US"/>
        </w:rPr>
        <w:t>The CSR agenda of Volkswagen can also be closely connected with its post-emissions scandal</w:t>
      </w:r>
      <w:r w:rsidRPr="003266D1" w:rsidR="00371EA5">
        <w:rPr>
          <w:szCs w:val="24"/>
          <w:lang w:val="en-US"/>
        </w:rPr>
        <w:t xml:space="preserve"> (</w:t>
      </w:r>
      <w:r w:rsidRPr="003266D1" w:rsidR="00371EA5">
        <w:t>Aslaksen et al., 2021)</w:t>
      </w:r>
      <w:r w:rsidRPr="003266D1">
        <w:rPr>
          <w:szCs w:val="24"/>
          <w:lang w:val="en-US"/>
        </w:rPr>
        <w:t xml:space="preserve">. The governance exposure of the emissions scandal increased the questioning of regulators, investors and consumers, and the strategic significance of the compliance, transparency and ethical leadership (Poier, 2020). The Annual Report 2024 of Volkswagen can be viewed as an indication of the introduction of sustainability objectives as the part of the corporate reporting and governance, where the institutional commitment to the implementation of ESG commitments as the component of the planning and reporting practises can be seen (Volkswagen AG, 2024). </w:t>
      </w:r>
    </w:p>
    <w:p w:rsidRPr="003266D1" w:rsidR="00A975C0" w:rsidP="00CF6755" w:rsidRDefault="00A975C0" w14:paraId="62F054BD" w14:textId="7DED2AF0">
      <w:pPr>
        <w:rPr>
          <w:lang w:val="en-US"/>
        </w:rPr>
      </w:pPr>
      <w:r w:rsidRPr="003266D1">
        <w:rPr>
          <w:noProof/>
          <w:lang w:val="en-US" w:eastAsia="en-US"/>
        </w:rPr>
        <w:drawing>
          <wp:inline distT="0" distB="0" distL="0" distR="0" wp14:anchorId="13630346" wp14:editId="21EFB029">
            <wp:extent cx="5565913" cy="3710609"/>
            <wp:effectExtent l="19050" t="19050" r="15875" b="23495"/>
            <wp:docPr id="11302513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75502" cy="3717002"/>
                    </a:xfrm>
                    <a:prstGeom prst="rect">
                      <a:avLst/>
                    </a:prstGeom>
                    <a:noFill/>
                    <a:ln>
                      <a:solidFill>
                        <a:schemeClr val="accent5">
                          <a:lumMod val="20000"/>
                          <a:lumOff val="80000"/>
                        </a:schemeClr>
                      </a:solidFill>
                    </a:ln>
                  </pic:spPr>
                </pic:pic>
              </a:graphicData>
            </a:graphic>
          </wp:inline>
        </w:drawing>
      </w:r>
    </w:p>
    <w:p w:rsidRPr="003266D1" w:rsidR="00A7011A" w:rsidP="00A7011A" w:rsidRDefault="00A7011A" w14:paraId="29D2D907" w14:textId="6506F897">
      <w:pPr>
        <w:pStyle w:val="Caption"/>
        <w:rPr>
          <w:lang w:val="en-US"/>
        </w:rPr>
      </w:pPr>
      <w:r w:rsidRPr="003266D1">
        <w:rPr>
          <w:b w:val="0"/>
          <w:bCs/>
        </w:rPr>
        <w:t xml:space="preserve"> </w:t>
      </w:r>
      <w:bookmarkStart w:name="_Toc223389531" w:id="25"/>
      <w:r w:rsidRPr="003266D1">
        <w:t xml:space="preserve">Figure </w:t>
      </w:r>
      <w:r w:rsidRPr="003266D1">
        <w:fldChar w:fldCharType="begin"/>
      </w:r>
      <w:r w:rsidRPr="003266D1">
        <w:instrText xml:space="preserve"> SEQ Figure \* ARABIC </w:instrText>
      </w:r>
      <w:r w:rsidRPr="003266D1">
        <w:fldChar w:fldCharType="separate"/>
      </w:r>
      <w:r w:rsidRPr="003266D1" w:rsidR="00B650D7">
        <w:t>3</w:t>
      </w:r>
      <w:r w:rsidRPr="003266D1">
        <w:fldChar w:fldCharType="end"/>
      </w:r>
      <w:r w:rsidRPr="003266D1">
        <w:t>. Post-emissions-scandal legitimacy rebuilding as strategic driver (Self-designed based on Sheehy and Farneti, 2021; Poier, 2020; Ismail, 2021; Volkswagen AG, 2024)</w:t>
      </w:r>
      <w:bookmarkEnd w:id="25"/>
    </w:p>
    <w:p w:rsidRPr="003266D1" w:rsidR="00CF6755" w:rsidP="00E85270" w:rsidRDefault="00CF6755" w14:paraId="4C28266E" w14:textId="1BA49ACF">
      <w:pPr>
        <w:pStyle w:val="Heading2"/>
        <w:rPr>
          <w:color w:val="auto"/>
        </w:rPr>
      </w:pPr>
      <w:bookmarkStart w:name="_Toc224947397" w:id="26"/>
      <w:r w:rsidRPr="003266D1">
        <w:rPr>
          <w:color w:val="auto"/>
        </w:rPr>
        <w:t>Alignment with business objectives: value creation and risk management</w:t>
      </w:r>
      <w:bookmarkEnd w:id="26"/>
    </w:p>
    <w:p w:rsidRPr="003266D1" w:rsidR="00AC1F3A" w:rsidP="00AC1F3A" w:rsidRDefault="00AC1F3A" w14:paraId="1CE279D6" w14:textId="6DFA2803">
      <w:pPr>
        <w:rPr>
          <w:szCs w:val="24"/>
          <w:lang w:val="en-US"/>
        </w:rPr>
      </w:pPr>
      <w:r w:rsidRPr="003266D1">
        <w:rPr>
          <w:szCs w:val="24"/>
          <w:lang w:val="en-US"/>
        </w:rPr>
        <w:t xml:space="preserve">Volkswagen CSR strategy is congruent with business goals in the cases when it is applied to enhance regulatory compliance capacity, </w:t>
      </w:r>
      <w:proofErr w:type="spellStart"/>
      <w:r w:rsidRPr="003266D1">
        <w:rPr>
          <w:szCs w:val="24"/>
          <w:lang w:val="en-US"/>
        </w:rPr>
        <w:t>stabilise</w:t>
      </w:r>
      <w:proofErr w:type="spellEnd"/>
      <w:r w:rsidRPr="003266D1">
        <w:rPr>
          <w:szCs w:val="24"/>
          <w:lang w:val="en-US"/>
        </w:rPr>
        <w:t xml:space="preserve"> stakeholder trust and competitive advantage based on operational enhancement</w:t>
      </w:r>
      <w:r w:rsidRPr="003266D1" w:rsidR="00371EA5">
        <w:rPr>
          <w:szCs w:val="24"/>
          <w:lang w:val="en-US"/>
        </w:rPr>
        <w:t xml:space="preserve"> (</w:t>
      </w:r>
      <w:r w:rsidRPr="003266D1" w:rsidR="00371EA5">
        <w:t>Aslaksen et al., 2021)</w:t>
      </w:r>
      <w:r w:rsidRPr="003266D1">
        <w:rPr>
          <w:szCs w:val="24"/>
          <w:lang w:val="en-US"/>
        </w:rPr>
        <w:t>. As explained by Fonseca, Carvalho and Santos (2023), when strategic CSR is implemented in management systems and reported in measurable outcomes, it leads to better sustainability. In this respect, the alignment of Volkswagen should be assessed based on the presence of CSR commitments that become standards in the supply chain, operational initiatives, governance controls and transparent reporting (Volkswagen AG, 2024; Sheehy and Farneti, 2021).</w:t>
      </w:r>
    </w:p>
    <w:p w:rsidRPr="003266D1" w:rsidR="00CF6755" w:rsidP="004B06A6" w:rsidRDefault="00CF6755" w14:paraId="4E43CD66" w14:textId="77777777">
      <w:pPr>
        <w:rPr>
          <w:lang w:val="en-US"/>
        </w:rPr>
      </w:pPr>
    </w:p>
    <w:p w:rsidRPr="003266D1" w:rsidR="000D7E77" w:rsidRDefault="000D7E77" w14:paraId="6A21B576" w14:textId="77777777">
      <w:pPr>
        <w:spacing w:before="0" w:after="160" w:line="259" w:lineRule="auto"/>
        <w:jc w:val="left"/>
        <w:rPr>
          <w:rFonts w:eastAsiaTheme="majorEastAsia" w:cstheme="majorBidi"/>
          <w:b/>
          <w:sz w:val="32"/>
          <w:szCs w:val="32"/>
          <w:lang w:val="en-US"/>
        </w:rPr>
      </w:pPr>
      <w:r w:rsidRPr="003266D1">
        <w:rPr>
          <w:lang w:val="en-US"/>
        </w:rPr>
        <w:br w:type="page"/>
      </w:r>
    </w:p>
    <w:p w:rsidRPr="003266D1" w:rsidR="004B06A6" w:rsidP="00E85270" w:rsidRDefault="004B06A6" w14:paraId="4A59F7C6" w14:textId="6463F7AE">
      <w:pPr>
        <w:pStyle w:val="Heading1"/>
        <w:rPr>
          <w:color w:val="auto"/>
        </w:rPr>
      </w:pPr>
      <w:bookmarkStart w:name="_Toc224947398" w:id="27"/>
      <w:r w:rsidRPr="003266D1">
        <w:rPr>
          <w:color w:val="auto"/>
        </w:rPr>
        <w:t>Strategy Formulation</w:t>
      </w:r>
      <w:bookmarkEnd w:id="27"/>
    </w:p>
    <w:p w:rsidRPr="003266D1" w:rsidR="000D7E77" w:rsidP="00E85270" w:rsidRDefault="000D7E77" w14:paraId="43F8AAC9" w14:textId="6348369C">
      <w:pPr>
        <w:pStyle w:val="Heading2"/>
        <w:rPr>
          <w:color w:val="auto"/>
        </w:rPr>
      </w:pPr>
      <w:bookmarkStart w:name="_Toc224947399" w:id="28"/>
      <w:r w:rsidRPr="003266D1">
        <w:rPr>
          <w:color w:val="auto"/>
        </w:rPr>
        <w:t>Framing strategic choice under turbulence</w:t>
      </w:r>
      <w:bookmarkEnd w:id="28"/>
    </w:p>
    <w:p w:rsidRPr="003266D1" w:rsidR="00A2553B" w:rsidP="00A2553B" w:rsidRDefault="00A2553B" w14:paraId="7DA2A2C3" w14:textId="7A88F472">
      <w:pPr>
        <w:rPr>
          <w:szCs w:val="24"/>
          <w:lang w:val="en-US"/>
        </w:rPr>
      </w:pPr>
      <w:r w:rsidRPr="003266D1">
        <w:rPr>
          <w:szCs w:val="24"/>
          <w:lang w:val="en-US"/>
        </w:rPr>
        <w:t>Strategy formulation refers to the way Volkswagen will select and invest in a path of competing in the environment of environmental turbulence and internal limitations</w:t>
      </w:r>
      <w:r w:rsidRPr="003266D1" w:rsidR="00371EA5">
        <w:rPr>
          <w:szCs w:val="24"/>
          <w:lang w:val="en-US"/>
        </w:rPr>
        <w:t xml:space="preserve"> </w:t>
      </w:r>
      <w:r w:rsidRPr="003266D1" w:rsidR="00371EA5">
        <w:t>(Tawse and Tabesh, 2021)</w:t>
      </w:r>
      <w:r w:rsidRPr="003266D1">
        <w:rPr>
          <w:szCs w:val="24"/>
          <w:lang w:val="en-US"/>
        </w:rPr>
        <w:t xml:space="preserve">. Although deliberate planning </w:t>
      </w:r>
      <w:proofErr w:type="spellStart"/>
      <w:r w:rsidRPr="003266D1">
        <w:rPr>
          <w:szCs w:val="24"/>
          <w:lang w:val="en-US"/>
        </w:rPr>
        <w:t>emphasises</w:t>
      </w:r>
      <w:proofErr w:type="spellEnd"/>
      <w:r w:rsidRPr="003266D1">
        <w:rPr>
          <w:szCs w:val="24"/>
          <w:lang w:val="en-US"/>
        </w:rPr>
        <w:t xml:space="preserve"> on an orientation in choice that is driven by analysis, Volkswagen operates in an environment where strategic learning and adaptation is unavoidable because of the dynamic nature of EV diffusion, regulation and software-defined vehicles as compared to traditional automotive planning cycles (Mintzberg</w:t>
      </w:r>
      <w:r w:rsidRPr="003266D1" w:rsidR="00C86F9A">
        <w:rPr>
          <w:szCs w:val="24"/>
          <w:lang w:val="en-US"/>
        </w:rPr>
        <w:t xml:space="preserve"> et al.</w:t>
      </w:r>
      <w:r w:rsidRPr="003266D1">
        <w:rPr>
          <w:szCs w:val="24"/>
          <w:lang w:val="en-US"/>
        </w:rPr>
        <w:t>, 2008; IEA, 2025). The key implication is that the process of formulation, used by Volkswagen, should be balanced in terms of long horizon platform bets and shorter cycle experimentation in software and customer experience</w:t>
      </w:r>
      <w:r w:rsidRPr="003266D1" w:rsidR="00DA422C">
        <w:rPr>
          <w:szCs w:val="24"/>
          <w:lang w:val="en-US"/>
        </w:rPr>
        <w:t xml:space="preserve"> </w:t>
      </w:r>
      <w:r w:rsidRPr="003266D1">
        <w:rPr>
          <w:szCs w:val="24"/>
          <w:lang w:val="en-US"/>
        </w:rPr>
        <w:t>(Volkswagen AG, 2024).</w:t>
      </w:r>
    </w:p>
    <w:p w:rsidRPr="003266D1" w:rsidR="000D7E77" w:rsidP="00E85270" w:rsidRDefault="000D7E77" w14:paraId="25A3ECB9" w14:textId="606AC7DF">
      <w:pPr>
        <w:pStyle w:val="Heading2"/>
        <w:rPr>
          <w:color w:val="auto"/>
        </w:rPr>
      </w:pPr>
      <w:bookmarkStart w:name="_Toc224947400" w:id="29"/>
      <w:r w:rsidRPr="003266D1">
        <w:rPr>
          <w:color w:val="auto"/>
        </w:rPr>
        <w:t>Business-level and corporate-level strategic choices and recommended direction</w:t>
      </w:r>
      <w:bookmarkEnd w:id="29"/>
    </w:p>
    <w:p w:rsidRPr="003266D1" w:rsidR="00B938E9" w:rsidP="00B938E9" w:rsidRDefault="00B938E9" w14:paraId="0B1CE7BB" w14:textId="4AF8F5EF">
      <w:pPr>
        <w:rPr>
          <w:szCs w:val="24"/>
          <w:lang w:val="en-US"/>
        </w:rPr>
      </w:pPr>
      <w:r w:rsidRPr="003266D1">
        <w:rPr>
          <w:szCs w:val="24"/>
          <w:lang w:val="en-US"/>
        </w:rPr>
        <w:t xml:space="preserve">Structurally, the mass market brands by Volkswagen at the business level experience the issue of structural affordability in Europe where price pressure is growing and transition cost and compliance pressures are squeezing the margins (McKinsey </w:t>
      </w:r>
      <w:r w:rsidRPr="003266D1" w:rsidR="008C044D">
        <w:rPr>
          <w:szCs w:val="24"/>
          <w:lang w:val="en-US"/>
        </w:rPr>
        <w:t>and</w:t>
      </w:r>
      <w:r w:rsidRPr="003266D1">
        <w:rPr>
          <w:szCs w:val="24"/>
          <w:lang w:val="en-US"/>
        </w:rPr>
        <w:t xml:space="preserve"> Company, 2025). Cost leadership is essential and perilous in the event that it is accomplished in a simplistic way by reducing expenses that lead to the loss of quality or perceived value and research has indicated that there are various performance and risk implications to cost leadership and differentiation strategies and incoherent mixing can harm performance (Dadashi and Amiri Lolaki, 2019). </w:t>
      </w:r>
    </w:p>
    <w:p w:rsidRPr="003266D1" w:rsidR="00371EA5" w:rsidP="00371EA5" w:rsidRDefault="00371EA5" w14:paraId="6E64925B" w14:textId="04A6A941">
      <w:pPr>
        <w:pStyle w:val="Caption"/>
        <w:rPr>
          <w:lang w:val="en-US"/>
        </w:rPr>
      </w:pPr>
      <w:r w:rsidRPr="003266D1">
        <w:rPr>
          <w:b w:val="0"/>
          <w:bCs/>
          <w:lang w:val="en-US"/>
        </w:rPr>
        <w:t xml:space="preserve"> </w:t>
      </w:r>
      <w:r w:rsidRPr="003266D1">
        <w:t xml:space="preserve">Table </w:t>
      </w:r>
      <w:r w:rsidRPr="003266D1">
        <w:fldChar w:fldCharType="begin"/>
      </w:r>
      <w:r w:rsidRPr="003266D1">
        <w:instrText xml:space="preserve"> SEQ Table \* ARABIC </w:instrText>
      </w:r>
      <w:r w:rsidRPr="003266D1">
        <w:fldChar w:fldCharType="separate"/>
      </w:r>
      <w:r w:rsidRPr="003266D1">
        <w:t>8</w:t>
      </w:r>
      <w:r w:rsidRPr="003266D1">
        <w:fldChar w:fldCharType="end"/>
      </w:r>
      <w:r w:rsidRPr="003266D1">
        <w:t>. Comparison of business-level and corporate-level strategy in Volkswagen (Dadashi and Amiri Lolaki (2019), Bai (2021), Reuters (2025), McKinsey and Company (2025), and Volkswagen AG (2024)</w:t>
      </w:r>
    </w:p>
    <w:tbl>
      <w:tblPr>
        <w:tblStyle w:val="TableGrid"/>
        <w:tblW w:w="0" w:type="auto"/>
        <w:tblLook w:val="04A0" w:firstRow="1" w:lastRow="0" w:firstColumn="1" w:lastColumn="0" w:noHBand="0" w:noVBand="1"/>
      </w:tblPr>
      <w:tblGrid>
        <w:gridCol w:w="1319"/>
        <w:gridCol w:w="1927"/>
        <w:gridCol w:w="2319"/>
        <w:gridCol w:w="3431"/>
      </w:tblGrid>
      <w:tr w:rsidRPr="003266D1" w:rsidR="003266D1" w:rsidTr="00371EA5" w14:paraId="19BE4B2C"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3266D1" w:rsidR="00371EA5" w:rsidP="00371EA5" w:rsidRDefault="00371EA5" w14:paraId="234F9057" w14:textId="77777777">
            <w:pPr>
              <w:rPr>
                <w:bCs/>
                <w:sz w:val="22"/>
                <w:lang w:val="en-US"/>
              </w:rPr>
            </w:pPr>
            <w:r w:rsidRPr="003266D1">
              <w:rPr>
                <w:bCs/>
                <w:sz w:val="22"/>
                <w:lang w:val="en-US"/>
              </w:rPr>
              <w:t>Strategy level</w:t>
            </w:r>
          </w:p>
        </w:tc>
        <w:tc>
          <w:tcPr>
            <w:tcW w:w="0" w:type="auto"/>
            <w:hideMark/>
          </w:tcPr>
          <w:p w:rsidRPr="003266D1" w:rsidR="00371EA5" w:rsidP="00371EA5" w:rsidRDefault="00371EA5" w14:paraId="3E612702" w14:textId="77777777">
            <w:pPr>
              <w:rPr>
                <w:bCs/>
                <w:sz w:val="22"/>
                <w:lang w:val="en-US"/>
              </w:rPr>
            </w:pPr>
            <w:r w:rsidRPr="003266D1">
              <w:rPr>
                <w:bCs/>
                <w:sz w:val="22"/>
                <w:lang w:val="en-US"/>
              </w:rPr>
              <w:t>Main focus</w:t>
            </w:r>
          </w:p>
        </w:tc>
        <w:tc>
          <w:tcPr>
            <w:tcW w:w="2319" w:type="dxa"/>
            <w:hideMark/>
          </w:tcPr>
          <w:p w:rsidRPr="003266D1" w:rsidR="00371EA5" w:rsidP="00371EA5" w:rsidRDefault="00371EA5" w14:paraId="3022438E" w14:textId="77777777">
            <w:pPr>
              <w:rPr>
                <w:bCs/>
                <w:sz w:val="22"/>
                <w:lang w:val="en-US"/>
              </w:rPr>
            </w:pPr>
            <w:r w:rsidRPr="003266D1">
              <w:rPr>
                <w:bCs/>
                <w:sz w:val="22"/>
                <w:lang w:val="en-US"/>
              </w:rPr>
              <w:t>Key strategic issue for Volkswagen</w:t>
            </w:r>
          </w:p>
        </w:tc>
        <w:tc>
          <w:tcPr>
            <w:tcW w:w="3431" w:type="dxa"/>
            <w:hideMark/>
          </w:tcPr>
          <w:p w:rsidRPr="003266D1" w:rsidR="00371EA5" w:rsidP="00371EA5" w:rsidRDefault="00371EA5" w14:paraId="2D867188" w14:textId="77777777">
            <w:pPr>
              <w:rPr>
                <w:bCs/>
                <w:sz w:val="22"/>
                <w:lang w:val="en-US"/>
              </w:rPr>
            </w:pPr>
            <w:r w:rsidRPr="003266D1">
              <w:rPr>
                <w:bCs/>
                <w:sz w:val="22"/>
                <w:lang w:val="en-US"/>
              </w:rPr>
              <w:t>Recommended direction</w:t>
            </w:r>
          </w:p>
        </w:tc>
      </w:tr>
      <w:tr w:rsidRPr="003266D1" w:rsidR="003266D1" w:rsidTr="00371EA5" w14:paraId="10FC2CA1" w14:textId="77777777">
        <w:tc>
          <w:tcPr>
            <w:tcW w:w="0" w:type="auto"/>
            <w:hideMark/>
          </w:tcPr>
          <w:p w:rsidRPr="003266D1" w:rsidR="00371EA5" w:rsidP="00371EA5" w:rsidRDefault="00371EA5" w14:paraId="34568584" w14:textId="77777777">
            <w:pPr>
              <w:rPr>
                <w:sz w:val="22"/>
                <w:lang w:val="en-US"/>
              </w:rPr>
            </w:pPr>
            <w:r w:rsidRPr="003266D1">
              <w:rPr>
                <w:sz w:val="22"/>
                <w:lang w:val="en-US"/>
              </w:rPr>
              <w:t>Business-level strategy</w:t>
            </w:r>
          </w:p>
        </w:tc>
        <w:tc>
          <w:tcPr>
            <w:tcW w:w="0" w:type="auto"/>
            <w:hideMark/>
          </w:tcPr>
          <w:p w:rsidRPr="003266D1" w:rsidR="00371EA5" w:rsidP="00371EA5" w:rsidRDefault="00371EA5" w14:paraId="764CEB12" w14:textId="77777777">
            <w:pPr>
              <w:rPr>
                <w:sz w:val="22"/>
                <w:lang w:val="en-US"/>
              </w:rPr>
            </w:pPr>
            <w:r w:rsidRPr="003266D1">
              <w:rPr>
                <w:sz w:val="22"/>
                <w:lang w:val="en-US"/>
              </w:rPr>
              <w:t>How individual brands compete in specific markets</w:t>
            </w:r>
          </w:p>
        </w:tc>
        <w:tc>
          <w:tcPr>
            <w:tcW w:w="2319" w:type="dxa"/>
            <w:hideMark/>
          </w:tcPr>
          <w:p w:rsidRPr="003266D1" w:rsidR="00371EA5" w:rsidP="00371EA5" w:rsidRDefault="00371EA5" w14:paraId="7FE314BC" w14:textId="77777777">
            <w:pPr>
              <w:rPr>
                <w:sz w:val="22"/>
                <w:lang w:val="en-US"/>
              </w:rPr>
            </w:pPr>
            <w:r w:rsidRPr="003266D1">
              <w:rPr>
                <w:sz w:val="22"/>
                <w:lang w:val="en-US"/>
              </w:rPr>
              <w:t>Mass-market brands face affordability pressure, EV rivalry, and digital-experience expectations</w:t>
            </w:r>
          </w:p>
        </w:tc>
        <w:tc>
          <w:tcPr>
            <w:tcW w:w="3431" w:type="dxa"/>
            <w:hideMark/>
          </w:tcPr>
          <w:p w:rsidRPr="003266D1" w:rsidR="00371EA5" w:rsidP="00371EA5" w:rsidRDefault="00371EA5" w14:paraId="459F7299" w14:textId="77777777">
            <w:pPr>
              <w:rPr>
                <w:sz w:val="22"/>
                <w:lang w:val="en-US"/>
              </w:rPr>
            </w:pPr>
            <w:r w:rsidRPr="003266D1">
              <w:rPr>
                <w:sz w:val="22"/>
                <w:lang w:val="en-US"/>
              </w:rPr>
              <w:t>Combine cost efficiency with selective differentiation in EV features, quality, and user experience (Dadashi and Amiri Lolaki, 2019; McKinsey and Company, 2025)</w:t>
            </w:r>
          </w:p>
        </w:tc>
      </w:tr>
      <w:tr w:rsidRPr="003266D1" w:rsidR="003266D1" w:rsidTr="00371EA5" w14:paraId="34F84BFA" w14:textId="77777777">
        <w:tc>
          <w:tcPr>
            <w:tcW w:w="0" w:type="auto"/>
            <w:hideMark/>
          </w:tcPr>
          <w:p w:rsidRPr="003266D1" w:rsidR="00371EA5" w:rsidP="00371EA5" w:rsidRDefault="00371EA5" w14:paraId="3548D62F" w14:textId="77777777">
            <w:pPr>
              <w:rPr>
                <w:sz w:val="22"/>
                <w:lang w:val="en-US"/>
              </w:rPr>
            </w:pPr>
            <w:r w:rsidRPr="003266D1">
              <w:rPr>
                <w:sz w:val="22"/>
                <w:lang w:val="en-US"/>
              </w:rPr>
              <w:t>Corporate-level strategy</w:t>
            </w:r>
          </w:p>
        </w:tc>
        <w:tc>
          <w:tcPr>
            <w:tcW w:w="0" w:type="auto"/>
            <w:hideMark/>
          </w:tcPr>
          <w:p w:rsidRPr="003266D1" w:rsidR="00371EA5" w:rsidP="00371EA5" w:rsidRDefault="00371EA5" w14:paraId="464D9DAB" w14:textId="77777777">
            <w:pPr>
              <w:rPr>
                <w:sz w:val="22"/>
                <w:lang w:val="en-US"/>
              </w:rPr>
            </w:pPr>
            <w:r w:rsidRPr="003266D1">
              <w:rPr>
                <w:sz w:val="22"/>
                <w:lang w:val="en-US"/>
              </w:rPr>
              <w:t>How the group allocates resources across brands, markets, and capabilities</w:t>
            </w:r>
          </w:p>
        </w:tc>
        <w:tc>
          <w:tcPr>
            <w:tcW w:w="2319" w:type="dxa"/>
            <w:hideMark/>
          </w:tcPr>
          <w:p w:rsidRPr="003266D1" w:rsidR="00371EA5" w:rsidP="00371EA5" w:rsidRDefault="00371EA5" w14:paraId="2AA685BC" w14:textId="77777777">
            <w:pPr>
              <w:rPr>
                <w:sz w:val="22"/>
                <w:lang w:val="en-US"/>
              </w:rPr>
            </w:pPr>
            <w:r w:rsidRPr="003266D1">
              <w:rPr>
                <w:sz w:val="22"/>
                <w:lang w:val="en-US"/>
              </w:rPr>
              <w:t>Portfolio complexity, capital allocation, platform leverage, and China competitiveness</w:t>
            </w:r>
          </w:p>
        </w:tc>
        <w:tc>
          <w:tcPr>
            <w:tcW w:w="3431" w:type="dxa"/>
            <w:hideMark/>
          </w:tcPr>
          <w:p w:rsidRPr="003266D1" w:rsidR="00371EA5" w:rsidP="00371EA5" w:rsidRDefault="00371EA5" w14:paraId="51654441" w14:textId="77777777">
            <w:pPr>
              <w:rPr>
                <w:sz w:val="22"/>
                <w:lang w:val="en-US"/>
              </w:rPr>
            </w:pPr>
            <w:proofErr w:type="spellStart"/>
            <w:r w:rsidRPr="003266D1">
              <w:rPr>
                <w:sz w:val="22"/>
                <w:lang w:val="en-US"/>
              </w:rPr>
              <w:t>Prioritise</w:t>
            </w:r>
            <w:proofErr w:type="spellEnd"/>
            <w:r w:rsidRPr="003266D1">
              <w:rPr>
                <w:sz w:val="22"/>
                <w:lang w:val="en-US"/>
              </w:rPr>
              <w:t xml:space="preserve"> cross-brand platforms, software integration, disciplined investment, and selective </w:t>
            </w:r>
            <w:proofErr w:type="spellStart"/>
            <w:r w:rsidRPr="003266D1">
              <w:rPr>
                <w:sz w:val="22"/>
                <w:lang w:val="en-US"/>
              </w:rPr>
              <w:t>localisation</w:t>
            </w:r>
            <w:proofErr w:type="spellEnd"/>
            <w:r w:rsidRPr="003266D1">
              <w:rPr>
                <w:sz w:val="22"/>
                <w:lang w:val="en-US"/>
              </w:rPr>
              <w:t xml:space="preserve"> in China (Reuters, 2025; Bai, 2021; Volkswagen AG, 2024)</w:t>
            </w:r>
          </w:p>
        </w:tc>
      </w:tr>
    </w:tbl>
    <w:p w:rsidRPr="003266D1" w:rsidR="00371EA5" w:rsidP="00B938E9" w:rsidRDefault="00371EA5" w14:paraId="5FFDD087" w14:textId="77777777">
      <w:pPr>
        <w:rPr>
          <w:szCs w:val="24"/>
          <w:lang w:val="en-US"/>
        </w:rPr>
      </w:pPr>
    </w:p>
    <w:p w:rsidRPr="003266D1" w:rsidR="00371EA5" w:rsidP="00B938E9" w:rsidRDefault="00371EA5" w14:paraId="3E123EA5" w14:textId="0AC84539">
      <w:pPr>
        <w:rPr>
          <w:szCs w:val="24"/>
          <w:lang w:val="en-US"/>
        </w:rPr>
      </w:pPr>
      <w:r w:rsidRPr="003266D1">
        <w:rPr>
          <w:szCs w:val="24"/>
          <w:lang w:val="en-US"/>
        </w:rPr>
        <w:t xml:space="preserve">At corporate level, the diversified portfolio of Volkswagen makes it resilient, but needs a discipline of resource allocation: capital must be biassed towards platforms and integration capabilities that bring cross-brand leverage (Volkswagen AG, 2024). </w:t>
      </w:r>
    </w:p>
    <w:p w:rsidRPr="003266D1" w:rsidR="003D5FF5" w:rsidP="000D7E77" w:rsidRDefault="003D5FF5" w14:paraId="3BED7400" w14:textId="53B60724">
      <w:pPr>
        <w:rPr>
          <w:lang w:val="en-US"/>
        </w:rPr>
      </w:pPr>
      <w:r w:rsidRPr="003266D1">
        <w:rPr>
          <w:noProof/>
          <w:lang w:val="en-US" w:eastAsia="en-US"/>
        </w:rPr>
        <w:drawing>
          <wp:inline distT="0" distB="0" distL="0" distR="0" wp14:anchorId="3DF1407C" wp14:editId="5848B476">
            <wp:extent cx="5634327" cy="3422055"/>
            <wp:effectExtent l="19050" t="19050" r="24130" b="26035"/>
            <wp:docPr id="6060056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6231" r="8978" b="22752"/>
                    <a:stretch>
                      <a:fillRect/>
                    </a:stretch>
                  </pic:blipFill>
                  <pic:spPr bwMode="auto">
                    <a:xfrm>
                      <a:off x="0" y="0"/>
                      <a:ext cx="5657548" cy="3436158"/>
                    </a:xfrm>
                    <a:prstGeom prst="rect">
                      <a:avLst/>
                    </a:prstGeom>
                    <a:noFill/>
                    <a:ln w="9525" cap="flat" cmpd="sng" algn="ctr">
                      <a:solidFill>
                        <a:srgbClr val="5B9BD5">
                          <a:lumMod val="20000"/>
                          <a:lumOff val="8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rsidRPr="003266D1" w:rsidR="00A975C0" w:rsidP="00A975C0" w:rsidRDefault="00A975C0" w14:paraId="48E1717F" w14:textId="7F65E9FF">
      <w:pPr>
        <w:pStyle w:val="Caption"/>
        <w:rPr>
          <w:lang w:val="en-US"/>
        </w:rPr>
      </w:pPr>
      <w:bookmarkStart w:name="_Toc223389532" w:id="30"/>
      <w:r w:rsidRPr="003266D1">
        <w:t xml:space="preserve">Figure </w:t>
      </w:r>
      <w:r w:rsidRPr="003266D1">
        <w:fldChar w:fldCharType="begin"/>
      </w:r>
      <w:r w:rsidRPr="003266D1">
        <w:instrText xml:space="preserve"> SEQ Figure \* ARABIC </w:instrText>
      </w:r>
      <w:r w:rsidRPr="003266D1">
        <w:fldChar w:fldCharType="separate"/>
      </w:r>
      <w:r w:rsidRPr="003266D1" w:rsidR="00B650D7">
        <w:t>4</w:t>
      </w:r>
      <w:r w:rsidRPr="003266D1">
        <w:fldChar w:fldCharType="end"/>
      </w:r>
      <w:r w:rsidRPr="003266D1">
        <w:t>. Volkswagen Strategic Choice Logic: Business vs Corporate Level (Self-designed based on Dadashi and Amiri Lolaki, 2019; Reuters, 2025; Bai, 2021)</w:t>
      </w:r>
      <w:bookmarkEnd w:id="30"/>
    </w:p>
    <w:p w:rsidRPr="003266D1" w:rsidR="008D2F01" w:rsidP="008D2F01" w:rsidRDefault="008D2F01" w14:paraId="38817F54" w14:textId="1766AAEC">
      <w:pPr>
        <w:rPr>
          <w:szCs w:val="24"/>
          <w:lang w:val="en-US"/>
        </w:rPr>
      </w:pPr>
      <w:r w:rsidRPr="003266D1">
        <w:rPr>
          <w:szCs w:val="24"/>
          <w:lang w:val="en-US"/>
        </w:rPr>
        <w:t xml:space="preserve">In China, the locally responsiveness of strategy is necessary because the domestic EV competitors have become faster than the incumbents in terms of scale and customer value, therefore, the proposed corporate option is selective </w:t>
      </w:r>
      <w:proofErr w:type="spellStart"/>
      <w:r w:rsidRPr="003266D1">
        <w:rPr>
          <w:szCs w:val="24"/>
          <w:lang w:val="en-US"/>
        </w:rPr>
        <w:t>localisation</w:t>
      </w:r>
      <w:proofErr w:type="spellEnd"/>
      <w:r w:rsidRPr="003266D1">
        <w:rPr>
          <w:szCs w:val="24"/>
          <w:lang w:val="en-US"/>
        </w:rPr>
        <w:t xml:space="preserve"> in addition to core platform leverage and more stringent governance measures to prevent the risk of fragmentation (Reuters, 2025; Bai, 2021).</w:t>
      </w:r>
    </w:p>
    <w:p w:rsidRPr="003266D1" w:rsidR="003D5FF5" w:rsidRDefault="003D5FF5" w14:paraId="0E175AB4" w14:textId="77777777">
      <w:pPr>
        <w:spacing w:before="0" w:after="160" w:line="259" w:lineRule="auto"/>
        <w:jc w:val="left"/>
        <w:rPr>
          <w:b/>
          <w:bCs/>
          <w:lang w:val="en-US"/>
        </w:rPr>
      </w:pPr>
      <w:r w:rsidRPr="003266D1">
        <w:rPr>
          <w:b/>
          <w:bCs/>
          <w:lang w:val="en-US"/>
        </w:rPr>
        <w:br w:type="page"/>
      </w:r>
    </w:p>
    <w:p w:rsidRPr="003266D1" w:rsidR="000D7E77" w:rsidP="00E85270" w:rsidRDefault="000D7E77" w14:paraId="19C690EB" w14:textId="468597A4">
      <w:pPr>
        <w:pStyle w:val="Heading1"/>
        <w:rPr>
          <w:color w:val="auto"/>
        </w:rPr>
      </w:pPr>
      <w:bookmarkStart w:name="_Toc224947401" w:id="31"/>
      <w:r w:rsidRPr="003266D1">
        <w:rPr>
          <w:color w:val="auto"/>
        </w:rPr>
        <w:t>Strategy Implementation</w:t>
      </w:r>
      <w:bookmarkEnd w:id="31"/>
    </w:p>
    <w:p w:rsidRPr="003266D1" w:rsidR="000D7E77" w:rsidP="00E85270" w:rsidRDefault="000D7E77" w14:paraId="71B2597D" w14:textId="432AA994">
      <w:pPr>
        <w:pStyle w:val="Heading2"/>
        <w:rPr>
          <w:color w:val="auto"/>
        </w:rPr>
      </w:pPr>
      <w:bookmarkStart w:name="_Toc224947402" w:id="32"/>
      <w:r w:rsidRPr="003266D1">
        <w:rPr>
          <w:color w:val="auto"/>
        </w:rPr>
        <w:t>Implementation as change management and capability building</w:t>
      </w:r>
      <w:bookmarkEnd w:id="32"/>
    </w:p>
    <w:p w:rsidRPr="003266D1" w:rsidR="004E7B49" w:rsidP="004E7B49" w:rsidRDefault="004E7B49" w14:paraId="0019D826" w14:textId="462CCE8F">
      <w:pPr>
        <w:rPr>
          <w:szCs w:val="24"/>
          <w:lang w:val="en-US"/>
        </w:rPr>
      </w:pPr>
      <w:r w:rsidRPr="003266D1">
        <w:rPr>
          <w:szCs w:val="24"/>
          <w:lang w:val="en-US"/>
        </w:rPr>
        <w:t>Strategy implementation is transforming the intent into outcomes through structures, processes and behaviour</w:t>
      </w:r>
      <w:r w:rsidRPr="003266D1" w:rsidR="00371EA5">
        <w:rPr>
          <w:szCs w:val="24"/>
          <w:lang w:val="en-US"/>
        </w:rPr>
        <w:t xml:space="preserve"> </w:t>
      </w:r>
      <w:r w:rsidRPr="003266D1" w:rsidR="00371EA5">
        <w:t>(Tawse and Tabesh, 2021)</w:t>
      </w:r>
      <w:r w:rsidRPr="003266D1">
        <w:rPr>
          <w:szCs w:val="24"/>
          <w:lang w:val="en-US"/>
        </w:rPr>
        <w:t xml:space="preserve">. According to change management theory, change will not succeed when leaders do not consider resistance, align structure and culture, or a strong feedback system, which is likely to be the situation in Volkswagen due to its size and multi-brand business complexity (Hayes, 2010). The EV and software transition of Volkswagen is not only a technical </w:t>
      </w:r>
      <w:proofErr w:type="spellStart"/>
      <w:r w:rsidRPr="003266D1">
        <w:rPr>
          <w:szCs w:val="24"/>
          <w:lang w:val="en-US"/>
        </w:rPr>
        <w:t>programme</w:t>
      </w:r>
      <w:proofErr w:type="spellEnd"/>
      <w:r w:rsidRPr="003266D1">
        <w:rPr>
          <w:szCs w:val="24"/>
          <w:lang w:val="en-US"/>
        </w:rPr>
        <w:t xml:space="preserve">, but it is an </w:t>
      </w:r>
      <w:proofErr w:type="spellStart"/>
      <w:r w:rsidRPr="003266D1">
        <w:rPr>
          <w:szCs w:val="24"/>
          <w:lang w:val="en-US"/>
        </w:rPr>
        <w:t>organisational</w:t>
      </w:r>
      <w:proofErr w:type="spellEnd"/>
      <w:r w:rsidRPr="003266D1">
        <w:rPr>
          <w:szCs w:val="24"/>
          <w:lang w:val="en-US"/>
        </w:rPr>
        <w:t xml:space="preserve"> redesign task which comes with all the decision rights and cross-unit co-ordination and capability building it involves</w:t>
      </w:r>
      <w:r w:rsidRPr="003266D1" w:rsidR="00371EA5">
        <w:rPr>
          <w:szCs w:val="24"/>
          <w:lang w:val="en-US"/>
        </w:rPr>
        <w:t xml:space="preserve"> (Volkswagen Group, 2026)</w:t>
      </w:r>
      <w:r w:rsidRPr="003266D1">
        <w:rPr>
          <w:szCs w:val="24"/>
          <w:lang w:val="en-US"/>
        </w:rPr>
        <w:t xml:space="preserve">. </w:t>
      </w:r>
    </w:p>
    <w:p w:rsidRPr="003266D1" w:rsidR="00AB0232" w:rsidP="000D7E77" w:rsidRDefault="00AB0232" w14:paraId="264EFA84" w14:textId="1C5A2A6F">
      <w:pPr>
        <w:rPr>
          <w:lang w:val="en-US"/>
        </w:rPr>
      </w:pPr>
      <w:r w:rsidRPr="003266D1">
        <w:rPr>
          <w:noProof/>
          <w:lang w:val="en-US" w:eastAsia="en-US"/>
        </w:rPr>
        <w:drawing>
          <wp:inline distT="0" distB="0" distL="0" distR="0" wp14:anchorId="7D34829E" wp14:editId="08B19292">
            <wp:extent cx="5742423" cy="3267358"/>
            <wp:effectExtent l="19050" t="19050" r="10795" b="28575"/>
            <wp:docPr id="1258866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24413"/>
                    <a:stretch>
                      <a:fillRect/>
                    </a:stretch>
                  </pic:blipFill>
                  <pic:spPr bwMode="auto">
                    <a:xfrm>
                      <a:off x="0" y="0"/>
                      <a:ext cx="5762624" cy="3278852"/>
                    </a:xfrm>
                    <a:prstGeom prst="rect">
                      <a:avLst/>
                    </a:prstGeom>
                    <a:noFill/>
                    <a:ln>
                      <a:solidFill>
                        <a:schemeClr val="accent5">
                          <a:lumMod val="20000"/>
                          <a:lumOff val="80000"/>
                        </a:schemeClr>
                      </a:solidFill>
                    </a:ln>
                    <a:extLst>
                      <a:ext uri="{53640926-AAD7-44D8-BBD7-CCE9431645EC}">
                        <a14:shadowObscured xmlns:a14="http://schemas.microsoft.com/office/drawing/2010/main"/>
                      </a:ext>
                    </a:extLst>
                  </pic:spPr>
                </pic:pic>
              </a:graphicData>
            </a:graphic>
          </wp:inline>
        </w:drawing>
      </w:r>
    </w:p>
    <w:p w:rsidRPr="003266D1" w:rsidR="00AB0232" w:rsidP="00D24FD6" w:rsidRDefault="00D24FD6" w14:paraId="72D37357" w14:textId="3CAC48CC">
      <w:pPr>
        <w:pStyle w:val="Caption"/>
        <w:rPr>
          <w:lang w:val="en-US"/>
        </w:rPr>
      </w:pPr>
      <w:r w:rsidRPr="003266D1">
        <w:t xml:space="preserve"> </w:t>
      </w:r>
      <w:bookmarkStart w:name="_Toc223389533" w:id="33"/>
      <w:r w:rsidRPr="003266D1">
        <w:t xml:space="preserve">Figure </w:t>
      </w:r>
      <w:r w:rsidRPr="003266D1">
        <w:fldChar w:fldCharType="begin"/>
      </w:r>
      <w:r w:rsidRPr="003266D1">
        <w:instrText xml:space="preserve"> SEQ Figure \* ARABIC </w:instrText>
      </w:r>
      <w:r w:rsidRPr="003266D1">
        <w:fldChar w:fldCharType="separate"/>
      </w:r>
      <w:r w:rsidRPr="003266D1" w:rsidR="00B650D7">
        <w:t>5</w:t>
      </w:r>
      <w:r w:rsidRPr="003266D1">
        <w:fldChar w:fldCharType="end"/>
      </w:r>
      <w:r w:rsidRPr="003266D1">
        <w:t xml:space="preserve">. Volkswagen Implementation Architecture for EV </w:t>
      </w:r>
      <w:r w:rsidRPr="003266D1" w:rsidR="008C044D">
        <w:t>and</w:t>
      </w:r>
      <w:r w:rsidRPr="003266D1">
        <w:t xml:space="preserve"> Software Transformation (Self-designed based on Ainvest, 2025; Volkswagen Group, 2026)</w:t>
      </w:r>
      <w:bookmarkEnd w:id="33"/>
    </w:p>
    <w:p w:rsidRPr="003266D1" w:rsidR="000D7E77" w:rsidP="00E85270" w:rsidRDefault="000D7E77" w14:paraId="039D239D" w14:textId="38986B2E">
      <w:pPr>
        <w:pStyle w:val="Heading2"/>
        <w:rPr>
          <w:color w:val="auto"/>
        </w:rPr>
      </w:pPr>
      <w:bookmarkStart w:name="_Toc224947403" w:id="34"/>
      <w:r w:rsidRPr="003266D1">
        <w:rPr>
          <w:color w:val="auto"/>
        </w:rPr>
        <w:t>Implementation priorities, governance risks, and control mechanisms</w:t>
      </w:r>
      <w:bookmarkEnd w:id="34"/>
    </w:p>
    <w:p w:rsidRPr="003266D1" w:rsidR="00B84BC3" w:rsidP="00B84BC3" w:rsidRDefault="00B84BC3" w14:paraId="18D350B3" w14:textId="2743AC63">
      <w:pPr>
        <w:rPr>
          <w:szCs w:val="24"/>
          <w:lang w:val="en-US"/>
        </w:rPr>
      </w:pPr>
      <w:r w:rsidRPr="003266D1">
        <w:rPr>
          <w:szCs w:val="24"/>
          <w:lang w:val="en-US"/>
        </w:rPr>
        <w:t xml:space="preserve">The implementation priorities must be then </w:t>
      </w:r>
      <w:proofErr w:type="spellStart"/>
      <w:r w:rsidRPr="003266D1">
        <w:rPr>
          <w:szCs w:val="24"/>
          <w:lang w:val="en-US"/>
        </w:rPr>
        <w:t>emphasised</w:t>
      </w:r>
      <w:proofErr w:type="spellEnd"/>
      <w:r w:rsidRPr="003266D1">
        <w:rPr>
          <w:szCs w:val="24"/>
          <w:lang w:val="en-US"/>
        </w:rPr>
        <w:t xml:space="preserve"> on the clarity of governance and by measurement delivery</w:t>
      </w:r>
      <w:r w:rsidRPr="003266D1" w:rsidR="00371EA5">
        <w:rPr>
          <w:szCs w:val="24"/>
          <w:lang w:val="en-US"/>
        </w:rPr>
        <w:t xml:space="preserve"> </w:t>
      </w:r>
      <w:r w:rsidRPr="003266D1" w:rsidR="00371EA5">
        <w:t>(Tawse and Tabesh, 2021)</w:t>
      </w:r>
      <w:r w:rsidRPr="003266D1">
        <w:rPr>
          <w:szCs w:val="24"/>
          <w:lang w:val="en-US"/>
        </w:rPr>
        <w:t xml:space="preserve">. Platform governance demands the given right to make decisions explicitly to eliminate duplication and avoid strategic fragmentation across brands (Volkswagen AG, 2024). Software integration requires partnership and internal capability development to be managed in unison as otherwise it risks creating more and more defects and not differentiation as the consequence, which would affect the cost leadership and brand credibility (Dadashi and Amiri Lolaki, 2019). The execution of the strategy in China has to be swift and locally responsive since the competitive shock is not cyclical but structural (Reuters, 2025). The controls should track these priorities of the type </w:t>
      </w:r>
      <w:proofErr w:type="spellStart"/>
      <w:r w:rsidRPr="003266D1">
        <w:rPr>
          <w:szCs w:val="24"/>
          <w:lang w:val="en-US"/>
        </w:rPr>
        <w:t>utilised</w:t>
      </w:r>
      <w:proofErr w:type="spellEnd"/>
      <w:r w:rsidRPr="003266D1">
        <w:rPr>
          <w:szCs w:val="24"/>
          <w:lang w:val="en-US"/>
        </w:rPr>
        <w:t xml:space="preserve"> in the Balanced Scorecard linking implementation activities to customer and process measures to ensure that early warning indicators are present and an appropriate response can be taken (Kaplan and Norton, 1996).</w:t>
      </w:r>
    </w:p>
    <w:p w:rsidRPr="003266D1" w:rsidR="004B06A6" w:rsidP="0036069A" w:rsidRDefault="0036069A" w14:paraId="15F5B252" w14:textId="36B7A39E">
      <w:pPr>
        <w:pStyle w:val="Caption"/>
        <w:rPr>
          <w:lang w:val="en-US"/>
        </w:rPr>
      </w:pPr>
      <w:r w:rsidRPr="003266D1">
        <w:rPr>
          <w:b w:val="0"/>
          <w:bCs/>
          <w:lang w:val="en-US"/>
        </w:rPr>
        <w:t xml:space="preserve"> </w:t>
      </w:r>
      <w:bookmarkStart w:name="_Toc223389541" w:id="35"/>
      <w:r w:rsidRPr="003266D1">
        <w:t xml:space="preserve">Table </w:t>
      </w:r>
      <w:r w:rsidRPr="003266D1">
        <w:fldChar w:fldCharType="begin"/>
      </w:r>
      <w:r w:rsidRPr="003266D1">
        <w:instrText xml:space="preserve"> SEQ Table \* ARABIC </w:instrText>
      </w:r>
      <w:r w:rsidRPr="003266D1">
        <w:fldChar w:fldCharType="separate"/>
      </w:r>
      <w:r w:rsidRPr="003266D1" w:rsidR="00371EA5">
        <w:t>9</w:t>
      </w:r>
      <w:r w:rsidRPr="003266D1">
        <w:fldChar w:fldCharType="end"/>
      </w:r>
      <w:r w:rsidRPr="003266D1">
        <w:t>. Implementation priorities and change-management linkage</w:t>
      </w:r>
      <w:r w:rsidRPr="003266D1" w:rsidR="00CC75F3">
        <w:t xml:space="preserve"> Complexity risk across brands (Volkswagen AG, 2024)</w:t>
      </w:r>
      <w:bookmarkEnd w:id="35"/>
    </w:p>
    <w:p w:rsidRPr="003266D1" w:rsidR="0036069A" w:rsidP="004B06A6" w:rsidRDefault="00A41C4D" w14:paraId="7C58FB18" w14:textId="054C50B1">
      <w:pPr>
        <w:rPr>
          <w:lang w:val="en-US"/>
        </w:rPr>
      </w:pPr>
      <w:r w:rsidRPr="003266D1">
        <w:rPr>
          <w:noProof/>
          <w:lang w:val="en-US"/>
        </w:rPr>
        <w:drawing>
          <wp:inline distT="0" distB="0" distL="0" distR="0" wp14:anchorId="5BC05BFC" wp14:editId="6BBF12D3">
            <wp:extent cx="5718517" cy="3779822"/>
            <wp:effectExtent l="0" t="0" r="0" b="0"/>
            <wp:docPr id="10480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210" name=""/>
                    <pic:cNvPicPr/>
                  </pic:nvPicPr>
                  <pic:blipFill>
                    <a:blip r:embed="rId16"/>
                    <a:stretch>
                      <a:fillRect/>
                    </a:stretch>
                  </pic:blipFill>
                  <pic:spPr>
                    <a:xfrm>
                      <a:off x="0" y="0"/>
                      <a:ext cx="5723032" cy="3782806"/>
                    </a:xfrm>
                    <a:prstGeom prst="rect">
                      <a:avLst/>
                    </a:prstGeom>
                  </pic:spPr>
                </pic:pic>
              </a:graphicData>
            </a:graphic>
          </wp:inline>
        </w:drawing>
      </w:r>
    </w:p>
    <w:p w:rsidRPr="003266D1" w:rsidR="0036069A" w:rsidRDefault="0036069A" w14:paraId="7D24AF60" w14:textId="77777777">
      <w:pPr>
        <w:spacing w:before="0" w:after="160" w:line="259" w:lineRule="auto"/>
        <w:jc w:val="left"/>
        <w:rPr>
          <w:lang w:val="en-US"/>
        </w:rPr>
      </w:pPr>
      <w:r w:rsidRPr="003266D1">
        <w:rPr>
          <w:lang w:val="en-US"/>
        </w:rPr>
        <w:br w:type="page"/>
      </w:r>
    </w:p>
    <w:p w:rsidRPr="003266D1" w:rsidR="004B06A6" w:rsidP="00E85270" w:rsidRDefault="004B06A6" w14:paraId="7FA0F0B8" w14:textId="7CA5BBDB">
      <w:pPr>
        <w:pStyle w:val="Heading1"/>
        <w:rPr>
          <w:color w:val="auto"/>
        </w:rPr>
      </w:pPr>
      <w:bookmarkStart w:name="_Toc224947404" w:id="36"/>
      <w:r w:rsidRPr="003266D1">
        <w:rPr>
          <w:color w:val="auto"/>
        </w:rPr>
        <w:t>Evaluation and Control</w:t>
      </w:r>
      <w:bookmarkEnd w:id="36"/>
    </w:p>
    <w:p w:rsidRPr="003266D1" w:rsidR="004B06A6" w:rsidP="00E85270" w:rsidRDefault="004B06A6" w14:paraId="5C3FB303" w14:textId="52744D75">
      <w:pPr>
        <w:pStyle w:val="Heading2"/>
        <w:rPr>
          <w:color w:val="auto"/>
        </w:rPr>
      </w:pPr>
      <w:bookmarkStart w:name="_Toc224947405" w:id="37"/>
      <w:r w:rsidRPr="003266D1">
        <w:rPr>
          <w:color w:val="auto"/>
        </w:rPr>
        <w:t>Importance of evaluation and control</w:t>
      </w:r>
      <w:bookmarkEnd w:id="37"/>
    </w:p>
    <w:p w:rsidRPr="003266D1" w:rsidR="007D0CD4" w:rsidP="007D0CD4" w:rsidRDefault="007D0CD4" w14:paraId="0876D90A" w14:textId="36007D4C">
      <w:pPr>
        <w:rPr>
          <w:szCs w:val="24"/>
          <w:lang w:val="en-US"/>
        </w:rPr>
      </w:pPr>
      <w:r w:rsidRPr="003266D1">
        <w:rPr>
          <w:szCs w:val="24"/>
          <w:lang w:val="en-US"/>
        </w:rPr>
        <w:t>Evaluation and control mechanisms reduce strategic drift by integrating the goals, measures and actions to take</w:t>
      </w:r>
      <w:r w:rsidRPr="003266D1" w:rsidR="00371EA5">
        <w:rPr>
          <w:szCs w:val="24"/>
          <w:lang w:val="en-US"/>
        </w:rPr>
        <w:t xml:space="preserve"> (</w:t>
      </w:r>
      <w:r w:rsidRPr="003266D1" w:rsidR="00371EA5">
        <w:t>Wall, 2021)</w:t>
      </w:r>
      <w:r w:rsidRPr="003266D1">
        <w:rPr>
          <w:szCs w:val="24"/>
          <w:lang w:val="en-US"/>
        </w:rPr>
        <w:t>. Balanced Scorecard is particularly applicable because it incorporates both financial and non-financial metrics in controlling the impact of strategy implementation, learning and capability development (Kaplan and Norton, 1996). This can be significant to Volkswagen since EV transformation success depends on the leading indicators like discipline of software releases, quality metrics and capability building, and not on short-term profits alone.</w:t>
      </w:r>
    </w:p>
    <w:p w:rsidRPr="003266D1" w:rsidR="004B06A6" w:rsidP="00E85270" w:rsidRDefault="004B06A6" w14:paraId="69FEE890" w14:textId="7820C5E5">
      <w:pPr>
        <w:pStyle w:val="Heading2"/>
        <w:rPr>
          <w:color w:val="auto"/>
        </w:rPr>
      </w:pPr>
      <w:bookmarkStart w:name="_Toc224947406" w:id="38"/>
      <w:r w:rsidRPr="003266D1">
        <w:rPr>
          <w:color w:val="auto"/>
        </w:rPr>
        <w:t>Balanced Scorecard for Volkswagen</w:t>
      </w:r>
      <w:bookmarkEnd w:id="38"/>
    </w:p>
    <w:p w:rsidRPr="003266D1" w:rsidR="00B84931" w:rsidP="00B84931" w:rsidRDefault="00B84931" w14:paraId="7D37AF80" w14:textId="30930D8D">
      <w:pPr>
        <w:rPr>
          <w:lang w:val="en-US"/>
        </w:rPr>
      </w:pPr>
      <w:r w:rsidRPr="003266D1">
        <w:rPr>
          <w:lang w:val="en-US"/>
        </w:rPr>
        <w:t>Balanced Scorecard logic supports strategic coherence by making trade-offs visible</w:t>
      </w:r>
      <w:r w:rsidRPr="003266D1" w:rsidR="00CC75F3">
        <w:rPr>
          <w:lang w:val="en-US"/>
        </w:rPr>
        <w:t xml:space="preserve"> </w:t>
      </w:r>
      <w:r w:rsidRPr="003266D1" w:rsidR="00CC75F3">
        <w:rPr>
          <w:szCs w:val="24"/>
          <w:lang w:val="en-US"/>
        </w:rPr>
        <w:t>(Kaplan and Norton, 1996; Hitt et al., 2019)</w:t>
      </w:r>
      <w:r w:rsidRPr="003266D1">
        <w:rPr>
          <w:lang w:val="en-US"/>
        </w:rPr>
        <w:t xml:space="preserve">. </w:t>
      </w:r>
    </w:p>
    <w:p w:rsidRPr="003266D1" w:rsidR="004B06A6" w:rsidP="00F11EE7" w:rsidRDefault="00F11EE7" w14:paraId="732CC955" w14:textId="64DC771A">
      <w:pPr>
        <w:pStyle w:val="Caption"/>
        <w:rPr>
          <w:lang w:val="en-US"/>
        </w:rPr>
      </w:pPr>
      <w:r w:rsidRPr="003266D1">
        <w:rPr>
          <w:b w:val="0"/>
          <w:bCs/>
          <w:lang w:val="en-US"/>
        </w:rPr>
        <w:t xml:space="preserve"> </w:t>
      </w:r>
      <w:bookmarkStart w:name="_Toc223389542" w:id="39"/>
      <w:r w:rsidRPr="003266D1">
        <w:t xml:space="preserve">Table </w:t>
      </w:r>
      <w:r w:rsidRPr="003266D1">
        <w:fldChar w:fldCharType="begin"/>
      </w:r>
      <w:r w:rsidRPr="003266D1">
        <w:instrText xml:space="preserve"> SEQ Table \* ARABIC </w:instrText>
      </w:r>
      <w:r w:rsidRPr="003266D1">
        <w:fldChar w:fldCharType="separate"/>
      </w:r>
      <w:r w:rsidRPr="003266D1" w:rsidR="00371EA5">
        <w:t>10</w:t>
      </w:r>
      <w:r w:rsidRPr="003266D1">
        <w:fldChar w:fldCharType="end"/>
      </w:r>
      <w:r w:rsidRPr="003266D1">
        <w:t>. Balanced Scorecard aligned to Volkswagen strategy and mission-level priorities</w:t>
      </w:r>
      <w:bookmarkEnd w:id="39"/>
    </w:p>
    <w:tbl>
      <w:tblPr>
        <w:tblStyle w:val="TableGrid"/>
        <w:tblW w:w="0" w:type="auto"/>
        <w:tblLook w:val="04A0" w:firstRow="1" w:lastRow="0" w:firstColumn="1" w:lastColumn="0" w:noHBand="0" w:noVBand="1"/>
      </w:tblPr>
      <w:tblGrid>
        <w:gridCol w:w="1308"/>
        <w:gridCol w:w="1647"/>
        <w:gridCol w:w="2196"/>
        <w:gridCol w:w="1494"/>
        <w:gridCol w:w="2351"/>
      </w:tblGrid>
      <w:tr w:rsidRPr="003266D1" w:rsidR="003266D1" w:rsidTr="00F11EE7" w14:paraId="17755856"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3266D1" w:rsidR="004B06A6" w:rsidP="004B06A6" w:rsidRDefault="004B06A6" w14:paraId="1834A6BC" w14:textId="77777777">
            <w:pPr>
              <w:rPr>
                <w:bCs/>
                <w:sz w:val="22"/>
                <w:lang w:val="en-US"/>
              </w:rPr>
            </w:pPr>
            <w:r w:rsidRPr="003266D1">
              <w:rPr>
                <w:bCs/>
                <w:sz w:val="22"/>
                <w:lang w:val="en-US"/>
              </w:rPr>
              <w:t>Perspective</w:t>
            </w:r>
          </w:p>
        </w:tc>
        <w:tc>
          <w:tcPr>
            <w:tcW w:w="1647" w:type="dxa"/>
            <w:hideMark/>
          </w:tcPr>
          <w:p w:rsidRPr="003266D1" w:rsidR="004B06A6" w:rsidP="004B06A6" w:rsidRDefault="004B06A6" w14:paraId="36ED40A8" w14:textId="77777777">
            <w:pPr>
              <w:rPr>
                <w:bCs/>
                <w:sz w:val="22"/>
                <w:lang w:val="en-US"/>
              </w:rPr>
            </w:pPr>
            <w:r w:rsidRPr="003266D1">
              <w:rPr>
                <w:bCs/>
                <w:sz w:val="22"/>
                <w:lang w:val="en-US"/>
              </w:rPr>
              <w:t>Objectives</w:t>
            </w:r>
          </w:p>
        </w:tc>
        <w:tc>
          <w:tcPr>
            <w:tcW w:w="2196" w:type="dxa"/>
            <w:hideMark/>
          </w:tcPr>
          <w:p w:rsidRPr="003266D1" w:rsidR="004B06A6" w:rsidP="004B06A6" w:rsidRDefault="004B06A6" w14:paraId="46D63603" w14:textId="77777777">
            <w:pPr>
              <w:rPr>
                <w:bCs/>
                <w:sz w:val="22"/>
                <w:lang w:val="en-US"/>
              </w:rPr>
            </w:pPr>
            <w:r w:rsidRPr="003266D1">
              <w:rPr>
                <w:bCs/>
                <w:sz w:val="22"/>
                <w:lang w:val="en-US"/>
              </w:rPr>
              <w:t>KPIs</w:t>
            </w:r>
          </w:p>
        </w:tc>
        <w:tc>
          <w:tcPr>
            <w:tcW w:w="1494" w:type="dxa"/>
            <w:hideMark/>
          </w:tcPr>
          <w:p w:rsidRPr="003266D1" w:rsidR="004B06A6" w:rsidP="004B06A6" w:rsidRDefault="004B06A6" w14:paraId="22E2E7C9" w14:textId="77777777">
            <w:pPr>
              <w:rPr>
                <w:bCs/>
                <w:sz w:val="22"/>
                <w:lang w:val="en-US"/>
              </w:rPr>
            </w:pPr>
            <w:r w:rsidRPr="003266D1">
              <w:rPr>
                <w:bCs/>
                <w:sz w:val="22"/>
                <w:lang w:val="en-US"/>
              </w:rPr>
              <w:t>Targets</w:t>
            </w:r>
          </w:p>
        </w:tc>
        <w:tc>
          <w:tcPr>
            <w:tcW w:w="2351" w:type="dxa"/>
            <w:hideMark/>
          </w:tcPr>
          <w:p w:rsidRPr="003266D1" w:rsidR="004B06A6" w:rsidP="004B06A6" w:rsidRDefault="004B06A6" w14:paraId="75E2C390" w14:textId="77777777">
            <w:pPr>
              <w:rPr>
                <w:bCs/>
                <w:sz w:val="22"/>
                <w:lang w:val="en-US"/>
              </w:rPr>
            </w:pPr>
            <w:r w:rsidRPr="003266D1">
              <w:rPr>
                <w:bCs/>
                <w:sz w:val="22"/>
                <w:lang w:val="en-US"/>
              </w:rPr>
              <w:t>Initiatives</w:t>
            </w:r>
          </w:p>
        </w:tc>
      </w:tr>
      <w:tr w:rsidRPr="003266D1" w:rsidR="003266D1" w:rsidTr="00F11EE7" w14:paraId="0B292D57" w14:textId="77777777">
        <w:tc>
          <w:tcPr>
            <w:tcW w:w="0" w:type="auto"/>
            <w:hideMark/>
          </w:tcPr>
          <w:p w:rsidRPr="003266D1" w:rsidR="004B06A6" w:rsidP="004B06A6" w:rsidRDefault="004B06A6" w14:paraId="0BCA99D0" w14:textId="77777777">
            <w:pPr>
              <w:rPr>
                <w:sz w:val="22"/>
                <w:lang w:val="en-US"/>
              </w:rPr>
            </w:pPr>
            <w:r w:rsidRPr="003266D1">
              <w:rPr>
                <w:sz w:val="22"/>
                <w:lang w:val="en-US"/>
              </w:rPr>
              <w:t>Financial</w:t>
            </w:r>
          </w:p>
        </w:tc>
        <w:tc>
          <w:tcPr>
            <w:tcW w:w="1647" w:type="dxa"/>
            <w:hideMark/>
          </w:tcPr>
          <w:p w:rsidRPr="003266D1" w:rsidR="004B06A6" w:rsidP="004B06A6" w:rsidRDefault="004B06A6" w14:paraId="767B675F" w14:textId="77777777">
            <w:pPr>
              <w:rPr>
                <w:sz w:val="22"/>
                <w:lang w:val="en-US"/>
              </w:rPr>
            </w:pPr>
            <w:r w:rsidRPr="003266D1">
              <w:rPr>
                <w:sz w:val="22"/>
                <w:lang w:val="en-US"/>
              </w:rPr>
              <w:t>Improve transformation efficiency and margin resilience</w:t>
            </w:r>
          </w:p>
        </w:tc>
        <w:tc>
          <w:tcPr>
            <w:tcW w:w="2196" w:type="dxa"/>
            <w:hideMark/>
          </w:tcPr>
          <w:p w:rsidRPr="003266D1" w:rsidR="004B06A6" w:rsidP="004B06A6" w:rsidRDefault="004B06A6" w14:paraId="7739AB28" w14:textId="27D4ADD9">
            <w:pPr>
              <w:rPr>
                <w:sz w:val="22"/>
                <w:lang w:val="en-US"/>
              </w:rPr>
            </w:pPr>
            <w:r w:rsidRPr="003266D1">
              <w:rPr>
                <w:sz w:val="22"/>
                <w:lang w:val="en-US"/>
              </w:rPr>
              <w:t>Operating margin trend; transformation ROI; unit cost reduction</w:t>
            </w:r>
            <w:r w:rsidRPr="003266D1" w:rsidR="00371EA5">
              <w:rPr>
                <w:sz w:val="22"/>
                <w:lang w:val="en-US"/>
              </w:rPr>
              <w:t xml:space="preserve"> (Hitt et al., 2019).</w:t>
            </w:r>
          </w:p>
        </w:tc>
        <w:tc>
          <w:tcPr>
            <w:tcW w:w="1494" w:type="dxa"/>
            <w:hideMark/>
          </w:tcPr>
          <w:p w:rsidRPr="003266D1" w:rsidR="004B06A6" w:rsidP="004B06A6" w:rsidRDefault="004B06A6" w14:paraId="7A682346" w14:textId="77777777">
            <w:pPr>
              <w:rPr>
                <w:sz w:val="22"/>
                <w:lang w:val="en-US"/>
              </w:rPr>
            </w:pPr>
            <w:r w:rsidRPr="003266D1">
              <w:rPr>
                <w:sz w:val="22"/>
                <w:lang w:val="en-US"/>
              </w:rPr>
              <w:t>Year-on-year improvement with protected quality</w:t>
            </w:r>
          </w:p>
        </w:tc>
        <w:tc>
          <w:tcPr>
            <w:tcW w:w="2351" w:type="dxa"/>
            <w:hideMark/>
          </w:tcPr>
          <w:p w:rsidRPr="003266D1" w:rsidR="004B06A6" w:rsidP="004B06A6" w:rsidRDefault="004B06A6" w14:paraId="081E3D7A" w14:textId="77777777">
            <w:pPr>
              <w:rPr>
                <w:sz w:val="22"/>
                <w:lang w:val="en-US"/>
              </w:rPr>
            </w:pPr>
            <w:r w:rsidRPr="003266D1">
              <w:rPr>
                <w:sz w:val="22"/>
                <w:lang w:val="en-US"/>
              </w:rPr>
              <w:t xml:space="preserve">Platform </w:t>
            </w:r>
            <w:proofErr w:type="spellStart"/>
            <w:r w:rsidRPr="003266D1">
              <w:rPr>
                <w:sz w:val="22"/>
                <w:lang w:val="en-US"/>
              </w:rPr>
              <w:t>standardisation</w:t>
            </w:r>
            <w:proofErr w:type="spellEnd"/>
            <w:r w:rsidRPr="003266D1">
              <w:rPr>
                <w:sz w:val="22"/>
                <w:lang w:val="en-US"/>
              </w:rPr>
              <w:t xml:space="preserve"> governance; procurement leverage </w:t>
            </w:r>
            <w:proofErr w:type="spellStart"/>
            <w:r w:rsidRPr="003266D1">
              <w:rPr>
                <w:sz w:val="22"/>
                <w:lang w:val="en-US"/>
              </w:rPr>
              <w:t>programmes</w:t>
            </w:r>
            <w:proofErr w:type="spellEnd"/>
          </w:p>
        </w:tc>
      </w:tr>
      <w:tr w:rsidRPr="003266D1" w:rsidR="003266D1" w:rsidTr="00F11EE7" w14:paraId="2DF6F1C7" w14:textId="77777777">
        <w:tc>
          <w:tcPr>
            <w:tcW w:w="0" w:type="auto"/>
            <w:hideMark/>
          </w:tcPr>
          <w:p w:rsidRPr="003266D1" w:rsidR="004B06A6" w:rsidP="004B06A6" w:rsidRDefault="004B06A6" w14:paraId="45BD290A" w14:textId="77777777">
            <w:pPr>
              <w:rPr>
                <w:sz w:val="22"/>
                <w:lang w:val="en-US"/>
              </w:rPr>
            </w:pPr>
            <w:r w:rsidRPr="003266D1">
              <w:rPr>
                <w:sz w:val="22"/>
                <w:lang w:val="en-US"/>
              </w:rPr>
              <w:t>Customer</w:t>
            </w:r>
          </w:p>
        </w:tc>
        <w:tc>
          <w:tcPr>
            <w:tcW w:w="1647" w:type="dxa"/>
            <w:hideMark/>
          </w:tcPr>
          <w:p w:rsidRPr="003266D1" w:rsidR="004B06A6" w:rsidP="004B06A6" w:rsidRDefault="004B06A6" w14:paraId="04DC3496" w14:textId="77777777">
            <w:pPr>
              <w:rPr>
                <w:sz w:val="22"/>
                <w:lang w:val="en-US"/>
              </w:rPr>
            </w:pPr>
            <w:r w:rsidRPr="003266D1">
              <w:rPr>
                <w:sz w:val="22"/>
                <w:lang w:val="en-US"/>
              </w:rPr>
              <w:t>Strengthen EV value and digital experience</w:t>
            </w:r>
          </w:p>
        </w:tc>
        <w:tc>
          <w:tcPr>
            <w:tcW w:w="2196" w:type="dxa"/>
            <w:hideMark/>
          </w:tcPr>
          <w:p w:rsidRPr="003266D1" w:rsidR="004B06A6" w:rsidP="004B06A6" w:rsidRDefault="004B06A6" w14:paraId="0EDA0AB4" w14:textId="77777777">
            <w:pPr>
              <w:rPr>
                <w:sz w:val="22"/>
                <w:lang w:val="en-US"/>
              </w:rPr>
            </w:pPr>
            <w:r w:rsidRPr="003266D1">
              <w:rPr>
                <w:sz w:val="22"/>
                <w:lang w:val="en-US"/>
              </w:rPr>
              <w:t>EV customer satisfaction; digital feature adoption; warranty claims</w:t>
            </w:r>
          </w:p>
        </w:tc>
        <w:tc>
          <w:tcPr>
            <w:tcW w:w="1494" w:type="dxa"/>
            <w:hideMark/>
          </w:tcPr>
          <w:p w:rsidRPr="003266D1" w:rsidR="004B06A6" w:rsidP="004B06A6" w:rsidRDefault="004B06A6" w14:paraId="5DD9554F" w14:textId="77777777">
            <w:pPr>
              <w:rPr>
                <w:sz w:val="22"/>
                <w:lang w:val="en-US"/>
              </w:rPr>
            </w:pPr>
            <w:r w:rsidRPr="003266D1">
              <w:rPr>
                <w:sz w:val="22"/>
                <w:lang w:val="en-US"/>
              </w:rPr>
              <w:t>Improved satisfaction and reduced defects</w:t>
            </w:r>
          </w:p>
        </w:tc>
        <w:tc>
          <w:tcPr>
            <w:tcW w:w="2351" w:type="dxa"/>
            <w:hideMark/>
          </w:tcPr>
          <w:p w:rsidRPr="003266D1" w:rsidR="004B06A6" w:rsidP="004B06A6" w:rsidRDefault="004B06A6" w14:paraId="75AAA132" w14:textId="2A19F44B">
            <w:pPr>
              <w:rPr>
                <w:sz w:val="22"/>
                <w:lang w:val="en-US"/>
              </w:rPr>
            </w:pPr>
            <w:r w:rsidRPr="003266D1">
              <w:rPr>
                <w:sz w:val="22"/>
                <w:lang w:val="en-US"/>
              </w:rPr>
              <w:t>Software product management; customer feedback loops; OTA reliability focus</w:t>
            </w:r>
            <w:r w:rsidRPr="003266D1" w:rsidR="00371EA5">
              <w:rPr>
                <w:sz w:val="22"/>
                <w:lang w:val="en-US"/>
              </w:rPr>
              <w:t xml:space="preserve"> (</w:t>
            </w:r>
            <w:r w:rsidRPr="003266D1" w:rsidR="00371EA5">
              <w:rPr>
                <w:sz w:val="22"/>
              </w:rPr>
              <w:t>Wall, 2021).</w:t>
            </w:r>
          </w:p>
        </w:tc>
      </w:tr>
      <w:tr w:rsidRPr="003266D1" w:rsidR="003266D1" w:rsidTr="00F11EE7" w14:paraId="1D153C44" w14:textId="77777777">
        <w:tc>
          <w:tcPr>
            <w:tcW w:w="0" w:type="auto"/>
            <w:hideMark/>
          </w:tcPr>
          <w:p w:rsidRPr="003266D1" w:rsidR="004B06A6" w:rsidP="004B06A6" w:rsidRDefault="004B06A6" w14:paraId="75A62772" w14:textId="77777777">
            <w:pPr>
              <w:rPr>
                <w:sz w:val="22"/>
                <w:lang w:val="en-US"/>
              </w:rPr>
            </w:pPr>
            <w:r w:rsidRPr="003266D1">
              <w:rPr>
                <w:sz w:val="22"/>
                <w:lang w:val="en-US"/>
              </w:rPr>
              <w:t>Internal processes</w:t>
            </w:r>
          </w:p>
        </w:tc>
        <w:tc>
          <w:tcPr>
            <w:tcW w:w="1647" w:type="dxa"/>
            <w:hideMark/>
          </w:tcPr>
          <w:p w:rsidRPr="003266D1" w:rsidR="004B06A6" w:rsidP="004B06A6" w:rsidRDefault="004B06A6" w14:paraId="02443D8C" w14:textId="53ADB644">
            <w:pPr>
              <w:rPr>
                <w:sz w:val="22"/>
                <w:lang w:val="en-US"/>
              </w:rPr>
            </w:pPr>
            <w:r w:rsidRPr="003266D1">
              <w:rPr>
                <w:sz w:val="22"/>
                <w:lang w:val="en-US"/>
              </w:rPr>
              <w:t xml:space="preserve">Accelerate development cycles </w:t>
            </w:r>
          </w:p>
        </w:tc>
        <w:tc>
          <w:tcPr>
            <w:tcW w:w="2196" w:type="dxa"/>
            <w:hideMark/>
          </w:tcPr>
          <w:p w:rsidRPr="003266D1" w:rsidR="004B06A6" w:rsidP="004B06A6" w:rsidRDefault="004B06A6" w14:paraId="0EF9E487" w14:textId="77777777">
            <w:pPr>
              <w:rPr>
                <w:sz w:val="22"/>
                <w:lang w:val="en-US"/>
              </w:rPr>
            </w:pPr>
            <w:r w:rsidRPr="003266D1">
              <w:rPr>
                <w:sz w:val="22"/>
                <w:lang w:val="en-US"/>
              </w:rPr>
              <w:t>Time-to-market; compliance readiness rate; defect per vehicle</w:t>
            </w:r>
          </w:p>
        </w:tc>
        <w:tc>
          <w:tcPr>
            <w:tcW w:w="1494" w:type="dxa"/>
            <w:hideMark/>
          </w:tcPr>
          <w:p w:rsidRPr="003266D1" w:rsidR="004B06A6" w:rsidP="004B06A6" w:rsidRDefault="004B06A6" w14:paraId="23C0B928" w14:textId="77777777">
            <w:pPr>
              <w:rPr>
                <w:sz w:val="22"/>
                <w:lang w:val="en-US"/>
              </w:rPr>
            </w:pPr>
            <w:r w:rsidRPr="003266D1">
              <w:rPr>
                <w:sz w:val="22"/>
                <w:lang w:val="en-US"/>
              </w:rPr>
              <w:t>Shorter cycle time with stable quality</w:t>
            </w:r>
          </w:p>
        </w:tc>
        <w:tc>
          <w:tcPr>
            <w:tcW w:w="2351" w:type="dxa"/>
            <w:hideMark/>
          </w:tcPr>
          <w:p w:rsidRPr="003266D1" w:rsidR="004B06A6" w:rsidP="004B06A6" w:rsidRDefault="004B06A6" w14:paraId="338C0128" w14:textId="77777777">
            <w:pPr>
              <w:rPr>
                <w:sz w:val="22"/>
                <w:lang w:val="en-US"/>
              </w:rPr>
            </w:pPr>
            <w:r w:rsidRPr="003266D1">
              <w:rPr>
                <w:sz w:val="22"/>
                <w:lang w:val="en-US"/>
              </w:rPr>
              <w:t xml:space="preserve">Integrated </w:t>
            </w:r>
            <w:proofErr w:type="spellStart"/>
            <w:r w:rsidRPr="003266D1">
              <w:rPr>
                <w:sz w:val="22"/>
                <w:lang w:val="en-US"/>
              </w:rPr>
              <w:t>programme</w:t>
            </w:r>
            <w:proofErr w:type="spellEnd"/>
            <w:r w:rsidRPr="003266D1">
              <w:rPr>
                <w:sz w:val="22"/>
                <w:lang w:val="en-US"/>
              </w:rPr>
              <w:t xml:space="preserve"> management; quality gate redesign; compliance-by-design</w:t>
            </w:r>
          </w:p>
        </w:tc>
      </w:tr>
      <w:tr w:rsidRPr="003266D1" w:rsidR="003266D1" w:rsidTr="00F11EE7" w14:paraId="68127CBB" w14:textId="77777777">
        <w:tc>
          <w:tcPr>
            <w:tcW w:w="0" w:type="auto"/>
            <w:hideMark/>
          </w:tcPr>
          <w:p w:rsidRPr="003266D1" w:rsidR="004B06A6" w:rsidP="004B06A6" w:rsidRDefault="004B06A6" w14:paraId="52B5C349" w14:textId="7E241ADB">
            <w:pPr>
              <w:rPr>
                <w:sz w:val="22"/>
                <w:lang w:val="en-US"/>
              </w:rPr>
            </w:pPr>
            <w:r w:rsidRPr="003266D1">
              <w:rPr>
                <w:sz w:val="22"/>
                <w:lang w:val="en-US"/>
              </w:rPr>
              <w:t xml:space="preserve">Learning </w:t>
            </w:r>
            <w:r w:rsidRPr="003266D1" w:rsidR="008C044D">
              <w:rPr>
                <w:sz w:val="22"/>
                <w:lang w:val="en-US"/>
              </w:rPr>
              <w:t>and</w:t>
            </w:r>
            <w:r w:rsidRPr="003266D1">
              <w:rPr>
                <w:sz w:val="22"/>
                <w:lang w:val="en-US"/>
              </w:rPr>
              <w:t xml:space="preserve"> growth</w:t>
            </w:r>
          </w:p>
        </w:tc>
        <w:tc>
          <w:tcPr>
            <w:tcW w:w="1647" w:type="dxa"/>
            <w:hideMark/>
          </w:tcPr>
          <w:p w:rsidRPr="003266D1" w:rsidR="004B06A6" w:rsidP="004B06A6" w:rsidRDefault="004B06A6" w14:paraId="2211A568" w14:textId="77777777">
            <w:pPr>
              <w:rPr>
                <w:sz w:val="22"/>
                <w:lang w:val="en-US"/>
              </w:rPr>
            </w:pPr>
            <w:r w:rsidRPr="003266D1">
              <w:rPr>
                <w:sz w:val="22"/>
                <w:lang w:val="en-US"/>
              </w:rPr>
              <w:t>Build software and change capability</w:t>
            </w:r>
          </w:p>
        </w:tc>
        <w:tc>
          <w:tcPr>
            <w:tcW w:w="2196" w:type="dxa"/>
            <w:hideMark/>
          </w:tcPr>
          <w:p w:rsidRPr="003266D1" w:rsidR="004B06A6" w:rsidP="004B06A6" w:rsidRDefault="004B06A6" w14:paraId="1A03511D" w14:textId="17D610A7">
            <w:pPr>
              <w:rPr>
                <w:sz w:val="22"/>
                <w:lang w:val="en-US"/>
              </w:rPr>
            </w:pPr>
            <w:r w:rsidRPr="003266D1">
              <w:rPr>
                <w:sz w:val="22"/>
                <w:lang w:val="en-US"/>
              </w:rPr>
              <w:t>Digital skills index; retention of key talent; change adoption metrics</w:t>
            </w:r>
            <w:r w:rsidRPr="003266D1" w:rsidR="00371EA5">
              <w:rPr>
                <w:sz w:val="22"/>
                <w:lang w:val="en-US"/>
              </w:rPr>
              <w:t xml:space="preserve"> (</w:t>
            </w:r>
            <w:r w:rsidRPr="003266D1" w:rsidR="00371EA5">
              <w:rPr>
                <w:sz w:val="22"/>
              </w:rPr>
              <w:t>Wall, 2021).</w:t>
            </w:r>
          </w:p>
        </w:tc>
        <w:tc>
          <w:tcPr>
            <w:tcW w:w="1494" w:type="dxa"/>
            <w:hideMark/>
          </w:tcPr>
          <w:p w:rsidRPr="003266D1" w:rsidR="004B06A6" w:rsidP="004B06A6" w:rsidRDefault="004B06A6" w14:paraId="0C4B8035" w14:textId="77777777">
            <w:pPr>
              <w:rPr>
                <w:sz w:val="22"/>
                <w:lang w:val="en-US"/>
              </w:rPr>
            </w:pPr>
            <w:r w:rsidRPr="003266D1">
              <w:rPr>
                <w:sz w:val="22"/>
                <w:lang w:val="en-US"/>
              </w:rPr>
              <w:t>Capability growth with measurable adoption</w:t>
            </w:r>
          </w:p>
        </w:tc>
        <w:tc>
          <w:tcPr>
            <w:tcW w:w="2351" w:type="dxa"/>
            <w:hideMark/>
          </w:tcPr>
          <w:p w:rsidRPr="003266D1" w:rsidR="004B06A6" w:rsidP="004B06A6" w:rsidRDefault="004B06A6" w14:paraId="47822D59" w14:textId="77777777">
            <w:pPr>
              <w:rPr>
                <w:sz w:val="22"/>
                <w:lang w:val="en-US"/>
              </w:rPr>
            </w:pPr>
            <w:r w:rsidRPr="003266D1">
              <w:rPr>
                <w:sz w:val="22"/>
                <w:lang w:val="en-US"/>
              </w:rPr>
              <w:t>Training, agile delivery discipline, leadership communication systems</w:t>
            </w:r>
          </w:p>
        </w:tc>
      </w:tr>
    </w:tbl>
    <w:p w:rsidRPr="003266D1" w:rsidR="00B650D7" w:rsidP="004B06A6" w:rsidRDefault="00B650D7" w14:paraId="69A61C30" w14:textId="77777777">
      <w:pPr>
        <w:rPr>
          <w:lang w:val="en-US"/>
        </w:rPr>
      </w:pPr>
    </w:p>
    <w:p w:rsidRPr="003266D1" w:rsidR="009C6559" w:rsidP="009C6559" w:rsidRDefault="009C6559" w14:paraId="114AE87E" w14:textId="77777777">
      <w:pPr>
        <w:rPr>
          <w:szCs w:val="24"/>
          <w:lang w:val="en-US"/>
        </w:rPr>
      </w:pPr>
      <w:r w:rsidRPr="003266D1">
        <w:rPr>
          <w:szCs w:val="24"/>
          <w:lang w:val="en-US"/>
        </w:rPr>
        <w:t>As an example, aggressive cost reduction must be weighed against customer and process measures to ensure that quality is not thinned in such a manner that would undermine differentiation and trust, which aligns with the thinking of strategic management systems (Kaplan and Norton, 1996; Hitt et al., 2019).</w:t>
      </w:r>
    </w:p>
    <w:p w:rsidRPr="003266D1" w:rsidR="004B06A6" w:rsidP="004B06A6" w:rsidRDefault="00B650D7" w14:paraId="6DD31291" w14:textId="5E2CE756">
      <w:pPr>
        <w:rPr>
          <w:b/>
          <w:bCs/>
          <w:lang w:val="en-US"/>
        </w:rPr>
      </w:pPr>
      <w:r w:rsidRPr="003266D1">
        <w:rPr>
          <w:b/>
          <w:bCs/>
          <w:noProof/>
          <w:lang w:val="en-US" w:eastAsia="en-US"/>
        </w:rPr>
        <w:drawing>
          <wp:inline distT="0" distB="0" distL="0" distR="0" wp14:anchorId="7972D061" wp14:editId="4E8455D6">
            <wp:extent cx="5719763" cy="3188473"/>
            <wp:effectExtent l="19050" t="19050" r="14605" b="12065"/>
            <wp:docPr id="5131049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6383"/>
                    <a:stretch>
                      <a:fillRect/>
                    </a:stretch>
                  </pic:blipFill>
                  <pic:spPr bwMode="auto">
                    <a:xfrm>
                      <a:off x="0" y="0"/>
                      <a:ext cx="5731373" cy="3194945"/>
                    </a:xfrm>
                    <a:prstGeom prst="rect">
                      <a:avLst/>
                    </a:prstGeom>
                    <a:noFill/>
                    <a:ln>
                      <a:solidFill>
                        <a:schemeClr val="accent5">
                          <a:lumMod val="20000"/>
                          <a:lumOff val="80000"/>
                        </a:schemeClr>
                      </a:solidFill>
                    </a:ln>
                    <a:extLst>
                      <a:ext uri="{53640926-AAD7-44D8-BBD7-CCE9431645EC}">
                        <a14:shadowObscured xmlns:a14="http://schemas.microsoft.com/office/drawing/2010/main"/>
                      </a:ext>
                    </a:extLst>
                  </pic:spPr>
                </pic:pic>
              </a:graphicData>
            </a:graphic>
          </wp:inline>
        </w:drawing>
      </w:r>
      <w:r w:rsidRPr="003266D1">
        <w:rPr>
          <w:b/>
          <w:bCs/>
          <w:lang w:val="en-US"/>
        </w:rPr>
        <w:t xml:space="preserve"> </w:t>
      </w:r>
    </w:p>
    <w:p w:rsidRPr="003266D1" w:rsidR="00B650D7" w:rsidP="00B650D7" w:rsidRDefault="00B650D7" w14:paraId="3AA22CFE" w14:textId="66E98316">
      <w:pPr>
        <w:pStyle w:val="Caption"/>
        <w:rPr>
          <w:lang w:val="en-US"/>
        </w:rPr>
      </w:pPr>
      <w:bookmarkStart w:name="_Toc223389534" w:id="40"/>
      <w:r w:rsidRPr="003266D1">
        <w:t xml:space="preserve">Figure </w:t>
      </w:r>
      <w:r w:rsidRPr="003266D1">
        <w:fldChar w:fldCharType="begin"/>
      </w:r>
      <w:r w:rsidRPr="003266D1">
        <w:instrText xml:space="preserve"> SEQ Figure \* ARABIC </w:instrText>
      </w:r>
      <w:r w:rsidRPr="003266D1">
        <w:fldChar w:fldCharType="separate"/>
      </w:r>
      <w:r w:rsidRPr="003266D1">
        <w:t>6</w:t>
      </w:r>
      <w:r w:rsidRPr="003266D1">
        <w:fldChar w:fldCharType="end"/>
      </w:r>
      <w:r w:rsidRPr="003266D1">
        <w:t>. Volkswagen Transformation Strategy Map (Self-designed based on Hayes, 2010; Volkswagen AG, 2024)</w:t>
      </w:r>
      <w:bookmarkEnd w:id="40"/>
    </w:p>
    <w:p w:rsidRPr="003266D1" w:rsidR="00D24FD6" w:rsidRDefault="00D24FD6" w14:paraId="40C0FFB0" w14:textId="22B02507">
      <w:pPr>
        <w:spacing w:before="0" w:after="160" w:line="259" w:lineRule="auto"/>
        <w:jc w:val="left"/>
        <w:rPr>
          <w:lang w:val="en-US"/>
        </w:rPr>
      </w:pPr>
      <w:r w:rsidRPr="003266D1">
        <w:rPr>
          <w:lang w:val="en-US"/>
        </w:rPr>
        <w:br w:type="page"/>
      </w:r>
    </w:p>
    <w:p w:rsidRPr="003266D1" w:rsidR="004B06A6" w:rsidP="00E85270" w:rsidRDefault="004B06A6" w14:paraId="1BDB5885" w14:textId="047612EF">
      <w:pPr>
        <w:pStyle w:val="Heading1"/>
        <w:rPr>
          <w:color w:val="auto"/>
        </w:rPr>
      </w:pPr>
      <w:bookmarkStart w:name="_Toc224947407" w:id="41"/>
      <w:r w:rsidRPr="003266D1">
        <w:rPr>
          <w:color w:val="auto"/>
        </w:rPr>
        <w:t>Financial Plan</w:t>
      </w:r>
      <w:bookmarkEnd w:id="41"/>
    </w:p>
    <w:p w:rsidRPr="003266D1" w:rsidR="00BA64D6" w:rsidP="00BA64D6" w:rsidRDefault="00BA64D6" w14:paraId="3415F8C4" w14:textId="22857D3E">
      <w:pPr>
        <w:rPr>
          <w:szCs w:val="24"/>
          <w:lang w:val="en-US"/>
        </w:rPr>
      </w:pPr>
      <w:r w:rsidRPr="003266D1">
        <w:rPr>
          <w:szCs w:val="24"/>
          <w:lang w:val="en-US"/>
        </w:rPr>
        <w:t>The financial strategy of Volkswagen will have to strike a balance between transformational investment and margin resilience during the period of an increased price competition and regulation</w:t>
      </w:r>
      <w:r w:rsidRPr="003266D1" w:rsidR="00371EA5">
        <w:rPr>
          <w:szCs w:val="24"/>
          <w:lang w:val="en-US"/>
        </w:rPr>
        <w:t xml:space="preserve"> (</w:t>
      </w:r>
      <w:r w:rsidRPr="003266D1" w:rsidR="00371EA5">
        <w:t>Alekseev et al. 2018)</w:t>
      </w:r>
      <w:r w:rsidRPr="003266D1">
        <w:rPr>
          <w:szCs w:val="24"/>
          <w:lang w:val="en-US"/>
        </w:rPr>
        <w:t xml:space="preserve">. Under the FY2024 communications, Volkswagen highlights high performance and ongoing change agenda, implying that the management is more liquidity disciplined, cost controlled and strategic capital allocation in contrast to unchained growth spending (Volkswagen Group, 2025). </w:t>
      </w:r>
    </w:p>
    <w:p w:rsidRPr="003266D1" w:rsidR="00BA64D6" w:rsidP="00BA64D6" w:rsidRDefault="00BA64D6" w14:paraId="1F8C827D" w14:textId="40B68AE3">
      <w:pPr>
        <w:rPr>
          <w:szCs w:val="24"/>
          <w:lang w:val="en-US"/>
        </w:rPr>
      </w:pPr>
      <w:r w:rsidRPr="003266D1">
        <w:rPr>
          <w:szCs w:val="24"/>
          <w:lang w:val="en-US"/>
        </w:rPr>
        <w:t xml:space="preserve">Investment is only financially rational in terms of the VRIO when it improves valuable capabilities that are difficult to imitate and coexist with </w:t>
      </w:r>
      <w:proofErr w:type="spellStart"/>
      <w:r w:rsidRPr="003266D1">
        <w:rPr>
          <w:szCs w:val="24"/>
          <w:lang w:val="en-US"/>
        </w:rPr>
        <w:t>organisational</w:t>
      </w:r>
      <w:proofErr w:type="spellEnd"/>
      <w:r w:rsidRPr="003266D1">
        <w:rPr>
          <w:szCs w:val="24"/>
          <w:lang w:val="en-US"/>
        </w:rPr>
        <w:t xml:space="preserve"> systems, in other words, modular platform leverage and software integration routines (Chatzoglou et al., 2018; Paz and Ruiz Gálvez, 2021). In the face of competitive shocks in China and affordability pressure in Europe, financial plan must </w:t>
      </w:r>
      <w:proofErr w:type="spellStart"/>
      <w:r w:rsidRPr="003266D1">
        <w:rPr>
          <w:szCs w:val="24"/>
          <w:lang w:val="en-US"/>
        </w:rPr>
        <w:t>emphasise</w:t>
      </w:r>
      <w:proofErr w:type="spellEnd"/>
      <w:r w:rsidRPr="003266D1">
        <w:rPr>
          <w:szCs w:val="24"/>
          <w:lang w:val="en-US"/>
        </w:rPr>
        <w:t xml:space="preserve"> initiatives with shorter payback due to scale effects, lower unit cost with no loss of quality, and that spending is associated with quantifiable delivery milestones to prevent the so-called ability spending and no ability output phenomenon (Reuters, 2025; McKinsey </w:t>
      </w:r>
      <w:r w:rsidRPr="003266D1" w:rsidR="008C044D">
        <w:rPr>
          <w:szCs w:val="24"/>
          <w:lang w:val="en-US"/>
        </w:rPr>
        <w:t>and</w:t>
      </w:r>
      <w:r w:rsidRPr="003266D1">
        <w:rPr>
          <w:szCs w:val="24"/>
          <w:lang w:val="en-US"/>
        </w:rPr>
        <w:t xml:space="preserve"> Company, 2025).</w:t>
      </w:r>
    </w:p>
    <w:p w:rsidRPr="003266D1" w:rsidR="00275337" w:rsidP="00275337" w:rsidRDefault="00275337" w14:paraId="217A80DF" w14:textId="286F78B0">
      <w:pPr>
        <w:pStyle w:val="Caption"/>
        <w:rPr>
          <w:lang w:val="en-US"/>
        </w:rPr>
      </w:pPr>
      <w:r w:rsidRPr="003266D1">
        <w:rPr>
          <w:b w:val="0"/>
          <w:bCs/>
          <w:lang w:val="en-US"/>
        </w:rPr>
        <w:t xml:space="preserve"> </w:t>
      </w:r>
      <w:bookmarkStart w:name="_Toc223389543" w:id="42"/>
      <w:r w:rsidRPr="003266D1">
        <w:t xml:space="preserve">Table </w:t>
      </w:r>
      <w:r w:rsidRPr="003266D1">
        <w:fldChar w:fldCharType="begin"/>
      </w:r>
      <w:r w:rsidRPr="003266D1">
        <w:instrText xml:space="preserve"> SEQ Table \* ARABIC </w:instrText>
      </w:r>
      <w:r w:rsidRPr="003266D1">
        <w:fldChar w:fldCharType="separate"/>
      </w:r>
      <w:r w:rsidRPr="003266D1" w:rsidR="00371EA5">
        <w:t>11</w:t>
      </w:r>
      <w:r w:rsidRPr="003266D1">
        <w:fldChar w:fldCharType="end"/>
      </w:r>
      <w:r w:rsidRPr="003266D1">
        <w:t>. Financial-plan priorities linked to strategic capability and control</w:t>
      </w:r>
      <w:r w:rsidRPr="003266D1" w:rsidR="000A3D19">
        <w:t xml:space="preserve"> </w:t>
      </w:r>
      <w:r w:rsidRPr="003266D1" w:rsidR="000A3D19">
        <w:rPr>
          <w:lang w:val="en-US"/>
        </w:rPr>
        <w:t>(Volkswagen Group, 2025)</w:t>
      </w:r>
      <w:bookmarkEnd w:id="42"/>
    </w:p>
    <w:tbl>
      <w:tblPr>
        <w:tblStyle w:val="TableGrid"/>
        <w:tblW w:w="0" w:type="auto"/>
        <w:tblLook w:val="04A0" w:firstRow="1" w:lastRow="0" w:firstColumn="1" w:lastColumn="0" w:noHBand="0" w:noVBand="1"/>
      </w:tblPr>
      <w:tblGrid>
        <w:gridCol w:w="2277"/>
        <w:gridCol w:w="3171"/>
        <w:gridCol w:w="3548"/>
      </w:tblGrid>
      <w:tr w:rsidRPr="003266D1" w:rsidR="003266D1" w:rsidTr="00275337" w14:paraId="0029A6CB"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3266D1" w:rsidR="00275337" w:rsidP="00275337" w:rsidRDefault="00275337" w14:paraId="73AEB72C" w14:textId="77777777">
            <w:pPr>
              <w:rPr>
                <w:bCs/>
                <w:lang w:val="en-US"/>
              </w:rPr>
            </w:pPr>
            <w:r w:rsidRPr="003266D1">
              <w:rPr>
                <w:bCs/>
                <w:lang w:val="en-US"/>
              </w:rPr>
              <w:t>Financial priority</w:t>
            </w:r>
          </w:p>
        </w:tc>
        <w:tc>
          <w:tcPr>
            <w:tcW w:w="0" w:type="auto"/>
            <w:hideMark/>
          </w:tcPr>
          <w:p w:rsidRPr="003266D1" w:rsidR="00275337" w:rsidP="00275337" w:rsidRDefault="00275337" w14:paraId="10B61879" w14:textId="77777777">
            <w:pPr>
              <w:rPr>
                <w:bCs/>
                <w:lang w:val="en-US"/>
              </w:rPr>
            </w:pPr>
            <w:r w:rsidRPr="003266D1">
              <w:rPr>
                <w:bCs/>
                <w:lang w:val="en-US"/>
              </w:rPr>
              <w:t>Strategic logic</w:t>
            </w:r>
          </w:p>
        </w:tc>
        <w:tc>
          <w:tcPr>
            <w:tcW w:w="0" w:type="auto"/>
            <w:hideMark/>
          </w:tcPr>
          <w:p w:rsidRPr="003266D1" w:rsidR="00275337" w:rsidP="00275337" w:rsidRDefault="00275337" w14:paraId="34D59108" w14:textId="77777777">
            <w:pPr>
              <w:rPr>
                <w:bCs/>
                <w:lang w:val="en-US"/>
              </w:rPr>
            </w:pPr>
            <w:r w:rsidRPr="003266D1">
              <w:rPr>
                <w:bCs/>
                <w:lang w:val="en-US"/>
              </w:rPr>
              <w:t>Monitoring focus</w:t>
            </w:r>
          </w:p>
        </w:tc>
      </w:tr>
      <w:tr w:rsidRPr="003266D1" w:rsidR="003266D1" w:rsidTr="00275337" w14:paraId="00B3DB73" w14:textId="77777777">
        <w:tc>
          <w:tcPr>
            <w:tcW w:w="0" w:type="auto"/>
            <w:hideMark/>
          </w:tcPr>
          <w:p w:rsidRPr="003266D1" w:rsidR="00275337" w:rsidP="00275337" w:rsidRDefault="00275337" w14:paraId="58F066C7" w14:textId="77777777">
            <w:pPr>
              <w:rPr>
                <w:lang w:val="en-US"/>
              </w:rPr>
            </w:pPr>
            <w:r w:rsidRPr="003266D1">
              <w:rPr>
                <w:lang w:val="en-US"/>
              </w:rPr>
              <w:t>Capital allocation discipline</w:t>
            </w:r>
          </w:p>
        </w:tc>
        <w:tc>
          <w:tcPr>
            <w:tcW w:w="0" w:type="auto"/>
            <w:hideMark/>
          </w:tcPr>
          <w:p w:rsidRPr="003266D1" w:rsidR="00275337" w:rsidP="00275337" w:rsidRDefault="00275337" w14:paraId="19A3C081" w14:textId="3B8435C9">
            <w:pPr>
              <w:rPr>
                <w:lang w:val="en-US"/>
              </w:rPr>
            </w:pPr>
            <w:r w:rsidRPr="003266D1">
              <w:rPr>
                <w:lang w:val="en-US"/>
              </w:rPr>
              <w:t>Concentrate funding on platform leverage and integration capability</w:t>
            </w:r>
            <w:r w:rsidRPr="003266D1" w:rsidR="00371EA5">
              <w:rPr>
                <w:lang w:val="en-US"/>
              </w:rPr>
              <w:t xml:space="preserve"> </w:t>
            </w:r>
            <w:r w:rsidRPr="003266D1" w:rsidR="00371EA5">
              <w:rPr>
                <w:szCs w:val="24"/>
                <w:lang w:val="en-US"/>
              </w:rPr>
              <w:t>(</w:t>
            </w:r>
            <w:r w:rsidRPr="003266D1" w:rsidR="00371EA5">
              <w:t>Alekseev et al. 2018).</w:t>
            </w:r>
          </w:p>
        </w:tc>
        <w:tc>
          <w:tcPr>
            <w:tcW w:w="0" w:type="auto"/>
            <w:hideMark/>
          </w:tcPr>
          <w:p w:rsidRPr="003266D1" w:rsidR="00275337" w:rsidP="00275337" w:rsidRDefault="00275337" w14:paraId="3A1CDF6B" w14:textId="77777777">
            <w:pPr>
              <w:rPr>
                <w:lang w:val="en-US"/>
              </w:rPr>
            </w:pPr>
            <w:r w:rsidRPr="003266D1">
              <w:rPr>
                <w:lang w:val="en-US"/>
              </w:rPr>
              <w:t>ROI by platform/</w:t>
            </w:r>
            <w:proofErr w:type="spellStart"/>
            <w:r w:rsidRPr="003266D1">
              <w:rPr>
                <w:lang w:val="en-US"/>
              </w:rPr>
              <w:t>programme</w:t>
            </w:r>
            <w:proofErr w:type="spellEnd"/>
            <w:r w:rsidRPr="003266D1">
              <w:rPr>
                <w:lang w:val="en-US"/>
              </w:rPr>
              <w:t>; delivery milestones (Volkswagen Group, 2025)</w:t>
            </w:r>
          </w:p>
        </w:tc>
      </w:tr>
      <w:tr w:rsidRPr="003266D1" w:rsidR="003266D1" w:rsidTr="00275337" w14:paraId="2C050CE2" w14:textId="77777777">
        <w:tc>
          <w:tcPr>
            <w:tcW w:w="0" w:type="auto"/>
            <w:hideMark/>
          </w:tcPr>
          <w:p w:rsidRPr="003266D1" w:rsidR="00275337" w:rsidP="00275337" w:rsidRDefault="00275337" w14:paraId="0EF67A83" w14:textId="77777777">
            <w:pPr>
              <w:rPr>
                <w:lang w:val="en-US"/>
              </w:rPr>
            </w:pPr>
            <w:r w:rsidRPr="003266D1">
              <w:rPr>
                <w:lang w:val="en-US"/>
              </w:rPr>
              <w:t>Cost transformation with quality protection</w:t>
            </w:r>
          </w:p>
        </w:tc>
        <w:tc>
          <w:tcPr>
            <w:tcW w:w="0" w:type="auto"/>
            <w:hideMark/>
          </w:tcPr>
          <w:p w:rsidRPr="003266D1" w:rsidR="00275337" w:rsidP="00275337" w:rsidRDefault="00275337" w14:paraId="20C69BC1" w14:textId="77777777">
            <w:pPr>
              <w:rPr>
                <w:lang w:val="en-US"/>
              </w:rPr>
            </w:pPr>
            <w:r w:rsidRPr="003266D1">
              <w:rPr>
                <w:lang w:val="en-US"/>
              </w:rPr>
              <w:t>Defend margins while sustaining customer value</w:t>
            </w:r>
          </w:p>
        </w:tc>
        <w:tc>
          <w:tcPr>
            <w:tcW w:w="0" w:type="auto"/>
            <w:hideMark/>
          </w:tcPr>
          <w:p w:rsidRPr="003266D1" w:rsidR="00275337" w:rsidP="00275337" w:rsidRDefault="00275337" w14:paraId="7E5207E0" w14:textId="4A0D72EA">
            <w:pPr>
              <w:rPr>
                <w:lang w:val="en-US"/>
              </w:rPr>
            </w:pPr>
            <w:r w:rsidRPr="003266D1">
              <w:rPr>
                <w:lang w:val="en-US"/>
              </w:rPr>
              <w:t xml:space="preserve">Unit cost trend; defect/warranty costs (McKinsey </w:t>
            </w:r>
            <w:r w:rsidRPr="003266D1" w:rsidR="008C044D">
              <w:rPr>
                <w:lang w:val="en-US"/>
              </w:rPr>
              <w:t>and</w:t>
            </w:r>
            <w:r w:rsidRPr="003266D1">
              <w:rPr>
                <w:lang w:val="en-US"/>
              </w:rPr>
              <w:t xml:space="preserve"> Company, 2025)</w:t>
            </w:r>
          </w:p>
        </w:tc>
      </w:tr>
      <w:tr w:rsidRPr="003266D1" w:rsidR="003266D1" w:rsidTr="00275337" w14:paraId="308617D3" w14:textId="77777777">
        <w:tc>
          <w:tcPr>
            <w:tcW w:w="0" w:type="auto"/>
            <w:hideMark/>
          </w:tcPr>
          <w:p w:rsidRPr="003266D1" w:rsidR="00275337" w:rsidP="00275337" w:rsidRDefault="00275337" w14:paraId="58CBF691" w14:textId="77777777">
            <w:pPr>
              <w:rPr>
                <w:lang w:val="en-US"/>
              </w:rPr>
            </w:pPr>
            <w:r w:rsidRPr="003266D1">
              <w:rPr>
                <w:lang w:val="en-US"/>
              </w:rPr>
              <w:t>Regional risk balancing</w:t>
            </w:r>
          </w:p>
        </w:tc>
        <w:tc>
          <w:tcPr>
            <w:tcW w:w="0" w:type="auto"/>
            <w:hideMark/>
          </w:tcPr>
          <w:p w:rsidRPr="003266D1" w:rsidR="00275337" w:rsidP="00275337" w:rsidRDefault="00275337" w14:paraId="23BF08EC" w14:textId="77777777">
            <w:pPr>
              <w:rPr>
                <w:lang w:val="en-US"/>
              </w:rPr>
            </w:pPr>
            <w:r w:rsidRPr="003266D1">
              <w:rPr>
                <w:lang w:val="en-US"/>
              </w:rPr>
              <w:t>Reduce exposure to single-market shocks</w:t>
            </w:r>
          </w:p>
        </w:tc>
        <w:tc>
          <w:tcPr>
            <w:tcW w:w="0" w:type="auto"/>
            <w:hideMark/>
          </w:tcPr>
          <w:p w:rsidRPr="003266D1" w:rsidR="00275337" w:rsidP="00275337" w:rsidRDefault="00275337" w14:paraId="72C5FCF4" w14:textId="77777777">
            <w:pPr>
              <w:rPr>
                <w:lang w:val="en-US"/>
              </w:rPr>
            </w:pPr>
            <w:r w:rsidRPr="003266D1">
              <w:rPr>
                <w:lang w:val="en-US"/>
              </w:rPr>
              <w:t>China vs EU margin/volume mix (Reuters, 2025)</w:t>
            </w:r>
          </w:p>
        </w:tc>
      </w:tr>
      <w:tr w:rsidRPr="003266D1" w:rsidR="003266D1" w:rsidTr="00275337" w14:paraId="3E546552" w14:textId="77777777">
        <w:tc>
          <w:tcPr>
            <w:tcW w:w="0" w:type="auto"/>
            <w:hideMark/>
          </w:tcPr>
          <w:p w:rsidRPr="003266D1" w:rsidR="00275337" w:rsidP="00275337" w:rsidRDefault="00275337" w14:paraId="234CC4CF" w14:textId="77777777">
            <w:pPr>
              <w:rPr>
                <w:lang w:val="en-US"/>
              </w:rPr>
            </w:pPr>
            <w:r w:rsidRPr="003266D1">
              <w:rPr>
                <w:lang w:val="en-US"/>
              </w:rPr>
              <w:t>Investment-to-capability conversion</w:t>
            </w:r>
          </w:p>
        </w:tc>
        <w:tc>
          <w:tcPr>
            <w:tcW w:w="0" w:type="auto"/>
            <w:hideMark/>
          </w:tcPr>
          <w:p w:rsidRPr="003266D1" w:rsidR="00275337" w:rsidP="00275337" w:rsidRDefault="00275337" w14:paraId="5326F3CB" w14:textId="77777777">
            <w:pPr>
              <w:rPr>
                <w:lang w:val="en-US"/>
              </w:rPr>
            </w:pPr>
            <w:r w:rsidRPr="003266D1">
              <w:rPr>
                <w:lang w:val="en-US"/>
              </w:rPr>
              <w:t>Ensure spending strengthens VRIO-relevant capabilities</w:t>
            </w:r>
          </w:p>
        </w:tc>
        <w:tc>
          <w:tcPr>
            <w:tcW w:w="0" w:type="auto"/>
            <w:hideMark/>
          </w:tcPr>
          <w:p w:rsidRPr="003266D1" w:rsidR="00275337" w:rsidP="00275337" w:rsidRDefault="00275337" w14:paraId="18638E3C" w14:textId="77777777">
            <w:pPr>
              <w:rPr>
                <w:lang w:val="en-US"/>
              </w:rPr>
            </w:pPr>
            <w:r w:rsidRPr="003266D1">
              <w:rPr>
                <w:lang w:val="en-US"/>
              </w:rPr>
              <w:t>Capability KPIs tied to outcomes (Chatzoglou et al., 2018)</w:t>
            </w:r>
          </w:p>
        </w:tc>
      </w:tr>
    </w:tbl>
    <w:p w:rsidRPr="003266D1" w:rsidR="00F748C1" w:rsidRDefault="00F748C1" w14:paraId="17561644" w14:textId="47BA8546">
      <w:pPr>
        <w:spacing w:before="0" w:after="160" w:line="259" w:lineRule="auto"/>
        <w:jc w:val="left"/>
        <w:rPr>
          <w:lang w:val="en-US"/>
        </w:rPr>
      </w:pPr>
    </w:p>
    <w:p w:rsidRPr="003266D1" w:rsidR="004B06A6" w:rsidP="00E85270" w:rsidRDefault="004B06A6" w14:paraId="4AC0D565" w14:textId="4E3D0E30">
      <w:pPr>
        <w:pStyle w:val="Heading1"/>
        <w:rPr>
          <w:color w:val="auto"/>
        </w:rPr>
      </w:pPr>
      <w:bookmarkStart w:name="_Toc224947408" w:id="43"/>
      <w:r w:rsidRPr="003266D1">
        <w:rPr>
          <w:color w:val="auto"/>
        </w:rPr>
        <w:t>Recommendation and Conclusion</w:t>
      </w:r>
      <w:bookmarkEnd w:id="43"/>
    </w:p>
    <w:p w:rsidRPr="003266D1" w:rsidR="004B06A6" w:rsidP="00E85270" w:rsidRDefault="004B06A6" w14:paraId="62C75E0E" w14:textId="5B2255DB">
      <w:pPr>
        <w:pStyle w:val="Heading2"/>
        <w:rPr>
          <w:color w:val="auto"/>
        </w:rPr>
      </w:pPr>
      <w:bookmarkStart w:name="_Toc224947409" w:id="44"/>
      <w:r w:rsidRPr="003266D1">
        <w:rPr>
          <w:color w:val="auto"/>
        </w:rPr>
        <w:t>Strategic evaluation using SWOT and Ansoff</w:t>
      </w:r>
      <w:bookmarkEnd w:id="44"/>
    </w:p>
    <w:p w:rsidRPr="003266D1" w:rsidR="00932F7A" w:rsidP="00932F7A" w:rsidRDefault="00932F7A" w14:paraId="4F395017" w14:textId="77777777">
      <w:pPr>
        <w:rPr>
          <w:szCs w:val="24"/>
          <w:lang w:val="en-US"/>
        </w:rPr>
      </w:pPr>
      <w:r w:rsidRPr="003266D1">
        <w:rPr>
          <w:szCs w:val="24"/>
          <w:lang w:val="en-US"/>
        </w:rPr>
        <w:t>SWOT can be applied in case evidence-based, and applied to the development of strategic options, rather than descriptive statements (</w:t>
      </w:r>
      <w:proofErr w:type="spellStart"/>
      <w:r w:rsidRPr="003266D1">
        <w:rPr>
          <w:szCs w:val="24"/>
          <w:lang w:val="en-US"/>
        </w:rPr>
        <w:t>Benzaghta</w:t>
      </w:r>
      <w:proofErr w:type="spellEnd"/>
      <w:r w:rsidRPr="003266D1">
        <w:rPr>
          <w:szCs w:val="24"/>
          <w:lang w:val="en-US"/>
        </w:rPr>
        <w:t xml:space="preserve"> et al., 2021). The strengths of Volkswagen include modularity and scale on the platform (Paz and Ruiz Gálvez, 2021), and its weaknesses include complexity in the organisation and risk of software delivery (Ainvest, 2025). The opportunities are EV diffusion in the markets, and the demand changes caused by regulations, and the threats are the increase in the intensity of competition with Chinese manufacturers and the affordability pressure (Reuters, 2025; McKinsey and Company, 2025).</w:t>
      </w:r>
    </w:p>
    <w:p w:rsidRPr="003266D1" w:rsidR="002904D9" w:rsidP="004B06A6" w:rsidRDefault="002904D9" w14:paraId="4E9ADC3B" w14:textId="5BED8158">
      <w:pPr>
        <w:rPr>
          <w:lang w:val="en-US"/>
        </w:rPr>
      </w:pPr>
      <w:r w:rsidRPr="003266D1">
        <w:rPr>
          <w:noProof/>
          <w:lang w:val="en-US" w:eastAsia="en-US"/>
        </w:rPr>
        <w:drawing>
          <wp:inline distT="0" distB="0" distL="0" distR="0" wp14:anchorId="5C0783AB" wp14:editId="4C565302">
            <wp:extent cx="5696740" cy="3910154"/>
            <wp:effectExtent l="19050" t="19050" r="18415" b="14605"/>
            <wp:docPr id="16185278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a:extLst>
                        <a:ext uri="{28A0092B-C50C-407E-A947-70E740481C1C}">
                          <a14:useLocalDpi xmlns:a14="http://schemas.microsoft.com/office/drawing/2010/main" val="0"/>
                        </a:ext>
                      </a:extLst>
                    </a:blip>
                    <a:srcRect l="7442" r="7037" b="22055"/>
                    <a:stretch>
                      <a:fillRect/>
                    </a:stretch>
                  </pic:blipFill>
                  <pic:spPr bwMode="auto">
                    <a:xfrm>
                      <a:off x="0" y="0"/>
                      <a:ext cx="5737637" cy="3938225"/>
                    </a:xfrm>
                    <a:prstGeom prst="rect">
                      <a:avLst/>
                    </a:prstGeom>
                    <a:noFill/>
                    <a:ln>
                      <a:solidFill>
                        <a:schemeClr val="accent5">
                          <a:lumMod val="20000"/>
                          <a:lumOff val="80000"/>
                        </a:schemeClr>
                      </a:solidFill>
                    </a:ln>
                    <a:extLst>
                      <a:ext uri="{53640926-AAD7-44D8-BBD7-CCE9431645EC}">
                        <a14:shadowObscured xmlns:a14="http://schemas.microsoft.com/office/drawing/2010/main"/>
                      </a:ext>
                    </a:extLst>
                  </pic:spPr>
                </pic:pic>
              </a:graphicData>
            </a:graphic>
          </wp:inline>
        </w:drawing>
      </w:r>
    </w:p>
    <w:p w:rsidRPr="003266D1" w:rsidR="00FB081A" w:rsidP="00FB081A" w:rsidRDefault="00FB081A" w14:paraId="44547592" w14:textId="71A3CC55">
      <w:pPr>
        <w:pStyle w:val="Caption"/>
        <w:rPr>
          <w:lang w:val="en-US"/>
        </w:rPr>
      </w:pPr>
      <w:bookmarkStart w:name="_Toc223389535" w:id="45"/>
      <w:r w:rsidRPr="003266D1">
        <w:t xml:space="preserve">Figure </w:t>
      </w:r>
      <w:r w:rsidRPr="003266D1">
        <w:fldChar w:fldCharType="begin"/>
      </w:r>
      <w:r w:rsidRPr="003266D1">
        <w:instrText xml:space="preserve"> SEQ Figure \* ARABIC </w:instrText>
      </w:r>
      <w:r w:rsidRPr="003266D1">
        <w:fldChar w:fldCharType="separate"/>
      </w:r>
      <w:r w:rsidRPr="003266D1" w:rsidR="00B650D7">
        <w:t>7</w:t>
      </w:r>
      <w:r w:rsidRPr="003266D1">
        <w:fldChar w:fldCharType="end"/>
      </w:r>
      <w:r w:rsidRPr="003266D1">
        <w:t xml:space="preserve">. Volkswagen Group SWOT (EV and Software Transition Context) (Self-designed based on </w:t>
      </w:r>
      <w:r w:rsidRPr="003266D1">
        <w:rPr>
          <w:lang w:val="en-US"/>
        </w:rPr>
        <w:t xml:space="preserve">Reuters, 2025; McKinsey </w:t>
      </w:r>
      <w:r w:rsidRPr="003266D1" w:rsidR="008C044D">
        <w:rPr>
          <w:lang w:val="en-US"/>
        </w:rPr>
        <w:t>and</w:t>
      </w:r>
      <w:r w:rsidRPr="003266D1">
        <w:rPr>
          <w:lang w:val="en-US"/>
        </w:rPr>
        <w:t xml:space="preserve"> Company, 2025</w:t>
      </w:r>
      <w:r w:rsidRPr="003266D1">
        <w:t>)</w:t>
      </w:r>
      <w:bookmarkEnd w:id="45"/>
    </w:p>
    <w:p w:rsidRPr="003266D1" w:rsidR="00407C3A" w:rsidP="00407C3A" w:rsidRDefault="00407C3A" w14:paraId="25DC5453" w14:textId="6E407C26">
      <w:pPr>
        <w:rPr>
          <w:szCs w:val="24"/>
          <w:lang w:val="en-US"/>
        </w:rPr>
      </w:pPr>
      <w:r w:rsidRPr="003266D1">
        <w:rPr>
          <w:szCs w:val="24"/>
          <w:lang w:val="en-US"/>
        </w:rPr>
        <w:t xml:space="preserve">Ansoff is the complement to SWOT as it assists in </w:t>
      </w:r>
      <w:proofErr w:type="spellStart"/>
      <w:r w:rsidRPr="003266D1">
        <w:rPr>
          <w:szCs w:val="24"/>
          <w:lang w:val="en-US"/>
        </w:rPr>
        <w:t>organising</w:t>
      </w:r>
      <w:proofErr w:type="spellEnd"/>
      <w:r w:rsidRPr="003266D1">
        <w:rPr>
          <w:szCs w:val="24"/>
          <w:lang w:val="en-US"/>
        </w:rPr>
        <w:t xml:space="preserve"> the potential developmental opportunities and determines the strategic risk exposure</w:t>
      </w:r>
      <w:r w:rsidRPr="003266D1" w:rsidR="00371EA5">
        <w:rPr>
          <w:szCs w:val="24"/>
          <w:lang w:val="en-US"/>
        </w:rPr>
        <w:t xml:space="preserve"> (</w:t>
      </w:r>
      <w:proofErr w:type="spellStart"/>
      <w:r w:rsidRPr="003266D1" w:rsidR="00371EA5">
        <w:rPr>
          <w:szCs w:val="24"/>
          <w:lang w:val="en-US"/>
        </w:rPr>
        <w:t>Benzaghta</w:t>
      </w:r>
      <w:proofErr w:type="spellEnd"/>
      <w:r w:rsidRPr="003266D1" w:rsidR="00371EA5">
        <w:rPr>
          <w:szCs w:val="24"/>
          <w:lang w:val="en-US"/>
        </w:rPr>
        <w:t xml:space="preserve"> et al., 2021)</w:t>
      </w:r>
      <w:r w:rsidRPr="003266D1">
        <w:rPr>
          <w:szCs w:val="24"/>
          <w:lang w:val="en-US"/>
        </w:rPr>
        <w:t>. The matrix continues to be used to make market penetration, product development, market development and diversification decisions in information and service adjacent expansion like digital mobility services (Ferreira and de Sá, 2024). In the case of Volkswagen, the product development and market penetration in Europe will entail low-cost provision of EVs as per compliance and expectation of the customers, and market development is to be used in selected regions in a disciplined manner without excessive stretching. It is not generic expansion in China but a local relevance product and digital differentiation strategy in regaining its competitiveness amidst stiff domestic competition (Reuters, 2025; Bai, 2021).</w:t>
      </w:r>
    </w:p>
    <w:p w:rsidRPr="003266D1" w:rsidR="00A02F01" w:rsidP="004B06A6" w:rsidRDefault="001F0B20" w14:paraId="4B5C7B1E" w14:textId="0CECCF7E">
      <w:pPr>
        <w:rPr>
          <w:lang w:val="en-US"/>
        </w:rPr>
      </w:pPr>
      <w:r w:rsidRPr="003266D1">
        <w:rPr>
          <w:noProof/>
          <w:lang w:val="en-US" w:eastAsia="en-US"/>
        </w:rPr>
        <w:drawing>
          <wp:inline distT="0" distB="0" distL="0" distR="0" wp14:anchorId="5DFB3CF0" wp14:editId="3E66816C">
            <wp:extent cx="5725160" cy="3730028"/>
            <wp:effectExtent l="0" t="0" r="8890" b="3810"/>
            <wp:docPr id="2074421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11357"/>
                    <a:stretch>
                      <a:fillRect/>
                    </a:stretch>
                  </pic:blipFill>
                  <pic:spPr bwMode="auto">
                    <a:xfrm>
                      <a:off x="0" y="0"/>
                      <a:ext cx="5745590" cy="3743338"/>
                    </a:xfrm>
                    <a:prstGeom prst="rect">
                      <a:avLst/>
                    </a:prstGeom>
                    <a:noFill/>
                    <a:ln>
                      <a:noFill/>
                    </a:ln>
                    <a:extLst>
                      <a:ext uri="{53640926-AAD7-44D8-BBD7-CCE9431645EC}">
                        <a14:shadowObscured xmlns:a14="http://schemas.microsoft.com/office/drawing/2010/main"/>
                      </a:ext>
                    </a:extLst>
                  </pic:spPr>
                </pic:pic>
              </a:graphicData>
            </a:graphic>
          </wp:inline>
        </w:drawing>
      </w:r>
    </w:p>
    <w:p w:rsidRPr="003266D1" w:rsidR="00FB081A" w:rsidP="00633857" w:rsidRDefault="00633857" w14:paraId="5B6ED96A" w14:textId="465BF9A8">
      <w:pPr>
        <w:pStyle w:val="Caption"/>
        <w:rPr>
          <w:lang w:val="en-US"/>
        </w:rPr>
      </w:pPr>
      <w:r w:rsidRPr="003266D1">
        <w:rPr>
          <w:rStyle w:val="text-token-text-tertiary"/>
          <w:rFonts w:eastAsiaTheme="majorEastAsia"/>
        </w:rPr>
        <w:t xml:space="preserve"> </w:t>
      </w:r>
      <w:bookmarkStart w:name="_Toc223389536" w:id="46"/>
      <w:r w:rsidRPr="003266D1">
        <w:t xml:space="preserve">Figure </w:t>
      </w:r>
      <w:r w:rsidRPr="003266D1">
        <w:fldChar w:fldCharType="begin"/>
      </w:r>
      <w:r w:rsidRPr="003266D1">
        <w:instrText xml:space="preserve"> SEQ Figure \* ARABIC </w:instrText>
      </w:r>
      <w:r w:rsidRPr="003266D1">
        <w:fldChar w:fldCharType="separate"/>
      </w:r>
      <w:r w:rsidRPr="003266D1" w:rsidR="00B650D7">
        <w:t>8</w:t>
      </w:r>
      <w:r w:rsidRPr="003266D1">
        <w:fldChar w:fldCharType="end"/>
      </w:r>
      <w:r w:rsidRPr="003266D1">
        <w:t xml:space="preserve">. Volkswagen growth strategy matrix (Self-designed based on </w:t>
      </w:r>
      <w:r w:rsidRPr="003266D1">
        <w:rPr>
          <w:lang w:val="en-US"/>
        </w:rPr>
        <w:t>Reuters, 2025; Bai, 2021</w:t>
      </w:r>
      <w:r w:rsidRPr="003266D1">
        <w:t>)</w:t>
      </w:r>
      <w:bookmarkEnd w:id="46"/>
    </w:p>
    <w:p w:rsidRPr="003266D1" w:rsidR="004B06A6" w:rsidP="00E85270" w:rsidRDefault="004B06A6" w14:paraId="135280AE" w14:textId="009B5C18">
      <w:pPr>
        <w:pStyle w:val="Heading2"/>
        <w:rPr>
          <w:color w:val="auto"/>
        </w:rPr>
      </w:pPr>
      <w:bookmarkStart w:name="_Toc224947410" w:id="47"/>
      <w:r w:rsidRPr="003266D1">
        <w:rPr>
          <w:color w:val="auto"/>
        </w:rPr>
        <w:t>Recommendations (evidence-led and implementation-oriented)</w:t>
      </w:r>
      <w:bookmarkEnd w:id="47"/>
    </w:p>
    <w:p w:rsidRPr="003266D1" w:rsidR="00D36F41" w:rsidP="00D36F41" w:rsidRDefault="00D36F41" w14:paraId="18C7B070" w14:textId="11DD6A14">
      <w:pPr>
        <w:rPr>
          <w:szCs w:val="24"/>
          <w:lang w:val="en-US"/>
        </w:rPr>
      </w:pPr>
      <w:r w:rsidRPr="003266D1">
        <w:rPr>
          <w:szCs w:val="24"/>
          <w:lang w:val="en-US"/>
        </w:rPr>
        <w:t xml:space="preserve">First, Volkswagen needs to strengthen a firm-wide integration capability as a core strategic competence, where elements of software delivery, partner integration and governance are regarded as VRIO relevant </w:t>
      </w:r>
      <w:proofErr w:type="spellStart"/>
      <w:r w:rsidRPr="003266D1">
        <w:rPr>
          <w:szCs w:val="24"/>
          <w:lang w:val="en-US"/>
        </w:rPr>
        <w:t>organisational</w:t>
      </w:r>
      <w:proofErr w:type="spellEnd"/>
      <w:r w:rsidRPr="003266D1">
        <w:rPr>
          <w:szCs w:val="24"/>
          <w:lang w:val="en-US"/>
        </w:rPr>
        <w:t xml:space="preserve"> capabilities and not discrete projects; this is a direct response to strategic importance of software-defined vehicles, and an answer to well-</w:t>
      </w:r>
      <w:proofErr w:type="spellStart"/>
      <w:r w:rsidRPr="003266D1">
        <w:rPr>
          <w:szCs w:val="24"/>
          <w:lang w:val="en-US"/>
        </w:rPr>
        <w:t>publicised</w:t>
      </w:r>
      <w:proofErr w:type="spellEnd"/>
      <w:r w:rsidRPr="003266D1">
        <w:rPr>
          <w:szCs w:val="24"/>
          <w:lang w:val="en-US"/>
        </w:rPr>
        <w:t xml:space="preserve"> challenges with tech-unit performance (Ainvest, 2025; Volkswagen Group, 2026). </w:t>
      </w:r>
    </w:p>
    <w:p w:rsidRPr="003266D1" w:rsidR="00D36F41" w:rsidP="00D36F41" w:rsidRDefault="00D36F41" w14:paraId="3FC86BF0" w14:textId="6097894E">
      <w:pPr>
        <w:rPr>
          <w:szCs w:val="24"/>
          <w:lang w:val="en-US"/>
        </w:rPr>
      </w:pPr>
      <w:r w:rsidRPr="003266D1">
        <w:rPr>
          <w:szCs w:val="24"/>
          <w:lang w:val="en-US"/>
        </w:rPr>
        <w:t xml:space="preserve">Secondly, platform and portfolio governance in Volkswagen ought to be instituted to reduce the cost of complexity, protect speed and offer affordability without sacrificing quality. Modular platform effects supplier evidence suggests that modularity can help to achieve coordination and performance when interfaces and standards are handled in a similar fashion (Paz and Ruiz Gálvez, 2021). This will enable the cost leadership on the mass market brands and concurrent differentiation on the premium brands based on the competitive strategy trade-offs offerings in the literature </w:t>
      </w:r>
      <w:r w:rsidRPr="003266D1" w:rsidR="00C41272">
        <w:rPr>
          <w:lang w:val="en-US"/>
        </w:rPr>
        <w:t>(Jyoti</w:t>
      </w:r>
      <w:r w:rsidRPr="003266D1" w:rsidR="00585103">
        <w:rPr>
          <w:lang w:val="en-US"/>
        </w:rPr>
        <w:t xml:space="preserve"> et al.</w:t>
      </w:r>
      <w:r w:rsidRPr="003266D1" w:rsidR="00C41272">
        <w:rPr>
          <w:lang w:val="en-US"/>
        </w:rPr>
        <w:t>, 2017)</w:t>
      </w:r>
      <w:r w:rsidRPr="003266D1">
        <w:rPr>
          <w:szCs w:val="24"/>
          <w:lang w:val="en-US"/>
        </w:rPr>
        <w:t>.</w:t>
      </w:r>
    </w:p>
    <w:p w:rsidRPr="003266D1" w:rsidR="004B06A6" w:rsidP="004B06A6" w:rsidRDefault="00D36F41" w14:paraId="2282EB9C" w14:textId="578018E9">
      <w:pPr>
        <w:rPr>
          <w:szCs w:val="24"/>
          <w:lang w:val="en-US"/>
        </w:rPr>
      </w:pPr>
      <w:r w:rsidRPr="003266D1">
        <w:rPr>
          <w:szCs w:val="24"/>
          <w:lang w:val="en-US"/>
        </w:rPr>
        <w:t xml:space="preserve">Third, Volkswagen ought to come up with a strategy of China which is local responsiveness and digital features competitiveness, and performance accountability. According to investigative reporting, new auto giants in China have moved ahead of incumbents and therefore position is unlikely to be reclaimed by using business as usual (Reuters, 2025). The relevance of </w:t>
      </w:r>
      <w:proofErr w:type="spellStart"/>
      <w:r w:rsidRPr="003266D1">
        <w:rPr>
          <w:szCs w:val="24"/>
          <w:lang w:val="en-US"/>
        </w:rPr>
        <w:t>localisation</w:t>
      </w:r>
      <w:proofErr w:type="spellEnd"/>
      <w:r w:rsidRPr="003266D1">
        <w:rPr>
          <w:szCs w:val="24"/>
          <w:lang w:val="en-US"/>
        </w:rPr>
        <w:t xml:space="preserve"> of overseas management strategies to the host market dynamics, as opposed to global </w:t>
      </w:r>
      <w:proofErr w:type="spellStart"/>
      <w:r w:rsidRPr="003266D1">
        <w:rPr>
          <w:szCs w:val="24"/>
          <w:lang w:val="en-US"/>
        </w:rPr>
        <w:t>standardisation</w:t>
      </w:r>
      <w:proofErr w:type="spellEnd"/>
      <w:r w:rsidRPr="003266D1">
        <w:rPr>
          <w:szCs w:val="24"/>
          <w:lang w:val="en-US"/>
        </w:rPr>
        <w:t xml:space="preserve">, is also expressed in international strategy research relating to Volkswagen (Bai, 2021). </w:t>
      </w:r>
    </w:p>
    <w:p w:rsidRPr="003266D1" w:rsidR="004B06A6" w:rsidP="00E85270" w:rsidRDefault="004B06A6" w14:paraId="13958C07" w14:textId="42E333AC">
      <w:pPr>
        <w:pStyle w:val="Heading1"/>
        <w:rPr>
          <w:color w:val="auto"/>
        </w:rPr>
      </w:pPr>
      <w:bookmarkStart w:name="_Toc224947411" w:id="48"/>
      <w:r w:rsidRPr="003266D1">
        <w:rPr>
          <w:color w:val="auto"/>
        </w:rPr>
        <w:t>Conclusion</w:t>
      </w:r>
      <w:bookmarkEnd w:id="48"/>
    </w:p>
    <w:p w:rsidRPr="003266D1" w:rsidR="00ED2AAE" w:rsidP="00ED2AAE" w:rsidRDefault="00ED2AAE" w14:paraId="08875EF9" w14:textId="68488EC4">
      <w:pPr>
        <w:rPr>
          <w:szCs w:val="24"/>
          <w:lang w:val="en-US"/>
        </w:rPr>
      </w:pPr>
      <w:r w:rsidRPr="003266D1">
        <w:rPr>
          <w:szCs w:val="24"/>
          <w:lang w:val="en-US"/>
        </w:rPr>
        <w:t xml:space="preserve">The strategic management issue that Volkswagen is facing is to convert strong scale and modular platform assets into long-term competitive advantage under increased regulatory constraints, hastening EV adoption, and major competitive pressure. The externality analysis shows that fast regulatory flexibility in the short term does not nullify the long-term pressure of transformation as the demand aspect of the competitive pressure and in particular, the competitive pressure of the EV ecosystem in China compel the urgency to deliver the cost and capability (European Parliament and Council, 2025; Reuters, 2025). The internal analysis indicates that platform capability is a believable competitive advantage in cases where </w:t>
      </w:r>
      <w:proofErr w:type="spellStart"/>
      <w:r w:rsidRPr="003266D1">
        <w:rPr>
          <w:szCs w:val="24"/>
          <w:lang w:val="en-US"/>
        </w:rPr>
        <w:t>organisational</w:t>
      </w:r>
      <w:proofErr w:type="spellEnd"/>
      <w:r w:rsidRPr="003266D1">
        <w:rPr>
          <w:szCs w:val="24"/>
          <w:lang w:val="en-US"/>
        </w:rPr>
        <w:t xml:space="preserve"> alignment is strong, however software integration and complexity control are overwhelming limitations. </w:t>
      </w:r>
    </w:p>
    <w:p w:rsidRPr="003266D1" w:rsidR="004B06A6" w:rsidP="004B06A6" w:rsidRDefault="004B06A6" w14:paraId="6B299F8A" w14:textId="1266B055">
      <w:pPr>
        <w:rPr>
          <w:lang w:val="en-US"/>
        </w:rPr>
      </w:pPr>
    </w:p>
    <w:p w:rsidRPr="003266D1" w:rsidR="00F57124" w:rsidRDefault="00F57124" w14:paraId="5D8B6BE0" w14:textId="77777777">
      <w:pPr>
        <w:spacing w:before="0" w:after="160" w:line="259" w:lineRule="auto"/>
        <w:jc w:val="left"/>
        <w:rPr>
          <w:lang w:val="en-US"/>
        </w:rPr>
      </w:pPr>
      <w:r w:rsidRPr="003266D1">
        <w:rPr>
          <w:lang w:val="en-US"/>
        </w:rPr>
        <w:br w:type="page"/>
      </w:r>
    </w:p>
    <w:p w:rsidRPr="003266D1" w:rsidR="004B06A6" w:rsidP="00E85270" w:rsidRDefault="004B06A6" w14:paraId="71582EBC" w14:textId="7A48910B">
      <w:pPr>
        <w:pStyle w:val="Heading1"/>
        <w:rPr>
          <w:color w:val="auto"/>
        </w:rPr>
      </w:pPr>
      <w:bookmarkStart w:name="_Toc224947412" w:id="49"/>
      <w:r w:rsidRPr="003266D1">
        <w:rPr>
          <w:color w:val="auto"/>
        </w:rPr>
        <w:t>Reflective Account (Gibbs’ Reflective Cycle)</w:t>
      </w:r>
      <w:bookmarkEnd w:id="49"/>
    </w:p>
    <w:p w:rsidRPr="003266D1" w:rsidR="004B06A6" w:rsidP="00E85270" w:rsidRDefault="004B06A6" w14:paraId="5F05C919" w14:textId="3BE5A38B">
      <w:pPr>
        <w:pStyle w:val="Heading2"/>
        <w:rPr>
          <w:color w:val="auto"/>
        </w:rPr>
      </w:pPr>
      <w:bookmarkStart w:name="_Toc224947413" w:id="50"/>
      <w:r w:rsidRPr="003266D1">
        <w:rPr>
          <w:color w:val="auto"/>
        </w:rPr>
        <w:t>Description</w:t>
      </w:r>
      <w:bookmarkEnd w:id="50"/>
    </w:p>
    <w:p w:rsidRPr="003266D1" w:rsidR="00981D1F" w:rsidP="00981D1F" w:rsidRDefault="00981D1F" w14:paraId="3BC5EAF7" w14:textId="5A1FEF7F">
      <w:pPr>
        <w:rPr>
          <w:szCs w:val="24"/>
          <w:lang w:val="en-US"/>
        </w:rPr>
      </w:pPr>
      <w:r w:rsidRPr="003266D1">
        <w:rPr>
          <w:szCs w:val="24"/>
          <w:lang w:val="en-US"/>
        </w:rPr>
        <w:t xml:space="preserve">The </w:t>
      </w:r>
      <w:r w:rsidRPr="003266D1">
        <w:rPr>
          <w:lang w:val="en-US"/>
        </w:rPr>
        <w:t xml:space="preserve">process began by </w:t>
      </w:r>
      <w:r w:rsidRPr="003266D1">
        <w:rPr>
          <w:szCs w:val="24"/>
          <w:lang w:val="en-US"/>
        </w:rPr>
        <w:t xml:space="preserve">mapping the assignment requirements onto the leader of the module proposals on how to structure assignments with the meaning that the individual components of the brief were mapped to the PESTEL, VRIO, CSR, Balanced Scorecard, strategic choice, implementation, and evaluation: them. The second step was to select the sources out of the list of references given in order to form an evidence-based story. The </w:t>
      </w:r>
      <w:proofErr w:type="spellStart"/>
      <w:r w:rsidRPr="003266D1">
        <w:rPr>
          <w:szCs w:val="24"/>
          <w:lang w:val="en-US"/>
        </w:rPr>
        <w:t>organisational</w:t>
      </w:r>
      <w:proofErr w:type="spellEnd"/>
      <w:r w:rsidRPr="003266D1">
        <w:rPr>
          <w:szCs w:val="24"/>
          <w:lang w:val="en-US"/>
        </w:rPr>
        <w:t xml:space="preserve"> context and strategic intent were taken as main sources of company reporting (Volkswagen Group, 2025), and the priority was given to the regulatory and competitive environment information as external sources (European Parliament and Council, 2025; Reuters, 2025; IEA, 2025). Then the support of the model application was also supported by scholarly sources and the reinforcement of the critique instead of the description (Buye, 2021, Chatzoglou et al., 1996).</w:t>
      </w:r>
    </w:p>
    <w:p w:rsidRPr="003266D1" w:rsidR="004B06A6" w:rsidP="00E85270" w:rsidRDefault="004B06A6" w14:paraId="3FEDAA70" w14:textId="44B16BA8">
      <w:pPr>
        <w:pStyle w:val="Heading2"/>
        <w:rPr>
          <w:color w:val="auto"/>
        </w:rPr>
      </w:pPr>
      <w:bookmarkStart w:name="_Toc224947414" w:id="51"/>
      <w:r w:rsidRPr="003266D1">
        <w:rPr>
          <w:color w:val="auto"/>
        </w:rPr>
        <w:t>Feelings</w:t>
      </w:r>
      <w:bookmarkEnd w:id="51"/>
    </w:p>
    <w:p w:rsidRPr="003266D1" w:rsidR="004B06A6" w:rsidP="004B06A6" w:rsidRDefault="004B06A6" w14:paraId="1BB07384" w14:textId="6BDCE789">
      <w:pPr>
        <w:rPr>
          <w:lang w:val="en-US"/>
        </w:rPr>
      </w:pPr>
      <w:r w:rsidRPr="003266D1">
        <w:rPr>
          <w:lang w:val="en-US"/>
        </w:rPr>
        <w:t xml:space="preserve">Initially, </w:t>
      </w:r>
      <w:r w:rsidRPr="003266D1" w:rsidR="00B11197">
        <w:rPr>
          <w:szCs w:val="24"/>
          <w:lang w:val="en-US"/>
        </w:rPr>
        <w:t xml:space="preserve">there was the danger of publishing a model-laden report which explained structures without building an argument. This was enhanced by the fact that the need to cut the normal length of a report to a shorter one could encourage the superficiality of the report. The regained confidence would be in the form of a clear thread: the argument in the report would be that competitive advantage of Volkswagen lies in internal -external fit with the platform modularity as an asset and software integration as a liability. Structured method also helped to make the anxiety less intimidating because each part comprised the final recommendations in line with the advantages of reflective </w:t>
      </w:r>
      <w:proofErr w:type="spellStart"/>
      <w:r w:rsidRPr="003266D1" w:rsidR="00B11197">
        <w:rPr>
          <w:szCs w:val="24"/>
          <w:lang w:val="en-US"/>
        </w:rPr>
        <w:t>practise</w:t>
      </w:r>
      <w:proofErr w:type="spellEnd"/>
      <w:r w:rsidRPr="003266D1" w:rsidR="00B11197">
        <w:rPr>
          <w:szCs w:val="24"/>
          <w:lang w:val="en-US"/>
        </w:rPr>
        <w:t xml:space="preserve"> reported in literature of the field (</w:t>
      </w:r>
      <w:proofErr w:type="spellStart"/>
      <w:r w:rsidRPr="003266D1" w:rsidR="00B11197">
        <w:rPr>
          <w:szCs w:val="24"/>
          <w:lang w:val="en-US"/>
        </w:rPr>
        <w:t>Adeani</w:t>
      </w:r>
      <w:proofErr w:type="spellEnd"/>
      <w:r w:rsidRPr="003266D1" w:rsidR="003C3C5E">
        <w:rPr>
          <w:szCs w:val="24"/>
          <w:lang w:val="en-US"/>
        </w:rPr>
        <w:t xml:space="preserve"> et al.</w:t>
      </w:r>
      <w:r w:rsidRPr="003266D1" w:rsidR="00B11197">
        <w:rPr>
          <w:szCs w:val="24"/>
          <w:lang w:val="en-US"/>
        </w:rPr>
        <w:t>, 2020).</w:t>
      </w:r>
    </w:p>
    <w:p w:rsidRPr="003266D1" w:rsidR="004B06A6" w:rsidP="00E85270" w:rsidRDefault="004B06A6" w14:paraId="5B4C46D9" w14:textId="555BFACD">
      <w:pPr>
        <w:pStyle w:val="Heading2"/>
        <w:rPr>
          <w:color w:val="auto"/>
        </w:rPr>
      </w:pPr>
      <w:bookmarkStart w:name="_Toc224947415" w:id="52"/>
      <w:r w:rsidRPr="003266D1">
        <w:rPr>
          <w:color w:val="auto"/>
        </w:rPr>
        <w:t>Evaluation</w:t>
      </w:r>
      <w:bookmarkEnd w:id="52"/>
    </w:p>
    <w:p w:rsidRPr="003266D1" w:rsidR="00DE5894" w:rsidP="00DE5894" w:rsidRDefault="00DE5894" w14:paraId="12C4A760" w14:textId="0C7E3936">
      <w:pPr>
        <w:rPr>
          <w:szCs w:val="24"/>
          <w:lang w:val="en-US"/>
        </w:rPr>
      </w:pPr>
      <w:r w:rsidRPr="003266D1">
        <w:rPr>
          <w:szCs w:val="24"/>
          <w:lang w:val="en-US"/>
        </w:rPr>
        <w:t>The most prominent aspect of the process was the capability to tie evidence to analysis in a disciplined fashion, in particular with the help of regulation as a tangible external constraint and modular platform evidence as a tangible inner ability (Paz and Ruiz Gálvez, 2021). This improved the credibility of recommendations because they were based on logical sense of problems diagnosed. It had a weakness in the fact that time and word count limit made it impossible to conduct financial analysis in greater detail and gave a lesser chance to examine other strategic scenarios in detail. A small universe of high impact sources of external information was also used to determine the current competitive dynamics, but triangulation was also made by integrating context of the industry with evidence of IEA and European competitiveness commentary (IEA, 2025).</w:t>
      </w:r>
    </w:p>
    <w:p w:rsidRPr="003266D1" w:rsidR="004B06A6" w:rsidP="00E85270" w:rsidRDefault="004B06A6" w14:paraId="720C52CA" w14:textId="464EBAAB">
      <w:pPr>
        <w:pStyle w:val="Heading2"/>
        <w:rPr>
          <w:color w:val="auto"/>
        </w:rPr>
      </w:pPr>
      <w:bookmarkStart w:name="_Toc224947416" w:id="53"/>
      <w:r w:rsidRPr="003266D1">
        <w:rPr>
          <w:color w:val="auto"/>
        </w:rPr>
        <w:t>Analysis</w:t>
      </w:r>
      <w:bookmarkEnd w:id="53"/>
    </w:p>
    <w:p w:rsidRPr="003266D1" w:rsidR="009D29D0" w:rsidP="009D29D0" w:rsidRDefault="009D29D0" w14:paraId="7227CC83" w14:textId="2FD6E6C7">
      <w:pPr>
        <w:rPr>
          <w:szCs w:val="24"/>
          <w:lang w:val="en-US"/>
        </w:rPr>
      </w:pPr>
      <w:r w:rsidRPr="003266D1">
        <w:rPr>
          <w:szCs w:val="24"/>
          <w:lang w:val="en-US"/>
        </w:rPr>
        <w:t xml:space="preserve">The application of Gibbs cycle enabled an iterative cycle of evidence selection, model application and synthesis until sections were coherent. The PESTEL phase had to be approached with a critical eye to avoid perceiving categories as being independent; scholarly research cautions that PESTEL approaches the strategist side of strategic planning to become mechanistic without the analyst consciously forming the connection between the categories and strategic decisions and taking into account the limitations of the tools (Buye, 2021). Similarly focused discipline was also required by VRIO analysis since the value and the rarity is a statement that can be made and not proved and the process so was oriented towards capabilities that have a much more empirically grounded base such as modular platforms and </w:t>
      </w:r>
      <w:proofErr w:type="spellStart"/>
      <w:r w:rsidRPr="003266D1">
        <w:rPr>
          <w:szCs w:val="24"/>
          <w:lang w:val="en-US"/>
        </w:rPr>
        <w:t>organisational</w:t>
      </w:r>
      <w:proofErr w:type="spellEnd"/>
      <w:r w:rsidRPr="003266D1">
        <w:rPr>
          <w:szCs w:val="24"/>
          <w:lang w:val="en-US"/>
        </w:rPr>
        <w:t xml:space="preserve"> systems, which aligns with the RBV research that highlights the importance of firm-specific factors in the formation of strategy - performance outcomes (Chatzoglou et al., 2018). </w:t>
      </w:r>
    </w:p>
    <w:p w:rsidRPr="003266D1" w:rsidR="004B06A6" w:rsidP="009D29D0" w:rsidRDefault="009D29D0" w14:paraId="5DD0F3B6" w14:textId="601802EF">
      <w:pPr>
        <w:rPr>
          <w:lang w:val="en-US"/>
        </w:rPr>
      </w:pPr>
      <w:r w:rsidRPr="003266D1">
        <w:rPr>
          <w:szCs w:val="24"/>
          <w:lang w:val="en-US"/>
        </w:rPr>
        <w:t>Balanced scorecard was subsequently used as an interface between strategy and implementation to seal the gap between abstract priorities and measurable initiatives and this aligns with the argument by Kaplan and Norton that the scorecards were strategic management systems and not performance dashboards (Kaplan and Norton, 1996). This is a reflective discussion that greatly aligns with the idea that critical strategy work is based on the requirement to move beyond description to justified judgement under incomplete data</w:t>
      </w:r>
    </w:p>
    <w:p w:rsidRPr="003266D1" w:rsidR="004B06A6" w:rsidP="00E85270" w:rsidRDefault="004B06A6" w14:paraId="34226F59" w14:textId="1FCE3EDF">
      <w:pPr>
        <w:pStyle w:val="Heading2"/>
        <w:rPr>
          <w:color w:val="auto"/>
        </w:rPr>
      </w:pPr>
      <w:bookmarkStart w:name="_Toc224947417" w:id="54"/>
      <w:r w:rsidRPr="003266D1">
        <w:rPr>
          <w:color w:val="auto"/>
        </w:rPr>
        <w:t>Conclusion</w:t>
      </w:r>
      <w:bookmarkEnd w:id="54"/>
    </w:p>
    <w:p w:rsidRPr="003266D1" w:rsidR="004B06A6" w:rsidP="004B06A6" w:rsidRDefault="00542BB6" w14:paraId="28168831" w14:textId="1F9DC3A8">
      <w:pPr>
        <w:rPr>
          <w:szCs w:val="24"/>
          <w:lang w:val="en-US"/>
        </w:rPr>
      </w:pPr>
      <w:r w:rsidRPr="003266D1">
        <w:rPr>
          <w:szCs w:val="24"/>
          <w:lang w:val="en-US"/>
        </w:rPr>
        <w:t xml:space="preserve">This </w:t>
      </w:r>
      <w:r w:rsidRPr="003266D1">
        <w:rPr>
          <w:lang w:val="en-US"/>
        </w:rPr>
        <w:t xml:space="preserve">process </w:t>
      </w:r>
      <w:r w:rsidRPr="003266D1">
        <w:rPr>
          <w:szCs w:val="24"/>
          <w:lang w:val="en-US"/>
        </w:rPr>
        <w:t xml:space="preserve">revealed that writing a good strategic report needs consistency compared to quantity: The case needs to connect context, external forces, internal capabilities, and suggestions with </w:t>
      </w:r>
      <w:proofErr w:type="spellStart"/>
      <w:r w:rsidRPr="003266D1">
        <w:rPr>
          <w:szCs w:val="24"/>
          <w:lang w:val="en-US"/>
        </w:rPr>
        <w:t>rationalised</w:t>
      </w:r>
      <w:proofErr w:type="spellEnd"/>
      <w:r w:rsidRPr="003266D1">
        <w:rPr>
          <w:szCs w:val="24"/>
          <w:lang w:val="en-US"/>
        </w:rPr>
        <w:t xml:space="preserve"> logic and affirmations. We learned the best, that models are not convincing as such, but rather as analytical instruments to </w:t>
      </w:r>
      <w:proofErr w:type="spellStart"/>
      <w:r w:rsidRPr="003266D1">
        <w:rPr>
          <w:szCs w:val="24"/>
          <w:lang w:val="en-US"/>
        </w:rPr>
        <w:t>organise</w:t>
      </w:r>
      <w:proofErr w:type="spellEnd"/>
      <w:r w:rsidRPr="003266D1">
        <w:rPr>
          <w:szCs w:val="24"/>
          <w:lang w:val="en-US"/>
        </w:rPr>
        <w:t xml:space="preserve"> evidence and create action implications. The second lesson was that implementation capability is a strategic variable; concepts of change management are needed in order to prevent recommendations that presuppose a frictionless implementation of the recommendations (Hayes, 2010).</w:t>
      </w:r>
    </w:p>
    <w:p w:rsidRPr="003266D1" w:rsidR="004B06A6" w:rsidP="00E85270" w:rsidRDefault="004B06A6" w14:paraId="037397FF" w14:textId="32CDE4C6">
      <w:pPr>
        <w:pStyle w:val="Heading2"/>
        <w:rPr>
          <w:color w:val="auto"/>
        </w:rPr>
      </w:pPr>
      <w:bookmarkStart w:name="_Toc224947418" w:id="55"/>
      <w:r w:rsidRPr="003266D1">
        <w:rPr>
          <w:color w:val="auto"/>
        </w:rPr>
        <w:t>Action Plan</w:t>
      </w:r>
      <w:bookmarkEnd w:id="55"/>
    </w:p>
    <w:p w:rsidRPr="003266D1" w:rsidR="00AF3CE2" w:rsidP="004B06A6" w:rsidRDefault="003E4166" w14:paraId="0A4BC055" w14:textId="51CA8366">
      <w:pPr>
        <w:rPr>
          <w:lang w:val="en-US"/>
        </w:rPr>
      </w:pPr>
      <w:r w:rsidRPr="003266D1">
        <w:rPr>
          <w:lang w:val="en-US"/>
        </w:rPr>
        <w:t xml:space="preserve">To enhance future tasks, the initial step will be to enhance the quality of the evidence by sourcing more quantified measures of performance directly out of Volkswagen annual reporting and incorporating them into the argument, especially in the case of profitability drivers, investment priorities, and regional performance comparisons. That would enable the analysis to shift to closer examinations on whether strategic initiatives are enhancing outcomes. The second will be to develop other strategic situations prior to writing the final recommendations where at least two possible strategic routes are compared and how they would work under varying market and regulatory environments. It will be reinforced by clear risk and sensitivity analysis as part of the evaluation and control section so that the recommendations will not reflect the norms but this uncertainty. </w:t>
      </w:r>
      <w:r w:rsidRPr="003266D1" w:rsidR="00A14C49">
        <w:br w:type="page"/>
      </w:r>
    </w:p>
    <w:p w:rsidRPr="003266D1" w:rsidR="00020F8F" w:rsidP="00E85270" w:rsidRDefault="00E5024E" w14:paraId="58F2D956" w14:textId="09AE0EB9">
      <w:pPr>
        <w:pStyle w:val="Heading1"/>
        <w:rPr>
          <w:color w:val="auto"/>
        </w:rPr>
      </w:pPr>
      <w:bookmarkStart w:name="_Toc224947419" w:id="56"/>
      <w:r w:rsidRPr="003266D1">
        <w:rPr>
          <w:color w:val="auto"/>
        </w:rPr>
        <w:t>Reference List</w:t>
      </w:r>
      <w:bookmarkEnd w:id="56"/>
    </w:p>
    <w:p w:rsidRPr="003266D1" w:rsidR="00371EA5" w:rsidP="00D87C1D" w:rsidRDefault="00371EA5" w14:paraId="08170B4D" w14:textId="77777777">
      <w:pPr>
        <w:ind w:left="720" w:hanging="720"/>
        <w:rPr>
          <w:lang w:val="en-US"/>
        </w:rPr>
      </w:pPr>
      <w:r w:rsidRPr="003266D1">
        <w:rPr>
          <w:lang w:val="en-US"/>
        </w:rPr>
        <w:t xml:space="preserve">Adeani, I. S., </w:t>
      </w:r>
      <w:proofErr w:type="spellStart"/>
      <w:r w:rsidRPr="003266D1">
        <w:rPr>
          <w:lang w:val="en-US"/>
        </w:rPr>
        <w:t>Febriani</w:t>
      </w:r>
      <w:proofErr w:type="spellEnd"/>
      <w:r w:rsidRPr="003266D1">
        <w:rPr>
          <w:lang w:val="en-US"/>
        </w:rPr>
        <w:t xml:space="preserve">, R. B. and Syafryadin, S. (2020) Using GIBBS’ reflective cycle in making reflections of literary analysis. </w:t>
      </w:r>
      <w:r w:rsidRPr="003266D1">
        <w:rPr>
          <w:i/>
          <w:iCs/>
          <w:lang w:val="en-US"/>
        </w:rPr>
        <w:t>Indonesian EFL Journal</w:t>
      </w:r>
      <w:r w:rsidRPr="003266D1">
        <w:rPr>
          <w:lang w:val="en-US"/>
        </w:rPr>
        <w:t xml:space="preserve">, 6(2), 139–148. </w:t>
      </w:r>
    </w:p>
    <w:p w:rsidRPr="003266D1" w:rsidR="00371EA5" w:rsidP="00D87C1D" w:rsidRDefault="00371EA5" w14:paraId="771944D6" w14:textId="77777777">
      <w:pPr>
        <w:ind w:left="720" w:hanging="720"/>
        <w:rPr>
          <w:lang w:val="en-US"/>
        </w:rPr>
      </w:pPr>
      <w:r w:rsidRPr="003266D1">
        <w:rPr>
          <w:lang w:val="en-US"/>
        </w:rPr>
        <w:t xml:space="preserve">Ainvest (2025) Volkswagen revives troubled tech unit key to its future – FT. </w:t>
      </w:r>
      <w:r w:rsidRPr="003266D1">
        <w:rPr>
          <w:i/>
          <w:iCs/>
          <w:lang w:val="en-US"/>
        </w:rPr>
        <w:t>Ainvest</w:t>
      </w:r>
      <w:r w:rsidRPr="003266D1">
        <w:rPr>
          <w:lang w:val="en-US"/>
        </w:rPr>
        <w:t xml:space="preserve">, 2 October. Available at: https://www.ainvest.com/news/volkswagen-revives-troubled-tech-unit-key-future-ft-2510/ (Accessed: 2 March 2026).  </w:t>
      </w:r>
    </w:p>
    <w:p w:rsidRPr="003266D1" w:rsidR="00371EA5" w:rsidP="00371EA5" w:rsidRDefault="00371EA5" w14:paraId="1F72CAF8" w14:textId="36CDD4FF">
      <w:pPr>
        <w:ind w:left="720" w:hanging="720"/>
      </w:pPr>
      <w:r w:rsidRPr="003266D1">
        <w:t>Alekseev, A. N., Evdokimov, S. Y., Tarasova, A. Y., Khachaturyan, K. S., and Khachaturyan, A. A. (2018) Financial strategy of development of industry 4.0 in the countries with developing economy. </w:t>
      </w:r>
      <w:proofErr w:type="spellStart"/>
      <w:r w:rsidRPr="003266D1">
        <w:rPr>
          <w:i/>
          <w:iCs/>
        </w:rPr>
        <w:t>Revista</w:t>
      </w:r>
      <w:proofErr w:type="spellEnd"/>
      <w:r w:rsidRPr="003266D1">
        <w:rPr>
          <w:i/>
          <w:iCs/>
        </w:rPr>
        <w:t xml:space="preserve"> </w:t>
      </w:r>
      <w:proofErr w:type="spellStart"/>
      <w:r w:rsidRPr="003266D1">
        <w:rPr>
          <w:i/>
          <w:iCs/>
        </w:rPr>
        <w:t>Espacios</w:t>
      </w:r>
      <w:proofErr w:type="spellEnd"/>
      <w:r w:rsidRPr="003266D1">
        <w:t>, </w:t>
      </w:r>
      <w:r w:rsidRPr="003266D1">
        <w:rPr>
          <w:i/>
          <w:iCs/>
        </w:rPr>
        <w:t>39</w:t>
      </w:r>
      <w:r w:rsidRPr="003266D1">
        <w:t>(12).</w:t>
      </w:r>
    </w:p>
    <w:p w:rsidRPr="003266D1" w:rsidR="00371EA5" w:rsidP="00371EA5" w:rsidRDefault="00371EA5" w14:paraId="11E13E13" w14:textId="36AA8658">
      <w:pPr>
        <w:ind w:left="720" w:hanging="720"/>
      </w:pPr>
      <w:r w:rsidRPr="003266D1">
        <w:t>Aslaksen, H. M., Hildebrandt, C., and Johnsen, H. C. G. (2021) The long-term transformation of the concept of CSR: Towards a more comprehensive emphasis on sustainability. </w:t>
      </w:r>
      <w:r w:rsidRPr="003266D1">
        <w:rPr>
          <w:i/>
          <w:iCs/>
        </w:rPr>
        <w:t>International Journal of Corporate Social Responsibility</w:t>
      </w:r>
      <w:r w:rsidRPr="003266D1">
        <w:t>, </w:t>
      </w:r>
      <w:r w:rsidRPr="003266D1">
        <w:rPr>
          <w:i/>
          <w:iCs/>
        </w:rPr>
        <w:t>6</w:t>
      </w:r>
      <w:r w:rsidRPr="003266D1">
        <w:t>(1), 11.</w:t>
      </w:r>
    </w:p>
    <w:p w:rsidRPr="003266D1" w:rsidR="00371EA5" w:rsidP="00D87C1D" w:rsidRDefault="00371EA5" w14:paraId="0917184D" w14:textId="77777777">
      <w:pPr>
        <w:ind w:left="720" w:hanging="720"/>
        <w:rPr>
          <w:lang w:val="en-US"/>
        </w:rPr>
      </w:pPr>
      <w:r w:rsidRPr="003266D1">
        <w:rPr>
          <w:lang w:val="en-US"/>
        </w:rPr>
        <w:t xml:space="preserve">Bai, Y. (2021, March) Analysis of Overseas Management Strategy of the Volkswagen Group. In </w:t>
      </w:r>
      <w:r w:rsidRPr="003266D1">
        <w:rPr>
          <w:i/>
          <w:iCs/>
          <w:lang w:val="en-US"/>
        </w:rPr>
        <w:t>6th International Conference on Financial Innovation and Economic Development (ICFIED 2021)</w:t>
      </w:r>
      <w:r w:rsidRPr="003266D1">
        <w:rPr>
          <w:lang w:val="en-US"/>
        </w:rPr>
        <w:t xml:space="preserve"> (pp. 229–234). Atlantis Press. </w:t>
      </w:r>
    </w:p>
    <w:p w:rsidRPr="003266D1" w:rsidR="00371EA5" w:rsidP="00D87C1D" w:rsidRDefault="00371EA5" w14:paraId="560BFAB1" w14:textId="77777777">
      <w:pPr>
        <w:ind w:left="720" w:hanging="720"/>
        <w:rPr>
          <w:lang w:val="en-US"/>
        </w:rPr>
      </w:pPr>
      <w:proofErr w:type="spellStart"/>
      <w:r w:rsidRPr="003266D1">
        <w:rPr>
          <w:lang w:val="en-US"/>
        </w:rPr>
        <w:t>Benzaghta</w:t>
      </w:r>
      <w:proofErr w:type="spellEnd"/>
      <w:r w:rsidRPr="003266D1">
        <w:rPr>
          <w:lang w:val="en-US"/>
        </w:rPr>
        <w:t xml:space="preserve">, M. A., Elwalda, A., Mousa, M. M., Erkan, I. and Rahman, M. (2021) SWOT analysis applications: An integrative literature review. </w:t>
      </w:r>
      <w:r w:rsidRPr="003266D1">
        <w:rPr>
          <w:i/>
          <w:iCs/>
          <w:lang w:val="en-US"/>
        </w:rPr>
        <w:t>Journal of Global Business Insights</w:t>
      </w:r>
      <w:r w:rsidRPr="003266D1">
        <w:rPr>
          <w:lang w:val="en-US"/>
        </w:rPr>
        <w:t xml:space="preserve">, 6(1), 55–73. </w:t>
      </w:r>
    </w:p>
    <w:p w:rsidRPr="003266D1" w:rsidR="00371EA5" w:rsidP="00371EA5" w:rsidRDefault="00371EA5" w14:paraId="249D4566" w14:textId="77777777">
      <w:pPr>
        <w:ind w:left="720" w:hanging="720"/>
      </w:pPr>
      <w:r w:rsidRPr="003266D1">
        <w:t>Berry, S., Gaynor, M., and Morton, F. S. (2019) Do increasing markups matter? Lessons from empirical industrial organization. </w:t>
      </w:r>
      <w:r w:rsidRPr="003266D1">
        <w:rPr>
          <w:i/>
          <w:iCs/>
        </w:rPr>
        <w:t>Journal of Economic Perspectives</w:t>
      </w:r>
      <w:r w:rsidRPr="003266D1">
        <w:t>, </w:t>
      </w:r>
      <w:r w:rsidRPr="003266D1">
        <w:rPr>
          <w:i/>
          <w:iCs/>
        </w:rPr>
        <w:t>33</w:t>
      </w:r>
      <w:r w:rsidRPr="003266D1">
        <w:t xml:space="preserve">(3), 44-68. </w:t>
      </w:r>
    </w:p>
    <w:p w:rsidRPr="003266D1" w:rsidR="00371EA5" w:rsidP="00D87C1D" w:rsidRDefault="00371EA5" w14:paraId="407C1F83" w14:textId="77777777">
      <w:pPr>
        <w:ind w:left="720" w:hanging="720"/>
        <w:rPr>
          <w:lang w:val="en-US"/>
        </w:rPr>
      </w:pPr>
      <w:r w:rsidRPr="003266D1">
        <w:rPr>
          <w:lang w:val="en-US"/>
        </w:rPr>
        <w:t xml:space="preserve">Bou Hatoum, M., </w:t>
      </w:r>
      <w:proofErr w:type="spellStart"/>
      <w:r w:rsidRPr="003266D1">
        <w:rPr>
          <w:lang w:val="en-US"/>
        </w:rPr>
        <w:t>Nassereddine</w:t>
      </w:r>
      <w:proofErr w:type="spellEnd"/>
      <w:r w:rsidRPr="003266D1">
        <w:rPr>
          <w:lang w:val="en-US"/>
        </w:rPr>
        <w:t xml:space="preserve">, H., Musick, S. and El-Jazzar, M. (2023) Investigation of PESTEL factors driving change in capital project organizations. </w:t>
      </w:r>
      <w:r w:rsidRPr="003266D1">
        <w:rPr>
          <w:i/>
          <w:iCs/>
          <w:lang w:val="en-US"/>
        </w:rPr>
        <w:t>Frontiers in Built Environment</w:t>
      </w:r>
      <w:r w:rsidRPr="003266D1">
        <w:rPr>
          <w:lang w:val="en-US"/>
        </w:rPr>
        <w:t xml:space="preserve">, 9, 1207564. </w:t>
      </w:r>
    </w:p>
    <w:p w:rsidRPr="003266D1" w:rsidR="00371EA5" w:rsidP="00D87C1D" w:rsidRDefault="00371EA5" w14:paraId="74D1CD09" w14:textId="77777777">
      <w:pPr>
        <w:ind w:left="720" w:hanging="720"/>
        <w:rPr>
          <w:lang w:val="en-US"/>
        </w:rPr>
      </w:pPr>
      <w:r w:rsidRPr="003266D1">
        <w:rPr>
          <w:lang w:val="en-US"/>
        </w:rPr>
        <w:t xml:space="preserve">Buye, R. (2021) Critical examination of the PESTEL analysis model. </w:t>
      </w:r>
      <w:r w:rsidRPr="003266D1">
        <w:rPr>
          <w:i/>
          <w:iCs/>
          <w:lang w:val="en-US"/>
        </w:rPr>
        <w:t>Project: Action Research for Development</w:t>
      </w:r>
      <w:r w:rsidRPr="003266D1">
        <w:rPr>
          <w:lang w:val="en-US"/>
        </w:rPr>
        <w:t xml:space="preserve">, pp. 1–12. </w:t>
      </w:r>
    </w:p>
    <w:p w:rsidRPr="003266D1" w:rsidR="00371EA5" w:rsidP="00D87C1D" w:rsidRDefault="00371EA5" w14:paraId="2FB3DA6A" w14:textId="77777777">
      <w:pPr>
        <w:ind w:left="720" w:hanging="720"/>
        <w:rPr>
          <w:lang w:val="en-US"/>
        </w:rPr>
      </w:pPr>
      <w:r w:rsidRPr="003266D1">
        <w:rPr>
          <w:lang w:val="en-US"/>
        </w:rPr>
        <w:t xml:space="preserve">Chatzoglou, P., </w:t>
      </w:r>
      <w:proofErr w:type="spellStart"/>
      <w:r w:rsidRPr="003266D1">
        <w:rPr>
          <w:lang w:val="en-US"/>
        </w:rPr>
        <w:t>Chatzoudes</w:t>
      </w:r>
      <w:proofErr w:type="spellEnd"/>
      <w:r w:rsidRPr="003266D1">
        <w:rPr>
          <w:lang w:val="en-US"/>
        </w:rPr>
        <w:t xml:space="preserve">, D., </w:t>
      </w:r>
      <w:proofErr w:type="spellStart"/>
      <w:r w:rsidRPr="003266D1">
        <w:rPr>
          <w:lang w:val="en-US"/>
        </w:rPr>
        <w:t>Sarigiannidis</w:t>
      </w:r>
      <w:proofErr w:type="spellEnd"/>
      <w:r w:rsidRPr="003266D1">
        <w:rPr>
          <w:lang w:val="en-US"/>
        </w:rPr>
        <w:t xml:space="preserve">, L. and </w:t>
      </w:r>
      <w:proofErr w:type="spellStart"/>
      <w:r w:rsidRPr="003266D1">
        <w:rPr>
          <w:lang w:val="en-US"/>
        </w:rPr>
        <w:t>Theriou</w:t>
      </w:r>
      <w:proofErr w:type="spellEnd"/>
      <w:r w:rsidRPr="003266D1">
        <w:rPr>
          <w:lang w:val="en-US"/>
        </w:rPr>
        <w:t xml:space="preserve">, G. (2018) The role of firm-specific factors in the strategy-performance relationship: Revisiting the resource-based view of the firm and the VRIO framework. </w:t>
      </w:r>
      <w:r w:rsidRPr="003266D1">
        <w:rPr>
          <w:i/>
          <w:iCs/>
          <w:lang w:val="en-US"/>
        </w:rPr>
        <w:t>Management Research Review</w:t>
      </w:r>
      <w:r w:rsidRPr="003266D1">
        <w:rPr>
          <w:lang w:val="en-US"/>
        </w:rPr>
        <w:t xml:space="preserve">, 41(1), 46–73. </w:t>
      </w:r>
    </w:p>
    <w:p w:rsidRPr="003266D1" w:rsidR="00371EA5" w:rsidP="00D87C1D" w:rsidRDefault="00371EA5" w14:paraId="21CEEFFF" w14:textId="77777777">
      <w:pPr>
        <w:ind w:left="720" w:hanging="720"/>
        <w:rPr>
          <w:lang w:val="en-US"/>
        </w:rPr>
      </w:pPr>
      <w:r w:rsidRPr="003266D1">
        <w:rPr>
          <w:lang w:val="en-US"/>
        </w:rPr>
        <w:t xml:space="preserve">Chen, R. (2024) Shaking things up? Chinese EVs impact on the global auto industry. </w:t>
      </w:r>
      <w:r w:rsidRPr="003266D1">
        <w:rPr>
          <w:i/>
          <w:iCs/>
          <w:lang w:val="en-US"/>
        </w:rPr>
        <w:t>Third Bridge Perspectives</w:t>
      </w:r>
      <w:r w:rsidRPr="003266D1">
        <w:rPr>
          <w:lang w:val="en-US"/>
        </w:rPr>
        <w:t xml:space="preserve">, 1 November. Available at: https://www.thirdbridge.com/en-us/about-us/media/perspectives/how-chinese-evs-are-shaking-up-the-global-auto-industry (Accessed: 2 March 2026).  </w:t>
      </w:r>
    </w:p>
    <w:p w:rsidRPr="003266D1" w:rsidR="00371EA5" w:rsidP="00371EA5" w:rsidRDefault="00371EA5" w14:paraId="1AD9DB29" w14:textId="18EE32B9">
      <w:pPr>
        <w:ind w:left="720" w:hanging="720"/>
      </w:pPr>
      <w:r w:rsidRPr="003266D1">
        <w:t>Collins, G. S., Dhiman, P., Ma, J., Schlussel, M. M., Archer, L., Van Calster, B., ... and Riley, R. D. (2024) Evaluation of clinical prediction models (part 1): from development to external validation. </w:t>
      </w:r>
      <w:proofErr w:type="spellStart"/>
      <w:r w:rsidRPr="003266D1">
        <w:rPr>
          <w:i/>
          <w:iCs/>
        </w:rPr>
        <w:t>bmj</w:t>
      </w:r>
      <w:proofErr w:type="spellEnd"/>
      <w:r w:rsidRPr="003266D1">
        <w:t>, </w:t>
      </w:r>
      <w:r w:rsidRPr="003266D1">
        <w:rPr>
          <w:i/>
          <w:iCs/>
        </w:rPr>
        <w:t>384</w:t>
      </w:r>
      <w:r w:rsidRPr="003266D1">
        <w:t xml:space="preserve">. </w:t>
      </w:r>
    </w:p>
    <w:p w:rsidRPr="003266D1" w:rsidR="00371EA5" w:rsidP="00D87C1D" w:rsidRDefault="00371EA5" w14:paraId="32B97F59" w14:textId="77777777">
      <w:pPr>
        <w:ind w:left="720" w:hanging="720"/>
        <w:rPr>
          <w:lang w:val="en-US"/>
        </w:rPr>
      </w:pPr>
      <w:r w:rsidRPr="003266D1">
        <w:rPr>
          <w:lang w:val="en-US"/>
        </w:rPr>
        <w:t xml:space="preserve">Dadashi, I. and Amiri Lolaki, Z. (2019) Corporate diversity and bankruptcy risk; with emphasis on differentiation strategies and cost leadership. </w:t>
      </w:r>
      <w:r w:rsidRPr="003266D1">
        <w:rPr>
          <w:i/>
          <w:iCs/>
          <w:lang w:val="en-US"/>
        </w:rPr>
        <w:t>Financial Accounting Knowledge</w:t>
      </w:r>
      <w:r w:rsidRPr="003266D1">
        <w:rPr>
          <w:lang w:val="en-US"/>
        </w:rPr>
        <w:t xml:space="preserve">, 6(2), 185–213. </w:t>
      </w:r>
    </w:p>
    <w:p w:rsidRPr="003266D1" w:rsidR="00371EA5" w:rsidP="00D87C1D" w:rsidRDefault="00371EA5" w14:paraId="11574FCD" w14:textId="77777777">
      <w:pPr>
        <w:ind w:left="720" w:hanging="720"/>
        <w:rPr>
          <w:lang w:val="en-US"/>
        </w:rPr>
      </w:pPr>
      <w:r w:rsidRPr="003266D1">
        <w:rPr>
          <w:lang w:val="en-US"/>
        </w:rPr>
        <w:t xml:space="preserve">David, F. R., David, F. R. and David, M. E. (2017) </w:t>
      </w:r>
      <w:r w:rsidRPr="003266D1">
        <w:rPr>
          <w:i/>
          <w:iCs/>
          <w:lang w:val="en-US"/>
        </w:rPr>
        <w:t>Strategic Management: Concepts and Cases: A Competitive Advantage Approach</w:t>
      </w:r>
      <w:r w:rsidRPr="003266D1">
        <w:rPr>
          <w:lang w:val="en-US"/>
        </w:rPr>
        <w:t xml:space="preserve">. Pearson. </w:t>
      </w:r>
    </w:p>
    <w:p w:rsidRPr="003266D1" w:rsidR="00371EA5" w:rsidP="00371EA5" w:rsidRDefault="00371EA5" w14:paraId="5D9D3679" w14:textId="77777777">
      <w:pPr>
        <w:ind w:left="720" w:hanging="720"/>
      </w:pPr>
      <w:r w:rsidRPr="003266D1">
        <w:t>E. Dobbs, M. (2014) Guidelines for applying Porter's five forces framework: a set of industry analysis templates. </w:t>
      </w:r>
      <w:r w:rsidRPr="003266D1">
        <w:rPr>
          <w:i/>
          <w:iCs/>
        </w:rPr>
        <w:t>Competitiveness review</w:t>
      </w:r>
      <w:r w:rsidRPr="003266D1">
        <w:t>, </w:t>
      </w:r>
      <w:r w:rsidRPr="003266D1">
        <w:rPr>
          <w:i/>
          <w:iCs/>
        </w:rPr>
        <w:t>24</w:t>
      </w:r>
      <w:r w:rsidRPr="003266D1">
        <w:t>(1), 32-45.</w:t>
      </w:r>
    </w:p>
    <w:p w:rsidRPr="003266D1" w:rsidR="00371EA5" w:rsidP="00D87C1D" w:rsidRDefault="00371EA5" w14:paraId="733FB957" w14:textId="77777777">
      <w:pPr>
        <w:ind w:left="720" w:hanging="720"/>
        <w:rPr>
          <w:lang w:val="en-US"/>
        </w:rPr>
      </w:pPr>
      <w:r w:rsidRPr="003266D1">
        <w:rPr>
          <w:lang w:val="en-US"/>
        </w:rPr>
        <w:t xml:space="preserve">European Parliament and Council (2025) </w:t>
      </w:r>
      <w:r w:rsidRPr="003266D1">
        <w:rPr>
          <w:i/>
          <w:iCs/>
          <w:lang w:val="en-US"/>
        </w:rPr>
        <w:t>Regulation (EU) 2025/1214 of 17 June 2025 amending Regulation (EU) 2019/631 to include an additional flexibility as regards the calculation of manufacturers’ compliance with CO2 emission performance standards for new passenger cars and new light commercial vehicles for the calendar years 2025 to 2027</w:t>
      </w:r>
      <w:r w:rsidRPr="003266D1">
        <w:rPr>
          <w:lang w:val="en-US"/>
        </w:rPr>
        <w:t xml:space="preserve">. Available at: https://eur-lex.europa.eu/eli/reg/2025/1214/oj/eng (Accessed: 2 March 2026). </w:t>
      </w:r>
    </w:p>
    <w:p w:rsidRPr="003266D1" w:rsidR="00371EA5" w:rsidP="00D87C1D" w:rsidRDefault="00371EA5" w14:paraId="6EB62255" w14:textId="77777777">
      <w:pPr>
        <w:ind w:left="720" w:hanging="720"/>
        <w:rPr>
          <w:lang w:val="en-US"/>
        </w:rPr>
      </w:pPr>
      <w:r w:rsidRPr="003266D1">
        <w:rPr>
          <w:lang w:val="en-US"/>
        </w:rPr>
        <w:t xml:space="preserve">Ferreira, A. P. P. F. S. and de Sá, M. M. B. P. (2024) The importance of the Ansoff matrix for the study of the information services market. </w:t>
      </w:r>
      <w:r w:rsidRPr="003266D1">
        <w:rPr>
          <w:i/>
          <w:iCs/>
          <w:lang w:val="en-US"/>
        </w:rPr>
        <w:t>The Canadian Journal of Information and Library Science</w:t>
      </w:r>
      <w:r w:rsidRPr="003266D1">
        <w:rPr>
          <w:lang w:val="en-US"/>
        </w:rPr>
        <w:t xml:space="preserve">, 47(2), 78–84. </w:t>
      </w:r>
    </w:p>
    <w:p w:rsidRPr="003266D1" w:rsidR="00371EA5" w:rsidP="00D87C1D" w:rsidRDefault="00371EA5" w14:paraId="5C500E17" w14:textId="77777777">
      <w:pPr>
        <w:ind w:left="720" w:hanging="720"/>
        <w:rPr>
          <w:lang w:val="en-US"/>
        </w:rPr>
      </w:pPr>
      <w:r w:rsidRPr="003266D1">
        <w:rPr>
          <w:lang w:val="en-US"/>
        </w:rPr>
        <w:t xml:space="preserve">Fonseca, L., Carvalho, F. and Santos, G. (2023) Strategic CSR: Framework for sustainability through management systems standards—Implementing and disclosing sustainable development goals and results. </w:t>
      </w:r>
      <w:r w:rsidRPr="003266D1">
        <w:rPr>
          <w:i/>
          <w:iCs/>
          <w:lang w:val="en-US"/>
        </w:rPr>
        <w:t>Sustainability</w:t>
      </w:r>
      <w:r w:rsidRPr="003266D1">
        <w:rPr>
          <w:lang w:val="en-US"/>
        </w:rPr>
        <w:t xml:space="preserve">, 15(15), 11904. </w:t>
      </w:r>
    </w:p>
    <w:p w:rsidRPr="003266D1" w:rsidR="00371EA5" w:rsidP="00D87C1D" w:rsidRDefault="00371EA5" w14:paraId="063961E6" w14:textId="77777777">
      <w:pPr>
        <w:ind w:left="720" w:hanging="720"/>
        <w:rPr>
          <w:lang w:val="en-US"/>
        </w:rPr>
      </w:pPr>
      <w:r w:rsidRPr="003266D1">
        <w:rPr>
          <w:lang w:val="en-US"/>
        </w:rPr>
        <w:t xml:space="preserve">Hayes, J. (2010) </w:t>
      </w:r>
      <w:r w:rsidRPr="003266D1">
        <w:rPr>
          <w:i/>
          <w:iCs/>
          <w:lang w:val="en-US"/>
        </w:rPr>
        <w:t>The Theory and Practice of Change Management</w:t>
      </w:r>
      <w:r w:rsidRPr="003266D1">
        <w:rPr>
          <w:lang w:val="en-US"/>
        </w:rPr>
        <w:t xml:space="preserve">. Palgrave Macmillan. </w:t>
      </w:r>
    </w:p>
    <w:p w:rsidRPr="003266D1" w:rsidR="00371EA5" w:rsidP="00D87C1D" w:rsidRDefault="00371EA5" w14:paraId="626D6A5A" w14:textId="77777777">
      <w:pPr>
        <w:ind w:left="720" w:hanging="720"/>
        <w:rPr>
          <w:lang w:val="en-US"/>
        </w:rPr>
      </w:pPr>
      <w:r w:rsidRPr="003266D1">
        <w:rPr>
          <w:lang w:val="en-US"/>
        </w:rPr>
        <w:t xml:space="preserve">Hitt, M. A., Ireland, R. D. and </w:t>
      </w:r>
      <w:proofErr w:type="spellStart"/>
      <w:r w:rsidRPr="003266D1">
        <w:rPr>
          <w:lang w:val="en-US"/>
        </w:rPr>
        <w:t>Hoskisson</w:t>
      </w:r>
      <w:proofErr w:type="spellEnd"/>
      <w:r w:rsidRPr="003266D1">
        <w:rPr>
          <w:lang w:val="en-US"/>
        </w:rPr>
        <w:t xml:space="preserve">, R. E. (2019) </w:t>
      </w:r>
      <w:r w:rsidRPr="003266D1">
        <w:rPr>
          <w:i/>
          <w:iCs/>
          <w:lang w:val="en-US"/>
        </w:rPr>
        <w:t>Strategic Management: Competitiveness and Globalization: Concepts and Cases</w:t>
      </w:r>
      <w:r w:rsidRPr="003266D1">
        <w:rPr>
          <w:lang w:val="en-US"/>
        </w:rPr>
        <w:t xml:space="preserve">, Ch. 2. Cengage Learning. </w:t>
      </w:r>
    </w:p>
    <w:p w:rsidRPr="003266D1" w:rsidR="00371EA5" w:rsidP="00D87C1D" w:rsidRDefault="00371EA5" w14:paraId="1A95E892" w14:textId="77777777">
      <w:pPr>
        <w:ind w:left="720" w:hanging="720"/>
        <w:rPr>
          <w:lang w:val="en-US"/>
        </w:rPr>
      </w:pPr>
      <w:r w:rsidRPr="003266D1">
        <w:t xml:space="preserve">International Energy Agency. (2025) </w:t>
      </w:r>
      <w:r w:rsidRPr="003266D1">
        <w:rPr>
          <w:i/>
          <w:iCs/>
        </w:rPr>
        <w:t>Global EV outlook 2025: Expanding sales in diverse markets</w:t>
      </w:r>
      <w:r w:rsidRPr="003266D1">
        <w:t xml:space="preserve"> (Revised version, July 2025) [Report]. </w:t>
      </w:r>
      <w:r w:rsidRPr="003266D1">
        <w:rPr>
          <w:lang w:val="en-US"/>
        </w:rPr>
        <w:t xml:space="preserve">Available at: </w:t>
      </w:r>
      <w:r w:rsidRPr="003266D1">
        <w:t xml:space="preserve">https://iea.blob.core.windows.net/assets/7ea38b60-3033-42a6-9589-71134f4229f4/GlobalEVOutlook2025.pdf </w:t>
      </w:r>
      <w:r w:rsidRPr="003266D1">
        <w:rPr>
          <w:lang w:val="en-US"/>
        </w:rPr>
        <w:t>(Accessed: 2 March 2026).</w:t>
      </w:r>
    </w:p>
    <w:p w:rsidRPr="003266D1" w:rsidR="00371EA5" w:rsidP="00D87C1D" w:rsidRDefault="00371EA5" w14:paraId="0407F5C5" w14:textId="77777777">
      <w:pPr>
        <w:ind w:left="720" w:hanging="720"/>
        <w:rPr>
          <w:lang w:val="en-US"/>
        </w:rPr>
      </w:pPr>
      <w:r w:rsidRPr="003266D1">
        <w:rPr>
          <w:lang w:val="en-US"/>
        </w:rPr>
        <w:t xml:space="preserve">Ismail, Y. (2021, March) Reach sustainability through Corporate Social Responsibility (CSR). In </w:t>
      </w:r>
      <w:r w:rsidRPr="003266D1">
        <w:rPr>
          <w:i/>
          <w:iCs/>
          <w:lang w:val="en-US"/>
        </w:rPr>
        <w:t>IOP Conference Series: Earth and Environmental Science</w:t>
      </w:r>
      <w:r w:rsidRPr="003266D1">
        <w:rPr>
          <w:lang w:val="en-US"/>
        </w:rPr>
        <w:t xml:space="preserve">, 716(1), 012056. IOP Publishing. </w:t>
      </w:r>
    </w:p>
    <w:p w:rsidRPr="003266D1" w:rsidR="00371EA5" w:rsidP="00D87C1D" w:rsidRDefault="00371EA5" w14:paraId="406C3A0B" w14:textId="77777777">
      <w:pPr>
        <w:ind w:left="720" w:hanging="720"/>
        <w:rPr>
          <w:lang w:val="en-US"/>
        </w:rPr>
      </w:pPr>
      <w:r w:rsidRPr="003266D1">
        <w:rPr>
          <w:lang w:val="en-US"/>
        </w:rPr>
        <w:t xml:space="preserve">Jyoti, J., Arora, H. and Kour, S. (2017) Outsourcing and organizational performance: Role of cost leadership, differentiation and innovation strategies. In </w:t>
      </w:r>
      <w:r w:rsidRPr="003266D1">
        <w:rPr>
          <w:i/>
          <w:iCs/>
          <w:lang w:val="en-US"/>
        </w:rPr>
        <w:t>Sustainable Competitive Advantage: A Road to Success</w:t>
      </w:r>
      <w:r w:rsidRPr="003266D1">
        <w:rPr>
          <w:lang w:val="en-US"/>
        </w:rPr>
        <w:t xml:space="preserve">, p. 171. </w:t>
      </w:r>
    </w:p>
    <w:p w:rsidRPr="003266D1" w:rsidR="00371EA5" w:rsidP="00D87C1D" w:rsidRDefault="00371EA5" w14:paraId="12FB89AC" w14:textId="77777777">
      <w:pPr>
        <w:ind w:left="720" w:hanging="720"/>
        <w:rPr>
          <w:lang w:val="en-US"/>
        </w:rPr>
      </w:pPr>
      <w:r w:rsidRPr="003266D1">
        <w:rPr>
          <w:lang w:val="en-US"/>
        </w:rPr>
        <w:t xml:space="preserve">Kaplan, R. S. and Norton, D. P. (1996) Using the balanced scorecard as a strategic management system. </w:t>
      </w:r>
      <w:r w:rsidRPr="003266D1">
        <w:rPr>
          <w:i/>
          <w:iCs/>
          <w:lang w:val="en-US"/>
        </w:rPr>
        <w:t>Harvard Business Review</w:t>
      </w:r>
      <w:r w:rsidRPr="003266D1">
        <w:rPr>
          <w:lang w:val="en-US"/>
        </w:rPr>
        <w:t xml:space="preserve">. </w:t>
      </w:r>
    </w:p>
    <w:p w:rsidRPr="003266D1" w:rsidR="00371EA5" w:rsidP="00D87C1D" w:rsidRDefault="00371EA5" w14:paraId="56DD3E82" w14:textId="77777777">
      <w:pPr>
        <w:ind w:left="720" w:hanging="720"/>
        <w:rPr>
          <w:lang w:val="en-US"/>
        </w:rPr>
      </w:pPr>
      <w:r w:rsidRPr="003266D1">
        <w:rPr>
          <w:lang w:val="en-US"/>
        </w:rPr>
        <w:t xml:space="preserve">Larbi, A. O., Asare-Danquah, G. A. and Ackah, A. A. F. (2024) Utilization of internal analysis with the VRIO framework and development of scale for resource and capabilities of fashion and design organization. </w:t>
      </w:r>
      <w:r w:rsidRPr="003266D1">
        <w:rPr>
          <w:i/>
          <w:iCs/>
          <w:lang w:val="en-US"/>
        </w:rPr>
        <w:t>International Journal of Research and Scientific Innovation</w:t>
      </w:r>
      <w:r w:rsidRPr="003266D1">
        <w:rPr>
          <w:lang w:val="en-US"/>
        </w:rPr>
        <w:t xml:space="preserve">, 11(6), 63–70. </w:t>
      </w:r>
    </w:p>
    <w:p w:rsidRPr="003266D1" w:rsidR="00371EA5" w:rsidP="00371EA5" w:rsidRDefault="00371EA5" w14:paraId="00B3F5D2" w14:textId="77777777">
      <w:pPr>
        <w:ind w:left="720" w:hanging="720"/>
      </w:pPr>
      <w:r w:rsidRPr="003266D1">
        <w:t>Lubis, N. W. (2022) Resource based view (RBV) in improving company strategic capacity. </w:t>
      </w:r>
      <w:r w:rsidRPr="003266D1">
        <w:rPr>
          <w:i/>
          <w:iCs/>
        </w:rPr>
        <w:t>Research Horizon</w:t>
      </w:r>
      <w:r w:rsidRPr="003266D1">
        <w:t>, </w:t>
      </w:r>
      <w:r w:rsidRPr="003266D1">
        <w:rPr>
          <w:i/>
          <w:iCs/>
        </w:rPr>
        <w:t>2</w:t>
      </w:r>
      <w:r w:rsidRPr="003266D1">
        <w:t>(6), 587-596.</w:t>
      </w:r>
    </w:p>
    <w:p w:rsidRPr="003266D1" w:rsidR="00371EA5" w:rsidP="00D87C1D" w:rsidRDefault="00371EA5" w14:paraId="12EA1EAE" w14:textId="77777777">
      <w:pPr>
        <w:ind w:left="720" w:hanging="720"/>
        <w:rPr>
          <w:lang w:val="en-US"/>
        </w:rPr>
      </w:pPr>
      <w:r w:rsidRPr="003266D1">
        <w:rPr>
          <w:lang w:val="en-US"/>
        </w:rPr>
        <w:t xml:space="preserve">McKinsey and Company (2025) A new ‘ERA’: An action plan for the European automotive industry. </w:t>
      </w:r>
      <w:r w:rsidRPr="003266D1">
        <w:rPr>
          <w:i/>
          <w:iCs/>
          <w:lang w:val="en-US"/>
        </w:rPr>
        <w:t>McKinsey</w:t>
      </w:r>
      <w:r w:rsidRPr="003266D1">
        <w:rPr>
          <w:lang w:val="en-US"/>
        </w:rPr>
        <w:t xml:space="preserve">, 8 September. Available at: </w:t>
      </w:r>
      <w:hyperlink w:history="1" r:id="rId20">
        <w:r w:rsidRPr="003266D1">
          <w:rPr>
            <w:rStyle w:val="Hyperlink"/>
            <w:color w:val="auto"/>
            <w:lang w:val="en-US"/>
          </w:rPr>
          <w:t>https://www.mckinsey.com/features/mckinsey-center-for-future-mobility/our-insights/a-new-era-an-action-plan-for-the-european-automotive-industry</w:t>
        </w:r>
      </w:hyperlink>
      <w:r w:rsidRPr="003266D1">
        <w:rPr>
          <w:lang w:val="en-US"/>
        </w:rPr>
        <w:t xml:space="preserve"> (Accessed: 2 March 2026).  </w:t>
      </w:r>
    </w:p>
    <w:p w:rsidRPr="003266D1" w:rsidR="00371EA5" w:rsidP="00D87C1D" w:rsidRDefault="00371EA5" w14:paraId="3AA7C531" w14:textId="77777777">
      <w:pPr>
        <w:ind w:left="720" w:hanging="720"/>
        <w:rPr>
          <w:lang w:val="en-US"/>
        </w:rPr>
      </w:pPr>
      <w:r w:rsidRPr="003266D1">
        <w:rPr>
          <w:lang w:val="en-US"/>
        </w:rPr>
        <w:t xml:space="preserve">Miethlich, B. and Oldenburg, A. G. (2019) The employment of persons with disabilities as a strategic asset: A resource-based-view using the value-rarity-imitability-organization (VRIO) framework. </w:t>
      </w:r>
      <w:r w:rsidRPr="003266D1">
        <w:rPr>
          <w:i/>
          <w:iCs/>
          <w:lang w:val="en-US"/>
        </w:rPr>
        <w:t>Journal of Eastern Europe Research in Business and Economics</w:t>
      </w:r>
      <w:r w:rsidRPr="003266D1">
        <w:rPr>
          <w:lang w:val="en-US"/>
        </w:rPr>
        <w:t xml:space="preserve">, 1, 1–13. </w:t>
      </w:r>
    </w:p>
    <w:p w:rsidRPr="003266D1" w:rsidR="00371EA5" w:rsidP="00D87C1D" w:rsidRDefault="00371EA5" w14:paraId="5144AED2" w14:textId="77777777">
      <w:pPr>
        <w:ind w:left="720" w:hanging="720"/>
        <w:rPr>
          <w:lang w:val="en-US"/>
        </w:rPr>
      </w:pPr>
      <w:r w:rsidRPr="003266D1">
        <w:rPr>
          <w:lang w:val="en-US"/>
        </w:rPr>
        <w:t xml:space="preserve">Mintzberg, H., Ahlstrand, B. and Lampel, J. (2008) </w:t>
      </w:r>
      <w:r w:rsidRPr="003266D1">
        <w:rPr>
          <w:i/>
          <w:iCs/>
          <w:lang w:val="en-US"/>
        </w:rPr>
        <w:t>Strategy Safari: The Complete Guide Through the Wilds of Strategic Management</w:t>
      </w:r>
      <w:r w:rsidRPr="003266D1">
        <w:rPr>
          <w:lang w:val="en-US"/>
        </w:rPr>
        <w:t xml:space="preserve">. Harlow: FT Prentice Hall. </w:t>
      </w:r>
    </w:p>
    <w:p w:rsidRPr="003266D1" w:rsidR="00371EA5" w:rsidP="00D87C1D" w:rsidRDefault="00371EA5" w14:paraId="52F3917E" w14:textId="77777777">
      <w:pPr>
        <w:ind w:left="720" w:hanging="720"/>
        <w:rPr>
          <w:lang w:val="en-US"/>
        </w:rPr>
      </w:pPr>
      <w:r w:rsidRPr="003266D1">
        <w:rPr>
          <w:lang w:val="en-US"/>
        </w:rPr>
        <w:t xml:space="preserve">Paz, M. J. and Ruiz Gálvez, M. E. (2021) Effects of modular platforms on suppliers companies: Evidence from Volkswagen Polo manufacturing in Navarra (Spain). </w:t>
      </w:r>
      <w:r w:rsidRPr="003266D1">
        <w:rPr>
          <w:i/>
          <w:iCs/>
          <w:lang w:val="en-US"/>
        </w:rPr>
        <w:t>Journal of Manufacturing Technology Management</w:t>
      </w:r>
      <w:r w:rsidRPr="003266D1">
        <w:rPr>
          <w:lang w:val="en-US"/>
        </w:rPr>
        <w:t xml:space="preserve">, 32(2), 337–355. </w:t>
      </w:r>
    </w:p>
    <w:p w:rsidRPr="003266D1" w:rsidR="00371EA5" w:rsidP="00D87C1D" w:rsidRDefault="00371EA5" w14:paraId="65217B7E" w14:textId="77777777">
      <w:pPr>
        <w:ind w:left="720" w:hanging="720"/>
        <w:rPr>
          <w:lang w:val="en-US"/>
        </w:rPr>
      </w:pPr>
      <w:r w:rsidRPr="003266D1">
        <w:rPr>
          <w:lang w:val="en-US"/>
        </w:rPr>
        <w:t xml:space="preserve">Poier, S. (2020) Clean and green–the Volkswagen emissions scandal: Failure of corporate governance? </w:t>
      </w:r>
      <w:proofErr w:type="spellStart"/>
      <w:r w:rsidRPr="003266D1">
        <w:rPr>
          <w:i/>
          <w:iCs/>
          <w:lang w:val="en-US"/>
        </w:rPr>
        <w:t>Problemy</w:t>
      </w:r>
      <w:proofErr w:type="spellEnd"/>
      <w:r w:rsidRPr="003266D1">
        <w:rPr>
          <w:i/>
          <w:iCs/>
          <w:lang w:val="en-US"/>
        </w:rPr>
        <w:t xml:space="preserve"> </w:t>
      </w:r>
      <w:proofErr w:type="spellStart"/>
      <w:r w:rsidRPr="003266D1">
        <w:rPr>
          <w:i/>
          <w:iCs/>
          <w:lang w:val="en-US"/>
        </w:rPr>
        <w:t>Ekorozwoju</w:t>
      </w:r>
      <w:proofErr w:type="spellEnd"/>
      <w:r w:rsidRPr="003266D1">
        <w:rPr>
          <w:lang w:val="en-US"/>
        </w:rPr>
        <w:t xml:space="preserve">, 15(2), 33–39. </w:t>
      </w:r>
    </w:p>
    <w:p w:rsidRPr="003266D1" w:rsidR="00371EA5" w:rsidP="00D87C1D" w:rsidRDefault="00371EA5" w14:paraId="508B801E" w14:textId="77777777">
      <w:pPr>
        <w:ind w:left="720" w:hanging="720"/>
        <w:rPr>
          <w:lang w:val="en-US"/>
        </w:rPr>
      </w:pPr>
      <w:r w:rsidRPr="003266D1">
        <w:rPr>
          <w:lang w:val="en-US"/>
        </w:rPr>
        <w:t xml:space="preserve">Reuters (2025) How China’s new auto giants left GM, VW and Tesla in the dust. </w:t>
      </w:r>
      <w:r w:rsidRPr="003266D1">
        <w:rPr>
          <w:i/>
          <w:iCs/>
          <w:lang w:val="en-US"/>
        </w:rPr>
        <w:t>Reuters Investigations</w:t>
      </w:r>
      <w:r w:rsidRPr="003266D1">
        <w:rPr>
          <w:lang w:val="en-US"/>
        </w:rPr>
        <w:t xml:space="preserve">, 3 July. Available at: </w:t>
      </w:r>
      <w:hyperlink w:tgtFrame="_new" w:history="1" r:id="rId21">
        <w:r w:rsidRPr="003266D1">
          <w:rPr>
            <w:rStyle w:val="Hyperlink"/>
            <w:color w:val="auto"/>
            <w:lang w:val="en-US"/>
          </w:rPr>
          <w:t>https://www.reuters.com/investigations/how-chinas-new-auto-giants-left-gm-vw-tesla-dust-2025-07-03/</w:t>
        </w:r>
      </w:hyperlink>
      <w:r w:rsidRPr="003266D1">
        <w:rPr>
          <w:lang w:val="en-US"/>
        </w:rPr>
        <w:t xml:space="preserve"> (Accessed: 2 March 2026).</w:t>
      </w:r>
    </w:p>
    <w:p w:rsidRPr="003266D1" w:rsidR="00371EA5" w:rsidP="00D87C1D" w:rsidRDefault="00371EA5" w14:paraId="12BED598" w14:textId="77777777">
      <w:pPr>
        <w:ind w:left="720" w:hanging="720"/>
        <w:rPr>
          <w:lang w:val="en-US"/>
        </w:rPr>
      </w:pPr>
      <w:r w:rsidRPr="003266D1">
        <w:rPr>
          <w:lang w:val="en-US"/>
        </w:rPr>
        <w:t xml:space="preserve">Sheehy, B. and Farneti, F. (2021) Corporate social responsibility, sustainability, sustainable development and corporate sustainability: what is the difference, and does it matter? </w:t>
      </w:r>
      <w:r w:rsidRPr="003266D1">
        <w:rPr>
          <w:i/>
          <w:iCs/>
          <w:lang w:val="en-US"/>
        </w:rPr>
        <w:t>Sustainability</w:t>
      </w:r>
      <w:r w:rsidRPr="003266D1">
        <w:rPr>
          <w:lang w:val="en-US"/>
        </w:rPr>
        <w:t>, 13(11), 5965.</w:t>
      </w:r>
    </w:p>
    <w:p w:rsidRPr="003266D1" w:rsidR="00371EA5" w:rsidP="00371EA5" w:rsidRDefault="00371EA5" w14:paraId="3E14E1C4" w14:textId="365FF724">
      <w:pPr>
        <w:ind w:left="720" w:hanging="720"/>
      </w:pPr>
      <w:r w:rsidRPr="003266D1">
        <w:t>Sheehy, B., and Farneti, F. (2021) Corporate social responsibility, sustainability, sustainable development and corporate sustainability: what is the difference, and does it matter?. </w:t>
      </w:r>
      <w:r w:rsidRPr="003266D1">
        <w:rPr>
          <w:i/>
          <w:iCs/>
        </w:rPr>
        <w:t>Sustainability</w:t>
      </w:r>
      <w:r w:rsidRPr="003266D1">
        <w:t>, </w:t>
      </w:r>
      <w:r w:rsidRPr="003266D1">
        <w:rPr>
          <w:i/>
          <w:iCs/>
        </w:rPr>
        <w:t>13</w:t>
      </w:r>
      <w:r w:rsidRPr="003266D1">
        <w:t xml:space="preserve">(11), 5965. </w:t>
      </w:r>
    </w:p>
    <w:p w:rsidRPr="003266D1" w:rsidR="00371EA5" w:rsidP="00371EA5" w:rsidRDefault="00371EA5" w14:paraId="4225E2DC" w14:textId="77777777">
      <w:pPr>
        <w:ind w:left="720" w:hanging="720"/>
      </w:pPr>
      <w:r w:rsidRPr="003266D1">
        <w:t>Tawse, A., and Tabesh, P. (2021) Strategy implementation: A review and an introductory framework. </w:t>
      </w:r>
      <w:r w:rsidRPr="003266D1">
        <w:rPr>
          <w:i/>
          <w:iCs/>
        </w:rPr>
        <w:t>European management journal</w:t>
      </w:r>
      <w:r w:rsidRPr="003266D1">
        <w:t>, </w:t>
      </w:r>
      <w:r w:rsidRPr="003266D1">
        <w:rPr>
          <w:i/>
          <w:iCs/>
        </w:rPr>
        <w:t>39</w:t>
      </w:r>
      <w:r w:rsidRPr="003266D1">
        <w:t xml:space="preserve">(1), 22-33. </w:t>
      </w:r>
    </w:p>
    <w:p w:rsidRPr="003266D1" w:rsidR="00371EA5" w:rsidP="00D87C1D" w:rsidRDefault="00371EA5" w14:paraId="427CF6C7" w14:textId="77777777">
      <w:pPr>
        <w:ind w:left="720" w:hanging="720"/>
        <w:rPr>
          <w:lang w:val="en-US"/>
        </w:rPr>
      </w:pPr>
      <w:proofErr w:type="spellStart"/>
      <w:r w:rsidRPr="003266D1">
        <w:rPr>
          <w:lang w:val="en-US"/>
        </w:rPr>
        <w:t>Ulubeyli</w:t>
      </w:r>
      <w:proofErr w:type="spellEnd"/>
      <w:r w:rsidRPr="003266D1">
        <w:rPr>
          <w:lang w:val="en-US"/>
        </w:rPr>
        <w:t xml:space="preserve">, S., </w:t>
      </w:r>
      <w:proofErr w:type="spellStart"/>
      <w:r w:rsidRPr="003266D1">
        <w:rPr>
          <w:lang w:val="en-US"/>
        </w:rPr>
        <w:t>Kazancı</w:t>
      </w:r>
      <w:proofErr w:type="spellEnd"/>
      <w:r w:rsidRPr="003266D1">
        <w:rPr>
          <w:lang w:val="en-US"/>
        </w:rPr>
        <w:t xml:space="preserve">, O., Kazaz, A. and Arslan, V. (2019) Strategic factors affecting green building industry: A macro-environmental analysis using PESTEL framework. </w:t>
      </w:r>
      <w:r w:rsidRPr="003266D1">
        <w:rPr>
          <w:i/>
          <w:iCs/>
          <w:lang w:val="en-US"/>
        </w:rPr>
        <w:t>Sakarya University Journal of Science</w:t>
      </w:r>
      <w:r w:rsidRPr="003266D1">
        <w:rPr>
          <w:lang w:val="en-US"/>
        </w:rPr>
        <w:t xml:space="preserve">, 23(6), 1042–1055. </w:t>
      </w:r>
    </w:p>
    <w:p w:rsidRPr="003266D1" w:rsidR="00371EA5" w:rsidP="00D87C1D" w:rsidRDefault="00371EA5" w14:paraId="4F13F680" w14:textId="77777777">
      <w:pPr>
        <w:ind w:left="720" w:hanging="720"/>
        <w:rPr>
          <w:lang w:val="en-US"/>
        </w:rPr>
      </w:pPr>
      <w:r w:rsidRPr="003266D1">
        <w:rPr>
          <w:lang w:val="en-US"/>
        </w:rPr>
        <w:t xml:space="preserve">Volkswagen AG (2024) </w:t>
      </w:r>
      <w:r w:rsidRPr="003266D1">
        <w:rPr>
          <w:i/>
          <w:iCs/>
          <w:lang w:val="en-US"/>
        </w:rPr>
        <w:t>Volkswagen Group Annual Report 2024</w:t>
      </w:r>
      <w:r w:rsidRPr="003266D1">
        <w:rPr>
          <w:lang w:val="en-US"/>
        </w:rPr>
        <w:t xml:space="preserve">. Available at: </w:t>
      </w:r>
      <w:hyperlink w:tgtFrame="_new" w:history="1" r:id="rId22">
        <w:r w:rsidRPr="003266D1">
          <w:rPr>
            <w:rStyle w:val="Hyperlink"/>
            <w:color w:val="auto"/>
            <w:lang w:val="en-US"/>
          </w:rPr>
          <w:t>https://annualreport2024.volkswagen-group.com/_assets/downloads/entire-vw-ar24.pdf?h=5AteXYgL</w:t>
        </w:r>
      </w:hyperlink>
      <w:r w:rsidRPr="003266D1">
        <w:rPr>
          <w:lang w:val="en-US"/>
        </w:rPr>
        <w:t xml:space="preserve"> (Accessed: 2 March 2026).  </w:t>
      </w:r>
    </w:p>
    <w:p w:rsidRPr="003266D1" w:rsidR="00371EA5" w:rsidP="00D87C1D" w:rsidRDefault="00371EA5" w14:paraId="4BE46DE8" w14:textId="77777777">
      <w:pPr>
        <w:ind w:left="720" w:hanging="720"/>
        <w:rPr>
          <w:lang w:val="en-US"/>
        </w:rPr>
      </w:pPr>
      <w:r w:rsidRPr="003266D1">
        <w:rPr>
          <w:lang w:val="en-US"/>
        </w:rPr>
        <w:t xml:space="preserve">Volkswagen Group (2025) </w:t>
      </w:r>
      <w:r w:rsidRPr="003266D1">
        <w:rPr>
          <w:i/>
          <w:iCs/>
          <w:lang w:val="en-US"/>
        </w:rPr>
        <w:t>Volkswagen Group with solid FY 2024 results and a robust outlook</w:t>
      </w:r>
      <w:r w:rsidRPr="003266D1">
        <w:rPr>
          <w:lang w:val="en-US"/>
        </w:rPr>
        <w:t xml:space="preserve"> (Media Information, No. 18/2025, 11 March 2025). Available at: https://uploads.vw-mms.de/system/production/documents/cws/002/941/file_en/90c2f89b8eaadfa5941d47a52265de7437f2b17b/PM_Volkswagen_Group_with_solid_FY_2024_results_and_a_robust_outlook.pdf (Accessed: 2 March 2026).  </w:t>
      </w:r>
    </w:p>
    <w:p w:rsidRPr="003266D1" w:rsidR="00371EA5" w:rsidP="00D87C1D" w:rsidRDefault="00371EA5" w14:paraId="15593C38" w14:textId="77777777">
      <w:pPr>
        <w:ind w:left="720" w:hanging="720"/>
        <w:rPr>
          <w:lang w:val="en-US"/>
        </w:rPr>
      </w:pPr>
      <w:r w:rsidRPr="003266D1">
        <w:rPr>
          <w:lang w:val="en-US"/>
        </w:rPr>
        <w:t xml:space="preserve">Volkswagen Group (2026) The Car of the Future. Available at: https://www.volkswagen-group.com/en/the-car-of-the-future-19027 (Accessed: 2 March 2026). </w:t>
      </w:r>
    </w:p>
    <w:p w:rsidRPr="003266D1" w:rsidR="00371EA5" w:rsidP="00371EA5" w:rsidRDefault="00371EA5" w14:paraId="1B67E924" w14:textId="77777777">
      <w:pPr>
        <w:ind w:left="720" w:hanging="720"/>
      </w:pPr>
      <w:r w:rsidRPr="003266D1">
        <w:t>Wall, W. P. (2021) Strategic management and evaluation of the performance of family firms using management control system. </w:t>
      </w:r>
      <w:r w:rsidRPr="003266D1">
        <w:rPr>
          <w:i/>
          <w:iCs/>
        </w:rPr>
        <w:t>Transnational Corporations Review</w:t>
      </w:r>
      <w:r w:rsidRPr="003266D1">
        <w:t>, 1-16.</w:t>
      </w:r>
    </w:p>
    <w:p w:rsidRPr="003266D1" w:rsidR="00371EA5" w:rsidP="00D87C1D" w:rsidRDefault="00371EA5" w14:paraId="2C73F20E" w14:textId="77777777">
      <w:pPr>
        <w:ind w:left="720" w:hanging="720"/>
        <w:rPr>
          <w:lang w:val="en-US"/>
        </w:rPr>
      </w:pPr>
    </w:p>
    <w:p w:rsidRPr="003266D1" w:rsidR="00D87C1D" w:rsidP="005F6C31" w:rsidRDefault="00D87C1D" w14:paraId="347A048D" w14:textId="77777777">
      <w:pPr>
        <w:ind w:left="720" w:hanging="720"/>
        <w:rPr>
          <w:lang w:val="en-US"/>
        </w:rPr>
      </w:pPr>
    </w:p>
    <w:sectPr w:rsidRPr="003266D1" w:rsidR="00D87C1D">
      <w:footerReference w:type="default" r:id="rId2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5DCB" w:rsidP="00DB6DC3" w:rsidRDefault="004C5DCB" w14:paraId="267C984C" w14:textId="77777777">
      <w:pPr>
        <w:spacing w:before="0" w:after="0" w:line="240" w:lineRule="auto"/>
      </w:pPr>
      <w:r>
        <w:separator/>
      </w:r>
    </w:p>
  </w:endnote>
  <w:endnote w:type="continuationSeparator" w:id="0">
    <w:p w:rsidR="004C5DCB" w:rsidP="00DB6DC3" w:rsidRDefault="004C5DCB" w14:paraId="22E9A94B"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570049"/>
      <w:docPartObj>
        <w:docPartGallery w:val="Page Numbers (Bottom of Page)"/>
        <w:docPartUnique/>
      </w:docPartObj>
    </w:sdtPr>
    <w:sdtEndPr>
      <w:rPr>
        <w:noProof/>
      </w:rPr>
    </w:sdtEndPr>
    <w:sdtContent>
      <w:p w:rsidR="000C4B1A" w:rsidRDefault="000C4B1A" w14:paraId="317112C7" w14:textId="19AED993">
        <w:pPr>
          <w:pStyle w:val="Footer"/>
          <w:jc w:val="right"/>
        </w:pPr>
        <w:r>
          <w:fldChar w:fldCharType="begin"/>
        </w:r>
        <w:r>
          <w:instrText xml:space="preserve"> PAGE   \* MERGEFORMAT </w:instrText>
        </w:r>
        <w:r>
          <w:fldChar w:fldCharType="separate"/>
        </w:r>
        <w:r w:rsidR="00332AE1">
          <w:rPr>
            <w:noProof/>
          </w:rPr>
          <w:t>21</w:t>
        </w:r>
        <w:r>
          <w:rPr>
            <w:noProof/>
          </w:rPr>
          <w:fldChar w:fldCharType="end"/>
        </w:r>
      </w:p>
    </w:sdtContent>
  </w:sdt>
  <w:p w:rsidR="000C4B1A" w:rsidRDefault="000C4B1A" w14:paraId="36EEF7E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5DCB" w:rsidP="00DB6DC3" w:rsidRDefault="004C5DCB" w14:paraId="7341BF77" w14:textId="77777777">
      <w:pPr>
        <w:spacing w:before="0" w:after="0" w:line="240" w:lineRule="auto"/>
      </w:pPr>
      <w:r>
        <w:separator/>
      </w:r>
    </w:p>
  </w:footnote>
  <w:footnote w:type="continuationSeparator" w:id="0">
    <w:p w:rsidR="004C5DCB" w:rsidP="00DB6DC3" w:rsidRDefault="004C5DCB" w14:paraId="12432F7E"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A3770"/>
    <w:multiLevelType w:val="hybridMultilevel"/>
    <w:tmpl w:val="24427882"/>
    <w:lvl w:ilvl="0" w:tplc="71403CB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425646"/>
    <w:multiLevelType w:val="multilevel"/>
    <w:tmpl w:val="15EE9E06"/>
    <w:lvl w:ilvl="0">
      <w:start w:val="1"/>
      <w:numFmt w:val="decimal"/>
      <w:pStyle w:val="Heading1"/>
      <w:lvlText w:val="%1."/>
      <w:lvlJc w:val="left"/>
      <w:pPr>
        <w:ind w:left="3240" w:hanging="360"/>
      </w:pPr>
    </w:lvl>
    <w:lvl w:ilvl="1">
      <w:start w:val="1"/>
      <w:numFmt w:val="decimal"/>
      <w:pStyle w:val="Heading2"/>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518281879">
    <w:abstractNumId w:val="1"/>
  </w:num>
  <w:num w:numId="2" w16cid:durableId="205615829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LI0M7EwNDEyMDAxNzdT0lEKTi0uzszPAykwNK4FAEyTRlwtAAAA"/>
  </w:docVars>
  <w:rsids>
    <w:rsidRoot w:val="00932CCF"/>
    <w:rsid w:val="00001310"/>
    <w:rsid w:val="00001EE8"/>
    <w:rsid w:val="0000324B"/>
    <w:rsid w:val="00003E85"/>
    <w:rsid w:val="00010DDE"/>
    <w:rsid w:val="00020F8F"/>
    <w:rsid w:val="00024653"/>
    <w:rsid w:val="000268A0"/>
    <w:rsid w:val="000317D3"/>
    <w:rsid w:val="00032C37"/>
    <w:rsid w:val="00033241"/>
    <w:rsid w:val="00046D5D"/>
    <w:rsid w:val="00057507"/>
    <w:rsid w:val="00070535"/>
    <w:rsid w:val="00074387"/>
    <w:rsid w:val="00081ECF"/>
    <w:rsid w:val="0008627C"/>
    <w:rsid w:val="00092892"/>
    <w:rsid w:val="00094CC3"/>
    <w:rsid w:val="00095F94"/>
    <w:rsid w:val="000A3991"/>
    <w:rsid w:val="000A3D19"/>
    <w:rsid w:val="000A719F"/>
    <w:rsid w:val="000B6950"/>
    <w:rsid w:val="000C13ED"/>
    <w:rsid w:val="000C4B1A"/>
    <w:rsid w:val="000C65F0"/>
    <w:rsid w:val="000C6656"/>
    <w:rsid w:val="000C66E3"/>
    <w:rsid w:val="000D61C8"/>
    <w:rsid w:val="000D7E77"/>
    <w:rsid w:val="000E05D1"/>
    <w:rsid w:val="000E4AD0"/>
    <w:rsid w:val="000E5691"/>
    <w:rsid w:val="000E6E74"/>
    <w:rsid w:val="001011C0"/>
    <w:rsid w:val="001012F9"/>
    <w:rsid w:val="001050D0"/>
    <w:rsid w:val="00115295"/>
    <w:rsid w:val="00116E9D"/>
    <w:rsid w:val="00120446"/>
    <w:rsid w:val="0013418C"/>
    <w:rsid w:val="00140124"/>
    <w:rsid w:val="00143136"/>
    <w:rsid w:val="0014313A"/>
    <w:rsid w:val="001454A9"/>
    <w:rsid w:val="0014653B"/>
    <w:rsid w:val="00147121"/>
    <w:rsid w:val="00151F84"/>
    <w:rsid w:val="00153167"/>
    <w:rsid w:val="001563B0"/>
    <w:rsid w:val="00184D94"/>
    <w:rsid w:val="00185909"/>
    <w:rsid w:val="00191A66"/>
    <w:rsid w:val="00195862"/>
    <w:rsid w:val="001A2426"/>
    <w:rsid w:val="001A5164"/>
    <w:rsid w:val="001B55C4"/>
    <w:rsid w:val="001B56E1"/>
    <w:rsid w:val="001C0ABB"/>
    <w:rsid w:val="001C1436"/>
    <w:rsid w:val="001C1CE4"/>
    <w:rsid w:val="001E34A8"/>
    <w:rsid w:val="001F074F"/>
    <w:rsid w:val="001F0B20"/>
    <w:rsid w:val="001F1D4A"/>
    <w:rsid w:val="001F2C6F"/>
    <w:rsid w:val="001F36F0"/>
    <w:rsid w:val="001F691F"/>
    <w:rsid w:val="00201704"/>
    <w:rsid w:val="00210644"/>
    <w:rsid w:val="0021335F"/>
    <w:rsid w:val="002217F3"/>
    <w:rsid w:val="00243FC1"/>
    <w:rsid w:val="00246038"/>
    <w:rsid w:val="00246ED6"/>
    <w:rsid w:val="00247550"/>
    <w:rsid w:val="002720E8"/>
    <w:rsid w:val="00275337"/>
    <w:rsid w:val="00284297"/>
    <w:rsid w:val="00287120"/>
    <w:rsid w:val="002904D9"/>
    <w:rsid w:val="00295BC7"/>
    <w:rsid w:val="002A418F"/>
    <w:rsid w:val="002B20C2"/>
    <w:rsid w:val="002B285B"/>
    <w:rsid w:val="002D4EB7"/>
    <w:rsid w:val="002E0AFA"/>
    <w:rsid w:val="002F3DE5"/>
    <w:rsid w:val="00300303"/>
    <w:rsid w:val="00301450"/>
    <w:rsid w:val="00303DD4"/>
    <w:rsid w:val="003266D1"/>
    <w:rsid w:val="00332AE1"/>
    <w:rsid w:val="00337041"/>
    <w:rsid w:val="00355D30"/>
    <w:rsid w:val="0036069A"/>
    <w:rsid w:val="0036121F"/>
    <w:rsid w:val="00361B9E"/>
    <w:rsid w:val="00367DC0"/>
    <w:rsid w:val="00371EA5"/>
    <w:rsid w:val="00383DFD"/>
    <w:rsid w:val="003A2310"/>
    <w:rsid w:val="003A2C61"/>
    <w:rsid w:val="003B1D94"/>
    <w:rsid w:val="003B319A"/>
    <w:rsid w:val="003C3C5E"/>
    <w:rsid w:val="003D13CA"/>
    <w:rsid w:val="003D4D91"/>
    <w:rsid w:val="003D5FF5"/>
    <w:rsid w:val="003D7E21"/>
    <w:rsid w:val="003E1883"/>
    <w:rsid w:val="003E4166"/>
    <w:rsid w:val="003E54BE"/>
    <w:rsid w:val="004031A3"/>
    <w:rsid w:val="00403C2E"/>
    <w:rsid w:val="00406B8F"/>
    <w:rsid w:val="00407C3A"/>
    <w:rsid w:val="00410D84"/>
    <w:rsid w:val="00413BA4"/>
    <w:rsid w:val="00423E59"/>
    <w:rsid w:val="00424089"/>
    <w:rsid w:val="0042579B"/>
    <w:rsid w:val="00435B1D"/>
    <w:rsid w:val="0043663C"/>
    <w:rsid w:val="00437B30"/>
    <w:rsid w:val="004411C0"/>
    <w:rsid w:val="004536F5"/>
    <w:rsid w:val="00453956"/>
    <w:rsid w:val="004577EE"/>
    <w:rsid w:val="00461943"/>
    <w:rsid w:val="00462E8D"/>
    <w:rsid w:val="00476B96"/>
    <w:rsid w:val="004805DD"/>
    <w:rsid w:val="00482BD4"/>
    <w:rsid w:val="0048698A"/>
    <w:rsid w:val="004978CA"/>
    <w:rsid w:val="004B06A6"/>
    <w:rsid w:val="004C3ADE"/>
    <w:rsid w:val="004C5DCB"/>
    <w:rsid w:val="004D3086"/>
    <w:rsid w:val="004D45A7"/>
    <w:rsid w:val="004D5CEC"/>
    <w:rsid w:val="004E0A81"/>
    <w:rsid w:val="004E1328"/>
    <w:rsid w:val="004E158A"/>
    <w:rsid w:val="004E3DAA"/>
    <w:rsid w:val="004E7B49"/>
    <w:rsid w:val="004F5ED0"/>
    <w:rsid w:val="0051143F"/>
    <w:rsid w:val="005120E2"/>
    <w:rsid w:val="00517E5A"/>
    <w:rsid w:val="00524DFD"/>
    <w:rsid w:val="00542331"/>
    <w:rsid w:val="00542BB6"/>
    <w:rsid w:val="005472D8"/>
    <w:rsid w:val="00560F0E"/>
    <w:rsid w:val="00570D2B"/>
    <w:rsid w:val="00580C21"/>
    <w:rsid w:val="00584071"/>
    <w:rsid w:val="00585103"/>
    <w:rsid w:val="005931FF"/>
    <w:rsid w:val="00593501"/>
    <w:rsid w:val="00594D32"/>
    <w:rsid w:val="005A20C6"/>
    <w:rsid w:val="005C0C68"/>
    <w:rsid w:val="005C4F52"/>
    <w:rsid w:val="005E1E0E"/>
    <w:rsid w:val="005E4C4D"/>
    <w:rsid w:val="005F0951"/>
    <w:rsid w:val="005F6C31"/>
    <w:rsid w:val="006014F0"/>
    <w:rsid w:val="00602AC3"/>
    <w:rsid w:val="0060333C"/>
    <w:rsid w:val="00603D11"/>
    <w:rsid w:val="006061A3"/>
    <w:rsid w:val="00606327"/>
    <w:rsid w:val="006155FA"/>
    <w:rsid w:val="006260C1"/>
    <w:rsid w:val="00633857"/>
    <w:rsid w:val="00637F29"/>
    <w:rsid w:val="0065039B"/>
    <w:rsid w:val="00656DFA"/>
    <w:rsid w:val="006720ED"/>
    <w:rsid w:val="006820AD"/>
    <w:rsid w:val="00690444"/>
    <w:rsid w:val="00696768"/>
    <w:rsid w:val="006A16E0"/>
    <w:rsid w:val="006B14DB"/>
    <w:rsid w:val="006B21C7"/>
    <w:rsid w:val="006B24A6"/>
    <w:rsid w:val="006B2605"/>
    <w:rsid w:val="006B3470"/>
    <w:rsid w:val="006B4AEA"/>
    <w:rsid w:val="006C340B"/>
    <w:rsid w:val="006C387D"/>
    <w:rsid w:val="006C576B"/>
    <w:rsid w:val="006D0CE7"/>
    <w:rsid w:val="006D30FC"/>
    <w:rsid w:val="006D3EA6"/>
    <w:rsid w:val="006E0F44"/>
    <w:rsid w:val="006E0FFA"/>
    <w:rsid w:val="006E2869"/>
    <w:rsid w:val="006E3A90"/>
    <w:rsid w:val="006E3C32"/>
    <w:rsid w:val="006F14E0"/>
    <w:rsid w:val="006F6112"/>
    <w:rsid w:val="007001E3"/>
    <w:rsid w:val="00704CEC"/>
    <w:rsid w:val="00715BF8"/>
    <w:rsid w:val="00742FAE"/>
    <w:rsid w:val="00743271"/>
    <w:rsid w:val="00753596"/>
    <w:rsid w:val="00753FC8"/>
    <w:rsid w:val="0076038A"/>
    <w:rsid w:val="00763457"/>
    <w:rsid w:val="007637BF"/>
    <w:rsid w:val="007645BC"/>
    <w:rsid w:val="00765272"/>
    <w:rsid w:val="00770D49"/>
    <w:rsid w:val="007731D1"/>
    <w:rsid w:val="0078384C"/>
    <w:rsid w:val="00785649"/>
    <w:rsid w:val="00786EE2"/>
    <w:rsid w:val="007923F5"/>
    <w:rsid w:val="00793DA6"/>
    <w:rsid w:val="0079688E"/>
    <w:rsid w:val="007A0143"/>
    <w:rsid w:val="007B2069"/>
    <w:rsid w:val="007B2DE8"/>
    <w:rsid w:val="007B43EC"/>
    <w:rsid w:val="007B536E"/>
    <w:rsid w:val="007B55D3"/>
    <w:rsid w:val="007C0D51"/>
    <w:rsid w:val="007D01F9"/>
    <w:rsid w:val="007D0CD4"/>
    <w:rsid w:val="007D2561"/>
    <w:rsid w:val="007D2730"/>
    <w:rsid w:val="007D654A"/>
    <w:rsid w:val="007E492D"/>
    <w:rsid w:val="007E5B2D"/>
    <w:rsid w:val="007E6CA7"/>
    <w:rsid w:val="007F6AB0"/>
    <w:rsid w:val="00813945"/>
    <w:rsid w:val="00822C19"/>
    <w:rsid w:val="008476FB"/>
    <w:rsid w:val="00847925"/>
    <w:rsid w:val="0085079F"/>
    <w:rsid w:val="00852677"/>
    <w:rsid w:val="00862421"/>
    <w:rsid w:val="008740ED"/>
    <w:rsid w:val="008937EF"/>
    <w:rsid w:val="00893E37"/>
    <w:rsid w:val="00894D90"/>
    <w:rsid w:val="008A3D89"/>
    <w:rsid w:val="008B26F2"/>
    <w:rsid w:val="008B3472"/>
    <w:rsid w:val="008B4A15"/>
    <w:rsid w:val="008C044D"/>
    <w:rsid w:val="008C5191"/>
    <w:rsid w:val="008D2F01"/>
    <w:rsid w:val="008D4D6B"/>
    <w:rsid w:val="008E0CB4"/>
    <w:rsid w:val="008E36B5"/>
    <w:rsid w:val="00906609"/>
    <w:rsid w:val="0091169F"/>
    <w:rsid w:val="00912984"/>
    <w:rsid w:val="00913DAE"/>
    <w:rsid w:val="0091712B"/>
    <w:rsid w:val="00923C6F"/>
    <w:rsid w:val="009244C2"/>
    <w:rsid w:val="00930EB2"/>
    <w:rsid w:val="00932936"/>
    <w:rsid w:val="00932CCF"/>
    <w:rsid w:val="00932F7A"/>
    <w:rsid w:val="00950B8C"/>
    <w:rsid w:val="009522AB"/>
    <w:rsid w:val="00975DCB"/>
    <w:rsid w:val="00981D1F"/>
    <w:rsid w:val="00981F07"/>
    <w:rsid w:val="009A0B93"/>
    <w:rsid w:val="009B3173"/>
    <w:rsid w:val="009C124D"/>
    <w:rsid w:val="009C6559"/>
    <w:rsid w:val="009D29D0"/>
    <w:rsid w:val="009E46EB"/>
    <w:rsid w:val="009F0BCE"/>
    <w:rsid w:val="009F7189"/>
    <w:rsid w:val="00A02F01"/>
    <w:rsid w:val="00A0372E"/>
    <w:rsid w:val="00A04858"/>
    <w:rsid w:val="00A07299"/>
    <w:rsid w:val="00A133EE"/>
    <w:rsid w:val="00A14C49"/>
    <w:rsid w:val="00A21CE8"/>
    <w:rsid w:val="00A2553B"/>
    <w:rsid w:val="00A37BB9"/>
    <w:rsid w:val="00A41C4D"/>
    <w:rsid w:val="00A53F9A"/>
    <w:rsid w:val="00A54926"/>
    <w:rsid w:val="00A7011A"/>
    <w:rsid w:val="00A77F62"/>
    <w:rsid w:val="00A841CB"/>
    <w:rsid w:val="00A913DF"/>
    <w:rsid w:val="00A92B2D"/>
    <w:rsid w:val="00A975C0"/>
    <w:rsid w:val="00AA428B"/>
    <w:rsid w:val="00AA66F8"/>
    <w:rsid w:val="00AB0232"/>
    <w:rsid w:val="00AB10F4"/>
    <w:rsid w:val="00AB3BB3"/>
    <w:rsid w:val="00AB5A15"/>
    <w:rsid w:val="00AC1F3A"/>
    <w:rsid w:val="00AC2331"/>
    <w:rsid w:val="00AD0B70"/>
    <w:rsid w:val="00AD623E"/>
    <w:rsid w:val="00AE0992"/>
    <w:rsid w:val="00AE7D6D"/>
    <w:rsid w:val="00AF3CE2"/>
    <w:rsid w:val="00AF5FFB"/>
    <w:rsid w:val="00B023A5"/>
    <w:rsid w:val="00B10640"/>
    <w:rsid w:val="00B11197"/>
    <w:rsid w:val="00B11CA3"/>
    <w:rsid w:val="00B12C3B"/>
    <w:rsid w:val="00B21591"/>
    <w:rsid w:val="00B21FB9"/>
    <w:rsid w:val="00B30D70"/>
    <w:rsid w:val="00B31E2A"/>
    <w:rsid w:val="00B52205"/>
    <w:rsid w:val="00B52450"/>
    <w:rsid w:val="00B53FEF"/>
    <w:rsid w:val="00B61352"/>
    <w:rsid w:val="00B650D7"/>
    <w:rsid w:val="00B6732B"/>
    <w:rsid w:val="00B70709"/>
    <w:rsid w:val="00B73052"/>
    <w:rsid w:val="00B82B9C"/>
    <w:rsid w:val="00B83A52"/>
    <w:rsid w:val="00B84931"/>
    <w:rsid w:val="00B84BC3"/>
    <w:rsid w:val="00B938E9"/>
    <w:rsid w:val="00B95696"/>
    <w:rsid w:val="00BA1466"/>
    <w:rsid w:val="00BA30E2"/>
    <w:rsid w:val="00BA5865"/>
    <w:rsid w:val="00BA64D6"/>
    <w:rsid w:val="00BC0FCA"/>
    <w:rsid w:val="00BD6CD9"/>
    <w:rsid w:val="00BD6DB2"/>
    <w:rsid w:val="00BE56AE"/>
    <w:rsid w:val="00BF0D6B"/>
    <w:rsid w:val="00C05AF8"/>
    <w:rsid w:val="00C05F6D"/>
    <w:rsid w:val="00C13D95"/>
    <w:rsid w:val="00C2755F"/>
    <w:rsid w:val="00C41272"/>
    <w:rsid w:val="00C45E24"/>
    <w:rsid w:val="00C46943"/>
    <w:rsid w:val="00C57DE1"/>
    <w:rsid w:val="00C73B9F"/>
    <w:rsid w:val="00C76830"/>
    <w:rsid w:val="00C8002A"/>
    <w:rsid w:val="00C86F9A"/>
    <w:rsid w:val="00C95160"/>
    <w:rsid w:val="00CB731B"/>
    <w:rsid w:val="00CC0350"/>
    <w:rsid w:val="00CC75F3"/>
    <w:rsid w:val="00CD1CE0"/>
    <w:rsid w:val="00CD6658"/>
    <w:rsid w:val="00CD7A45"/>
    <w:rsid w:val="00CE0C6D"/>
    <w:rsid w:val="00CE64D4"/>
    <w:rsid w:val="00CF0BFE"/>
    <w:rsid w:val="00CF3053"/>
    <w:rsid w:val="00CF3589"/>
    <w:rsid w:val="00CF6755"/>
    <w:rsid w:val="00CF75EB"/>
    <w:rsid w:val="00CF7852"/>
    <w:rsid w:val="00D024B5"/>
    <w:rsid w:val="00D0691A"/>
    <w:rsid w:val="00D11B7B"/>
    <w:rsid w:val="00D11F1A"/>
    <w:rsid w:val="00D24FD6"/>
    <w:rsid w:val="00D34F3C"/>
    <w:rsid w:val="00D36F41"/>
    <w:rsid w:val="00D41D1E"/>
    <w:rsid w:val="00D42581"/>
    <w:rsid w:val="00D44A22"/>
    <w:rsid w:val="00D45DE5"/>
    <w:rsid w:val="00D5035D"/>
    <w:rsid w:val="00D55CFB"/>
    <w:rsid w:val="00D67503"/>
    <w:rsid w:val="00D70630"/>
    <w:rsid w:val="00D7643B"/>
    <w:rsid w:val="00D765B4"/>
    <w:rsid w:val="00D87C1D"/>
    <w:rsid w:val="00D87FFD"/>
    <w:rsid w:val="00D979E4"/>
    <w:rsid w:val="00DA422C"/>
    <w:rsid w:val="00DB1F0B"/>
    <w:rsid w:val="00DB27CA"/>
    <w:rsid w:val="00DB3F18"/>
    <w:rsid w:val="00DB450C"/>
    <w:rsid w:val="00DB60D5"/>
    <w:rsid w:val="00DB6CE8"/>
    <w:rsid w:val="00DB6DC3"/>
    <w:rsid w:val="00DC2201"/>
    <w:rsid w:val="00DD2740"/>
    <w:rsid w:val="00DD714B"/>
    <w:rsid w:val="00DE4831"/>
    <w:rsid w:val="00DE5894"/>
    <w:rsid w:val="00DF33BB"/>
    <w:rsid w:val="00E07449"/>
    <w:rsid w:val="00E15269"/>
    <w:rsid w:val="00E1773B"/>
    <w:rsid w:val="00E32C7F"/>
    <w:rsid w:val="00E4517A"/>
    <w:rsid w:val="00E5024E"/>
    <w:rsid w:val="00E54D2C"/>
    <w:rsid w:val="00E55BAA"/>
    <w:rsid w:val="00E74A94"/>
    <w:rsid w:val="00E75901"/>
    <w:rsid w:val="00E85270"/>
    <w:rsid w:val="00E86851"/>
    <w:rsid w:val="00E873D3"/>
    <w:rsid w:val="00E93792"/>
    <w:rsid w:val="00E93B81"/>
    <w:rsid w:val="00E95F31"/>
    <w:rsid w:val="00EA362B"/>
    <w:rsid w:val="00EB36BA"/>
    <w:rsid w:val="00EB39F9"/>
    <w:rsid w:val="00EC379A"/>
    <w:rsid w:val="00ED2AAE"/>
    <w:rsid w:val="00ED5B06"/>
    <w:rsid w:val="00EE3432"/>
    <w:rsid w:val="00EE77CC"/>
    <w:rsid w:val="00EF1B5B"/>
    <w:rsid w:val="00F01841"/>
    <w:rsid w:val="00F020BC"/>
    <w:rsid w:val="00F11EE7"/>
    <w:rsid w:val="00F1483B"/>
    <w:rsid w:val="00F15F9A"/>
    <w:rsid w:val="00F20938"/>
    <w:rsid w:val="00F21079"/>
    <w:rsid w:val="00F32011"/>
    <w:rsid w:val="00F360A2"/>
    <w:rsid w:val="00F4283D"/>
    <w:rsid w:val="00F42912"/>
    <w:rsid w:val="00F470CF"/>
    <w:rsid w:val="00F530C5"/>
    <w:rsid w:val="00F57124"/>
    <w:rsid w:val="00F67AC1"/>
    <w:rsid w:val="00F748C1"/>
    <w:rsid w:val="00F934B4"/>
    <w:rsid w:val="00FA2511"/>
    <w:rsid w:val="00FA2515"/>
    <w:rsid w:val="00FA3181"/>
    <w:rsid w:val="00FA7F17"/>
    <w:rsid w:val="00FB081A"/>
    <w:rsid w:val="00FB0EC8"/>
    <w:rsid w:val="00FB4825"/>
    <w:rsid w:val="00FC6BAE"/>
    <w:rsid w:val="00FE1D40"/>
    <w:rsid w:val="00FF72E6"/>
    <w:rsid w:val="2D1D5CDD"/>
    <w:rsid w:val="4E496754"/>
    <w:rsid w:val="5EF59ACA"/>
    <w:rsid w:val="601E746B"/>
    <w:rsid w:val="64F77227"/>
    <w:rsid w:val="7CEC2912"/>
    <w:rsid w:val="7FF8175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Times New Roman" w:ascii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4B1A"/>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E85270"/>
    <w:pPr>
      <w:keepNext/>
      <w:keepLines/>
      <w:numPr>
        <w:numId w:val="1"/>
      </w:numPr>
      <w:spacing w:before="0" w:after="200"/>
      <w:ind w:left="360"/>
      <w:jc w:val="center"/>
      <w:outlineLvl w:val="0"/>
    </w:pPr>
    <w:rPr>
      <w:rFonts w:eastAsiaTheme="majorEastAsia" w:cstheme="majorBidi"/>
      <w:b/>
      <w:color w:val="002060"/>
      <w:sz w:val="32"/>
      <w:szCs w:val="32"/>
      <w:lang w:val="en-US"/>
    </w:rPr>
  </w:style>
  <w:style w:type="paragraph" w:styleId="Heading2">
    <w:name w:val="heading 2"/>
    <w:basedOn w:val="Normal"/>
    <w:next w:val="Normal"/>
    <w:link w:val="Heading2Char"/>
    <w:autoRedefine/>
    <w:uiPriority w:val="9"/>
    <w:unhideWhenUsed/>
    <w:qFormat/>
    <w:rsid w:val="00E85270"/>
    <w:pPr>
      <w:keepNext/>
      <w:keepLines/>
      <w:numPr>
        <w:ilvl w:val="1"/>
        <w:numId w:val="1"/>
      </w:numPr>
      <w:spacing w:before="160" w:after="200"/>
      <w:outlineLvl w:val="1"/>
    </w:pPr>
    <w:rPr>
      <w:rFonts w:eastAsiaTheme="majorEastAsia" w:cstheme="majorBidi"/>
      <w:b/>
      <w:color w:val="000000" w:themeColor="text1"/>
      <w:sz w:val="28"/>
      <w:szCs w:val="26"/>
      <w:lang w:val="en-US"/>
    </w:rPr>
  </w:style>
  <w:style w:type="paragraph" w:styleId="Heading3">
    <w:name w:val="heading 3"/>
    <w:basedOn w:val="Normal"/>
    <w:next w:val="Normal"/>
    <w:link w:val="Heading3Char"/>
    <w:autoRedefine/>
    <w:uiPriority w:val="9"/>
    <w:unhideWhenUsed/>
    <w:qFormat/>
    <w:rsid w:val="006E0F44"/>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85270"/>
    <w:rPr>
      <w:rFonts w:ascii="Times New Roman" w:hAnsi="Times New Roman" w:eastAsiaTheme="majorEastAsia" w:cstheme="majorBidi"/>
      <w:b/>
      <w:color w:val="002060"/>
      <w:sz w:val="32"/>
      <w:szCs w:val="32"/>
      <w:lang w:val="en-US" w:eastAsia="en-GB"/>
    </w:rPr>
  </w:style>
  <w:style w:type="character" w:styleId="Heading2Char" w:customStyle="1">
    <w:name w:val="Heading 2 Char"/>
    <w:basedOn w:val="DefaultParagraphFont"/>
    <w:link w:val="Heading2"/>
    <w:uiPriority w:val="9"/>
    <w:rsid w:val="00E85270"/>
    <w:rPr>
      <w:rFonts w:ascii="Times New Roman" w:hAnsi="Times New Roman" w:eastAsiaTheme="majorEastAsia" w:cstheme="majorBidi"/>
      <w:b/>
      <w:color w:val="000000" w:themeColor="text1"/>
      <w:sz w:val="28"/>
      <w:szCs w:val="26"/>
      <w:lang w:val="en-US" w:eastAsia="en-GB"/>
    </w:rPr>
  </w:style>
  <w:style w:type="character" w:styleId="Heading3Char" w:customStyle="1">
    <w:name w:val="Heading 3 Char"/>
    <w:basedOn w:val="DefaultParagraphFont"/>
    <w:link w:val="Heading3"/>
    <w:uiPriority w:val="9"/>
    <w:rsid w:val="006E0F44"/>
    <w:rPr>
      <w:rFonts w:ascii="Times New Roman" w:hAnsi="Times New Roman" w:eastAsiaTheme="majorEastAsia" w:cstheme="majorBidi"/>
      <w:b/>
      <w:color w:val="7030A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styleId="Heading4Char" w:customStyle="1">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styleId="Heading5Char" w:customStyle="1">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styleId="Heading6Char" w:customStyle="1">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styleId="Heading7Char" w:customStyle="1">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styleId="Heading8Char" w:customStyle="1">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styleId="Heading9Char" w:customStyle="1">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32CCF"/>
    <w:rPr>
      <w:rFonts w:asciiTheme="majorHAnsi" w:hAnsiTheme="majorHAnsi" w:eastAsiaTheme="majorEastAsia"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pacing w:before="240" w:after="0" w:line="259" w:lineRule="auto"/>
      <w:jc w:val="left"/>
      <w:outlineLvl w:val="9"/>
    </w:pPr>
    <w:rPr>
      <w:rFonts w:asciiTheme="majorHAnsi" w:hAnsiTheme="majorHAnsi"/>
      <w:b w:val="0"/>
      <w:color w:val="2F5496" w:themeColor="accent1" w:themeShade="BF"/>
      <w:kern w:val="0"/>
      <w:lang w:eastAsia="en-US"/>
      <w14:ligatures w14:val="none"/>
    </w:rPr>
  </w:style>
  <w:style w:type="paragraph" w:styleId="TOC1">
    <w:name w:val="toc 1"/>
    <w:basedOn w:val="Normal"/>
    <w:next w:val="Normal"/>
    <w:autoRedefine/>
    <w:uiPriority w:val="39"/>
    <w:unhideWhenUsed/>
    <w:rsid w:val="008E36B5"/>
    <w:pPr>
      <w:tabs>
        <w:tab w:val="right" w:leader="dot" w:pos="9016"/>
      </w:tabs>
      <w:spacing w:after="100"/>
    </w:pPr>
    <w:rPr>
      <w:rFonts w:eastAsiaTheme="majorEastAsia"/>
      <w:b/>
      <w:bCs/>
      <w:noProof/>
    </w:rPr>
  </w:style>
  <w:style w:type="paragraph" w:styleId="TOC2">
    <w:name w:val="toc 2"/>
    <w:basedOn w:val="Normal"/>
    <w:next w:val="Normal"/>
    <w:autoRedefine/>
    <w:uiPriority w:val="39"/>
    <w:unhideWhenUsed/>
    <w:rsid w:val="008E36B5"/>
    <w:pPr>
      <w:spacing w:after="100"/>
      <w:ind w:left="240"/>
    </w:pPr>
  </w:style>
  <w:style w:type="paragraph" w:styleId="TOC3">
    <w:name w:val="toc 3"/>
    <w:basedOn w:val="Normal"/>
    <w:next w:val="Normal"/>
    <w:autoRedefine/>
    <w:uiPriority w:val="39"/>
    <w:unhideWhenUsed/>
    <w:rsid w:val="008E36B5"/>
    <w:pPr>
      <w:spacing w:after="100"/>
      <w:ind w:left="480"/>
    </w:p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styleId="UnresolvedMention1" w:customStyle="1">
    <w:name w:val="Unresolved Mention1"/>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A0143"/>
    <w:pPr>
      <w:spacing w:after="0" w:line="240" w:lineRule="auto"/>
    </w:pPr>
    <w:tblPr>
      <w:tblBorders>
        <w:top w:val="single" w:color="2E74B5" w:themeColor="accent5" w:themeShade="BF" w:sz="12" w:space="0"/>
        <w:left w:val="single" w:color="2E74B5" w:themeColor="accent5" w:themeShade="BF" w:sz="12" w:space="0"/>
        <w:bottom w:val="single" w:color="2E74B5" w:themeColor="accent5" w:themeShade="BF" w:sz="12" w:space="0"/>
        <w:right w:val="single" w:color="2E74B5" w:themeColor="accent5" w:themeShade="BF" w:sz="12" w:space="0"/>
        <w:insideH w:val="single" w:color="2E74B5" w:themeColor="accent5" w:themeShade="BF" w:sz="12" w:space="0"/>
        <w:insideV w:val="single" w:color="2E74B5" w:themeColor="accent5" w:themeShade="BF" w:sz="12" w:space="0"/>
      </w:tblBorders>
    </w:tblPr>
    <w:tblStylePr w:type="firstRow">
      <w:pPr>
        <w:jc w:val="center"/>
      </w:pPr>
      <w:rPr>
        <w:b/>
        <w:i/>
      </w:rPr>
      <w:tblPr/>
      <w:tcPr>
        <w:shd w:val="clear" w:color="auto" w:fill="BDD6EE" w:themeFill="accent5" w:themeFillTint="66"/>
        <w:vAlign w:val="center"/>
      </w:tcPr>
    </w:tblStyle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 w:type="table" w:styleId="PlainTable3">
    <w:name w:val="Plain Table 3"/>
    <w:basedOn w:val="TableNormal"/>
    <w:uiPriority w:val="43"/>
    <w:rsid w:val="0021335F"/>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1335F"/>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character" w:styleId="FollowedHyperlink">
    <w:name w:val="FollowedHyperlink"/>
    <w:basedOn w:val="DefaultParagraphFont"/>
    <w:uiPriority w:val="99"/>
    <w:semiHidden/>
    <w:unhideWhenUsed/>
    <w:rsid w:val="005F6C31"/>
    <w:rPr>
      <w:color w:val="954F72" w:themeColor="followedHyperlink"/>
      <w:u w:val="single"/>
    </w:rPr>
  </w:style>
  <w:style w:type="character" w:styleId="text-token-text-tertiary" w:customStyle="1">
    <w:name w:val="text-token-text-tertiary"/>
    <w:basedOn w:val="DefaultParagraphFont"/>
    <w:rsid w:val="00633857"/>
  </w:style>
  <w:style w:type="character" w:styleId="UnresolvedMention">
    <w:name w:val="Unresolved Mention"/>
    <w:basedOn w:val="DefaultParagraphFont"/>
    <w:uiPriority w:val="99"/>
    <w:semiHidden/>
    <w:unhideWhenUsed/>
    <w:rsid w:val="00E85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hyperlink" Target="https://www.reuters.com/investigations/how-chinas-new-auto-giants-left-gm-vw-tesla-dust-2025-07-03/" TargetMode="Externa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hyperlink" Target="https://www.mckinsey.com/features/mckinsey-center-for-future-mobility/our-insights/a-new-era-an-action-plan-for-the-european-automotive-industry"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footer" Target="footer1.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yperlink" Target="https://annualreport2024.volkswagen-group.com/_assets/downloads/entire-vw-ar24.pdf?h=5AteXYgL"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41EF9-2958-4126-A794-6FE1472F1AF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Syed Ajharul Amin (2436655)</lastModifiedBy>
  <revision>2</revision>
  <dcterms:created xsi:type="dcterms:W3CDTF">2026-01-27T10:38:00.0000000Z</dcterms:created>
  <dcterms:modified xsi:type="dcterms:W3CDTF">2026-03-31T20:37:51.1319264Z</dcterms:modified>
</coreProperties>
</file>