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B003C" w14:textId="77777777" w:rsidR="00A03CF6" w:rsidRDefault="00A03CF6" w:rsidP="00A03CF6">
      <w:pPr>
        <w:jc w:val="center"/>
        <w:rPr>
          <w:b/>
          <w:bCs/>
          <w:sz w:val="32"/>
          <w:szCs w:val="32"/>
          <w:u w:val="single"/>
        </w:rPr>
      </w:pPr>
    </w:p>
    <w:p w14:paraId="6FABE09C" w14:textId="77777777" w:rsidR="00A03CF6" w:rsidRDefault="00A03CF6" w:rsidP="00A03CF6">
      <w:pPr>
        <w:jc w:val="center"/>
        <w:rPr>
          <w:b/>
          <w:bCs/>
          <w:sz w:val="32"/>
          <w:szCs w:val="32"/>
          <w:u w:val="single"/>
        </w:rPr>
      </w:pPr>
    </w:p>
    <w:p w14:paraId="0D8B3F0F" w14:textId="77777777" w:rsidR="00A03CF6" w:rsidRDefault="00A03CF6" w:rsidP="00A03CF6">
      <w:pPr>
        <w:jc w:val="center"/>
        <w:rPr>
          <w:b/>
          <w:bCs/>
          <w:sz w:val="32"/>
          <w:szCs w:val="32"/>
          <w:u w:val="single"/>
        </w:rPr>
      </w:pPr>
    </w:p>
    <w:p w14:paraId="1A86BE12" w14:textId="77777777" w:rsidR="00A03CF6" w:rsidRDefault="00A03CF6" w:rsidP="00A03CF6">
      <w:pPr>
        <w:jc w:val="center"/>
        <w:rPr>
          <w:b/>
          <w:bCs/>
          <w:sz w:val="32"/>
          <w:szCs w:val="32"/>
          <w:u w:val="single"/>
        </w:rPr>
      </w:pPr>
    </w:p>
    <w:p w14:paraId="4B8F67F5" w14:textId="77777777" w:rsidR="00A03CF6" w:rsidRDefault="00A03CF6" w:rsidP="00A03CF6">
      <w:pPr>
        <w:jc w:val="center"/>
        <w:rPr>
          <w:b/>
          <w:bCs/>
          <w:sz w:val="32"/>
          <w:szCs w:val="32"/>
          <w:u w:val="single"/>
        </w:rPr>
      </w:pPr>
    </w:p>
    <w:p w14:paraId="63C3F88B" w14:textId="77777777" w:rsidR="00A03CF6" w:rsidRDefault="00A03CF6" w:rsidP="00A03CF6">
      <w:pPr>
        <w:jc w:val="center"/>
        <w:rPr>
          <w:b/>
          <w:bCs/>
          <w:sz w:val="32"/>
          <w:szCs w:val="32"/>
          <w:u w:val="single"/>
        </w:rPr>
      </w:pPr>
    </w:p>
    <w:p w14:paraId="040DE12A" w14:textId="77777777" w:rsidR="00A03CF6" w:rsidRDefault="00A03CF6" w:rsidP="00A03CF6">
      <w:pPr>
        <w:jc w:val="center"/>
        <w:rPr>
          <w:b/>
          <w:bCs/>
          <w:sz w:val="32"/>
          <w:szCs w:val="32"/>
          <w:u w:val="single"/>
        </w:rPr>
      </w:pPr>
    </w:p>
    <w:p w14:paraId="0F80F013" w14:textId="77777777" w:rsidR="00A03CF6" w:rsidRDefault="00A03CF6" w:rsidP="00A03CF6">
      <w:pPr>
        <w:jc w:val="center"/>
        <w:rPr>
          <w:b/>
          <w:bCs/>
          <w:sz w:val="32"/>
          <w:szCs w:val="32"/>
          <w:u w:val="single"/>
        </w:rPr>
      </w:pPr>
    </w:p>
    <w:p w14:paraId="2F374168" w14:textId="77777777" w:rsidR="00A03CF6" w:rsidRDefault="00A03CF6" w:rsidP="00A03CF6">
      <w:pPr>
        <w:jc w:val="center"/>
        <w:rPr>
          <w:b/>
          <w:bCs/>
          <w:sz w:val="32"/>
          <w:szCs w:val="32"/>
          <w:u w:val="single"/>
        </w:rPr>
      </w:pPr>
    </w:p>
    <w:p w14:paraId="6654E49C" w14:textId="6086D21B" w:rsidR="00FF0F83" w:rsidRPr="00A03CF6" w:rsidRDefault="00A03CF6" w:rsidP="00A03CF6">
      <w:pPr>
        <w:jc w:val="center"/>
        <w:rPr>
          <w:b/>
          <w:bCs/>
          <w:sz w:val="32"/>
          <w:szCs w:val="32"/>
          <w:u w:val="single"/>
          <w:lang w:val="fr-FR"/>
        </w:rPr>
      </w:pPr>
      <w:r w:rsidRPr="00A03CF6">
        <w:rPr>
          <w:b/>
          <w:bCs/>
          <w:sz w:val="32"/>
          <w:szCs w:val="32"/>
          <w:u w:val="single"/>
          <w:lang w:val="fr-FR"/>
        </w:rPr>
        <w:t>Module: Community Engagement</w:t>
      </w:r>
    </w:p>
    <w:p w14:paraId="7555D1FB" w14:textId="0E22B0D1" w:rsidR="00A03CF6" w:rsidRPr="00A03CF6" w:rsidRDefault="00A03CF6" w:rsidP="00A03CF6">
      <w:pPr>
        <w:jc w:val="center"/>
        <w:rPr>
          <w:b/>
          <w:bCs/>
          <w:sz w:val="32"/>
          <w:szCs w:val="32"/>
          <w:u w:val="single"/>
          <w:lang w:val="fr-FR"/>
        </w:rPr>
      </w:pPr>
      <w:r w:rsidRPr="00A03CF6">
        <w:rPr>
          <w:b/>
          <w:bCs/>
          <w:sz w:val="32"/>
          <w:szCs w:val="32"/>
          <w:u w:val="single"/>
          <w:lang w:val="fr-FR"/>
        </w:rPr>
        <w:t>Module code: LCBB4002</w:t>
      </w:r>
    </w:p>
    <w:p w14:paraId="6615405D" w14:textId="63E5F600" w:rsidR="00A03CF6" w:rsidRPr="00A03CF6" w:rsidRDefault="00A03CF6" w:rsidP="00A03CF6">
      <w:pPr>
        <w:jc w:val="center"/>
        <w:rPr>
          <w:b/>
          <w:bCs/>
          <w:sz w:val="32"/>
          <w:szCs w:val="32"/>
          <w:u w:val="single"/>
        </w:rPr>
      </w:pPr>
      <w:r w:rsidRPr="00A03CF6">
        <w:rPr>
          <w:b/>
          <w:bCs/>
          <w:sz w:val="32"/>
          <w:szCs w:val="32"/>
          <w:u w:val="single"/>
        </w:rPr>
        <w:t>Lecturer: Efua Adams</w:t>
      </w:r>
    </w:p>
    <w:p w14:paraId="2AF3AB35" w14:textId="081B410F" w:rsidR="00A03CF6" w:rsidRPr="00A03CF6" w:rsidRDefault="00A03CF6" w:rsidP="00A03CF6">
      <w:pPr>
        <w:jc w:val="center"/>
        <w:rPr>
          <w:b/>
          <w:bCs/>
          <w:sz w:val="32"/>
          <w:szCs w:val="32"/>
          <w:u w:val="single"/>
        </w:rPr>
      </w:pPr>
      <w:r w:rsidRPr="00A03CF6">
        <w:rPr>
          <w:b/>
          <w:bCs/>
          <w:sz w:val="32"/>
          <w:szCs w:val="32"/>
          <w:u w:val="single"/>
        </w:rPr>
        <w:t>Student Name: Lavinia Mandache</w:t>
      </w:r>
    </w:p>
    <w:p w14:paraId="196B3064" w14:textId="58E10805" w:rsidR="00A03CF6" w:rsidRDefault="00A03CF6" w:rsidP="00A03CF6">
      <w:pPr>
        <w:jc w:val="center"/>
        <w:rPr>
          <w:b/>
          <w:bCs/>
          <w:sz w:val="32"/>
          <w:szCs w:val="32"/>
          <w:u w:val="single"/>
        </w:rPr>
      </w:pPr>
      <w:r w:rsidRPr="00A03CF6">
        <w:rPr>
          <w:b/>
          <w:bCs/>
          <w:sz w:val="32"/>
          <w:szCs w:val="32"/>
          <w:u w:val="single"/>
        </w:rPr>
        <w:t>Student ID : 2243640</w:t>
      </w:r>
    </w:p>
    <w:p w14:paraId="08608C4D" w14:textId="77777777" w:rsidR="00A03CF6" w:rsidRDefault="00A03CF6" w:rsidP="00A03CF6">
      <w:pPr>
        <w:jc w:val="center"/>
        <w:rPr>
          <w:b/>
          <w:bCs/>
          <w:sz w:val="32"/>
          <w:szCs w:val="32"/>
          <w:u w:val="single"/>
        </w:rPr>
      </w:pPr>
    </w:p>
    <w:p w14:paraId="5B3B216A" w14:textId="77777777" w:rsidR="00A03CF6" w:rsidRDefault="00A03CF6" w:rsidP="00A03CF6">
      <w:pPr>
        <w:jc w:val="center"/>
        <w:rPr>
          <w:b/>
          <w:bCs/>
          <w:sz w:val="32"/>
          <w:szCs w:val="32"/>
          <w:u w:val="single"/>
        </w:rPr>
      </w:pPr>
    </w:p>
    <w:p w14:paraId="20FFD436" w14:textId="77777777" w:rsidR="00A03CF6" w:rsidRDefault="00A03CF6" w:rsidP="00A03CF6">
      <w:pPr>
        <w:jc w:val="center"/>
        <w:rPr>
          <w:b/>
          <w:bCs/>
          <w:sz w:val="32"/>
          <w:szCs w:val="32"/>
          <w:u w:val="single"/>
        </w:rPr>
      </w:pPr>
    </w:p>
    <w:p w14:paraId="000FB021" w14:textId="77777777" w:rsidR="00A03CF6" w:rsidRDefault="00A03CF6" w:rsidP="00A03CF6">
      <w:pPr>
        <w:jc w:val="center"/>
        <w:rPr>
          <w:b/>
          <w:bCs/>
          <w:sz w:val="32"/>
          <w:szCs w:val="32"/>
          <w:u w:val="single"/>
        </w:rPr>
      </w:pPr>
    </w:p>
    <w:p w14:paraId="0285AE0B" w14:textId="77777777" w:rsidR="00A03CF6" w:rsidRDefault="00A03CF6" w:rsidP="00A03CF6">
      <w:pPr>
        <w:jc w:val="center"/>
        <w:rPr>
          <w:b/>
          <w:bCs/>
          <w:sz w:val="32"/>
          <w:szCs w:val="32"/>
          <w:u w:val="single"/>
        </w:rPr>
      </w:pPr>
    </w:p>
    <w:p w14:paraId="0E2DAFB0" w14:textId="77777777" w:rsidR="00A03CF6" w:rsidRDefault="00A03CF6" w:rsidP="00A03CF6">
      <w:pPr>
        <w:jc w:val="center"/>
        <w:rPr>
          <w:b/>
          <w:bCs/>
          <w:sz w:val="32"/>
          <w:szCs w:val="32"/>
          <w:u w:val="single"/>
        </w:rPr>
      </w:pPr>
    </w:p>
    <w:p w14:paraId="32D01B11" w14:textId="77777777" w:rsidR="00A03CF6" w:rsidRDefault="00A03CF6" w:rsidP="00A03CF6">
      <w:pPr>
        <w:jc w:val="center"/>
        <w:rPr>
          <w:b/>
          <w:bCs/>
          <w:sz w:val="32"/>
          <w:szCs w:val="32"/>
          <w:u w:val="single"/>
        </w:rPr>
      </w:pPr>
    </w:p>
    <w:p w14:paraId="679386D2" w14:textId="77777777" w:rsidR="00A03CF6" w:rsidRDefault="00A03CF6" w:rsidP="00A03CF6">
      <w:pPr>
        <w:jc w:val="center"/>
        <w:rPr>
          <w:b/>
          <w:bCs/>
          <w:sz w:val="32"/>
          <w:szCs w:val="32"/>
          <w:u w:val="single"/>
        </w:rPr>
      </w:pPr>
    </w:p>
    <w:p w14:paraId="48781CDD" w14:textId="77777777" w:rsidR="00A03CF6" w:rsidRDefault="00A03CF6" w:rsidP="00A03CF6">
      <w:pPr>
        <w:jc w:val="center"/>
        <w:rPr>
          <w:b/>
          <w:bCs/>
          <w:sz w:val="32"/>
          <w:szCs w:val="32"/>
          <w:u w:val="single"/>
        </w:rPr>
      </w:pPr>
    </w:p>
    <w:p w14:paraId="44A1040B" w14:textId="77777777" w:rsidR="00A03CF6" w:rsidRDefault="00A03CF6" w:rsidP="00A03CF6">
      <w:pPr>
        <w:jc w:val="center"/>
        <w:rPr>
          <w:b/>
          <w:bCs/>
          <w:sz w:val="32"/>
          <w:szCs w:val="32"/>
          <w:u w:val="single"/>
        </w:rPr>
      </w:pPr>
    </w:p>
    <w:p w14:paraId="55F89B69" w14:textId="2C890260" w:rsidR="00A03CF6" w:rsidRDefault="00A03CF6" w:rsidP="00A03CF6">
      <w:pPr>
        <w:jc w:val="center"/>
        <w:rPr>
          <w:b/>
          <w:bCs/>
          <w:u w:val="single"/>
        </w:rPr>
      </w:pPr>
      <w:r>
        <w:rPr>
          <w:b/>
          <w:bCs/>
          <w:u w:val="single"/>
        </w:rPr>
        <w:lastRenderedPageBreak/>
        <w:t>Table of Contents</w:t>
      </w:r>
    </w:p>
    <w:p w14:paraId="17C8B846" w14:textId="26B6B174" w:rsidR="00A03CF6" w:rsidRDefault="00A03CF6" w:rsidP="00A03CF6">
      <w:pPr>
        <w:pStyle w:val="ListParagraph"/>
        <w:numPr>
          <w:ilvl w:val="0"/>
          <w:numId w:val="1"/>
        </w:numPr>
      </w:pPr>
      <w:r>
        <w:t xml:space="preserve">Introduction </w:t>
      </w:r>
      <w:r w:rsidR="00C71E88">
        <w:t xml:space="preserve"> </w:t>
      </w:r>
    </w:p>
    <w:p w14:paraId="45EB83EB" w14:textId="1C50B153" w:rsidR="00C71E88" w:rsidRDefault="00C71E88" w:rsidP="00A03CF6">
      <w:pPr>
        <w:pStyle w:val="ListParagraph"/>
        <w:numPr>
          <w:ilvl w:val="0"/>
          <w:numId w:val="1"/>
        </w:numPr>
      </w:pPr>
      <w:r w:rsidRPr="00C71E88">
        <w:t>Idea for a Community Engagement Project: Mentorship Program for Underprivileged Youth</w:t>
      </w:r>
    </w:p>
    <w:p w14:paraId="0B7DC24B" w14:textId="776FD1B3" w:rsidR="00C71E88" w:rsidRDefault="00605BE7" w:rsidP="00A03CF6">
      <w:pPr>
        <w:pStyle w:val="ListParagraph"/>
        <w:numPr>
          <w:ilvl w:val="0"/>
          <w:numId w:val="1"/>
        </w:numPr>
      </w:pPr>
      <w:r>
        <w:t xml:space="preserve">Conclusion </w:t>
      </w:r>
    </w:p>
    <w:p w14:paraId="22E960C6" w14:textId="186D100B" w:rsidR="00605BE7" w:rsidRDefault="00605BE7" w:rsidP="00A03CF6">
      <w:pPr>
        <w:pStyle w:val="ListParagraph"/>
        <w:numPr>
          <w:ilvl w:val="0"/>
          <w:numId w:val="1"/>
        </w:numPr>
      </w:pPr>
      <w:r>
        <w:t xml:space="preserve">Reference list </w:t>
      </w:r>
    </w:p>
    <w:p w14:paraId="361EEB8D" w14:textId="0BB4DE90" w:rsidR="00605BE7" w:rsidRDefault="00605BE7" w:rsidP="00A03CF6">
      <w:pPr>
        <w:pStyle w:val="ListParagraph"/>
        <w:numPr>
          <w:ilvl w:val="0"/>
          <w:numId w:val="1"/>
        </w:numPr>
      </w:pPr>
      <w:r>
        <w:t xml:space="preserve">Appendix </w:t>
      </w:r>
    </w:p>
    <w:p w14:paraId="4D4350DC" w14:textId="77777777" w:rsidR="00A03CF6" w:rsidRDefault="00A03CF6" w:rsidP="00A03CF6"/>
    <w:p w14:paraId="68F1E62B" w14:textId="77777777" w:rsidR="00A03CF6" w:rsidRDefault="00A03CF6" w:rsidP="00A03CF6"/>
    <w:p w14:paraId="69CC9E2F" w14:textId="77777777" w:rsidR="00A03CF6" w:rsidRDefault="00A03CF6" w:rsidP="00A03CF6"/>
    <w:p w14:paraId="6F60C1B0" w14:textId="77777777" w:rsidR="00A03CF6" w:rsidRDefault="00A03CF6" w:rsidP="00A03CF6"/>
    <w:p w14:paraId="2D4ECB48" w14:textId="77777777" w:rsidR="00A03CF6" w:rsidRDefault="00A03CF6" w:rsidP="00A03CF6"/>
    <w:p w14:paraId="247ED2F0" w14:textId="77777777" w:rsidR="00A03CF6" w:rsidRDefault="00A03CF6" w:rsidP="00A03CF6"/>
    <w:p w14:paraId="2DDA9658" w14:textId="77777777" w:rsidR="00A03CF6" w:rsidRDefault="00A03CF6" w:rsidP="00A03CF6"/>
    <w:p w14:paraId="176F9A43" w14:textId="77777777" w:rsidR="00A03CF6" w:rsidRDefault="00A03CF6" w:rsidP="00A03CF6"/>
    <w:p w14:paraId="02CC023E" w14:textId="77777777" w:rsidR="00A03CF6" w:rsidRDefault="00A03CF6" w:rsidP="00A03CF6"/>
    <w:p w14:paraId="016BC071" w14:textId="77777777" w:rsidR="00A03CF6" w:rsidRDefault="00A03CF6" w:rsidP="00A03CF6"/>
    <w:p w14:paraId="42622836" w14:textId="77777777" w:rsidR="00A03CF6" w:rsidRDefault="00A03CF6" w:rsidP="00A03CF6"/>
    <w:p w14:paraId="7CBBB7D4" w14:textId="77777777" w:rsidR="00A03CF6" w:rsidRDefault="00A03CF6" w:rsidP="00A03CF6"/>
    <w:p w14:paraId="2D178179" w14:textId="77777777" w:rsidR="00A03CF6" w:rsidRDefault="00A03CF6" w:rsidP="00A03CF6"/>
    <w:p w14:paraId="0D3514BF" w14:textId="77777777" w:rsidR="00A03CF6" w:rsidRDefault="00A03CF6" w:rsidP="00A03CF6"/>
    <w:p w14:paraId="14354053" w14:textId="77777777" w:rsidR="00A03CF6" w:rsidRDefault="00A03CF6" w:rsidP="00A03CF6"/>
    <w:p w14:paraId="1DEC5920" w14:textId="77777777" w:rsidR="00A03CF6" w:rsidRDefault="00A03CF6" w:rsidP="00A03CF6"/>
    <w:p w14:paraId="7063CEE3" w14:textId="77777777" w:rsidR="00A03CF6" w:rsidRDefault="00A03CF6" w:rsidP="00A03CF6"/>
    <w:p w14:paraId="10F5D588" w14:textId="77777777" w:rsidR="00A03CF6" w:rsidRDefault="00A03CF6" w:rsidP="00A03CF6"/>
    <w:p w14:paraId="1BDA34F9" w14:textId="77777777" w:rsidR="00A03CF6" w:rsidRDefault="00A03CF6" w:rsidP="00A03CF6"/>
    <w:p w14:paraId="2AE6749C" w14:textId="77777777" w:rsidR="00A03CF6" w:rsidRDefault="00A03CF6" w:rsidP="00A03CF6"/>
    <w:p w14:paraId="35E2401E" w14:textId="77777777" w:rsidR="00A03CF6" w:rsidRDefault="00A03CF6" w:rsidP="00A03CF6"/>
    <w:p w14:paraId="1995D16A" w14:textId="77777777" w:rsidR="00A03CF6" w:rsidRDefault="00A03CF6" w:rsidP="00A03CF6"/>
    <w:p w14:paraId="567DCE3D" w14:textId="77777777" w:rsidR="00A03CF6" w:rsidRDefault="00A03CF6" w:rsidP="00A03CF6"/>
    <w:p w14:paraId="35078E3A" w14:textId="77777777" w:rsidR="00A03CF6" w:rsidRDefault="00A03CF6" w:rsidP="00A03CF6"/>
    <w:p w14:paraId="4E8DED71" w14:textId="77777777" w:rsidR="00A03CF6" w:rsidRDefault="00A03CF6" w:rsidP="00A03CF6"/>
    <w:p w14:paraId="2CC1CF57" w14:textId="77777777" w:rsidR="00A03CF6" w:rsidRDefault="00A03CF6" w:rsidP="00A03CF6"/>
    <w:p w14:paraId="7607E727" w14:textId="77777777" w:rsidR="00A03CF6" w:rsidRDefault="00A03CF6" w:rsidP="00A03CF6"/>
    <w:p w14:paraId="1613B8A9" w14:textId="77777777" w:rsidR="00A03CF6" w:rsidRDefault="00A03CF6" w:rsidP="00A03CF6"/>
    <w:p w14:paraId="7E86F2E2" w14:textId="77777777" w:rsidR="00A03CF6" w:rsidRDefault="00A03CF6" w:rsidP="00A03CF6"/>
    <w:p w14:paraId="783538B2" w14:textId="3170EC32" w:rsidR="00A03CF6" w:rsidRDefault="00A03CF6" w:rsidP="00A03CF6">
      <w:pPr>
        <w:jc w:val="center"/>
        <w:rPr>
          <w:b/>
          <w:bCs/>
          <w:u w:val="single"/>
        </w:rPr>
      </w:pPr>
      <w:r w:rsidRPr="00A03CF6">
        <w:rPr>
          <w:b/>
          <w:bCs/>
          <w:u w:val="single"/>
        </w:rPr>
        <w:t>Introduction</w:t>
      </w:r>
    </w:p>
    <w:p w14:paraId="416A2096" w14:textId="078D5C90" w:rsidR="00605BE7" w:rsidRDefault="00605BE7" w:rsidP="00605BE7">
      <w:r>
        <w:t xml:space="preserve">Community engagement plays a pivotal role in driving positive social change and promoting sustainable development (Huddleston &amp; Bianco, 2019). By actively involving individuals and organizations in collaborative efforts, it enables communities to address their needs and uplift marginalized populations. Throughout this module, I have gained valuable insights into the principles, models, and best practices of community engagement. This knowledge will significantly enhance my ability to effectively coordinate community engagement programs in the future. </w:t>
      </w:r>
    </w:p>
    <w:p w14:paraId="4B2F147E" w14:textId="5EDAB638" w:rsidR="00605BE7" w:rsidRDefault="00605BE7" w:rsidP="00605BE7">
      <w:r>
        <w:t xml:space="preserve">In today's interconnected world, community engagement has become increasingly important (Kania &amp; Kramer, 2011). It offers a platform for individuals and organizations to contribute actively to the betterment of their communities. By fostering partnerships, sharing knowledge, and leveraging collective resources, community engagement initiatives can tackle pressing social issues, from education to environmental conservation to healthcare. Reflection upon this module has highlighted the importance of adopting an informed and strategic approach, incorporating theoretical frameworks and practical applications to plan and coordinate successful community engagement programs (National </w:t>
      </w:r>
      <w:proofErr w:type="spellStart"/>
      <w:r>
        <w:t>Center</w:t>
      </w:r>
      <w:proofErr w:type="spellEnd"/>
      <w:r>
        <w:t xml:space="preserve"> for Public Service, 2019).</w:t>
      </w:r>
    </w:p>
    <w:p w14:paraId="33CA9BF4" w14:textId="6831F040" w:rsidR="00C71E88" w:rsidRDefault="00605BE7" w:rsidP="00605BE7">
      <w:r>
        <w:t xml:space="preserve">Coordinating a successful community engagement program requires more than good intentions. It necessitates transparency, inclusivity, and accountability, as well as design processes that promote active participation and empowerment among program participants (Watkins, </w:t>
      </w:r>
      <w:proofErr w:type="spellStart"/>
      <w:r>
        <w:t>Tenkasi</w:t>
      </w:r>
      <w:proofErr w:type="spellEnd"/>
      <w:r>
        <w:t>, &amp; Mohrman, 2018; Vernon, 2018). Clear goal-setting, evaluation methods, and collaborations with stakeholders are also crucial for enhancing the program's reach and impact. By applying these concepts to future projects, such as a mentorship program for underprivileged youth, we can ensure our efforts have a lasting and meaningful effect. Ultimately, effective community engagement mobilizes resources, engages stakeholders, and aligns efforts with community needs, leading to sustainable programs that drive positive change and empower individuals for years to come.</w:t>
      </w:r>
    </w:p>
    <w:p w14:paraId="31C96E08" w14:textId="77777777" w:rsidR="00C71E88" w:rsidRDefault="00C71E88" w:rsidP="00A03CF6"/>
    <w:p w14:paraId="603BDB2B" w14:textId="77777777" w:rsidR="00C71E88" w:rsidRDefault="00C71E88" w:rsidP="00A03CF6"/>
    <w:p w14:paraId="72A5F5E6" w14:textId="77777777" w:rsidR="00C71E88" w:rsidRDefault="00C71E88" w:rsidP="00A03CF6"/>
    <w:p w14:paraId="5AFE8AB5" w14:textId="77777777" w:rsidR="00C71E88" w:rsidRDefault="00C71E88" w:rsidP="00A03CF6"/>
    <w:p w14:paraId="7A51B23A" w14:textId="77777777" w:rsidR="00605BE7" w:rsidRDefault="00605BE7" w:rsidP="00A03CF6"/>
    <w:p w14:paraId="5157AEFD" w14:textId="77777777" w:rsidR="00605BE7" w:rsidRDefault="00605BE7" w:rsidP="00A03CF6"/>
    <w:p w14:paraId="71A0637F" w14:textId="77777777" w:rsidR="00605BE7" w:rsidRDefault="00605BE7" w:rsidP="00A03CF6"/>
    <w:p w14:paraId="3181BA7E" w14:textId="77777777" w:rsidR="00605BE7" w:rsidRDefault="00605BE7" w:rsidP="00A03CF6"/>
    <w:p w14:paraId="14A90815" w14:textId="77777777" w:rsidR="00605BE7" w:rsidRDefault="00605BE7" w:rsidP="00A03CF6"/>
    <w:p w14:paraId="48F23496" w14:textId="77777777" w:rsidR="00605BE7" w:rsidRDefault="00605BE7" w:rsidP="00A03CF6"/>
    <w:p w14:paraId="1AE9E48A" w14:textId="77777777" w:rsidR="00605BE7" w:rsidRDefault="00605BE7" w:rsidP="00A03CF6"/>
    <w:p w14:paraId="59DE2296" w14:textId="77777777" w:rsidR="00605BE7" w:rsidRDefault="00605BE7" w:rsidP="00A03CF6"/>
    <w:p w14:paraId="23665C4B" w14:textId="77777777" w:rsidR="00C71E88" w:rsidRDefault="00C71E88" w:rsidP="00A03CF6"/>
    <w:p w14:paraId="3EBE54C9" w14:textId="77777777" w:rsidR="00C71E88" w:rsidRPr="00C71E88" w:rsidRDefault="00C71E88" w:rsidP="00C71E88">
      <w:pPr>
        <w:rPr>
          <w:b/>
          <w:bCs/>
        </w:rPr>
      </w:pPr>
      <w:r w:rsidRPr="00C71E88">
        <w:rPr>
          <w:b/>
          <w:bCs/>
        </w:rPr>
        <w:t>Idea for a Community Engagement Project: Mentorship Program for Underprivileged Youth</w:t>
      </w:r>
    </w:p>
    <w:p w14:paraId="26C77298" w14:textId="77777777" w:rsidR="00C71E88" w:rsidRDefault="00C71E88" w:rsidP="00C71E88"/>
    <w:p w14:paraId="00195697" w14:textId="09AB7EF0" w:rsidR="00C71E88" w:rsidRDefault="00C71E88" w:rsidP="00C71E88">
      <w:r>
        <w:t>The proposed community engagement project is a mentorship program designed to provide guidance and support to underprivileged youth in our community. The program aims to empower young individuals by equipping them with essential life skills and resources, enabling them to overcome challenges and excel in their personal and professional lives.</w:t>
      </w:r>
    </w:p>
    <w:p w14:paraId="671BA01E" w14:textId="77777777" w:rsidR="00C71E88" w:rsidRPr="00C71E88" w:rsidRDefault="00C71E88" w:rsidP="00C71E88">
      <w:pPr>
        <w:rPr>
          <w:b/>
          <w:bCs/>
        </w:rPr>
      </w:pPr>
      <w:r w:rsidRPr="00C71E88">
        <w:rPr>
          <w:b/>
          <w:bCs/>
        </w:rPr>
        <w:t>Why a mentorship program for underprivileged youth?</w:t>
      </w:r>
    </w:p>
    <w:p w14:paraId="3E8A5C22" w14:textId="13318593" w:rsidR="00C71E88" w:rsidRDefault="00C71E88" w:rsidP="00C71E88">
      <w:r>
        <w:t>Underprivileged youth often face numerous obstacles, such as limited access to educational opportunities, lack of role models, and limited exposure to positive influences. These challenges can hinder their personal development and future prospects. By implementing a mentorship program, we can bridge this gap and provide them with the necessary support and guidance to unlock their full potential.</w:t>
      </w:r>
    </w:p>
    <w:p w14:paraId="5CFD4D08" w14:textId="77777777" w:rsidR="00C71E88" w:rsidRPr="00C71E88" w:rsidRDefault="00C71E88" w:rsidP="00C71E88">
      <w:pPr>
        <w:rPr>
          <w:b/>
          <w:bCs/>
        </w:rPr>
      </w:pPr>
      <w:r w:rsidRPr="00C71E88">
        <w:rPr>
          <w:b/>
          <w:bCs/>
        </w:rPr>
        <w:t>Program Objectives:</w:t>
      </w:r>
    </w:p>
    <w:p w14:paraId="7DDFF562" w14:textId="6DDE052E" w:rsidR="00C71E88" w:rsidRDefault="00C71E88" w:rsidP="00C71E88">
      <w:r>
        <w:t>1. Academic Support: The program will provide academic assistance and resources to help mentees excel in their studies. Mentors will help mentees set academic goals, develop effective study habits, and explore educational opportunities.</w:t>
      </w:r>
    </w:p>
    <w:p w14:paraId="04D34448" w14:textId="79799FF5" w:rsidR="00C71E88" w:rsidRDefault="00C71E88" w:rsidP="00C71E88">
      <w:r>
        <w:t>2. Personal Development: The program will focus on enhancing mentees' personal development by promoting self-confidence, resilience, and emotional well-being. Mentors will provide guidance on goal setting, decision-making, and building healthy relationships.</w:t>
      </w:r>
    </w:p>
    <w:p w14:paraId="6D44918C" w14:textId="3F0A0F89" w:rsidR="00C71E88" w:rsidRDefault="00C71E88" w:rsidP="00C71E88">
      <w:r>
        <w:t>3. Career Guidance: The mentorship program will offer career guidance and support, helping mentees explore various career paths, develop job-seeking skills, and access internship or job opportunities. Mentors will share their professional experiences, provide advice, and help mentees navigate the workforce.</w:t>
      </w:r>
    </w:p>
    <w:p w14:paraId="7A90A73C" w14:textId="77777777" w:rsidR="00C71E88" w:rsidRPr="00C71E88" w:rsidRDefault="00C71E88" w:rsidP="00C71E88">
      <w:pPr>
        <w:rPr>
          <w:b/>
          <w:bCs/>
        </w:rPr>
      </w:pPr>
      <w:r w:rsidRPr="00C71E88">
        <w:rPr>
          <w:b/>
          <w:bCs/>
        </w:rPr>
        <w:t>Program Structure and Activities:</w:t>
      </w:r>
    </w:p>
    <w:p w14:paraId="5465C4B7" w14:textId="45A3FC12" w:rsidR="00C71E88" w:rsidRDefault="00C71E88" w:rsidP="00C71E88">
      <w:r>
        <w:t>The mentorship program will include a structured framework to ensure meaningful engagement between mentors and mentees. It will involve regular one-on-one meetings, group workshops, and community events. The activities will be designed to foster relationship building, skill development, and personal growth.</w:t>
      </w:r>
    </w:p>
    <w:p w14:paraId="5F38718D" w14:textId="77777777" w:rsidR="00C71E88" w:rsidRDefault="00C71E88" w:rsidP="00C71E88">
      <w:r>
        <w:t>Mentors will be carefully selected based on their expertise, experience, and commitment to supporting youth. They will undergo training to effectively mentor and support the mentees throughout the program. Mentors will act as positive role models, offering guidance and encouragement while helping mentees navigate challenges and explore opportunities.</w:t>
      </w:r>
    </w:p>
    <w:p w14:paraId="13691C98" w14:textId="77777777" w:rsidR="00C71E88" w:rsidRDefault="00C71E88" w:rsidP="00C71E88"/>
    <w:p w14:paraId="798D077A" w14:textId="0002E22D" w:rsidR="00C71E88" w:rsidRDefault="00C71E88" w:rsidP="00C71E88">
      <w:r>
        <w:t>In addition to individual mentoring sessions, group activities and workshops will be organized to facilitate peer-to-peer learning, skill-building, and social interaction among mentees. These activities could include career exploration sessions, leadership development workshops, and community service projects.</w:t>
      </w:r>
    </w:p>
    <w:p w14:paraId="3264BB79" w14:textId="77777777" w:rsidR="00C71E88" w:rsidRPr="00C71E88" w:rsidRDefault="00C71E88" w:rsidP="00C71E88">
      <w:pPr>
        <w:rPr>
          <w:b/>
          <w:bCs/>
        </w:rPr>
      </w:pPr>
      <w:r w:rsidRPr="00C71E88">
        <w:rPr>
          <w:b/>
          <w:bCs/>
        </w:rPr>
        <w:lastRenderedPageBreak/>
        <w:t>Program Evaluation:</w:t>
      </w:r>
    </w:p>
    <w:p w14:paraId="02772EDD" w14:textId="35923910" w:rsidR="00C71E88" w:rsidRDefault="00C71E88" w:rsidP="00C71E88">
      <w:r>
        <w:t>To ensure the program's effectiveness, regular monitoring and evaluation will be conducted. Key performance indicators (KPIs), such as academic progress, personal growth, and career development, will be tracked. Evaluation methods may include surveys, interviews, and academic performance assessments. Feedback from mentors, mentees, and stakeholders will be integrated to assess program impacts and identify areas for improvement</w:t>
      </w:r>
      <w:r>
        <w:t xml:space="preserve">. </w:t>
      </w:r>
      <w:r>
        <w:t>By implementing a mentorship program for underprivileged youth, we aim to empower them with the necessary skills, resources, and support to overcome socio-economic barriers and foster their personal and professional development. This program will provide these young individuals with guidance, role models, and opportunities to thrive in their lives. Through sustainable community engagement initiatives like this, we can make a meaningful and lasting impact on the lives of underprivileged youth and contribute to a more equitable society.</w:t>
      </w:r>
    </w:p>
    <w:p w14:paraId="5A049250" w14:textId="77777777" w:rsidR="009978C4" w:rsidRPr="009978C4" w:rsidRDefault="009978C4" w:rsidP="009978C4">
      <w:pPr>
        <w:rPr>
          <w:b/>
          <w:bCs/>
        </w:rPr>
      </w:pPr>
      <w:r w:rsidRPr="009978C4">
        <w:rPr>
          <w:b/>
          <w:bCs/>
        </w:rPr>
        <w:t>Principles and Ethical Guidelines</w:t>
      </w:r>
    </w:p>
    <w:p w14:paraId="7C6DF128" w14:textId="77777777" w:rsidR="009978C4" w:rsidRDefault="009978C4" w:rsidP="009978C4">
      <w:r>
        <w:t xml:space="preserve">Transparency, accountability, and inclusivity are fundamental principles for effective community engagement (Huddleston &amp; Bianco, 2019). This program will adhere to these principles to ensure ethical conduct. Transparency will be upheld by openly communicating the program's objectives, activities, and outcomes to all stakeholders. Responsibility and accountability will be maintained through regular monitoring and evaluation of program progress. Inclusivity will be prioritized by creating an environment that welcomes and respects diversity, ensuring equal opportunities for all participants (National </w:t>
      </w:r>
      <w:proofErr w:type="spellStart"/>
      <w:r>
        <w:t>Center</w:t>
      </w:r>
      <w:proofErr w:type="spellEnd"/>
      <w:r>
        <w:t xml:space="preserve"> for Public Service, 2019).</w:t>
      </w:r>
    </w:p>
    <w:p w14:paraId="20C99387" w14:textId="77777777" w:rsidR="009978C4" w:rsidRDefault="009978C4" w:rsidP="009978C4"/>
    <w:p w14:paraId="702D6F97" w14:textId="77777777" w:rsidR="009978C4" w:rsidRPr="009978C4" w:rsidRDefault="009978C4" w:rsidP="009978C4">
      <w:pPr>
        <w:rPr>
          <w:b/>
          <w:bCs/>
        </w:rPr>
      </w:pPr>
      <w:r w:rsidRPr="009978C4">
        <w:rPr>
          <w:b/>
          <w:bCs/>
        </w:rPr>
        <w:t>Design Processes and Approaches</w:t>
      </w:r>
    </w:p>
    <w:p w14:paraId="1A1EF3FC" w14:textId="77777777" w:rsidR="009978C4" w:rsidRDefault="009978C4" w:rsidP="009978C4">
      <w:r>
        <w:t xml:space="preserve">A participatory approach, involving both mentors and mentees in decision-making, will foster a sense of ownership and empowerment (Watkins, </w:t>
      </w:r>
      <w:proofErr w:type="spellStart"/>
      <w:r>
        <w:t>Tenkasi</w:t>
      </w:r>
      <w:proofErr w:type="spellEnd"/>
      <w:r>
        <w:t>, &amp; Mohrman, 2018). By incorporating the participants' perspectives, the program will be tailored to their needs. Additionally, a strengths-based approach will be employed, focusing on the existing abilities and talents of mentees. This approach acknowledges individuals' strengths and builds upon them, fostering confidence and further development (Gill, 2017).</w:t>
      </w:r>
    </w:p>
    <w:p w14:paraId="3082D567" w14:textId="77777777" w:rsidR="009978C4" w:rsidRDefault="009978C4" w:rsidP="009978C4"/>
    <w:p w14:paraId="26419581" w14:textId="77777777" w:rsidR="009978C4" w:rsidRPr="009978C4" w:rsidRDefault="009978C4" w:rsidP="009978C4">
      <w:pPr>
        <w:rPr>
          <w:b/>
          <w:bCs/>
        </w:rPr>
      </w:pPr>
      <w:r w:rsidRPr="009978C4">
        <w:rPr>
          <w:b/>
          <w:bCs/>
        </w:rPr>
        <w:t>Standards and Evaluation Methods</w:t>
      </w:r>
    </w:p>
    <w:p w14:paraId="3D113B79" w14:textId="77777777" w:rsidR="009978C4" w:rsidRDefault="009978C4" w:rsidP="009978C4">
      <w:r>
        <w:t>The Collective Impact framework will be employed to establish clear goals and indicators for tracking program progress (Kania &amp; Kramer, 2011). This approach emphasizes collaboration and shared measurement, allowing for collective understanding of outcomes and progress. Regular meetings and feedback sessions will be conducted to assess the effectiveness of the program, address challenges, and apply necessary adaptations (Freshwater &amp; Sheridan, 2020).</w:t>
      </w:r>
    </w:p>
    <w:p w14:paraId="592360FB" w14:textId="77777777" w:rsidR="009978C4" w:rsidRDefault="009978C4" w:rsidP="009978C4"/>
    <w:p w14:paraId="3D4C56B9" w14:textId="77777777" w:rsidR="009978C4" w:rsidRPr="009978C4" w:rsidRDefault="009978C4" w:rsidP="009978C4">
      <w:pPr>
        <w:rPr>
          <w:b/>
          <w:bCs/>
        </w:rPr>
      </w:pPr>
      <w:r w:rsidRPr="009978C4">
        <w:rPr>
          <w:b/>
          <w:bCs/>
        </w:rPr>
        <w:t>Partnerships and Collaborations</w:t>
      </w:r>
    </w:p>
    <w:p w14:paraId="34A7D35F" w14:textId="77777777" w:rsidR="009978C4" w:rsidRDefault="009978C4" w:rsidP="009978C4">
      <w:r>
        <w:t xml:space="preserve">Partnerships with local schools, community organizations, and businesses will be sought to enhance the program's reach and impact (National </w:t>
      </w:r>
      <w:proofErr w:type="spellStart"/>
      <w:r>
        <w:t>Center</w:t>
      </w:r>
      <w:proofErr w:type="spellEnd"/>
      <w:r>
        <w:t xml:space="preserve"> for Public Service, 2019). Collaborating with these entities will provide additional resources, expertise, and support for program implementation. By </w:t>
      </w:r>
      <w:r>
        <w:lastRenderedPageBreak/>
        <w:t>leveraging the strengths of each partner, the program can address a broader range of needs and create a more significant social impact (Vernon, 2018).</w:t>
      </w:r>
    </w:p>
    <w:p w14:paraId="2564A706" w14:textId="77777777" w:rsidR="009978C4" w:rsidRDefault="009978C4" w:rsidP="009978C4"/>
    <w:p w14:paraId="21685DE9" w14:textId="77777777" w:rsidR="009978C4" w:rsidRPr="009978C4" w:rsidRDefault="009978C4" w:rsidP="009978C4">
      <w:pPr>
        <w:rPr>
          <w:b/>
          <w:bCs/>
        </w:rPr>
      </w:pPr>
      <w:r w:rsidRPr="009978C4">
        <w:rPr>
          <w:b/>
          <w:bCs/>
        </w:rPr>
        <w:t>Continuous Learning and Improvement</w:t>
      </w:r>
    </w:p>
    <w:p w14:paraId="40C76737" w14:textId="509AE0FE" w:rsidR="009978C4" w:rsidRDefault="009978C4" w:rsidP="009978C4">
      <w:r>
        <w:t xml:space="preserve">To ensure ongoing success, continuous learning and improvement are essential (Allen, Seaton, &amp; Allen, 2021). Staying up-to-date with research, trends, and best practices in community engagement will enable the program to adapt and evolve. By regularly reviewing and upgrading program elements, it will remain relevant, effective, and responsive to the ever-changing needs of the target community (National </w:t>
      </w:r>
      <w:proofErr w:type="spellStart"/>
      <w:r>
        <w:t>Center</w:t>
      </w:r>
      <w:proofErr w:type="spellEnd"/>
      <w:r>
        <w:t xml:space="preserve"> for Public Service, 2019).</w:t>
      </w:r>
    </w:p>
    <w:p w14:paraId="5CB92548" w14:textId="3CCF7735" w:rsidR="009978C4" w:rsidRDefault="009978C4" w:rsidP="009978C4">
      <w:r>
        <w:t>Coordinating a community engagement program requires adherence to ethical principles, participatory designs, effective evaluation methods, and collaborative partnerships. By applying these best practices and concepts, the mentorship program for underprivileged youth will provide valuable guidance, support, and empowerment. It is through such initiatives that positive social change can be achieved, contributing to a stronger and more inclusive society.</w:t>
      </w:r>
    </w:p>
    <w:p w14:paraId="654811DC" w14:textId="164D2797" w:rsidR="009978C4" w:rsidRDefault="009978C4" w:rsidP="009978C4">
      <w:r>
        <w:t xml:space="preserve">Based on the analysis of the </w:t>
      </w:r>
      <w:proofErr w:type="spellStart"/>
      <w:r>
        <w:t>Tyseley</w:t>
      </w:r>
      <w:proofErr w:type="spellEnd"/>
      <w:r>
        <w:t xml:space="preserve"> Energy Park Community Engagement Project, there are several aspects that can be considered as good practices for your own community engagement program:</w:t>
      </w:r>
    </w:p>
    <w:p w14:paraId="32673FF6" w14:textId="211DFBAF" w:rsidR="009978C4" w:rsidRDefault="009978C4" w:rsidP="009978C4">
      <w:r>
        <w:t>1. Incorporating a variety of community engagement models: The project successfully utilized different community engagement models such as the ICICE model, Sherry Arnstein's Ladder of Participation, and the IAP2 model. By incorporating multiple models, you can ensure a comprehensive approach that covers information sharing, consultation, and active participation from the community.</w:t>
      </w:r>
    </w:p>
    <w:p w14:paraId="2680A75D" w14:textId="2BA98347" w:rsidR="009978C4" w:rsidRDefault="009978C4" w:rsidP="009978C4">
      <w:r>
        <w:t>2. Utilizing diverse communication channels: The project effectively used a combination of online platforms (such as a website and social media) and face-to-face interactions (meetings, workshops, and focus groups) to engage with the community. This multi-channel approach allowed for broad access to information and ensured the involvement of different community members, including those who may not have online access.</w:t>
      </w:r>
    </w:p>
    <w:p w14:paraId="3C57778F" w14:textId="1862EEDC" w:rsidR="009978C4" w:rsidRDefault="009978C4" w:rsidP="009978C4">
      <w:r>
        <w:t>3. Transparent decision-making processes: The project emphasized transparency in its decision-making, ensuring that the community was well-informed about plans, deadlines, and procedures. This transparency helps build trust and ensures the community feels involved in the project's development.</w:t>
      </w:r>
    </w:p>
    <w:p w14:paraId="466EB68F" w14:textId="2672394D" w:rsidR="009978C4" w:rsidRDefault="009978C4" w:rsidP="009978C4">
      <w:r>
        <w:t xml:space="preserve">4. Focus on job creation and environmental impact: The </w:t>
      </w:r>
      <w:proofErr w:type="spellStart"/>
      <w:r>
        <w:t>Tyseley</w:t>
      </w:r>
      <w:proofErr w:type="spellEnd"/>
      <w:r>
        <w:t xml:space="preserve"> Energy Park successfully created employment opportunities for the local community, which contributed to the project's positive impact on the local economy. Additionally, the increased use of renewable energy resulted in a cleaner environment, improving the well-being of the community. Incorporating such social and environmental considerations into your program can enhance its overall impact.</w:t>
      </w:r>
    </w:p>
    <w:p w14:paraId="6142D5BF" w14:textId="28F49C7B" w:rsidR="009978C4" w:rsidRDefault="009978C4" w:rsidP="009978C4">
      <w:r>
        <w:t xml:space="preserve">While the </w:t>
      </w:r>
      <w:proofErr w:type="spellStart"/>
      <w:r>
        <w:t>Tyseley</w:t>
      </w:r>
      <w:proofErr w:type="spellEnd"/>
      <w:r>
        <w:t xml:space="preserve"> Energy Park Community Engagement Project had many strengths, there are also some weaknesses to consider and avoid in your own program:</w:t>
      </w:r>
    </w:p>
    <w:p w14:paraId="40F09394" w14:textId="070D0E7A" w:rsidR="009978C4" w:rsidRDefault="009978C4" w:rsidP="009978C4">
      <w:r>
        <w:t>1. Limited inclusion of vulnerable groups: The project may not have fully involved vulnerable groups who may not have had sufficient access to the communication channels used. To ensure inclusivity, it is important to reach out to a diverse range of community members, including those who face barriers to communication.</w:t>
      </w:r>
    </w:p>
    <w:p w14:paraId="7071A08E" w14:textId="1AF10715" w:rsidR="009978C4" w:rsidRDefault="009978C4" w:rsidP="009978C4">
      <w:r>
        <w:lastRenderedPageBreak/>
        <w:t>2. Resource-intensive nature of community engagement: Community engagement projects can be time-consuming and require sufficient resources. Ensure that you have a realistic understanding of the time, personnel, and financial commitments required to effectively implement your program.</w:t>
      </w:r>
    </w:p>
    <w:p w14:paraId="751162DA" w14:textId="5229605F" w:rsidR="00E750AC" w:rsidRDefault="009978C4" w:rsidP="009978C4">
      <w:r>
        <w:t xml:space="preserve">By incorporating the strengths identified in the </w:t>
      </w:r>
      <w:proofErr w:type="spellStart"/>
      <w:r>
        <w:t>Tyseley</w:t>
      </w:r>
      <w:proofErr w:type="spellEnd"/>
      <w:r>
        <w:t xml:space="preserve"> Energy Park Community Engagement Project and addressing the weaknesses, you can create a community engagement program that is inclusive, transparent, and impactful for your own community. Remember to tailor the program to the specific needs and dynamics of your community, ensuring active participation and collaboration throughout the process.</w:t>
      </w:r>
    </w:p>
    <w:p w14:paraId="29E7EE3F" w14:textId="77777777" w:rsidR="009978C4" w:rsidRDefault="009978C4" w:rsidP="00E750AC">
      <w:pPr>
        <w:jc w:val="center"/>
        <w:rPr>
          <w:b/>
          <w:bCs/>
        </w:rPr>
      </w:pPr>
    </w:p>
    <w:p w14:paraId="1E2236A3" w14:textId="2196D2EC" w:rsidR="00605BE7" w:rsidRDefault="00605BE7" w:rsidP="00605BE7">
      <w:pPr>
        <w:jc w:val="center"/>
        <w:rPr>
          <w:b/>
          <w:bCs/>
          <w:u w:val="single"/>
        </w:rPr>
      </w:pPr>
      <w:r w:rsidRPr="00605BE7">
        <w:rPr>
          <w:b/>
          <w:bCs/>
          <w:u w:val="single"/>
        </w:rPr>
        <w:t xml:space="preserve">Conclusion </w:t>
      </w:r>
    </w:p>
    <w:p w14:paraId="73B4C7AB" w14:textId="612B3092" w:rsidR="00605BE7" w:rsidRDefault="00605BE7" w:rsidP="00605BE7">
      <w:r>
        <w:t>In conclusion, community engagement is vital for driving positive social change and sustainable development. By involving individuals and organizations in collaborative efforts, communities can address their needs and empower marginalized populations. This module has provided valuable insights into the principles, models, and best practices of community engagement, enhancing my ability to coordinate effective programs in the future.</w:t>
      </w:r>
    </w:p>
    <w:p w14:paraId="7A529CA0" w14:textId="50F33BE3" w:rsidR="00605BE7" w:rsidRDefault="00605BE7" w:rsidP="00605BE7">
      <w:r>
        <w:t>Community engagement plays a crucial role in addressing pressing social issues such as education, environmental conservation, and healthcare. It offers individuals and organizations a platform to actively contribute to the betterment of their communities. Through a strategic approach that prioritizes transparency, inclusivity, and accountability, successful community engagement programs can be designed and implemented.</w:t>
      </w:r>
    </w:p>
    <w:p w14:paraId="094BA154" w14:textId="4E4FA9A0" w:rsidR="00605BE7" w:rsidRPr="00605BE7" w:rsidRDefault="00605BE7" w:rsidP="00605BE7">
      <w:r>
        <w:t>By leveraging these principles, we can create sustainable programs that drive positive change and empower individuals. Effective community engagement mobilizes resources, engages stakeholders, and aligns efforts with community needs. Ultimately, it leads to the creation of thriving and resilient communities.</w:t>
      </w:r>
    </w:p>
    <w:p w14:paraId="02D9FA48" w14:textId="77777777" w:rsidR="009978C4" w:rsidRDefault="009978C4" w:rsidP="00E750AC">
      <w:pPr>
        <w:jc w:val="center"/>
        <w:rPr>
          <w:b/>
          <w:bCs/>
        </w:rPr>
      </w:pPr>
    </w:p>
    <w:p w14:paraId="1EC4F91B" w14:textId="77777777" w:rsidR="009978C4" w:rsidRDefault="009978C4" w:rsidP="00E750AC">
      <w:pPr>
        <w:jc w:val="center"/>
        <w:rPr>
          <w:b/>
          <w:bCs/>
        </w:rPr>
      </w:pPr>
    </w:p>
    <w:p w14:paraId="4CFFECC5" w14:textId="77777777" w:rsidR="009978C4" w:rsidRDefault="009978C4" w:rsidP="00E750AC">
      <w:pPr>
        <w:jc w:val="center"/>
        <w:rPr>
          <w:b/>
          <w:bCs/>
        </w:rPr>
      </w:pPr>
    </w:p>
    <w:p w14:paraId="3F76630E" w14:textId="77777777" w:rsidR="009978C4" w:rsidRDefault="009978C4" w:rsidP="00E750AC">
      <w:pPr>
        <w:jc w:val="center"/>
        <w:rPr>
          <w:b/>
          <w:bCs/>
        </w:rPr>
      </w:pPr>
    </w:p>
    <w:p w14:paraId="3EDD030C" w14:textId="77777777" w:rsidR="009978C4" w:rsidRDefault="009978C4" w:rsidP="00E750AC">
      <w:pPr>
        <w:jc w:val="center"/>
        <w:rPr>
          <w:b/>
          <w:bCs/>
        </w:rPr>
      </w:pPr>
    </w:p>
    <w:p w14:paraId="5EFFE840" w14:textId="77777777" w:rsidR="009978C4" w:rsidRDefault="009978C4" w:rsidP="00E750AC">
      <w:pPr>
        <w:jc w:val="center"/>
        <w:rPr>
          <w:b/>
          <w:bCs/>
        </w:rPr>
      </w:pPr>
    </w:p>
    <w:p w14:paraId="671DD767" w14:textId="77777777" w:rsidR="009978C4" w:rsidRDefault="009978C4" w:rsidP="00E750AC">
      <w:pPr>
        <w:jc w:val="center"/>
        <w:rPr>
          <w:b/>
          <w:bCs/>
        </w:rPr>
      </w:pPr>
    </w:p>
    <w:p w14:paraId="0EB245C6" w14:textId="77777777" w:rsidR="009978C4" w:rsidRDefault="009978C4" w:rsidP="00E750AC">
      <w:pPr>
        <w:jc w:val="center"/>
        <w:rPr>
          <w:b/>
          <w:bCs/>
        </w:rPr>
      </w:pPr>
    </w:p>
    <w:p w14:paraId="642B26F8" w14:textId="77777777" w:rsidR="009978C4" w:rsidRDefault="009978C4" w:rsidP="00E750AC">
      <w:pPr>
        <w:jc w:val="center"/>
        <w:rPr>
          <w:b/>
          <w:bCs/>
        </w:rPr>
      </w:pPr>
    </w:p>
    <w:p w14:paraId="48CA154D" w14:textId="77777777" w:rsidR="009978C4" w:rsidRDefault="009978C4" w:rsidP="00E750AC">
      <w:pPr>
        <w:jc w:val="center"/>
        <w:rPr>
          <w:b/>
          <w:bCs/>
        </w:rPr>
      </w:pPr>
    </w:p>
    <w:p w14:paraId="12E00884" w14:textId="77777777" w:rsidR="009978C4" w:rsidRDefault="009978C4" w:rsidP="00E750AC">
      <w:pPr>
        <w:jc w:val="center"/>
        <w:rPr>
          <w:b/>
          <w:bCs/>
        </w:rPr>
      </w:pPr>
    </w:p>
    <w:p w14:paraId="79D76F29" w14:textId="77777777" w:rsidR="009978C4" w:rsidRDefault="009978C4" w:rsidP="00E750AC">
      <w:pPr>
        <w:jc w:val="center"/>
        <w:rPr>
          <w:b/>
          <w:bCs/>
        </w:rPr>
      </w:pPr>
    </w:p>
    <w:p w14:paraId="78C5DE28" w14:textId="77777777" w:rsidR="009978C4" w:rsidRDefault="009978C4" w:rsidP="00605BE7">
      <w:pPr>
        <w:rPr>
          <w:b/>
          <w:bCs/>
        </w:rPr>
      </w:pPr>
    </w:p>
    <w:p w14:paraId="1C1B9996" w14:textId="5D7F53FC" w:rsidR="00E750AC" w:rsidRDefault="00E750AC" w:rsidP="00E750AC">
      <w:pPr>
        <w:jc w:val="center"/>
        <w:rPr>
          <w:b/>
          <w:bCs/>
        </w:rPr>
      </w:pPr>
      <w:r w:rsidRPr="00E750AC">
        <w:rPr>
          <w:b/>
          <w:bCs/>
        </w:rPr>
        <w:lastRenderedPageBreak/>
        <w:t>Reference list</w:t>
      </w:r>
    </w:p>
    <w:p w14:paraId="77AC368B" w14:textId="566387AE" w:rsidR="00E750AC" w:rsidRDefault="00E750AC" w:rsidP="00E750AC">
      <w:pPr>
        <w:pStyle w:val="ListParagraph"/>
        <w:numPr>
          <w:ilvl w:val="0"/>
          <w:numId w:val="2"/>
        </w:numPr>
      </w:pPr>
      <w:proofErr w:type="spellStart"/>
      <w:r w:rsidRPr="00E750AC">
        <w:rPr>
          <w:lang w:val="it-IT"/>
        </w:rPr>
        <w:t>Huddleston</w:t>
      </w:r>
      <w:proofErr w:type="spellEnd"/>
      <w:r w:rsidRPr="00E750AC">
        <w:rPr>
          <w:lang w:val="it-IT"/>
        </w:rPr>
        <w:t xml:space="preserve">, M. W., &amp; Bianco, M. (2019). </w:t>
      </w:r>
      <w:r>
        <w:t>Engaging diverse communities: Ethical considerations for the future of community engagement. Journal of Planning Education and Research, 39(2), 192-206.</w:t>
      </w:r>
    </w:p>
    <w:p w14:paraId="5D494E04" w14:textId="6F622EDF" w:rsidR="00E750AC" w:rsidRDefault="00E750AC" w:rsidP="00E750AC">
      <w:pPr>
        <w:pStyle w:val="ListParagraph"/>
        <w:numPr>
          <w:ilvl w:val="0"/>
          <w:numId w:val="2"/>
        </w:numPr>
      </w:pPr>
      <w:r>
        <w:t>Kania, J., &amp; Kramer, M. (2011). Collective impact. Stanford Social Innovation Review, 9(1), 36-41.</w:t>
      </w:r>
    </w:p>
    <w:p w14:paraId="7E92A402" w14:textId="6FDC8C1C" w:rsidR="00E750AC" w:rsidRDefault="00E750AC" w:rsidP="00E750AC">
      <w:pPr>
        <w:pStyle w:val="ListParagraph"/>
        <w:numPr>
          <w:ilvl w:val="0"/>
          <w:numId w:val="2"/>
        </w:numPr>
      </w:pPr>
      <w:r>
        <w:t xml:space="preserve">National </w:t>
      </w:r>
      <w:proofErr w:type="spellStart"/>
      <w:r>
        <w:t>Center</w:t>
      </w:r>
      <w:proofErr w:type="spellEnd"/>
      <w:r>
        <w:t xml:space="preserve"> for Public Service. (2019). A conceptual framework for community engagement. Retrieved from https://www.ncpub.org.au/sites/default/files/files/NCPS%20Conceptual%20framework%20for%20community%20engagement_web.pdf</w:t>
      </w:r>
    </w:p>
    <w:p w14:paraId="67394B01" w14:textId="76787E27" w:rsidR="00E750AC" w:rsidRDefault="00E750AC" w:rsidP="00E750AC">
      <w:pPr>
        <w:pStyle w:val="ListParagraph"/>
        <w:numPr>
          <w:ilvl w:val="0"/>
          <w:numId w:val="2"/>
        </w:numPr>
      </w:pPr>
      <w:r>
        <w:t>Vernon, D. (2018). Developing community partnerships. In R. P. Weinberg &amp; D. A. Gould (Eds.), Foundations of Sport and Exercise Psychology (7th ed., pp. 502-509). Human Kinetics.</w:t>
      </w:r>
    </w:p>
    <w:p w14:paraId="2D59180D" w14:textId="1BFF4C51" w:rsidR="00E750AC" w:rsidRDefault="00E750AC" w:rsidP="00E750AC">
      <w:pPr>
        <w:pStyle w:val="ListParagraph"/>
        <w:numPr>
          <w:ilvl w:val="0"/>
          <w:numId w:val="2"/>
        </w:numPr>
      </w:pPr>
      <w:r>
        <w:t xml:space="preserve">Watkins, K. E., </w:t>
      </w:r>
      <w:proofErr w:type="spellStart"/>
      <w:r>
        <w:t>Tenkasi</w:t>
      </w:r>
      <w:proofErr w:type="spellEnd"/>
      <w:r>
        <w:t>, R. V., &amp; Mohrman, S. A. (2018). Participatory approaches and stakeholder engagement. In S. A. Mohrman, A. Van De Ven, &amp; K. E. Watkins (Eds.), Research in Organizational Change and Development (Vol. 26, pp. 173-192). Emerald Publishing Limited.</w:t>
      </w:r>
    </w:p>
    <w:p w14:paraId="2C6A53DC" w14:textId="300A5E55" w:rsidR="009978C4" w:rsidRDefault="009978C4" w:rsidP="009978C4">
      <w:pPr>
        <w:pStyle w:val="ListParagraph"/>
        <w:numPr>
          <w:ilvl w:val="0"/>
          <w:numId w:val="2"/>
        </w:numPr>
      </w:pPr>
      <w:r>
        <w:t xml:space="preserve">Allen, I., Seaton, J., &amp; Allen, K. (2021). Continual improvement and curriculum design. In L. Hunt, L. Chalmers, &amp; G. Miner (Eds.), Effective Learning and Teaching in Medical, Dental, and Veterinary Education (pp. 210-223). Palgrave Macmillan. </w:t>
      </w:r>
    </w:p>
    <w:p w14:paraId="12F629C2" w14:textId="36B177D7" w:rsidR="009978C4" w:rsidRDefault="009978C4" w:rsidP="009978C4">
      <w:pPr>
        <w:pStyle w:val="ListParagraph"/>
        <w:numPr>
          <w:ilvl w:val="0"/>
          <w:numId w:val="2"/>
        </w:numPr>
      </w:pPr>
      <w:r>
        <w:t xml:space="preserve">Freshwater, D., &amp; Sheridan, N. (2020). Using creative writing to promote reflective learning. In M. Levett-Jones, S. Reid-Searl, N. Dwyer, D. Guinea, E. Hales, L. Heaton, &amp; L. Barr, T. (Eds.), Clinical Reasoning (2nd ed., pp. 219-229). Jones and Bartlett Learning. </w:t>
      </w:r>
    </w:p>
    <w:p w14:paraId="632CE40D" w14:textId="0FE252CB" w:rsidR="009978C4" w:rsidRDefault="009978C4" w:rsidP="009978C4">
      <w:pPr>
        <w:pStyle w:val="ListParagraph"/>
        <w:numPr>
          <w:ilvl w:val="0"/>
          <w:numId w:val="2"/>
        </w:numPr>
      </w:pPr>
      <w:r>
        <w:t xml:space="preserve">Gill, A. J. (2017). Positive psychology, strengths and well-being. In C. E. J. Cook &amp; L. B. Friend (Eds.), Disabilities (pp. 301-310). Elsevier. </w:t>
      </w:r>
    </w:p>
    <w:p w14:paraId="44CFD2C5" w14:textId="344FA7D9" w:rsidR="009978C4" w:rsidRDefault="009978C4" w:rsidP="009978C4">
      <w:pPr>
        <w:pStyle w:val="ListParagraph"/>
        <w:numPr>
          <w:ilvl w:val="0"/>
          <w:numId w:val="2"/>
        </w:numPr>
      </w:pPr>
      <w:proofErr w:type="spellStart"/>
      <w:r w:rsidRPr="009978C4">
        <w:rPr>
          <w:lang w:val="it-IT"/>
        </w:rPr>
        <w:t>Huddleston</w:t>
      </w:r>
      <w:proofErr w:type="spellEnd"/>
      <w:r w:rsidRPr="009978C4">
        <w:rPr>
          <w:lang w:val="it-IT"/>
        </w:rPr>
        <w:t xml:space="preserve">, M. W., &amp; Bianco, M. (2019). </w:t>
      </w:r>
      <w:r>
        <w:t xml:space="preserve">Engaging diverse communities: Ethical considerations for the future of community engagement. Journal of Planning Education and Research, 39(2), 192-206. </w:t>
      </w:r>
    </w:p>
    <w:p w14:paraId="6965EEB5" w14:textId="77660493" w:rsidR="009978C4" w:rsidRDefault="009978C4" w:rsidP="009978C4">
      <w:pPr>
        <w:pStyle w:val="ListParagraph"/>
        <w:numPr>
          <w:ilvl w:val="0"/>
          <w:numId w:val="2"/>
        </w:numPr>
      </w:pPr>
      <w:r>
        <w:t xml:space="preserve">Kania, J., &amp; Kramer, M. (2011). Collective impact. Stanford Social Innovation Review, 9(1), 36-41. </w:t>
      </w:r>
    </w:p>
    <w:p w14:paraId="4BF58FD4" w14:textId="1E4D4E0E" w:rsidR="009978C4" w:rsidRDefault="009978C4" w:rsidP="00605BE7">
      <w:pPr>
        <w:pStyle w:val="ListParagraph"/>
      </w:pPr>
    </w:p>
    <w:p w14:paraId="348AF806" w14:textId="77777777" w:rsidR="00605BE7" w:rsidRDefault="00605BE7" w:rsidP="00605BE7">
      <w:pPr>
        <w:pStyle w:val="ListParagraph"/>
      </w:pPr>
    </w:p>
    <w:p w14:paraId="5A933711" w14:textId="77777777" w:rsidR="00605BE7" w:rsidRDefault="00605BE7" w:rsidP="00605BE7">
      <w:pPr>
        <w:pStyle w:val="ListParagraph"/>
      </w:pPr>
    </w:p>
    <w:p w14:paraId="10847669" w14:textId="77777777" w:rsidR="00605BE7" w:rsidRDefault="00605BE7" w:rsidP="00605BE7">
      <w:pPr>
        <w:pStyle w:val="ListParagraph"/>
      </w:pPr>
    </w:p>
    <w:p w14:paraId="7BA12C74" w14:textId="77777777" w:rsidR="00605BE7" w:rsidRDefault="00605BE7" w:rsidP="00605BE7">
      <w:pPr>
        <w:pStyle w:val="ListParagraph"/>
      </w:pPr>
    </w:p>
    <w:p w14:paraId="5B0A83E4" w14:textId="77777777" w:rsidR="00605BE7" w:rsidRDefault="00605BE7" w:rsidP="00605BE7">
      <w:pPr>
        <w:pStyle w:val="ListParagraph"/>
      </w:pPr>
    </w:p>
    <w:p w14:paraId="7012C911" w14:textId="77777777" w:rsidR="00605BE7" w:rsidRDefault="00605BE7" w:rsidP="00605BE7">
      <w:pPr>
        <w:pStyle w:val="ListParagraph"/>
      </w:pPr>
    </w:p>
    <w:p w14:paraId="11E4D10A" w14:textId="77777777" w:rsidR="00605BE7" w:rsidRDefault="00605BE7" w:rsidP="00605BE7">
      <w:pPr>
        <w:pStyle w:val="ListParagraph"/>
      </w:pPr>
    </w:p>
    <w:p w14:paraId="78B75630" w14:textId="77777777" w:rsidR="00605BE7" w:rsidRDefault="00605BE7" w:rsidP="00605BE7">
      <w:pPr>
        <w:pStyle w:val="ListParagraph"/>
      </w:pPr>
    </w:p>
    <w:p w14:paraId="3D9653E0" w14:textId="77777777" w:rsidR="00605BE7" w:rsidRDefault="00605BE7" w:rsidP="00605BE7">
      <w:pPr>
        <w:pStyle w:val="ListParagraph"/>
      </w:pPr>
    </w:p>
    <w:p w14:paraId="1FC954AF" w14:textId="77777777" w:rsidR="00605BE7" w:rsidRDefault="00605BE7" w:rsidP="00605BE7">
      <w:pPr>
        <w:pStyle w:val="ListParagraph"/>
      </w:pPr>
    </w:p>
    <w:p w14:paraId="05FE944D" w14:textId="77777777" w:rsidR="00605BE7" w:rsidRDefault="00605BE7" w:rsidP="00605BE7">
      <w:pPr>
        <w:pStyle w:val="ListParagraph"/>
      </w:pPr>
    </w:p>
    <w:p w14:paraId="1F15167B" w14:textId="77777777" w:rsidR="00605BE7" w:rsidRDefault="00605BE7" w:rsidP="00605BE7">
      <w:pPr>
        <w:pStyle w:val="ListParagraph"/>
      </w:pPr>
    </w:p>
    <w:p w14:paraId="771AF7FC" w14:textId="77777777" w:rsidR="00605BE7" w:rsidRDefault="00605BE7" w:rsidP="00605BE7">
      <w:pPr>
        <w:pStyle w:val="ListParagraph"/>
      </w:pPr>
    </w:p>
    <w:p w14:paraId="3C0D7252" w14:textId="77777777" w:rsidR="00605BE7" w:rsidRDefault="00605BE7" w:rsidP="00605BE7">
      <w:pPr>
        <w:pStyle w:val="ListParagraph"/>
      </w:pPr>
    </w:p>
    <w:p w14:paraId="5039CAC6" w14:textId="77777777" w:rsidR="00605BE7" w:rsidRDefault="00605BE7" w:rsidP="00605BE7">
      <w:pPr>
        <w:pStyle w:val="ListParagraph"/>
      </w:pPr>
    </w:p>
    <w:p w14:paraId="24F3983A" w14:textId="77777777" w:rsidR="00605BE7" w:rsidRDefault="00605BE7" w:rsidP="00605BE7">
      <w:pPr>
        <w:pStyle w:val="ListParagraph"/>
      </w:pPr>
    </w:p>
    <w:p w14:paraId="62A967FA" w14:textId="77777777" w:rsidR="00605BE7" w:rsidRDefault="00605BE7" w:rsidP="00605BE7">
      <w:pPr>
        <w:pStyle w:val="ListParagraph"/>
      </w:pPr>
    </w:p>
    <w:p w14:paraId="47F236FD" w14:textId="199E4DB4" w:rsidR="00605BE7" w:rsidRDefault="002D4723" w:rsidP="002D4723">
      <w:pPr>
        <w:pStyle w:val="ListParagraph"/>
        <w:jc w:val="center"/>
        <w:rPr>
          <w:b/>
          <w:bCs/>
        </w:rPr>
      </w:pPr>
      <w:r w:rsidRPr="002D4723">
        <w:lastRenderedPageBreak/>
        <w:drawing>
          <wp:anchor distT="0" distB="0" distL="114300" distR="114300" simplePos="0" relativeHeight="251659264" behindDoc="0" locked="0" layoutInCell="1" allowOverlap="1" wp14:anchorId="44A763BA" wp14:editId="46546696">
            <wp:simplePos x="0" y="0"/>
            <wp:positionH relativeFrom="column">
              <wp:posOffset>-214745</wp:posOffset>
            </wp:positionH>
            <wp:positionV relativeFrom="paragraph">
              <wp:posOffset>3975735</wp:posOffset>
            </wp:positionV>
            <wp:extent cx="5731510" cy="3768090"/>
            <wp:effectExtent l="0" t="0" r="2540" b="3810"/>
            <wp:wrapThrough wrapText="bothSides">
              <wp:wrapPolygon edited="0">
                <wp:start x="0" y="0"/>
                <wp:lineTo x="0" y="21513"/>
                <wp:lineTo x="21538" y="21513"/>
                <wp:lineTo x="21538" y="0"/>
                <wp:lineTo x="0" y="0"/>
              </wp:wrapPolygon>
            </wp:wrapThrough>
            <wp:docPr id="1039260472" name="Picture 1"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260472" name="Picture 1" descr="A white grid with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768090"/>
                    </a:xfrm>
                    <a:prstGeom prst="rect">
                      <a:avLst/>
                    </a:prstGeom>
                  </pic:spPr>
                </pic:pic>
              </a:graphicData>
            </a:graphic>
            <wp14:sizeRelH relativeFrom="page">
              <wp14:pctWidth>0</wp14:pctWidth>
            </wp14:sizeRelH>
            <wp14:sizeRelV relativeFrom="page">
              <wp14:pctHeight>0</wp14:pctHeight>
            </wp14:sizeRelV>
          </wp:anchor>
        </w:drawing>
      </w:r>
      <w:r w:rsidRPr="002D4723">
        <w:rPr>
          <w:b/>
          <w:bCs/>
        </w:rPr>
        <w:drawing>
          <wp:anchor distT="0" distB="0" distL="114300" distR="114300" simplePos="0" relativeHeight="251658240" behindDoc="0" locked="0" layoutInCell="1" allowOverlap="1" wp14:anchorId="6F7AFC4A" wp14:editId="1D77704F">
            <wp:simplePos x="0" y="0"/>
            <wp:positionH relativeFrom="column">
              <wp:posOffset>-124691</wp:posOffset>
            </wp:positionH>
            <wp:positionV relativeFrom="paragraph">
              <wp:posOffset>339898</wp:posOffset>
            </wp:positionV>
            <wp:extent cx="5731510" cy="4037330"/>
            <wp:effectExtent l="0" t="0" r="2540" b="1270"/>
            <wp:wrapThrough wrapText="bothSides">
              <wp:wrapPolygon edited="0">
                <wp:start x="0" y="0"/>
                <wp:lineTo x="0" y="21505"/>
                <wp:lineTo x="21538" y="21505"/>
                <wp:lineTo x="21538" y="0"/>
                <wp:lineTo x="0" y="0"/>
              </wp:wrapPolygon>
            </wp:wrapThrough>
            <wp:docPr id="179795636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956366" name="Picture 1" descr="A close-up of a docume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037330"/>
                    </a:xfrm>
                    <a:prstGeom prst="rect">
                      <a:avLst/>
                    </a:prstGeom>
                  </pic:spPr>
                </pic:pic>
              </a:graphicData>
            </a:graphic>
            <wp14:sizeRelH relativeFrom="page">
              <wp14:pctWidth>0</wp14:pctWidth>
            </wp14:sizeRelH>
            <wp14:sizeRelV relativeFrom="page">
              <wp14:pctHeight>0</wp14:pctHeight>
            </wp14:sizeRelV>
          </wp:anchor>
        </w:drawing>
      </w:r>
      <w:r w:rsidR="00605BE7" w:rsidRPr="00605BE7">
        <w:rPr>
          <w:b/>
          <w:bCs/>
        </w:rPr>
        <w:t>Appendix</w:t>
      </w:r>
    </w:p>
    <w:p w14:paraId="63B4C76E" w14:textId="4E6705C8" w:rsidR="002D4723" w:rsidRPr="002D4723" w:rsidRDefault="002D4723" w:rsidP="002D4723"/>
    <w:p w14:paraId="0327E4F0" w14:textId="05F81730" w:rsidR="002D4723" w:rsidRPr="002D4723" w:rsidRDefault="002D4723" w:rsidP="002D4723"/>
    <w:p w14:paraId="3FFAEE51" w14:textId="77777777" w:rsidR="002D4723" w:rsidRPr="002D4723" w:rsidRDefault="002D4723" w:rsidP="002D4723"/>
    <w:p w14:paraId="3655F1CB" w14:textId="77777777" w:rsidR="002D4723" w:rsidRPr="002D4723" w:rsidRDefault="002D4723" w:rsidP="002D4723"/>
    <w:p w14:paraId="4DA3C2A7" w14:textId="5AFEE6A8" w:rsidR="002D4723" w:rsidRPr="002D4723" w:rsidRDefault="002D4723" w:rsidP="002D4723">
      <w:r>
        <w:rPr>
          <w:noProof/>
        </w:rPr>
        <w:lastRenderedPageBreak/>
        <w:drawing>
          <wp:anchor distT="0" distB="0" distL="114300" distR="114300" simplePos="0" relativeHeight="251660288" behindDoc="0" locked="0" layoutInCell="1" allowOverlap="1" wp14:anchorId="24CD92FE" wp14:editId="7FE3A3A1">
            <wp:simplePos x="0" y="0"/>
            <wp:positionH relativeFrom="margin">
              <wp:align>center</wp:align>
            </wp:positionH>
            <wp:positionV relativeFrom="paragraph">
              <wp:posOffset>3919855</wp:posOffset>
            </wp:positionV>
            <wp:extent cx="6562148" cy="1497758"/>
            <wp:effectExtent l="0" t="0" r="0" b="7620"/>
            <wp:wrapThrough wrapText="bothSides">
              <wp:wrapPolygon edited="0">
                <wp:start x="0" y="0"/>
                <wp:lineTo x="0" y="21435"/>
                <wp:lineTo x="21508" y="21435"/>
                <wp:lineTo x="21508" y="0"/>
                <wp:lineTo x="0" y="0"/>
              </wp:wrapPolygon>
            </wp:wrapThrough>
            <wp:docPr id="5587974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62148" cy="1497758"/>
                    </a:xfrm>
                    <a:prstGeom prst="rect">
                      <a:avLst/>
                    </a:prstGeom>
                    <a:noFill/>
                  </pic:spPr>
                </pic:pic>
              </a:graphicData>
            </a:graphic>
            <wp14:sizeRelH relativeFrom="page">
              <wp14:pctWidth>0</wp14:pctWidth>
            </wp14:sizeRelH>
            <wp14:sizeRelV relativeFrom="page">
              <wp14:pctHeight>0</wp14:pctHeight>
            </wp14:sizeRelV>
          </wp:anchor>
        </w:drawing>
      </w:r>
      <w:r w:rsidRPr="002D4723">
        <w:drawing>
          <wp:inline distT="0" distB="0" distL="0" distR="0" wp14:anchorId="3B0992CB" wp14:editId="0560B4E3">
            <wp:extent cx="5731510" cy="3789045"/>
            <wp:effectExtent l="0" t="0" r="2540" b="1905"/>
            <wp:docPr id="263704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704506" name=""/>
                    <pic:cNvPicPr/>
                  </pic:nvPicPr>
                  <pic:blipFill>
                    <a:blip r:embed="rId10"/>
                    <a:stretch>
                      <a:fillRect/>
                    </a:stretch>
                  </pic:blipFill>
                  <pic:spPr>
                    <a:xfrm>
                      <a:off x="0" y="0"/>
                      <a:ext cx="5731510" cy="3789045"/>
                    </a:xfrm>
                    <a:prstGeom prst="rect">
                      <a:avLst/>
                    </a:prstGeom>
                  </pic:spPr>
                </pic:pic>
              </a:graphicData>
            </a:graphic>
          </wp:inline>
        </w:drawing>
      </w:r>
    </w:p>
    <w:p w14:paraId="3099C2C8" w14:textId="6E08366F" w:rsidR="002D4723" w:rsidRPr="002D4723" w:rsidRDefault="002D4723" w:rsidP="002D4723"/>
    <w:p w14:paraId="3B442A0F" w14:textId="3689AEAD" w:rsidR="002D4723" w:rsidRPr="002D4723" w:rsidRDefault="002D4723" w:rsidP="002D4723"/>
    <w:p w14:paraId="5B4A6029" w14:textId="77777777" w:rsidR="002D4723" w:rsidRPr="002D4723" w:rsidRDefault="002D4723" w:rsidP="002D4723"/>
    <w:p w14:paraId="7D2A7460" w14:textId="77777777" w:rsidR="002D4723" w:rsidRPr="002D4723" w:rsidRDefault="002D4723" w:rsidP="002D4723"/>
    <w:p w14:paraId="2B8EBFF7" w14:textId="77777777" w:rsidR="002D4723" w:rsidRPr="002D4723" w:rsidRDefault="002D4723" w:rsidP="002D4723"/>
    <w:p w14:paraId="7A55D082" w14:textId="77777777" w:rsidR="002D4723" w:rsidRPr="002D4723" w:rsidRDefault="002D4723" w:rsidP="002D4723"/>
    <w:p w14:paraId="610AE20C" w14:textId="77777777" w:rsidR="002D4723" w:rsidRPr="002D4723" w:rsidRDefault="002D4723" w:rsidP="002D4723"/>
    <w:p w14:paraId="76F1395B" w14:textId="77777777" w:rsidR="002D4723" w:rsidRPr="002D4723" w:rsidRDefault="002D4723" w:rsidP="002D4723"/>
    <w:p w14:paraId="69A491C2" w14:textId="77777777" w:rsidR="002D4723" w:rsidRPr="002D4723" w:rsidRDefault="002D4723" w:rsidP="002D4723"/>
    <w:p w14:paraId="53FA5A73" w14:textId="77777777" w:rsidR="002D4723" w:rsidRPr="002D4723" w:rsidRDefault="002D4723" w:rsidP="002D4723"/>
    <w:p w14:paraId="56246AB7" w14:textId="77777777" w:rsidR="002D4723" w:rsidRPr="002D4723" w:rsidRDefault="002D4723" w:rsidP="002D4723"/>
    <w:p w14:paraId="06157687" w14:textId="30590F80" w:rsidR="002D4723" w:rsidRPr="002D4723" w:rsidRDefault="002D4723" w:rsidP="002D4723">
      <w:pPr>
        <w:rPr>
          <w:b/>
          <w:bCs/>
        </w:rPr>
      </w:pPr>
    </w:p>
    <w:sectPr w:rsidR="002D4723" w:rsidRPr="002D47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FF3CC" w14:textId="77777777" w:rsidR="00605BE7" w:rsidRDefault="00605BE7" w:rsidP="00605BE7">
      <w:pPr>
        <w:spacing w:after="0" w:line="240" w:lineRule="auto"/>
      </w:pPr>
      <w:r>
        <w:separator/>
      </w:r>
    </w:p>
  </w:endnote>
  <w:endnote w:type="continuationSeparator" w:id="0">
    <w:p w14:paraId="29547126" w14:textId="77777777" w:rsidR="00605BE7" w:rsidRDefault="00605BE7" w:rsidP="00605B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4F472" w14:textId="77777777" w:rsidR="00605BE7" w:rsidRDefault="00605BE7" w:rsidP="00605BE7">
      <w:pPr>
        <w:spacing w:after="0" w:line="240" w:lineRule="auto"/>
      </w:pPr>
      <w:r>
        <w:separator/>
      </w:r>
    </w:p>
  </w:footnote>
  <w:footnote w:type="continuationSeparator" w:id="0">
    <w:p w14:paraId="4B08BFA7" w14:textId="77777777" w:rsidR="00605BE7" w:rsidRDefault="00605BE7" w:rsidP="00605B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F2EC9"/>
    <w:multiLevelType w:val="hybridMultilevel"/>
    <w:tmpl w:val="2E3AC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52344D"/>
    <w:multiLevelType w:val="hybridMultilevel"/>
    <w:tmpl w:val="5030A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149061">
    <w:abstractNumId w:val="0"/>
  </w:num>
  <w:num w:numId="2" w16cid:durableId="3449872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CF6"/>
    <w:rsid w:val="002D4723"/>
    <w:rsid w:val="00605BE7"/>
    <w:rsid w:val="00883E95"/>
    <w:rsid w:val="009978C4"/>
    <w:rsid w:val="00A03CF6"/>
    <w:rsid w:val="00C71E88"/>
    <w:rsid w:val="00E750AC"/>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78C06DB"/>
  <w15:chartTrackingRefBased/>
  <w15:docId w15:val="{6435037F-0B8B-4D61-A37B-EC41BAB8B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3CF6"/>
    <w:pPr>
      <w:ind w:left="720"/>
      <w:contextualSpacing/>
    </w:pPr>
  </w:style>
  <w:style w:type="character" w:styleId="Hyperlink">
    <w:name w:val="Hyperlink"/>
    <w:basedOn w:val="DefaultParagraphFont"/>
    <w:uiPriority w:val="99"/>
    <w:unhideWhenUsed/>
    <w:rsid w:val="009978C4"/>
    <w:rPr>
      <w:color w:val="0563C1" w:themeColor="hyperlink"/>
      <w:u w:val="single"/>
    </w:rPr>
  </w:style>
  <w:style w:type="character" w:styleId="UnresolvedMention">
    <w:name w:val="Unresolved Mention"/>
    <w:basedOn w:val="DefaultParagraphFont"/>
    <w:uiPriority w:val="99"/>
    <w:semiHidden/>
    <w:unhideWhenUsed/>
    <w:rsid w:val="009978C4"/>
    <w:rPr>
      <w:color w:val="605E5C"/>
      <w:shd w:val="clear" w:color="auto" w:fill="E1DFDD"/>
    </w:rPr>
  </w:style>
  <w:style w:type="paragraph" w:styleId="Header">
    <w:name w:val="header"/>
    <w:basedOn w:val="Normal"/>
    <w:link w:val="HeaderChar"/>
    <w:uiPriority w:val="99"/>
    <w:unhideWhenUsed/>
    <w:rsid w:val="00605B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BE7"/>
  </w:style>
  <w:style w:type="paragraph" w:styleId="Footer">
    <w:name w:val="footer"/>
    <w:basedOn w:val="Normal"/>
    <w:link w:val="FooterChar"/>
    <w:uiPriority w:val="99"/>
    <w:unhideWhenUsed/>
    <w:rsid w:val="00605B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B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2297</Words>
  <Characters>13098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mandache</dc:creator>
  <cp:keywords/>
  <dc:description/>
  <cp:lastModifiedBy>adriana mandache</cp:lastModifiedBy>
  <cp:revision>1</cp:revision>
  <dcterms:created xsi:type="dcterms:W3CDTF">2023-11-20T17:48:00Z</dcterms:created>
  <dcterms:modified xsi:type="dcterms:W3CDTF">2023-11-20T18:46:00Z</dcterms:modified>
</cp:coreProperties>
</file>