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2C6F34">
      <w:pPr>
        <w:jc w:val="both"/>
      </w:pPr>
      <w:r>
        <w:rPr>
          <w:rFonts w:ascii="Arial" w:hAnsi="Arial" w:cs="Arial"/>
        </w:rPr>
        <w:drawing>
          <wp:anchor distT="0" distB="0" distL="114300" distR="114300" simplePos="0" relativeHeight="251659264" behindDoc="1" locked="0" layoutInCell="1" allowOverlap="1">
            <wp:simplePos x="0" y="0"/>
            <wp:positionH relativeFrom="column">
              <wp:posOffset>1851660</wp:posOffset>
            </wp:positionH>
            <wp:positionV relativeFrom="paragraph">
              <wp:posOffset>-755015</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14:paraId="0929D1D9">
      <w:pPr>
        <w:autoSpaceDE w:val="0"/>
        <w:autoSpaceDN w:val="0"/>
        <w:adjustRightInd w:val="0"/>
        <w:jc w:val="center"/>
        <w:rPr>
          <w:rFonts w:ascii="Calibri" w:hAnsi="Calibri" w:cs="Calibri"/>
          <w:b/>
          <w:bCs/>
          <w:color w:val="1F497D" w:themeColor="text2"/>
          <w:kern w:val="0"/>
          <w:sz w:val="28"/>
          <w:szCs w:val="28"/>
          <w14:textFill>
            <w14:solidFill>
              <w14:schemeClr w14:val="tx2"/>
            </w14:solidFill>
          </w14:textFill>
        </w:rPr>
      </w:pPr>
      <w:r>
        <w:rPr>
          <w:rFonts w:ascii="Calibri" w:hAnsi="Calibri" w:cs="Calibri"/>
          <w:b/>
          <w:bCs/>
          <w:color w:val="1F497D" w:themeColor="text2"/>
          <w:kern w:val="0"/>
          <w:sz w:val="28"/>
          <w:szCs w:val="28"/>
          <w14:textFill>
            <w14:solidFill>
              <w14:schemeClr w14:val="tx2"/>
            </w14:solidFill>
          </w14:textFill>
        </w:rPr>
        <w:t>LEADING AND IMPLEMENTING WORKPLACE CHANGE</w:t>
      </w:r>
    </w:p>
    <w:p w14:paraId="752B9D24">
      <w:pPr>
        <w:autoSpaceDE w:val="0"/>
        <w:autoSpaceDN w:val="0"/>
        <w:adjustRightInd w:val="0"/>
        <w:jc w:val="center"/>
        <w:rPr>
          <w:rFonts w:ascii="Calibri" w:hAnsi="Calibri" w:cs="Calibri"/>
          <w:b/>
          <w:bCs/>
          <w:kern w:val="0"/>
          <w:sz w:val="24"/>
          <w:szCs w:val="24"/>
        </w:rPr>
      </w:pPr>
      <w:r>
        <w:rPr>
          <w:rFonts w:ascii="Calibri" w:hAnsi="Calibri" w:cs="Calibri"/>
          <w:b/>
          <w:bCs/>
          <w:color w:val="1F497D" w:themeColor="text2"/>
          <w:kern w:val="0"/>
          <w:sz w:val="24"/>
          <w:szCs w:val="24"/>
          <w14:textFill>
            <w14:solidFill>
              <w14:schemeClr w14:val="tx2"/>
            </w14:solidFill>
          </w14:textFill>
        </w:rPr>
        <w:br w:type="textWrapping"/>
      </w:r>
      <w:r>
        <w:rPr>
          <w:rFonts w:ascii="Calibri" w:hAnsi="Calibri" w:cs="Calibri"/>
          <w:b/>
          <w:bCs/>
          <w:color w:val="1F497D" w:themeColor="text2"/>
          <w:kern w:val="0"/>
          <w:sz w:val="24"/>
          <w:szCs w:val="24"/>
          <w14:textFill>
            <w14:solidFill>
              <w14:schemeClr w14:val="tx2"/>
            </w14:solidFill>
          </w14:textFill>
        </w:rPr>
        <w:t xml:space="preserve">MODULE CODE: BMSW6103 </w:t>
      </w:r>
    </w:p>
    <w:p w14:paraId="5B9C673A">
      <w:pPr>
        <w:jc w:val="both"/>
      </w:pPr>
    </w:p>
    <w:p w14:paraId="63C6D845">
      <w:pPr>
        <w:jc w:val="both"/>
        <w:rPr>
          <w:b/>
          <w:bCs/>
          <w:sz w:val="24"/>
          <w:szCs w:val="24"/>
        </w:rPr>
      </w:pPr>
    </w:p>
    <w:p w14:paraId="34EB490F">
      <w:pPr>
        <w:jc w:val="both"/>
      </w:pPr>
    </w:p>
    <w:p w14:paraId="6638EB10">
      <w:pPr>
        <w:jc w:val="center"/>
      </w:pPr>
      <w:r>
        <w:drawing>
          <wp:inline distT="0" distB="0" distL="0" distR="0">
            <wp:extent cx="2009775" cy="1451610"/>
            <wp:effectExtent l="0" t="0" r="9525" b="15240"/>
            <wp:docPr id="1429868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868216"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013706" cy="1451610"/>
                    </a:xfrm>
                    <a:prstGeom prst="rect">
                      <a:avLst/>
                    </a:prstGeom>
                    <a:noFill/>
                  </pic:spPr>
                </pic:pic>
              </a:graphicData>
            </a:graphic>
          </wp:inline>
        </w:drawing>
      </w:r>
    </w:p>
    <w:p w14:paraId="50BA9885">
      <w:pPr>
        <w:jc w:val="both"/>
      </w:pPr>
      <w:bookmarkStart w:id="37" w:name="_GoBack"/>
      <w:bookmarkEnd w:id="37"/>
    </w:p>
    <w:p w14:paraId="44E697F0">
      <w:pPr>
        <w:jc w:val="both"/>
      </w:pPr>
    </w:p>
    <w:p w14:paraId="7C7ED7CC">
      <w:pPr>
        <w:autoSpaceDE w:val="0"/>
        <w:autoSpaceDN w:val="0"/>
        <w:adjustRightInd w:val="0"/>
        <w:jc w:val="both"/>
        <w:rPr>
          <w:rFonts w:hint="default" w:ascii="Calibri" w:hAnsi="Calibri" w:cs="Calibri"/>
          <w:b/>
          <w:bCs/>
          <w:color w:val="1F497D" w:themeColor="text2"/>
          <w:kern w:val="0"/>
          <w:sz w:val="28"/>
          <w:szCs w:val="28"/>
          <w:lang w:val="en-GB"/>
          <w14:textFill>
            <w14:solidFill>
              <w14:schemeClr w14:val="tx2"/>
            </w14:solidFill>
          </w14:textFill>
        </w:rPr>
      </w:pPr>
      <w:r>
        <w:rPr>
          <w:rFonts w:hint="default" w:ascii="Calibri" w:hAnsi="Calibri" w:cs="Calibri"/>
          <w:b/>
          <w:bCs/>
          <w:color w:val="1F497D" w:themeColor="text2"/>
          <w:kern w:val="0"/>
          <w:sz w:val="28"/>
          <w:szCs w:val="28"/>
          <w:lang w:val="en-GB"/>
          <w14:textFill>
            <w14:solidFill>
              <w14:schemeClr w14:val="tx2"/>
            </w14:solidFill>
          </w14:textFill>
        </w:rPr>
        <w:t>Student Name: Marina Ivanova</w:t>
      </w:r>
    </w:p>
    <w:p w14:paraId="7B32DAF6">
      <w:pPr>
        <w:autoSpaceDE w:val="0"/>
        <w:autoSpaceDN w:val="0"/>
        <w:adjustRightInd w:val="0"/>
        <w:jc w:val="both"/>
        <w:rPr>
          <w:rFonts w:hint="default" w:ascii="Calibri" w:hAnsi="Calibri" w:cs="Calibri"/>
          <w:b/>
          <w:bCs/>
          <w:color w:val="1F497D" w:themeColor="text2"/>
          <w:kern w:val="0"/>
          <w:sz w:val="28"/>
          <w:szCs w:val="28"/>
          <w:lang w:val="en-GB"/>
          <w14:textFill>
            <w14:solidFill>
              <w14:schemeClr w14:val="tx2"/>
            </w14:solidFill>
          </w14:textFill>
        </w:rPr>
      </w:pPr>
      <w:r>
        <w:rPr>
          <w:rFonts w:hint="default" w:ascii="Calibri" w:hAnsi="Calibri" w:cs="Calibri"/>
          <w:b/>
          <w:bCs/>
          <w:color w:val="1F497D" w:themeColor="text2"/>
          <w:kern w:val="0"/>
          <w:sz w:val="28"/>
          <w:szCs w:val="28"/>
          <w:lang w:val="en-GB"/>
          <w14:textFill>
            <w14:solidFill>
              <w14:schemeClr w14:val="tx2"/>
            </w14:solidFill>
          </w14:textFill>
        </w:rPr>
        <w:t>Student Number: 2128092</w:t>
      </w:r>
    </w:p>
    <w:p w14:paraId="471A81F8">
      <w:pPr>
        <w:autoSpaceDE w:val="0"/>
        <w:autoSpaceDN w:val="0"/>
        <w:adjustRightInd w:val="0"/>
        <w:jc w:val="both"/>
        <w:rPr>
          <w:rFonts w:hint="default" w:ascii="Calibri" w:hAnsi="Calibri" w:cs="Calibri"/>
          <w:b/>
          <w:bCs/>
          <w:color w:val="1F497D" w:themeColor="text2"/>
          <w:kern w:val="0"/>
          <w:sz w:val="28"/>
          <w:szCs w:val="28"/>
          <w:lang w:val="en-GB"/>
          <w14:textFill>
            <w14:solidFill>
              <w14:schemeClr w14:val="tx2"/>
            </w14:solidFill>
          </w14:textFill>
        </w:rPr>
      </w:pPr>
      <w:r>
        <w:rPr>
          <w:rFonts w:hint="default" w:ascii="Calibri" w:hAnsi="Calibri" w:cs="Calibri"/>
          <w:b/>
          <w:bCs/>
          <w:color w:val="1F497D" w:themeColor="text2"/>
          <w:kern w:val="0"/>
          <w:sz w:val="28"/>
          <w:szCs w:val="28"/>
          <w:lang w:val="en-GB"/>
          <w14:textFill>
            <w14:solidFill>
              <w14:schemeClr w14:val="tx2"/>
            </w14:solidFill>
          </w14:textFill>
        </w:rPr>
        <w:t>Lecturer Name: Samuel Ofori</w:t>
      </w:r>
    </w:p>
    <w:p w14:paraId="53333C66">
      <w:pPr>
        <w:jc w:val="both"/>
      </w:pPr>
    </w:p>
    <w:p w14:paraId="0E2A1FA6">
      <w:pPr>
        <w:jc w:val="both"/>
      </w:pPr>
    </w:p>
    <w:p w14:paraId="5E7A0A4E">
      <w:pPr>
        <w:jc w:val="both"/>
      </w:pPr>
    </w:p>
    <w:p w14:paraId="233C8C95">
      <w:pPr>
        <w:jc w:val="both"/>
      </w:pPr>
    </w:p>
    <w:p w14:paraId="014843E0">
      <w:pPr>
        <w:jc w:val="both"/>
      </w:pPr>
    </w:p>
    <w:p w14:paraId="2EC9A894">
      <w:pPr>
        <w:jc w:val="both"/>
      </w:pPr>
    </w:p>
    <w:p w14:paraId="5493AD2F">
      <w:pPr>
        <w:jc w:val="both"/>
      </w:pPr>
    </w:p>
    <w:sdt>
      <w:sdtPr>
        <w:rPr>
          <w:rFonts w:asciiTheme="minorHAnsi" w:hAnsiTheme="minorHAnsi" w:eastAsiaTheme="minorHAnsi" w:cstheme="minorBidi"/>
          <w:color w:val="auto"/>
          <w:kern w:val="2"/>
          <w:sz w:val="22"/>
          <w:szCs w:val="22"/>
          <w:lang w:val="en-GB"/>
          <w14:ligatures w14:val="standardContextual"/>
        </w:rPr>
        <w:id w:val="1968306042"/>
        <w:docPartObj>
          <w:docPartGallery w:val="Table of Contents"/>
          <w:docPartUnique/>
        </w:docPartObj>
      </w:sdtPr>
      <w:sdtEndPr>
        <w:rPr>
          <w:rFonts w:asciiTheme="minorHAnsi" w:hAnsiTheme="minorHAnsi" w:eastAsiaTheme="minorHAnsi" w:cstheme="minorBidi"/>
          <w:b/>
          <w:bCs/>
          <w:color w:val="auto"/>
          <w:kern w:val="2"/>
          <w:sz w:val="22"/>
          <w:szCs w:val="22"/>
          <w:lang w:val="en-GB"/>
          <w14:ligatures w14:val="standardContextual"/>
        </w:rPr>
      </w:sdtEndPr>
      <w:sdtContent>
        <w:p w14:paraId="78565A8B">
          <w:pPr>
            <w:pStyle w:val="13"/>
            <w:jc w:val="both"/>
            <w:rPr>
              <w:rFonts w:ascii="Calibri" w:hAnsi="Calibri" w:cs="Calibri"/>
              <w:b/>
              <w:bCs/>
              <w:lang w:val="en-GB"/>
            </w:rPr>
          </w:pPr>
          <w:r>
            <w:rPr>
              <w:rFonts w:ascii="Calibri" w:hAnsi="Calibri" w:cs="Calibri"/>
              <w:b/>
              <w:bCs/>
              <w:lang w:val="en-GB"/>
            </w:rPr>
            <w:t>TABLE OF CONTENTS</w:t>
          </w:r>
        </w:p>
        <w:p w14:paraId="440E8B6E">
          <w:pPr>
            <w:pStyle w:val="8"/>
            <w:tabs>
              <w:tab w:val="right" w:leader="dot" w:pos="9350"/>
            </w:tabs>
            <w:rPr>
              <w:rFonts w:eastAsiaTheme="minorEastAsia"/>
              <w:lang w:val="en-US"/>
            </w:rPr>
          </w:pPr>
          <w:r>
            <w:fldChar w:fldCharType="begin"/>
          </w:r>
          <w:r>
            <w:instrText xml:space="preserve"> TOC \o "1-3" \h \z \u </w:instrText>
          </w:r>
          <w:r>
            <w:fldChar w:fldCharType="separate"/>
          </w:r>
          <w:r>
            <w:fldChar w:fldCharType="begin"/>
          </w:r>
          <w:r>
            <w:instrText xml:space="preserve"> HYPERLINK \l "_Toc180506086" </w:instrText>
          </w:r>
          <w:r>
            <w:fldChar w:fldCharType="separate"/>
          </w:r>
          <w:r>
            <w:rPr>
              <w:rStyle w:val="6"/>
              <w:rFonts w:ascii="Calibri" w:hAnsi="Calibri" w:cs="Calibri"/>
              <w:b/>
              <w:bCs/>
            </w:rPr>
            <w:t>1. INTRODUCTION</w:t>
          </w:r>
          <w:r>
            <w:tab/>
          </w:r>
          <w:r>
            <w:fldChar w:fldCharType="begin"/>
          </w:r>
          <w:r>
            <w:instrText xml:space="preserve"> PAGEREF _Toc180506086 \h </w:instrText>
          </w:r>
          <w:r>
            <w:fldChar w:fldCharType="separate"/>
          </w:r>
          <w:r>
            <w:t>4</w:t>
          </w:r>
          <w:r>
            <w:fldChar w:fldCharType="end"/>
          </w:r>
          <w:r>
            <w:fldChar w:fldCharType="end"/>
          </w:r>
        </w:p>
        <w:p w14:paraId="7D07CAAE">
          <w:pPr>
            <w:pStyle w:val="9"/>
            <w:tabs>
              <w:tab w:val="right" w:leader="dot" w:pos="9350"/>
            </w:tabs>
            <w:rPr>
              <w:rFonts w:eastAsiaTheme="minorEastAsia"/>
              <w:lang w:val="en-US"/>
            </w:rPr>
          </w:pPr>
          <w:r>
            <w:fldChar w:fldCharType="begin"/>
          </w:r>
          <w:r>
            <w:instrText xml:space="preserve"> HYPERLINK \l "_Toc180506087" </w:instrText>
          </w:r>
          <w:r>
            <w:fldChar w:fldCharType="separate"/>
          </w:r>
          <w:r>
            <w:rPr>
              <w:rStyle w:val="6"/>
              <w:rFonts w:ascii="Calibri" w:hAnsi="Calibri" w:cs="Calibri"/>
            </w:rPr>
            <w:t>1.1 Overview of the UK Airline Sector</w:t>
          </w:r>
          <w:r>
            <w:tab/>
          </w:r>
          <w:r>
            <w:fldChar w:fldCharType="begin"/>
          </w:r>
          <w:r>
            <w:instrText xml:space="preserve"> PAGEREF _Toc180506087 \h </w:instrText>
          </w:r>
          <w:r>
            <w:fldChar w:fldCharType="separate"/>
          </w:r>
          <w:r>
            <w:t>4</w:t>
          </w:r>
          <w:r>
            <w:fldChar w:fldCharType="end"/>
          </w:r>
          <w:r>
            <w:fldChar w:fldCharType="end"/>
          </w:r>
        </w:p>
        <w:p w14:paraId="2EF77F9B">
          <w:pPr>
            <w:pStyle w:val="9"/>
            <w:tabs>
              <w:tab w:val="right" w:leader="dot" w:pos="9350"/>
            </w:tabs>
            <w:rPr>
              <w:rFonts w:eastAsiaTheme="minorEastAsia"/>
              <w:lang w:val="en-US"/>
            </w:rPr>
          </w:pPr>
          <w:r>
            <w:fldChar w:fldCharType="begin"/>
          </w:r>
          <w:r>
            <w:instrText xml:space="preserve"> HYPERLINK \l "_Toc180506088" </w:instrText>
          </w:r>
          <w:r>
            <w:fldChar w:fldCharType="separate"/>
          </w:r>
          <w:r>
            <w:rPr>
              <w:rStyle w:val="6"/>
              <w:rFonts w:ascii="Calibri" w:hAnsi="Calibri" w:cs="Calibri"/>
            </w:rPr>
            <w:t>1.2 Introduction to EasyJet UK: Brief History and Market Position</w:t>
          </w:r>
          <w:r>
            <w:tab/>
          </w:r>
          <w:r>
            <w:fldChar w:fldCharType="begin"/>
          </w:r>
          <w:r>
            <w:instrText xml:space="preserve"> PAGEREF _Toc180506088 \h </w:instrText>
          </w:r>
          <w:r>
            <w:fldChar w:fldCharType="separate"/>
          </w:r>
          <w:r>
            <w:t>4</w:t>
          </w:r>
          <w:r>
            <w:fldChar w:fldCharType="end"/>
          </w:r>
          <w:r>
            <w:fldChar w:fldCharType="end"/>
          </w:r>
        </w:p>
        <w:p w14:paraId="67E723AA">
          <w:pPr>
            <w:pStyle w:val="9"/>
            <w:tabs>
              <w:tab w:val="right" w:leader="dot" w:pos="9350"/>
            </w:tabs>
            <w:rPr>
              <w:rFonts w:eastAsiaTheme="minorEastAsia"/>
              <w:lang w:val="en-US"/>
            </w:rPr>
          </w:pPr>
          <w:r>
            <w:fldChar w:fldCharType="begin"/>
          </w:r>
          <w:r>
            <w:instrText xml:space="preserve"> HYPERLINK \l "_Toc180506089" </w:instrText>
          </w:r>
          <w:r>
            <w:fldChar w:fldCharType="separate"/>
          </w:r>
          <w:r>
            <w:rPr>
              <w:rStyle w:val="6"/>
              <w:rFonts w:ascii="Calibri" w:hAnsi="Calibri" w:cs="Calibri"/>
            </w:rPr>
            <w:t>1.3 The Relevance of Change Management in Today's Volatile Business Environment</w:t>
          </w:r>
          <w:r>
            <w:tab/>
          </w:r>
          <w:r>
            <w:fldChar w:fldCharType="begin"/>
          </w:r>
          <w:r>
            <w:instrText xml:space="preserve"> PAGEREF _Toc180506089 \h </w:instrText>
          </w:r>
          <w:r>
            <w:fldChar w:fldCharType="separate"/>
          </w:r>
          <w:r>
            <w:t>4</w:t>
          </w:r>
          <w:r>
            <w:fldChar w:fldCharType="end"/>
          </w:r>
          <w:r>
            <w:fldChar w:fldCharType="end"/>
          </w:r>
        </w:p>
        <w:p w14:paraId="2950201A">
          <w:pPr>
            <w:pStyle w:val="8"/>
            <w:tabs>
              <w:tab w:val="right" w:leader="dot" w:pos="9350"/>
            </w:tabs>
            <w:rPr>
              <w:rFonts w:eastAsiaTheme="minorEastAsia"/>
              <w:lang w:val="en-US"/>
            </w:rPr>
          </w:pPr>
          <w:r>
            <w:fldChar w:fldCharType="begin"/>
          </w:r>
          <w:r>
            <w:instrText xml:space="preserve"> HYPERLINK \l "_Toc180506090" </w:instrText>
          </w:r>
          <w:r>
            <w:fldChar w:fldCharType="separate"/>
          </w:r>
          <w:r>
            <w:rPr>
              <w:rStyle w:val="6"/>
              <w:rFonts w:ascii="Calibri" w:hAnsi="Calibri" w:cs="Calibri"/>
              <w:b/>
              <w:bCs/>
            </w:rPr>
            <w:t>2. CURRENT STATE OF EASYJET UK</w:t>
          </w:r>
          <w:r>
            <w:tab/>
          </w:r>
          <w:r>
            <w:fldChar w:fldCharType="begin"/>
          </w:r>
          <w:r>
            <w:instrText xml:space="preserve"> PAGEREF _Toc180506090 \h </w:instrText>
          </w:r>
          <w:r>
            <w:fldChar w:fldCharType="separate"/>
          </w:r>
          <w:r>
            <w:t>5</w:t>
          </w:r>
          <w:r>
            <w:fldChar w:fldCharType="end"/>
          </w:r>
          <w:r>
            <w:fldChar w:fldCharType="end"/>
          </w:r>
        </w:p>
        <w:p w14:paraId="01EC5C24">
          <w:pPr>
            <w:pStyle w:val="9"/>
            <w:tabs>
              <w:tab w:val="right" w:leader="dot" w:pos="9350"/>
            </w:tabs>
            <w:rPr>
              <w:rFonts w:eastAsiaTheme="minorEastAsia"/>
              <w:lang w:val="en-US"/>
            </w:rPr>
          </w:pPr>
          <w:r>
            <w:fldChar w:fldCharType="begin"/>
          </w:r>
          <w:r>
            <w:instrText xml:space="preserve"> HYPERLINK \l "_Toc180506091" </w:instrText>
          </w:r>
          <w:r>
            <w:fldChar w:fldCharType="separate"/>
          </w:r>
          <w:r>
            <w:rPr>
              <w:rStyle w:val="6"/>
              <w:rFonts w:ascii="Calibri" w:hAnsi="Calibri" w:cs="Calibri"/>
            </w:rPr>
            <w:t>2.1 Financial Performance</w:t>
          </w:r>
          <w:r>
            <w:tab/>
          </w:r>
          <w:r>
            <w:fldChar w:fldCharType="begin"/>
          </w:r>
          <w:r>
            <w:instrText xml:space="preserve"> PAGEREF _Toc180506091 \h </w:instrText>
          </w:r>
          <w:r>
            <w:fldChar w:fldCharType="separate"/>
          </w:r>
          <w:r>
            <w:t>5</w:t>
          </w:r>
          <w:r>
            <w:fldChar w:fldCharType="end"/>
          </w:r>
          <w:r>
            <w:fldChar w:fldCharType="end"/>
          </w:r>
        </w:p>
        <w:p w14:paraId="63978A9F">
          <w:pPr>
            <w:pStyle w:val="9"/>
            <w:tabs>
              <w:tab w:val="right" w:leader="dot" w:pos="9350"/>
            </w:tabs>
            <w:rPr>
              <w:rFonts w:eastAsiaTheme="minorEastAsia"/>
              <w:lang w:val="en-US"/>
            </w:rPr>
          </w:pPr>
          <w:r>
            <w:fldChar w:fldCharType="begin"/>
          </w:r>
          <w:r>
            <w:instrText xml:space="preserve"> HYPERLINK \l "_Toc180506092" </w:instrText>
          </w:r>
          <w:r>
            <w:fldChar w:fldCharType="separate"/>
          </w:r>
          <w:r>
            <w:rPr>
              <w:rStyle w:val="6"/>
              <w:rFonts w:ascii="Calibri" w:hAnsi="Calibri" w:cs="Calibri"/>
            </w:rPr>
            <w:t>2.2 Operational Challenges</w:t>
          </w:r>
          <w:r>
            <w:tab/>
          </w:r>
          <w:r>
            <w:fldChar w:fldCharType="begin"/>
          </w:r>
          <w:r>
            <w:instrText xml:space="preserve"> PAGEREF _Toc180506092 \h </w:instrText>
          </w:r>
          <w:r>
            <w:fldChar w:fldCharType="separate"/>
          </w:r>
          <w:r>
            <w:t>5</w:t>
          </w:r>
          <w:r>
            <w:fldChar w:fldCharType="end"/>
          </w:r>
          <w:r>
            <w:fldChar w:fldCharType="end"/>
          </w:r>
        </w:p>
        <w:p w14:paraId="47ADE2C9">
          <w:pPr>
            <w:pStyle w:val="9"/>
            <w:tabs>
              <w:tab w:val="right" w:leader="dot" w:pos="9350"/>
            </w:tabs>
            <w:rPr>
              <w:rFonts w:eastAsiaTheme="minorEastAsia"/>
              <w:lang w:val="en-US"/>
            </w:rPr>
          </w:pPr>
          <w:r>
            <w:fldChar w:fldCharType="begin"/>
          </w:r>
          <w:r>
            <w:instrText xml:space="preserve"> HYPERLINK \l "_Toc180506093" </w:instrText>
          </w:r>
          <w:r>
            <w:fldChar w:fldCharType="separate"/>
          </w:r>
          <w:r>
            <w:rPr>
              <w:rStyle w:val="6"/>
              <w:rFonts w:ascii="Calibri" w:hAnsi="Calibri" w:cs="Calibri"/>
            </w:rPr>
            <w:t>2.3 Strategic Goals: Digital Transformation and Sustainability</w:t>
          </w:r>
          <w:r>
            <w:tab/>
          </w:r>
          <w:r>
            <w:fldChar w:fldCharType="begin"/>
          </w:r>
          <w:r>
            <w:instrText xml:space="preserve"> PAGEREF _Toc180506093 \h </w:instrText>
          </w:r>
          <w:r>
            <w:fldChar w:fldCharType="separate"/>
          </w:r>
          <w:r>
            <w:t>5</w:t>
          </w:r>
          <w:r>
            <w:fldChar w:fldCharType="end"/>
          </w:r>
          <w:r>
            <w:fldChar w:fldCharType="end"/>
          </w:r>
        </w:p>
        <w:p w14:paraId="74E20E83">
          <w:pPr>
            <w:pStyle w:val="9"/>
            <w:tabs>
              <w:tab w:val="right" w:leader="dot" w:pos="9350"/>
            </w:tabs>
            <w:rPr>
              <w:rFonts w:eastAsiaTheme="minorEastAsia"/>
              <w:lang w:val="en-US"/>
            </w:rPr>
          </w:pPr>
          <w:r>
            <w:fldChar w:fldCharType="begin"/>
          </w:r>
          <w:r>
            <w:instrText xml:space="preserve"> HYPERLINK \l "_Toc180506094" </w:instrText>
          </w:r>
          <w:r>
            <w:fldChar w:fldCharType="separate"/>
          </w:r>
          <w:r>
            <w:rPr>
              <w:rStyle w:val="6"/>
              <w:rFonts w:ascii="Calibri" w:hAnsi="Calibri" w:cs="Calibri"/>
            </w:rPr>
            <w:t>2.4 Digital Disruption</w:t>
          </w:r>
          <w:r>
            <w:tab/>
          </w:r>
          <w:r>
            <w:fldChar w:fldCharType="begin"/>
          </w:r>
          <w:r>
            <w:instrText xml:space="preserve"> PAGEREF _Toc180506094 \h </w:instrText>
          </w:r>
          <w:r>
            <w:fldChar w:fldCharType="separate"/>
          </w:r>
          <w:r>
            <w:t>6</w:t>
          </w:r>
          <w:r>
            <w:fldChar w:fldCharType="end"/>
          </w:r>
          <w:r>
            <w:fldChar w:fldCharType="end"/>
          </w:r>
        </w:p>
        <w:p w14:paraId="1F539B19">
          <w:pPr>
            <w:pStyle w:val="8"/>
            <w:tabs>
              <w:tab w:val="right" w:leader="dot" w:pos="9350"/>
            </w:tabs>
            <w:rPr>
              <w:rFonts w:eastAsiaTheme="minorEastAsia"/>
              <w:lang w:val="en-US"/>
            </w:rPr>
          </w:pPr>
          <w:r>
            <w:fldChar w:fldCharType="begin"/>
          </w:r>
          <w:r>
            <w:instrText xml:space="preserve"> HYPERLINK \l "_Toc180506095" </w:instrText>
          </w:r>
          <w:r>
            <w:fldChar w:fldCharType="separate"/>
          </w:r>
          <w:r>
            <w:rPr>
              <w:rStyle w:val="6"/>
              <w:rFonts w:ascii="Calibri" w:hAnsi="Calibri" w:cs="Calibri"/>
              <w:b/>
              <w:bCs/>
            </w:rPr>
            <w:t>3. IMPACT OF EXTERNAL ENVIRONMENT ON EASYJET</w:t>
          </w:r>
          <w:r>
            <w:tab/>
          </w:r>
          <w:r>
            <w:fldChar w:fldCharType="begin"/>
          </w:r>
          <w:r>
            <w:instrText xml:space="preserve"> PAGEREF _Toc180506095 \h </w:instrText>
          </w:r>
          <w:r>
            <w:fldChar w:fldCharType="separate"/>
          </w:r>
          <w:r>
            <w:t>6</w:t>
          </w:r>
          <w:r>
            <w:fldChar w:fldCharType="end"/>
          </w:r>
          <w:r>
            <w:fldChar w:fldCharType="end"/>
          </w:r>
        </w:p>
        <w:p w14:paraId="6571C9F3">
          <w:pPr>
            <w:pStyle w:val="9"/>
            <w:tabs>
              <w:tab w:val="right" w:leader="dot" w:pos="9350"/>
            </w:tabs>
            <w:rPr>
              <w:rFonts w:eastAsiaTheme="minorEastAsia"/>
              <w:lang w:val="en-US"/>
            </w:rPr>
          </w:pPr>
          <w:r>
            <w:fldChar w:fldCharType="begin"/>
          </w:r>
          <w:r>
            <w:instrText xml:space="preserve"> HYPERLINK \l "_Toc180506096" </w:instrText>
          </w:r>
          <w:r>
            <w:fldChar w:fldCharType="separate"/>
          </w:r>
          <w:r>
            <w:rPr>
              <w:rStyle w:val="6"/>
              <w:rFonts w:ascii="Calibri" w:hAnsi="Calibri" w:cs="Calibri"/>
              <w:b/>
              <w:bCs/>
            </w:rPr>
            <w:t xml:space="preserve">3.1 Digital Disruption: </w:t>
          </w:r>
          <w:r>
            <w:rPr>
              <w:rStyle w:val="6"/>
              <w:rFonts w:ascii="Calibri" w:hAnsi="Calibri" w:cs="Calibri"/>
            </w:rPr>
            <w:t>Impact of AI, Automation, and Customer Engagement Technologies</w:t>
          </w:r>
          <w:r>
            <w:tab/>
          </w:r>
          <w:r>
            <w:fldChar w:fldCharType="begin"/>
          </w:r>
          <w:r>
            <w:instrText xml:space="preserve"> PAGEREF _Toc180506096 \h </w:instrText>
          </w:r>
          <w:r>
            <w:fldChar w:fldCharType="separate"/>
          </w:r>
          <w:r>
            <w:t>6</w:t>
          </w:r>
          <w:r>
            <w:fldChar w:fldCharType="end"/>
          </w:r>
          <w:r>
            <w:fldChar w:fldCharType="end"/>
          </w:r>
        </w:p>
        <w:p w14:paraId="595D4E23">
          <w:pPr>
            <w:pStyle w:val="9"/>
            <w:tabs>
              <w:tab w:val="right" w:leader="dot" w:pos="9350"/>
            </w:tabs>
            <w:rPr>
              <w:rFonts w:eastAsiaTheme="minorEastAsia"/>
              <w:lang w:val="en-US"/>
            </w:rPr>
          </w:pPr>
          <w:r>
            <w:fldChar w:fldCharType="begin"/>
          </w:r>
          <w:r>
            <w:instrText xml:space="preserve"> HYPERLINK \l "_Toc180506097" </w:instrText>
          </w:r>
          <w:r>
            <w:fldChar w:fldCharType="separate"/>
          </w:r>
          <w:r>
            <w:rPr>
              <w:rStyle w:val="6"/>
              <w:rFonts w:ascii="Calibri" w:hAnsi="Calibri" w:cs="Calibri"/>
              <w:b/>
              <w:bCs/>
            </w:rPr>
            <w:t>3.2 Economic Uncertainty</w:t>
          </w:r>
          <w:r>
            <w:rPr>
              <w:rStyle w:val="6"/>
              <w:rFonts w:ascii="Calibri" w:hAnsi="Calibri" w:cs="Calibri"/>
            </w:rPr>
            <w:t>: Effects of Post-Pandemic Recovery, Fuel Price Volatility, and Brexit</w:t>
          </w:r>
          <w:r>
            <w:tab/>
          </w:r>
          <w:r>
            <w:fldChar w:fldCharType="begin"/>
          </w:r>
          <w:r>
            <w:instrText xml:space="preserve"> PAGEREF _Toc180506097 \h </w:instrText>
          </w:r>
          <w:r>
            <w:fldChar w:fldCharType="separate"/>
          </w:r>
          <w:r>
            <w:t>7</w:t>
          </w:r>
          <w:r>
            <w:fldChar w:fldCharType="end"/>
          </w:r>
          <w:r>
            <w:fldChar w:fldCharType="end"/>
          </w:r>
        </w:p>
        <w:p w14:paraId="6B8B6CE7">
          <w:pPr>
            <w:pStyle w:val="9"/>
            <w:tabs>
              <w:tab w:val="right" w:leader="dot" w:pos="9350"/>
            </w:tabs>
            <w:rPr>
              <w:rFonts w:eastAsiaTheme="minorEastAsia"/>
              <w:lang w:val="en-US"/>
            </w:rPr>
          </w:pPr>
          <w:r>
            <w:fldChar w:fldCharType="begin"/>
          </w:r>
          <w:r>
            <w:instrText xml:space="preserve"> HYPERLINK \l "_Toc180506098" </w:instrText>
          </w:r>
          <w:r>
            <w:fldChar w:fldCharType="separate"/>
          </w:r>
          <w:r>
            <w:rPr>
              <w:rStyle w:val="6"/>
              <w:rFonts w:ascii="Calibri" w:hAnsi="Calibri" w:cs="Calibri"/>
              <w:b/>
              <w:bCs/>
            </w:rPr>
            <w:t>3.3 Globalisation and Competition</w:t>
          </w:r>
          <w:r>
            <w:rPr>
              <w:rStyle w:val="6"/>
              <w:rFonts w:ascii="Calibri" w:hAnsi="Calibri" w:cs="Calibri"/>
            </w:rPr>
            <w:t>: Challenges from International and Domestic Competitors</w:t>
          </w:r>
          <w:r>
            <w:tab/>
          </w:r>
          <w:r>
            <w:fldChar w:fldCharType="begin"/>
          </w:r>
          <w:r>
            <w:instrText xml:space="preserve"> PAGEREF _Toc180506098 \h </w:instrText>
          </w:r>
          <w:r>
            <w:fldChar w:fldCharType="separate"/>
          </w:r>
          <w:r>
            <w:t>7</w:t>
          </w:r>
          <w:r>
            <w:fldChar w:fldCharType="end"/>
          </w:r>
          <w:r>
            <w:fldChar w:fldCharType="end"/>
          </w:r>
        </w:p>
        <w:p w14:paraId="5EDDD21A">
          <w:pPr>
            <w:pStyle w:val="9"/>
            <w:tabs>
              <w:tab w:val="right" w:leader="dot" w:pos="9350"/>
            </w:tabs>
            <w:rPr>
              <w:rFonts w:eastAsiaTheme="minorEastAsia"/>
              <w:lang w:val="en-US"/>
            </w:rPr>
          </w:pPr>
          <w:r>
            <w:fldChar w:fldCharType="begin"/>
          </w:r>
          <w:r>
            <w:instrText xml:space="preserve"> HYPERLINK \l "_Toc180506099" </w:instrText>
          </w:r>
          <w:r>
            <w:fldChar w:fldCharType="separate"/>
          </w:r>
          <w:r>
            <w:rPr>
              <w:rStyle w:val="6"/>
              <w:rFonts w:cstheme="minorHAnsi"/>
              <w:b/>
              <w:bCs/>
            </w:rPr>
            <w:t>3.4 Government Regulations:</w:t>
          </w:r>
          <w:r>
            <w:rPr>
              <w:rStyle w:val="6"/>
              <w:rFonts w:cstheme="minorHAnsi"/>
            </w:rPr>
            <w:t xml:space="preserve"> Influence of New Policies and Environmental Regulations</w:t>
          </w:r>
          <w:r>
            <w:tab/>
          </w:r>
          <w:r>
            <w:fldChar w:fldCharType="begin"/>
          </w:r>
          <w:r>
            <w:instrText xml:space="preserve"> PAGEREF _Toc180506099 \h </w:instrText>
          </w:r>
          <w:r>
            <w:fldChar w:fldCharType="separate"/>
          </w:r>
          <w:r>
            <w:t>8</w:t>
          </w:r>
          <w:r>
            <w:fldChar w:fldCharType="end"/>
          </w:r>
          <w:r>
            <w:fldChar w:fldCharType="end"/>
          </w:r>
        </w:p>
        <w:p w14:paraId="7ED216C5">
          <w:pPr>
            <w:pStyle w:val="8"/>
            <w:tabs>
              <w:tab w:val="right" w:leader="dot" w:pos="9350"/>
            </w:tabs>
            <w:rPr>
              <w:rFonts w:eastAsiaTheme="minorEastAsia"/>
              <w:lang w:val="en-US"/>
            </w:rPr>
          </w:pPr>
          <w:r>
            <w:fldChar w:fldCharType="begin"/>
          </w:r>
          <w:r>
            <w:instrText xml:space="preserve"> HYPERLINK \l "_Toc180506100" </w:instrText>
          </w:r>
          <w:r>
            <w:fldChar w:fldCharType="separate"/>
          </w:r>
          <w:r>
            <w:rPr>
              <w:rStyle w:val="6"/>
              <w:b/>
              <w:bCs/>
            </w:rPr>
            <w:t>4</w:t>
          </w:r>
          <w:r>
            <w:rPr>
              <w:rStyle w:val="6"/>
              <w:rFonts w:ascii="Calibri" w:hAnsi="Calibri" w:cs="Calibri"/>
              <w:b/>
              <w:bCs/>
            </w:rPr>
            <w:t>. Change Management Models and Theories in Practice</w:t>
          </w:r>
          <w:r>
            <w:tab/>
          </w:r>
          <w:r>
            <w:fldChar w:fldCharType="begin"/>
          </w:r>
          <w:r>
            <w:instrText xml:space="preserve"> PAGEREF _Toc180506100 \h </w:instrText>
          </w:r>
          <w:r>
            <w:fldChar w:fldCharType="separate"/>
          </w:r>
          <w:r>
            <w:t>9</w:t>
          </w:r>
          <w:r>
            <w:fldChar w:fldCharType="end"/>
          </w:r>
          <w:r>
            <w:fldChar w:fldCharType="end"/>
          </w:r>
        </w:p>
        <w:p w14:paraId="5CC06FE9">
          <w:pPr>
            <w:pStyle w:val="9"/>
            <w:tabs>
              <w:tab w:val="right" w:leader="dot" w:pos="9350"/>
            </w:tabs>
            <w:rPr>
              <w:rFonts w:eastAsiaTheme="minorEastAsia"/>
              <w:lang w:val="en-US"/>
            </w:rPr>
          </w:pPr>
          <w:r>
            <w:fldChar w:fldCharType="begin"/>
          </w:r>
          <w:r>
            <w:instrText xml:space="preserve"> HYPERLINK \l "_Toc180506101" </w:instrText>
          </w:r>
          <w:r>
            <w:fldChar w:fldCharType="separate"/>
          </w:r>
          <w:r>
            <w:rPr>
              <w:rStyle w:val="6"/>
              <w:rFonts w:ascii="Calibri" w:hAnsi="Calibri" w:cs="Calibri"/>
              <w:b/>
              <w:bCs/>
            </w:rPr>
            <w:t>4.1 Lewin’s Change Model:</w:t>
          </w:r>
          <w:r>
            <w:rPr>
              <w:rStyle w:val="6"/>
              <w:rFonts w:ascii="Calibri" w:hAnsi="Calibri" w:cs="Calibri"/>
            </w:rPr>
            <w:t xml:space="preserve"> Application to EasyJet’s Digital Shift</w:t>
          </w:r>
          <w:r>
            <w:tab/>
          </w:r>
          <w:r>
            <w:fldChar w:fldCharType="begin"/>
          </w:r>
          <w:r>
            <w:instrText xml:space="preserve"> PAGEREF _Toc180506101 \h </w:instrText>
          </w:r>
          <w:r>
            <w:fldChar w:fldCharType="separate"/>
          </w:r>
          <w:r>
            <w:t>9</w:t>
          </w:r>
          <w:r>
            <w:fldChar w:fldCharType="end"/>
          </w:r>
          <w:r>
            <w:fldChar w:fldCharType="end"/>
          </w:r>
        </w:p>
        <w:p w14:paraId="5D9230A8">
          <w:pPr>
            <w:pStyle w:val="9"/>
            <w:tabs>
              <w:tab w:val="right" w:leader="dot" w:pos="9350"/>
            </w:tabs>
            <w:rPr>
              <w:rFonts w:eastAsiaTheme="minorEastAsia"/>
              <w:lang w:val="en-US"/>
            </w:rPr>
          </w:pPr>
          <w:r>
            <w:fldChar w:fldCharType="begin"/>
          </w:r>
          <w:r>
            <w:instrText xml:space="preserve"> HYPERLINK \l "_Toc180506102" </w:instrText>
          </w:r>
          <w:r>
            <w:fldChar w:fldCharType="separate"/>
          </w:r>
          <w:r>
            <w:rPr>
              <w:rStyle w:val="6"/>
              <w:rFonts w:ascii="Calibri" w:hAnsi="Calibri" w:cs="Calibri"/>
              <w:b/>
              <w:bCs/>
            </w:rPr>
            <w:t>4.2 Kotter’s 8-Step Process</w:t>
          </w:r>
          <w:r>
            <w:rPr>
              <w:rStyle w:val="6"/>
              <w:rFonts w:ascii="Calibri" w:hAnsi="Calibri" w:cs="Calibri"/>
            </w:rPr>
            <w:t>: Structuring EasyJet’s Change Initiatives</w:t>
          </w:r>
          <w:r>
            <w:tab/>
          </w:r>
          <w:r>
            <w:fldChar w:fldCharType="begin"/>
          </w:r>
          <w:r>
            <w:instrText xml:space="preserve"> PAGEREF _Toc180506102 \h </w:instrText>
          </w:r>
          <w:r>
            <w:fldChar w:fldCharType="separate"/>
          </w:r>
          <w:r>
            <w:t>9</w:t>
          </w:r>
          <w:r>
            <w:fldChar w:fldCharType="end"/>
          </w:r>
          <w:r>
            <w:fldChar w:fldCharType="end"/>
          </w:r>
        </w:p>
        <w:p w14:paraId="4C619644">
          <w:pPr>
            <w:pStyle w:val="9"/>
            <w:tabs>
              <w:tab w:val="right" w:leader="dot" w:pos="9350"/>
            </w:tabs>
            <w:rPr>
              <w:rFonts w:eastAsiaTheme="minorEastAsia"/>
              <w:lang w:val="en-US"/>
            </w:rPr>
          </w:pPr>
          <w:r>
            <w:fldChar w:fldCharType="begin"/>
          </w:r>
          <w:r>
            <w:instrText xml:space="preserve"> HYPERLINK \l "_Toc180506103" </w:instrText>
          </w:r>
          <w:r>
            <w:fldChar w:fldCharType="separate"/>
          </w:r>
          <w:r>
            <w:rPr>
              <w:rStyle w:val="6"/>
              <w:rFonts w:ascii="Calibri" w:hAnsi="Calibri" w:cs="Calibri"/>
              <w:b/>
              <w:bCs/>
            </w:rPr>
            <w:t>4.3 McKinsey’s 7-S Framework:</w:t>
          </w:r>
          <w:r>
            <w:rPr>
              <w:rStyle w:val="6"/>
              <w:rFonts w:ascii="Calibri" w:hAnsi="Calibri" w:cs="Calibri"/>
            </w:rPr>
            <w:t xml:space="preserve"> Alignment of Strategy, Systems, and Structure</w:t>
          </w:r>
          <w:r>
            <w:tab/>
          </w:r>
          <w:r>
            <w:fldChar w:fldCharType="begin"/>
          </w:r>
          <w:r>
            <w:instrText xml:space="preserve"> PAGEREF _Toc180506103 \h </w:instrText>
          </w:r>
          <w:r>
            <w:fldChar w:fldCharType="separate"/>
          </w:r>
          <w:r>
            <w:t>10</w:t>
          </w:r>
          <w:r>
            <w:fldChar w:fldCharType="end"/>
          </w:r>
          <w:r>
            <w:fldChar w:fldCharType="end"/>
          </w:r>
        </w:p>
        <w:p w14:paraId="56CE847F">
          <w:pPr>
            <w:pStyle w:val="8"/>
            <w:tabs>
              <w:tab w:val="right" w:leader="dot" w:pos="9350"/>
            </w:tabs>
            <w:rPr>
              <w:rFonts w:eastAsiaTheme="minorEastAsia"/>
              <w:lang w:val="en-US"/>
            </w:rPr>
          </w:pPr>
          <w:r>
            <w:fldChar w:fldCharType="begin"/>
          </w:r>
          <w:r>
            <w:instrText xml:space="preserve"> HYPERLINK \l "_Toc180506104" </w:instrText>
          </w:r>
          <w:r>
            <w:fldChar w:fldCharType="separate"/>
          </w:r>
          <w:r>
            <w:rPr>
              <w:rStyle w:val="6"/>
              <w:rFonts w:ascii="Calibri" w:hAnsi="Calibri" w:cs="Calibri"/>
              <w:b/>
              <w:bCs/>
            </w:rPr>
            <w:t>4.2 Evaluation of Strategic Change</w:t>
          </w:r>
          <w:r>
            <w:tab/>
          </w:r>
          <w:r>
            <w:fldChar w:fldCharType="begin"/>
          </w:r>
          <w:r>
            <w:instrText xml:space="preserve"> PAGEREF _Toc180506104 \h </w:instrText>
          </w:r>
          <w:r>
            <w:fldChar w:fldCharType="separate"/>
          </w:r>
          <w:r>
            <w:t>10</w:t>
          </w:r>
          <w:r>
            <w:fldChar w:fldCharType="end"/>
          </w:r>
          <w:r>
            <w:fldChar w:fldCharType="end"/>
          </w:r>
        </w:p>
        <w:p w14:paraId="4BBDD527">
          <w:pPr>
            <w:pStyle w:val="9"/>
            <w:tabs>
              <w:tab w:val="right" w:leader="dot" w:pos="9350"/>
            </w:tabs>
            <w:rPr>
              <w:rFonts w:eastAsiaTheme="minorEastAsia"/>
              <w:lang w:val="en-US"/>
            </w:rPr>
          </w:pPr>
          <w:r>
            <w:fldChar w:fldCharType="begin"/>
          </w:r>
          <w:r>
            <w:instrText xml:space="preserve"> HYPERLINK \l "_Toc180506105" </w:instrText>
          </w:r>
          <w:r>
            <w:fldChar w:fldCharType="separate"/>
          </w:r>
          <w:r>
            <w:rPr>
              <w:rStyle w:val="6"/>
              <w:rFonts w:ascii="Calibri" w:hAnsi="Calibri" w:cs="Calibri"/>
              <w:b/>
              <w:bCs/>
            </w:rPr>
            <w:t>4.2.1 Technology Integration:</w:t>
          </w:r>
          <w:r>
            <w:rPr>
              <w:rStyle w:val="6"/>
              <w:rFonts w:ascii="Calibri" w:hAnsi="Calibri" w:cs="Calibri"/>
            </w:rPr>
            <w:t xml:space="preserve"> Role of Leadership in Managing Technological Changes</w:t>
          </w:r>
          <w:r>
            <w:tab/>
          </w:r>
          <w:r>
            <w:fldChar w:fldCharType="begin"/>
          </w:r>
          <w:r>
            <w:instrText xml:space="preserve"> PAGEREF _Toc180506105 \h </w:instrText>
          </w:r>
          <w:r>
            <w:fldChar w:fldCharType="separate"/>
          </w:r>
          <w:r>
            <w:t>10</w:t>
          </w:r>
          <w:r>
            <w:fldChar w:fldCharType="end"/>
          </w:r>
          <w:r>
            <w:fldChar w:fldCharType="end"/>
          </w:r>
        </w:p>
        <w:p w14:paraId="4CA70AEA">
          <w:pPr>
            <w:pStyle w:val="9"/>
            <w:tabs>
              <w:tab w:val="right" w:leader="dot" w:pos="9350"/>
            </w:tabs>
            <w:rPr>
              <w:rFonts w:eastAsiaTheme="minorEastAsia"/>
              <w:lang w:val="en-US"/>
            </w:rPr>
          </w:pPr>
          <w:r>
            <w:fldChar w:fldCharType="begin"/>
          </w:r>
          <w:r>
            <w:instrText xml:space="preserve"> HYPERLINK \l "_Toc180506106" </w:instrText>
          </w:r>
          <w:r>
            <w:fldChar w:fldCharType="separate"/>
          </w:r>
          <w:r>
            <w:rPr>
              <w:rStyle w:val="6"/>
              <w:rFonts w:ascii="Calibri" w:hAnsi="Calibri" w:cs="Calibri"/>
              <w:b/>
              <w:bCs/>
            </w:rPr>
            <w:t>4.2.2 Leadership Styles:</w:t>
          </w:r>
          <w:r>
            <w:rPr>
              <w:rStyle w:val="6"/>
              <w:rFonts w:ascii="Calibri" w:hAnsi="Calibri" w:cs="Calibri"/>
            </w:rPr>
            <w:t xml:space="preserve"> Critical Analysis of Leadership Styles</w:t>
          </w:r>
          <w:r>
            <w:tab/>
          </w:r>
          <w:r>
            <w:fldChar w:fldCharType="begin"/>
          </w:r>
          <w:r>
            <w:instrText xml:space="preserve"> PAGEREF _Toc180506106 \h </w:instrText>
          </w:r>
          <w:r>
            <w:fldChar w:fldCharType="separate"/>
          </w:r>
          <w:r>
            <w:t>11</w:t>
          </w:r>
          <w:r>
            <w:fldChar w:fldCharType="end"/>
          </w:r>
          <w:r>
            <w:fldChar w:fldCharType="end"/>
          </w:r>
        </w:p>
        <w:p w14:paraId="3F5A935E">
          <w:pPr>
            <w:pStyle w:val="9"/>
            <w:tabs>
              <w:tab w:val="right" w:leader="dot" w:pos="9350"/>
            </w:tabs>
            <w:rPr>
              <w:rFonts w:eastAsiaTheme="minorEastAsia"/>
              <w:lang w:val="en-US"/>
            </w:rPr>
          </w:pPr>
          <w:r>
            <w:fldChar w:fldCharType="begin"/>
          </w:r>
          <w:r>
            <w:instrText xml:space="preserve"> HYPERLINK \l "_Toc180506107" </w:instrText>
          </w:r>
          <w:r>
            <w:fldChar w:fldCharType="separate"/>
          </w:r>
          <w:r>
            <w:rPr>
              <w:rStyle w:val="6"/>
              <w:rFonts w:ascii="Calibri" w:hAnsi="Calibri" w:cs="Calibri"/>
              <w:b/>
              <w:bCs/>
            </w:rPr>
            <w:t>4.2.3 Internal and External Triggers:</w:t>
          </w:r>
          <w:r>
            <w:rPr>
              <w:rStyle w:val="6"/>
              <w:rFonts w:ascii="Calibri" w:hAnsi="Calibri" w:cs="Calibri"/>
            </w:rPr>
            <w:t xml:space="preserve"> Identifying and Responding to Triggers for Change</w:t>
          </w:r>
          <w:r>
            <w:tab/>
          </w:r>
          <w:r>
            <w:fldChar w:fldCharType="begin"/>
          </w:r>
          <w:r>
            <w:instrText xml:space="preserve"> PAGEREF _Toc180506107 \h </w:instrText>
          </w:r>
          <w:r>
            <w:fldChar w:fldCharType="separate"/>
          </w:r>
          <w:r>
            <w:t>11</w:t>
          </w:r>
          <w:r>
            <w:fldChar w:fldCharType="end"/>
          </w:r>
          <w:r>
            <w:fldChar w:fldCharType="end"/>
          </w:r>
        </w:p>
        <w:p w14:paraId="10D44741">
          <w:pPr>
            <w:pStyle w:val="8"/>
            <w:tabs>
              <w:tab w:val="right" w:leader="dot" w:pos="9350"/>
            </w:tabs>
            <w:rPr>
              <w:rFonts w:eastAsiaTheme="minorEastAsia"/>
              <w:lang w:val="en-US"/>
            </w:rPr>
          </w:pPr>
          <w:r>
            <w:fldChar w:fldCharType="begin"/>
          </w:r>
          <w:r>
            <w:instrText xml:space="preserve"> HYPERLINK \l "_Toc180506108" </w:instrText>
          </w:r>
          <w:r>
            <w:fldChar w:fldCharType="separate"/>
          </w:r>
          <w:r>
            <w:rPr>
              <w:rStyle w:val="6"/>
              <w:rFonts w:ascii="Calibri" w:hAnsi="Calibri" w:cs="Calibri"/>
              <w:b/>
              <w:bCs/>
            </w:rPr>
            <w:t>5. IMPACT OF ORGANISATIONAL CULTURE ON CHANGE</w:t>
          </w:r>
          <w:r>
            <w:tab/>
          </w:r>
          <w:r>
            <w:fldChar w:fldCharType="begin"/>
          </w:r>
          <w:r>
            <w:instrText xml:space="preserve"> PAGEREF _Toc180506108 \h </w:instrText>
          </w:r>
          <w:r>
            <w:fldChar w:fldCharType="separate"/>
          </w:r>
          <w:r>
            <w:t>12</w:t>
          </w:r>
          <w:r>
            <w:fldChar w:fldCharType="end"/>
          </w:r>
          <w:r>
            <w:fldChar w:fldCharType="end"/>
          </w:r>
        </w:p>
        <w:p w14:paraId="3ABE54BE">
          <w:pPr>
            <w:pStyle w:val="9"/>
            <w:tabs>
              <w:tab w:val="right" w:leader="dot" w:pos="9350"/>
            </w:tabs>
            <w:rPr>
              <w:rFonts w:eastAsiaTheme="minorEastAsia"/>
              <w:lang w:val="en-US"/>
            </w:rPr>
          </w:pPr>
          <w:r>
            <w:fldChar w:fldCharType="begin"/>
          </w:r>
          <w:r>
            <w:instrText xml:space="preserve"> HYPERLINK \l "_Toc180506109" </w:instrText>
          </w:r>
          <w:r>
            <w:fldChar w:fldCharType="separate"/>
          </w:r>
          <w:r>
            <w:rPr>
              <w:rStyle w:val="6"/>
              <w:rFonts w:ascii="Calibri" w:hAnsi="Calibri" w:cs="Calibri"/>
              <w:b/>
              <w:bCs/>
            </w:rPr>
            <w:t>5.1 Organisational Culture at EasyJet:</w:t>
          </w:r>
          <w:r>
            <w:rPr>
              <w:rStyle w:val="6"/>
              <w:rFonts w:ascii="Calibri" w:hAnsi="Calibri" w:cs="Calibri"/>
            </w:rPr>
            <w:t xml:space="preserve"> How the Company's Culture Affects Change Initiatives</w:t>
          </w:r>
          <w:r>
            <w:tab/>
          </w:r>
          <w:r>
            <w:fldChar w:fldCharType="begin"/>
          </w:r>
          <w:r>
            <w:instrText xml:space="preserve"> PAGEREF _Toc180506109 \h </w:instrText>
          </w:r>
          <w:r>
            <w:fldChar w:fldCharType="separate"/>
          </w:r>
          <w:r>
            <w:t>12</w:t>
          </w:r>
          <w:r>
            <w:fldChar w:fldCharType="end"/>
          </w:r>
          <w:r>
            <w:fldChar w:fldCharType="end"/>
          </w:r>
        </w:p>
        <w:p w14:paraId="32C5C57B">
          <w:pPr>
            <w:pStyle w:val="9"/>
            <w:tabs>
              <w:tab w:val="right" w:leader="dot" w:pos="9350"/>
            </w:tabs>
            <w:rPr>
              <w:rFonts w:eastAsiaTheme="minorEastAsia"/>
              <w:lang w:val="en-US"/>
            </w:rPr>
          </w:pPr>
          <w:r>
            <w:fldChar w:fldCharType="begin"/>
          </w:r>
          <w:r>
            <w:instrText xml:space="preserve"> HYPERLINK \l "_Toc180506110" </w:instrText>
          </w:r>
          <w:r>
            <w:fldChar w:fldCharType="separate"/>
          </w:r>
          <w:r>
            <w:rPr>
              <w:rStyle w:val="6"/>
              <w:rFonts w:ascii="Calibri" w:hAnsi="Calibri" w:cs="Calibri"/>
              <w:b/>
              <w:bCs/>
            </w:rPr>
            <w:t>5.2 Cultural Resistance:</w:t>
          </w:r>
          <w:r>
            <w:rPr>
              <w:rStyle w:val="6"/>
              <w:rFonts w:ascii="Calibri" w:hAnsi="Calibri" w:cs="Calibri"/>
            </w:rPr>
            <w:t xml:space="preserve"> Analysis of Resistance Encountered During Change and How it was Addressed</w:t>
          </w:r>
          <w:r>
            <w:tab/>
          </w:r>
          <w:r>
            <w:fldChar w:fldCharType="begin"/>
          </w:r>
          <w:r>
            <w:instrText xml:space="preserve"> PAGEREF _Toc180506110 \h </w:instrText>
          </w:r>
          <w:r>
            <w:fldChar w:fldCharType="separate"/>
          </w:r>
          <w:r>
            <w:t>13</w:t>
          </w:r>
          <w:r>
            <w:fldChar w:fldCharType="end"/>
          </w:r>
          <w:r>
            <w:fldChar w:fldCharType="end"/>
          </w:r>
        </w:p>
        <w:p w14:paraId="6835CBF5">
          <w:pPr>
            <w:pStyle w:val="9"/>
            <w:tabs>
              <w:tab w:val="right" w:leader="dot" w:pos="9350"/>
            </w:tabs>
            <w:rPr>
              <w:rFonts w:eastAsiaTheme="minorEastAsia"/>
              <w:lang w:val="en-US"/>
            </w:rPr>
          </w:pPr>
          <w:r>
            <w:fldChar w:fldCharType="begin"/>
          </w:r>
          <w:r>
            <w:instrText xml:space="preserve"> HYPERLINK \l "_Toc180506111" </w:instrText>
          </w:r>
          <w:r>
            <w:fldChar w:fldCharType="separate"/>
          </w:r>
          <w:r>
            <w:rPr>
              <w:rStyle w:val="6"/>
              <w:rFonts w:ascii="Calibri" w:hAnsi="Calibri" w:cs="Calibri"/>
              <w:b/>
              <w:bCs/>
            </w:rPr>
            <w:t>5.3 Strategies to Manage Culture:</w:t>
          </w:r>
          <w:r>
            <w:rPr>
              <w:rStyle w:val="6"/>
              <w:rFonts w:ascii="Calibri" w:hAnsi="Calibri" w:cs="Calibri"/>
            </w:rPr>
            <w:t xml:space="preserve"> Leadership's Role in Overcoming Resistance through Engagement and Communication</w:t>
          </w:r>
          <w:r>
            <w:tab/>
          </w:r>
          <w:r>
            <w:fldChar w:fldCharType="begin"/>
          </w:r>
          <w:r>
            <w:instrText xml:space="preserve"> PAGEREF _Toc180506111 \h </w:instrText>
          </w:r>
          <w:r>
            <w:fldChar w:fldCharType="separate"/>
          </w:r>
          <w:r>
            <w:t>13</w:t>
          </w:r>
          <w:r>
            <w:fldChar w:fldCharType="end"/>
          </w:r>
          <w:r>
            <w:fldChar w:fldCharType="end"/>
          </w:r>
        </w:p>
        <w:p w14:paraId="72DE72C2">
          <w:pPr>
            <w:pStyle w:val="8"/>
            <w:tabs>
              <w:tab w:val="right" w:leader="dot" w:pos="9350"/>
            </w:tabs>
            <w:rPr>
              <w:rFonts w:eastAsiaTheme="minorEastAsia"/>
              <w:lang w:val="en-US"/>
            </w:rPr>
          </w:pPr>
          <w:r>
            <w:fldChar w:fldCharType="begin"/>
          </w:r>
          <w:r>
            <w:instrText xml:space="preserve"> HYPERLINK \l "_Toc180506112" </w:instrText>
          </w:r>
          <w:r>
            <w:fldChar w:fldCharType="separate"/>
          </w:r>
          <w:r>
            <w:rPr>
              <w:rStyle w:val="6"/>
              <w:rFonts w:ascii="Calibri" w:hAnsi="Calibri" w:cs="Calibri"/>
              <w:b/>
              <w:bCs/>
            </w:rPr>
            <w:t>6. PROPOSED CHANGE MANAGEMENT PLAN FOR EASYJET</w:t>
          </w:r>
          <w:r>
            <w:tab/>
          </w:r>
          <w:r>
            <w:fldChar w:fldCharType="begin"/>
          </w:r>
          <w:r>
            <w:instrText xml:space="preserve"> PAGEREF _Toc180506112 \h </w:instrText>
          </w:r>
          <w:r>
            <w:fldChar w:fldCharType="separate"/>
          </w:r>
          <w:r>
            <w:t>14</w:t>
          </w:r>
          <w:r>
            <w:fldChar w:fldCharType="end"/>
          </w:r>
          <w:r>
            <w:fldChar w:fldCharType="end"/>
          </w:r>
        </w:p>
        <w:p w14:paraId="5AE566E0">
          <w:pPr>
            <w:pStyle w:val="9"/>
            <w:tabs>
              <w:tab w:val="right" w:leader="dot" w:pos="9350"/>
            </w:tabs>
            <w:rPr>
              <w:rFonts w:eastAsiaTheme="minorEastAsia"/>
              <w:lang w:val="en-US"/>
            </w:rPr>
          </w:pPr>
          <w:r>
            <w:fldChar w:fldCharType="begin"/>
          </w:r>
          <w:r>
            <w:instrText xml:space="preserve"> HYPERLINK \l "_Toc180506113" </w:instrText>
          </w:r>
          <w:r>
            <w:fldChar w:fldCharType="separate"/>
          </w:r>
          <w:r>
            <w:rPr>
              <w:rStyle w:val="6"/>
              <w:rFonts w:ascii="Calibri" w:hAnsi="Calibri" w:cs="Calibri"/>
              <w:b/>
              <w:bCs/>
            </w:rPr>
            <w:t>6.1 Proposed Strategic Change:</w:t>
          </w:r>
          <w:r>
            <w:rPr>
              <w:rStyle w:val="6"/>
              <w:rFonts w:ascii="Calibri" w:hAnsi="Calibri" w:cs="Calibri"/>
            </w:rPr>
            <w:t xml:space="preserve"> Digital Customer Experience</w:t>
          </w:r>
          <w:r>
            <w:tab/>
          </w:r>
          <w:r>
            <w:fldChar w:fldCharType="begin"/>
          </w:r>
          <w:r>
            <w:instrText xml:space="preserve"> PAGEREF _Toc180506113 \h </w:instrText>
          </w:r>
          <w:r>
            <w:fldChar w:fldCharType="separate"/>
          </w:r>
          <w:r>
            <w:t>14</w:t>
          </w:r>
          <w:r>
            <w:fldChar w:fldCharType="end"/>
          </w:r>
          <w:r>
            <w:fldChar w:fldCharType="end"/>
          </w:r>
        </w:p>
        <w:p w14:paraId="2DA87685">
          <w:pPr>
            <w:pStyle w:val="9"/>
            <w:tabs>
              <w:tab w:val="right" w:leader="dot" w:pos="9350"/>
            </w:tabs>
            <w:rPr>
              <w:rFonts w:eastAsiaTheme="minorEastAsia"/>
              <w:lang w:val="en-US"/>
            </w:rPr>
          </w:pPr>
          <w:r>
            <w:fldChar w:fldCharType="begin"/>
          </w:r>
          <w:r>
            <w:instrText xml:space="preserve"> HYPERLINK \l "_Toc180506114" </w:instrText>
          </w:r>
          <w:r>
            <w:fldChar w:fldCharType="separate"/>
          </w:r>
          <w:r>
            <w:rPr>
              <w:rStyle w:val="6"/>
              <w:rFonts w:ascii="Calibri" w:hAnsi="Calibri" w:cs="Calibri"/>
              <w:b/>
              <w:bCs/>
            </w:rPr>
            <w:t>6.2 Financial Plan</w:t>
          </w:r>
          <w:r>
            <w:rPr>
              <w:rStyle w:val="6"/>
              <w:rFonts w:ascii="Calibri" w:hAnsi="Calibri" w:cs="Calibri"/>
            </w:rPr>
            <w:t>: Cost Estimation, Potential ROI, and Financial Benefits</w:t>
          </w:r>
          <w:r>
            <w:tab/>
          </w:r>
          <w:r>
            <w:fldChar w:fldCharType="begin"/>
          </w:r>
          <w:r>
            <w:instrText xml:space="preserve"> PAGEREF _Toc180506114 \h </w:instrText>
          </w:r>
          <w:r>
            <w:fldChar w:fldCharType="separate"/>
          </w:r>
          <w:r>
            <w:t>15</w:t>
          </w:r>
          <w:r>
            <w:fldChar w:fldCharType="end"/>
          </w:r>
          <w:r>
            <w:fldChar w:fldCharType="end"/>
          </w:r>
        </w:p>
        <w:p w14:paraId="32D7894F">
          <w:pPr>
            <w:pStyle w:val="9"/>
            <w:tabs>
              <w:tab w:val="right" w:leader="dot" w:pos="9350"/>
            </w:tabs>
            <w:rPr>
              <w:rFonts w:eastAsiaTheme="minorEastAsia"/>
              <w:lang w:val="en-US"/>
            </w:rPr>
          </w:pPr>
          <w:r>
            <w:fldChar w:fldCharType="begin"/>
          </w:r>
          <w:r>
            <w:instrText xml:space="preserve"> HYPERLINK \l "_Toc180506115" </w:instrText>
          </w:r>
          <w:r>
            <w:fldChar w:fldCharType="separate"/>
          </w:r>
          <w:r>
            <w:rPr>
              <w:rStyle w:val="6"/>
              <w:rFonts w:ascii="Calibri" w:hAnsi="Calibri" w:cs="Calibri"/>
            </w:rPr>
            <w:t>6.3 Communication Plan</w:t>
          </w:r>
          <w:r>
            <w:tab/>
          </w:r>
          <w:r>
            <w:fldChar w:fldCharType="begin"/>
          </w:r>
          <w:r>
            <w:instrText xml:space="preserve"> PAGEREF _Toc180506115 \h </w:instrText>
          </w:r>
          <w:r>
            <w:fldChar w:fldCharType="separate"/>
          </w:r>
          <w:r>
            <w:t>15</w:t>
          </w:r>
          <w:r>
            <w:fldChar w:fldCharType="end"/>
          </w:r>
          <w:r>
            <w:fldChar w:fldCharType="end"/>
          </w:r>
        </w:p>
        <w:p w14:paraId="11BB6FFF">
          <w:pPr>
            <w:pStyle w:val="9"/>
            <w:tabs>
              <w:tab w:val="right" w:leader="dot" w:pos="9350"/>
            </w:tabs>
            <w:rPr>
              <w:rFonts w:eastAsiaTheme="minorEastAsia"/>
              <w:lang w:val="en-US"/>
            </w:rPr>
          </w:pPr>
          <w:r>
            <w:fldChar w:fldCharType="begin"/>
          </w:r>
          <w:r>
            <w:instrText xml:space="preserve"> HYPERLINK \l "_Toc180506116" </w:instrText>
          </w:r>
          <w:r>
            <w:fldChar w:fldCharType="separate"/>
          </w:r>
          <w:r>
            <w:rPr>
              <w:rStyle w:val="6"/>
              <w:rFonts w:ascii="Calibri" w:hAnsi="Calibri" w:cs="Calibri"/>
            </w:rPr>
            <w:t>6.4 Evaluation Plan</w:t>
          </w:r>
          <w:r>
            <w:tab/>
          </w:r>
          <w:r>
            <w:fldChar w:fldCharType="begin"/>
          </w:r>
          <w:r>
            <w:instrText xml:space="preserve"> PAGEREF _Toc180506116 \h </w:instrText>
          </w:r>
          <w:r>
            <w:fldChar w:fldCharType="separate"/>
          </w:r>
          <w:r>
            <w:t>16</w:t>
          </w:r>
          <w:r>
            <w:fldChar w:fldCharType="end"/>
          </w:r>
          <w:r>
            <w:fldChar w:fldCharType="end"/>
          </w:r>
        </w:p>
        <w:p w14:paraId="5EC44A60">
          <w:pPr>
            <w:pStyle w:val="8"/>
            <w:tabs>
              <w:tab w:val="right" w:leader="dot" w:pos="9350"/>
            </w:tabs>
            <w:rPr>
              <w:rFonts w:eastAsiaTheme="minorEastAsia"/>
              <w:lang w:val="en-US"/>
            </w:rPr>
          </w:pPr>
          <w:r>
            <w:fldChar w:fldCharType="begin"/>
          </w:r>
          <w:r>
            <w:instrText xml:space="preserve"> HYPERLINK \l "_Toc180506117" </w:instrText>
          </w:r>
          <w:r>
            <w:fldChar w:fldCharType="separate"/>
          </w:r>
          <w:r>
            <w:rPr>
              <w:rStyle w:val="6"/>
              <w:rFonts w:ascii="Calibri" w:hAnsi="Calibri" w:cs="Calibri"/>
              <w:b/>
              <w:bCs/>
            </w:rPr>
            <w:t>7. CRITICAL ANALYSIS OF CHANGE MANAGEMENT AT EASYJET</w:t>
          </w:r>
          <w:r>
            <w:tab/>
          </w:r>
          <w:r>
            <w:fldChar w:fldCharType="begin"/>
          </w:r>
          <w:r>
            <w:instrText xml:space="preserve"> PAGEREF _Toc180506117 \h </w:instrText>
          </w:r>
          <w:r>
            <w:fldChar w:fldCharType="separate"/>
          </w:r>
          <w:r>
            <w:t>17</w:t>
          </w:r>
          <w:r>
            <w:fldChar w:fldCharType="end"/>
          </w:r>
          <w:r>
            <w:fldChar w:fldCharType="end"/>
          </w:r>
        </w:p>
        <w:p w14:paraId="2B661C51">
          <w:pPr>
            <w:pStyle w:val="9"/>
            <w:tabs>
              <w:tab w:val="right" w:leader="dot" w:pos="9350"/>
            </w:tabs>
            <w:rPr>
              <w:rFonts w:eastAsiaTheme="minorEastAsia"/>
              <w:lang w:val="en-US"/>
            </w:rPr>
          </w:pPr>
          <w:r>
            <w:fldChar w:fldCharType="begin"/>
          </w:r>
          <w:r>
            <w:instrText xml:space="preserve"> HYPERLINK \l "_Toc180506118" </w:instrText>
          </w:r>
          <w:r>
            <w:fldChar w:fldCharType="separate"/>
          </w:r>
          <w:r>
            <w:rPr>
              <w:rStyle w:val="6"/>
              <w:rFonts w:ascii="Calibri" w:hAnsi="Calibri" w:cs="Calibri"/>
            </w:rPr>
            <w:t>7.1 Analysis of Past Change Initiatives</w:t>
          </w:r>
          <w:r>
            <w:tab/>
          </w:r>
          <w:r>
            <w:fldChar w:fldCharType="begin"/>
          </w:r>
          <w:r>
            <w:instrText xml:space="preserve"> PAGEREF _Toc180506118 \h </w:instrText>
          </w:r>
          <w:r>
            <w:fldChar w:fldCharType="separate"/>
          </w:r>
          <w:r>
            <w:t>17</w:t>
          </w:r>
          <w:r>
            <w:fldChar w:fldCharType="end"/>
          </w:r>
          <w:r>
            <w:fldChar w:fldCharType="end"/>
          </w:r>
        </w:p>
        <w:p w14:paraId="0759284B">
          <w:pPr>
            <w:pStyle w:val="9"/>
            <w:tabs>
              <w:tab w:val="right" w:leader="dot" w:pos="9350"/>
            </w:tabs>
            <w:rPr>
              <w:rFonts w:eastAsiaTheme="minorEastAsia"/>
              <w:lang w:val="en-US"/>
            </w:rPr>
          </w:pPr>
          <w:r>
            <w:fldChar w:fldCharType="begin"/>
          </w:r>
          <w:r>
            <w:instrText xml:space="preserve"> HYPERLINK \l "_Toc180506119" </w:instrText>
          </w:r>
          <w:r>
            <w:fldChar w:fldCharType="separate"/>
          </w:r>
          <w:r>
            <w:rPr>
              <w:rStyle w:val="6"/>
              <w:rFonts w:ascii="Calibri" w:hAnsi="Calibri" w:cs="Calibri"/>
            </w:rPr>
            <w:t>7.2 Comparison with Competitors</w:t>
          </w:r>
          <w:r>
            <w:tab/>
          </w:r>
          <w:r>
            <w:fldChar w:fldCharType="begin"/>
          </w:r>
          <w:r>
            <w:instrText xml:space="preserve"> PAGEREF _Toc180506119 \h </w:instrText>
          </w:r>
          <w:r>
            <w:fldChar w:fldCharType="separate"/>
          </w:r>
          <w:r>
            <w:t>17</w:t>
          </w:r>
          <w:r>
            <w:fldChar w:fldCharType="end"/>
          </w:r>
          <w:r>
            <w:fldChar w:fldCharType="end"/>
          </w:r>
        </w:p>
        <w:p w14:paraId="026B890F">
          <w:pPr>
            <w:pStyle w:val="9"/>
            <w:tabs>
              <w:tab w:val="right" w:leader="dot" w:pos="9350"/>
            </w:tabs>
            <w:rPr>
              <w:rFonts w:eastAsiaTheme="minorEastAsia"/>
              <w:lang w:val="en-US"/>
            </w:rPr>
          </w:pPr>
          <w:r>
            <w:fldChar w:fldCharType="begin"/>
          </w:r>
          <w:r>
            <w:instrText xml:space="preserve"> HYPERLINK \l "_Toc180506120" </w:instrText>
          </w:r>
          <w:r>
            <w:fldChar w:fldCharType="separate"/>
          </w:r>
          <w:r>
            <w:rPr>
              <w:rStyle w:val="6"/>
              <w:rFonts w:ascii="Calibri" w:hAnsi="Calibri" w:cs="Calibri"/>
            </w:rPr>
            <w:t>7.3 Future Directions: Recommendations for Ongoing and Future Change Management at EasyJet</w:t>
          </w:r>
          <w:r>
            <w:tab/>
          </w:r>
          <w:r>
            <w:fldChar w:fldCharType="begin"/>
          </w:r>
          <w:r>
            <w:instrText xml:space="preserve"> PAGEREF _Toc180506120 \h </w:instrText>
          </w:r>
          <w:r>
            <w:fldChar w:fldCharType="separate"/>
          </w:r>
          <w:r>
            <w:t>18</w:t>
          </w:r>
          <w:r>
            <w:fldChar w:fldCharType="end"/>
          </w:r>
          <w:r>
            <w:fldChar w:fldCharType="end"/>
          </w:r>
        </w:p>
        <w:p w14:paraId="7275C6AF">
          <w:pPr>
            <w:pStyle w:val="8"/>
            <w:tabs>
              <w:tab w:val="right" w:leader="dot" w:pos="9350"/>
            </w:tabs>
            <w:rPr>
              <w:rFonts w:eastAsiaTheme="minorEastAsia"/>
              <w:lang w:val="en-US"/>
            </w:rPr>
          </w:pPr>
          <w:r>
            <w:fldChar w:fldCharType="begin"/>
          </w:r>
          <w:r>
            <w:instrText xml:space="preserve"> HYPERLINK \l "_Toc180506121" </w:instrText>
          </w:r>
          <w:r>
            <w:fldChar w:fldCharType="separate"/>
          </w:r>
          <w:r>
            <w:rPr>
              <w:rStyle w:val="6"/>
              <w:rFonts w:ascii="Calibri" w:hAnsi="Calibri" w:cs="Calibri"/>
              <w:b/>
              <w:bCs/>
            </w:rPr>
            <w:t>8. CONCLUSION</w:t>
          </w:r>
          <w:r>
            <w:tab/>
          </w:r>
          <w:r>
            <w:fldChar w:fldCharType="begin"/>
          </w:r>
          <w:r>
            <w:instrText xml:space="preserve"> PAGEREF _Toc180506121 \h </w:instrText>
          </w:r>
          <w:r>
            <w:fldChar w:fldCharType="separate"/>
          </w:r>
          <w:r>
            <w:t>18</w:t>
          </w:r>
          <w:r>
            <w:fldChar w:fldCharType="end"/>
          </w:r>
          <w:r>
            <w:fldChar w:fldCharType="end"/>
          </w:r>
        </w:p>
        <w:p w14:paraId="2B54174C">
          <w:pPr>
            <w:pStyle w:val="8"/>
            <w:tabs>
              <w:tab w:val="right" w:leader="dot" w:pos="9350"/>
            </w:tabs>
            <w:rPr>
              <w:rFonts w:eastAsiaTheme="minorEastAsia"/>
              <w:lang w:val="en-US"/>
            </w:rPr>
          </w:pPr>
          <w:r>
            <w:fldChar w:fldCharType="begin"/>
          </w:r>
          <w:r>
            <w:instrText xml:space="preserve"> HYPERLINK \l "_Toc180506122" </w:instrText>
          </w:r>
          <w:r>
            <w:fldChar w:fldCharType="separate"/>
          </w:r>
          <w:r>
            <w:rPr>
              <w:rStyle w:val="6"/>
              <w:rFonts w:ascii="Calibri" w:hAnsi="Calibri" w:cs="Calibri"/>
              <w:b/>
              <w:bCs/>
            </w:rPr>
            <w:t>REFERENCES</w:t>
          </w:r>
          <w:r>
            <w:tab/>
          </w:r>
          <w:r>
            <w:fldChar w:fldCharType="begin"/>
          </w:r>
          <w:r>
            <w:instrText xml:space="preserve"> PAGEREF _Toc180506122 \h </w:instrText>
          </w:r>
          <w:r>
            <w:fldChar w:fldCharType="separate"/>
          </w:r>
          <w:r>
            <w:t>20</w:t>
          </w:r>
          <w:r>
            <w:fldChar w:fldCharType="end"/>
          </w:r>
          <w:r>
            <w:fldChar w:fldCharType="end"/>
          </w:r>
        </w:p>
        <w:p w14:paraId="23DC8E6B">
          <w:pPr>
            <w:jc w:val="both"/>
          </w:pPr>
          <w:r>
            <w:rPr>
              <w:b/>
              <w:bCs/>
            </w:rPr>
            <w:fldChar w:fldCharType="end"/>
          </w:r>
        </w:p>
      </w:sdtContent>
    </w:sdt>
    <w:p w14:paraId="66AB6EA7">
      <w:pPr>
        <w:jc w:val="both"/>
      </w:pPr>
    </w:p>
    <w:p w14:paraId="6498AFC2">
      <w:pPr>
        <w:jc w:val="both"/>
      </w:pPr>
    </w:p>
    <w:p w14:paraId="79A68A21">
      <w:pPr>
        <w:jc w:val="both"/>
      </w:pPr>
    </w:p>
    <w:p w14:paraId="04A2D629">
      <w:pPr>
        <w:jc w:val="both"/>
      </w:pPr>
    </w:p>
    <w:p w14:paraId="4248F2C8">
      <w:pPr>
        <w:jc w:val="both"/>
      </w:pPr>
    </w:p>
    <w:p w14:paraId="45BC48FC">
      <w:pPr>
        <w:jc w:val="both"/>
      </w:pPr>
    </w:p>
    <w:p w14:paraId="7AF9EAED">
      <w:pPr>
        <w:jc w:val="both"/>
      </w:pPr>
    </w:p>
    <w:p w14:paraId="5300A41A">
      <w:pPr>
        <w:jc w:val="both"/>
      </w:pPr>
    </w:p>
    <w:p w14:paraId="6D9783A1">
      <w:pPr>
        <w:jc w:val="both"/>
      </w:pPr>
    </w:p>
    <w:p w14:paraId="1B705CBF">
      <w:pPr>
        <w:jc w:val="both"/>
      </w:pPr>
    </w:p>
    <w:p w14:paraId="4271E890">
      <w:pPr>
        <w:jc w:val="both"/>
      </w:pPr>
    </w:p>
    <w:p w14:paraId="70409516">
      <w:pPr>
        <w:jc w:val="both"/>
      </w:pPr>
    </w:p>
    <w:p w14:paraId="539CAFE9">
      <w:pPr>
        <w:jc w:val="both"/>
      </w:pPr>
    </w:p>
    <w:p w14:paraId="7ABDD431">
      <w:pPr>
        <w:jc w:val="both"/>
      </w:pPr>
    </w:p>
    <w:p w14:paraId="28131879">
      <w:pPr>
        <w:jc w:val="both"/>
      </w:pPr>
    </w:p>
    <w:p w14:paraId="2ABA9BCA">
      <w:pPr>
        <w:jc w:val="both"/>
      </w:pPr>
    </w:p>
    <w:p w14:paraId="740EFAAC">
      <w:pPr>
        <w:autoSpaceDE w:val="0"/>
        <w:autoSpaceDN w:val="0"/>
        <w:adjustRightInd w:val="0"/>
        <w:jc w:val="both"/>
        <w:rPr>
          <w:rFonts w:ascii="Calibri" w:hAnsi="Calibri" w:cs="Calibri"/>
          <w:kern w:val="0"/>
        </w:rPr>
      </w:pPr>
    </w:p>
    <w:p w14:paraId="7DB395E9">
      <w:pPr>
        <w:pStyle w:val="2"/>
        <w:jc w:val="both"/>
        <w:rPr>
          <w:rFonts w:ascii="Calibri" w:hAnsi="Calibri" w:cs="Calibri"/>
          <w:b/>
          <w:bCs/>
          <w:sz w:val="28"/>
          <w:szCs w:val="28"/>
          <w:lang w:val="en-GB"/>
        </w:rPr>
      </w:pPr>
      <w:bookmarkStart w:id="0" w:name="_Toc180506086"/>
      <w:r>
        <w:rPr>
          <w:rFonts w:ascii="Calibri" w:hAnsi="Calibri" w:cs="Calibri"/>
          <w:b/>
          <w:bCs/>
          <w:sz w:val="28"/>
          <w:szCs w:val="28"/>
          <w:lang w:val="en-GB"/>
        </w:rPr>
        <w:t>1. INTRODUCTION</w:t>
      </w:r>
      <w:bookmarkEnd w:id="0"/>
      <w:r>
        <w:rPr>
          <w:rFonts w:ascii="Calibri" w:hAnsi="Calibri" w:cs="Calibri"/>
          <w:b/>
          <w:bCs/>
          <w:sz w:val="28"/>
          <w:szCs w:val="28"/>
          <w:lang w:val="en-GB"/>
        </w:rPr>
        <w:t xml:space="preserve"> </w:t>
      </w:r>
    </w:p>
    <w:p w14:paraId="6D8B0E8B">
      <w:pPr>
        <w:pStyle w:val="3"/>
        <w:jc w:val="both"/>
        <w:rPr>
          <w:rFonts w:ascii="Calibri" w:hAnsi="Calibri" w:cs="Calibri"/>
          <w:u w:val="single"/>
        </w:rPr>
      </w:pPr>
      <w:bookmarkStart w:id="1" w:name="_Toc180506087"/>
      <w:r>
        <w:rPr>
          <w:rFonts w:ascii="Calibri" w:hAnsi="Calibri" w:cs="Calibri"/>
          <w:u w:val="single"/>
        </w:rPr>
        <w:t>1.1 Overview of the UK Airline Sector</w:t>
      </w:r>
      <w:bookmarkEnd w:id="1"/>
    </w:p>
    <w:p w14:paraId="1590D344">
      <w:pPr>
        <w:pStyle w:val="7"/>
        <w:spacing w:line="360" w:lineRule="auto"/>
        <w:jc w:val="both"/>
        <w:rPr>
          <w:lang w:val="en-GB"/>
        </w:rPr>
      </w:pPr>
      <w:r>
        <w:rPr>
          <w:rFonts w:ascii="Calibri" w:hAnsi="Calibri" w:cs="Calibri"/>
          <w:lang w:val="en-GB"/>
        </w:rPr>
        <w:t>UK airlines are an important part of the country’s transport infrastructure it plays an important part in both economy and tourism. Industry also includes a spectrum of operators from large full-service carriers to new entrant low-cost carriers which have been able to become unseated as dominant market share players through their ability to compete on price and efficiency. EasyJet and Ryanair have revolutionized air travel with their low-cost offerings, making airplanes available to consumers who wouldn’t have previously been able to travel by plane. Many factors have influenced this sector including regulatory change post-Brexit, technological change and the global transition to operate more sustainably. Considered at its highest plane, the UK airline industry is a highly dynamic and volatile one, in which an airline must constantly change as it grows and permeates the market to survive and prosper</w:t>
      </w:r>
      <w:r>
        <w:rPr>
          <w:lang w:val="en-GB"/>
        </w:rPr>
        <w:t>.</w:t>
      </w:r>
    </w:p>
    <w:p w14:paraId="70058FE6">
      <w:pPr>
        <w:pStyle w:val="3"/>
        <w:spacing w:line="360" w:lineRule="auto"/>
        <w:jc w:val="both"/>
        <w:rPr>
          <w:rFonts w:ascii="Calibri" w:hAnsi="Calibri" w:cs="Calibri"/>
          <w:sz w:val="24"/>
          <w:szCs w:val="24"/>
          <w:u w:val="single"/>
        </w:rPr>
      </w:pPr>
      <w:bookmarkStart w:id="2" w:name="_Toc180506088"/>
      <w:r>
        <w:rPr>
          <w:rFonts w:ascii="Calibri" w:hAnsi="Calibri" w:cs="Calibri"/>
          <w:sz w:val="24"/>
          <w:szCs w:val="24"/>
          <w:u w:val="single"/>
        </w:rPr>
        <w:t>1.2 Introduction to EasyJet UK: Brief History and Market Position</w:t>
      </w:r>
      <w:bookmarkEnd w:id="2"/>
    </w:p>
    <w:p w14:paraId="4295D92E">
      <w:pPr>
        <w:autoSpaceDE w:val="0"/>
        <w:autoSpaceDN w:val="0"/>
        <w:adjustRightInd w:val="0"/>
        <w:spacing w:line="360" w:lineRule="auto"/>
        <w:jc w:val="both"/>
        <w:rPr>
          <w:rFonts w:ascii="Calibri" w:hAnsi="Calibri" w:cs="Calibri"/>
          <w:kern w:val="0"/>
          <w:sz w:val="24"/>
          <w:szCs w:val="24"/>
        </w:rPr>
      </w:pPr>
      <w:r>
        <w:rPr>
          <w:rFonts w:ascii="Calibri" w:hAnsi="Calibri" w:cs="Calibri"/>
          <w:kern w:val="0"/>
          <w:sz w:val="24"/>
          <w:szCs w:val="24"/>
        </w:rPr>
        <w:t>EasyJet, a British low-cost airline founded in 1995 by Sir Stelios Haji-Ioannou and headquartered at London Luton Airport, has become one of Europe's leading low-cost carriers. Its business model focuses on providing affordable, no-frills flights across Europe. EasyJet's success is driven by operational efficiency and the use of data to enhance customer experience. Despite challenges like Brexit, fluctuating fuel prices, and the COVID-19 pandemic, EasyJet has maintained a strong market position by continually adapting its services to external pressures. It remains known for its affordability and efficient service.</w:t>
      </w:r>
    </w:p>
    <w:p w14:paraId="09B98026">
      <w:pPr>
        <w:pStyle w:val="3"/>
        <w:spacing w:line="360" w:lineRule="auto"/>
        <w:jc w:val="both"/>
        <w:rPr>
          <w:rFonts w:ascii="Calibri" w:hAnsi="Calibri" w:cs="Calibri"/>
          <w:sz w:val="24"/>
          <w:szCs w:val="24"/>
          <w:u w:val="single"/>
        </w:rPr>
      </w:pPr>
      <w:bookmarkStart w:id="3" w:name="_Toc180506089"/>
      <w:r>
        <w:rPr>
          <w:rFonts w:ascii="Calibri" w:hAnsi="Calibri" w:cs="Calibri"/>
          <w:sz w:val="24"/>
          <w:szCs w:val="24"/>
          <w:u w:val="single"/>
        </w:rPr>
        <w:t>1.3 The Relevance of Change Management in Today's Volatile Business Environment</w:t>
      </w:r>
      <w:bookmarkEnd w:id="3"/>
    </w:p>
    <w:p w14:paraId="66365ADD">
      <w:pPr>
        <w:spacing w:line="360" w:lineRule="auto"/>
        <w:jc w:val="both"/>
        <w:rPr>
          <w:sz w:val="24"/>
          <w:szCs w:val="24"/>
        </w:rPr>
      </w:pPr>
      <w:r>
        <w:rPr>
          <w:sz w:val="24"/>
          <w:szCs w:val="24"/>
        </w:rPr>
        <w:t>In the volatile airline industry, change management is crucial for survival. Digital disruption, economic uncertainty, and shifting customer preferences push companies like EasyJet to adopt effective change strategies. Efficient change management helps organisations maintain operations while preparing for new market trends and technological advancements. Research shows that low-cost carriers like EasyJet implement unique management policies to stay competitive, highlighting the critical role of leadership in navigating change (Harvey and Turnbull, 2006).</w:t>
      </w:r>
    </w:p>
    <w:p w14:paraId="406E5DE6">
      <w:pPr>
        <w:pStyle w:val="2"/>
        <w:jc w:val="both"/>
        <w:rPr>
          <w:rFonts w:ascii="Calibri" w:hAnsi="Calibri" w:cs="Calibri"/>
          <w:b/>
          <w:bCs/>
          <w:sz w:val="28"/>
          <w:szCs w:val="28"/>
          <w:lang w:val="en-GB"/>
        </w:rPr>
      </w:pPr>
      <w:bookmarkStart w:id="4" w:name="_Toc180506090"/>
      <w:r>
        <w:rPr>
          <w:rFonts w:ascii="Calibri" w:hAnsi="Calibri" w:cs="Calibri"/>
          <w:b/>
          <w:bCs/>
          <w:sz w:val="28"/>
          <w:szCs w:val="28"/>
          <w:lang w:val="en-GB"/>
        </w:rPr>
        <w:t>2. CURRENT STATE OF EASYJET UK</w:t>
      </w:r>
      <w:bookmarkEnd w:id="4"/>
      <w:r>
        <w:rPr>
          <w:rFonts w:ascii="Calibri" w:hAnsi="Calibri" w:cs="Calibri"/>
          <w:b/>
          <w:bCs/>
          <w:sz w:val="28"/>
          <w:szCs w:val="28"/>
          <w:lang w:val="en-GB"/>
        </w:rPr>
        <w:t xml:space="preserve"> </w:t>
      </w:r>
    </w:p>
    <w:p w14:paraId="651520D6">
      <w:pPr>
        <w:pStyle w:val="3"/>
        <w:jc w:val="both"/>
        <w:rPr>
          <w:rFonts w:ascii="Calibri" w:hAnsi="Calibri" w:cs="Calibri"/>
          <w:sz w:val="24"/>
          <w:szCs w:val="24"/>
          <w:u w:val="single"/>
        </w:rPr>
      </w:pPr>
      <w:bookmarkStart w:id="5" w:name="_Toc180506091"/>
      <w:r>
        <w:rPr>
          <w:rFonts w:ascii="Calibri" w:hAnsi="Calibri" w:cs="Calibri"/>
          <w:sz w:val="24"/>
          <w:szCs w:val="24"/>
          <w:u w:val="single"/>
        </w:rPr>
        <w:t>2.1 Financial Performance</w:t>
      </w:r>
      <w:bookmarkEnd w:id="5"/>
    </w:p>
    <w:p w14:paraId="762AA330">
      <w:pPr>
        <w:pStyle w:val="7"/>
        <w:spacing w:line="360" w:lineRule="auto"/>
        <w:jc w:val="both"/>
        <w:rPr>
          <w:rFonts w:ascii="Calibri" w:hAnsi="Calibri" w:cs="Calibri"/>
          <w:lang w:val="en-GB"/>
        </w:rPr>
      </w:pPr>
      <w:r>
        <w:rPr>
          <w:rFonts w:ascii="Calibri" w:hAnsi="Calibri" w:cs="Calibri"/>
          <w:lang w:val="en-GB"/>
        </w:rPr>
        <w:t>Earlier periods of its performance have been more volatile, reflecting the impact of Covid 19 and Brexit and price movements for the fuel on which it depends. But easyJet secured profitability after travel demand rebounded in a year where it earned £5.8bn in revenue, versus £1.4bn in 2020. Still, the company is living with the headache of still being unprofitable operational costs and capacity limits have augmented. The airline industry's vicious volatility confirmed itself with easyJet recording a pre-tax loss of £178m, which was higher revenue than usual.</w:t>
      </w:r>
    </w:p>
    <w:p w14:paraId="65179915">
      <w:pPr>
        <w:pStyle w:val="3"/>
        <w:jc w:val="both"/>
        <w:rPr>
          <w:rFonts w:ascii="Calibri" w:hAnsi="Calibri" w:cs="Calibri"/>
          <w:sz w:val="24"/>
          <w:szCs w:val="24"/>
          <w:u w:val="single"/>
        </w:rPr>
      </w:pPr>
      <w:bookmarkStart w:id="6" w:name="_Toc180506092"/>
      <w:r>
        <w:rPr>
          <w:rFonts w:ascii="Calibri" w:hAnsi="Calibri" w:cs="Calibri"/>
          <w:sz w:val="24"/>
          <w:szCs w:val="24"/>
          <w:u w:val="single"/>
        </w:rPr>
        <w:t>2.2 Operational Challenges</w:t>
      </w:r>
      <w:bookmarkEnd w:id="6"/>
    </w:p>
    <w:p w14:paraId="2C4219ED">
      <w:pPr>
        <w:pStyle w:val="7"/>
        <w:spacing w:line="360" w:lineRule="auto"/>
        <w:jc w:val="both"/>
        <w:rPr>
          <w:rFonts w:ascii="Calibri" w:hAnsi="Calibri" w:cs="Calibri"/>
          <w:lang w:val="en-GB"/>
        </w:rPr>
      </w:pPr>
      <w:r>
        <w:rPr>
          <w:rFonts w:ascii="Calibri" w:hAnsi="Calibri" w:cs="Calibri"/>
          <w:lang w:val="en-GB"/>
        </w:rPr>
        <w:t xml:space="preserve">The operational constraints facing EasyJet, such as staffing shortages, increasing fuel prices and the effects of Brexit regulations, are already easyJet’s operational challenges. Recruitment problems across the airline industry, in general, and in recruiting cabin crew and ground staff in particular, continue as airlines across the globe began mass layoffs amid the pandemic. The result has been massive flight delays and cancellations that damage customer satisfaction because of this staffing shortage. Fuel is a costly commodity for an airline and rising costs are piling further pressure on EasyJet’s operational costs. </w:t>
      </w:r>
    </w:p>
    <w:p w14:paraId="2D58F37D">
      <w:pPr>
        <w:pStyle w:val="3"/>
        <w:jc w:val="both"/>
        <w:rPr>
          <w:rFonts w:ascii="Calibri" w:hAnsi="Calibri" w:cs="Calibri"/>
          <w:sz w:val="24"/>
          <w:szCs w:val="24"/>
          <w:u w:val="single"/>
        </w:rPr>
      </w:pPr>
      <w:bookmarkStart w:id="7" w:name="_Toc180506093"/>
      <w:r>
        <w:rPr>
          <w:rFonts w:ascii="Calibri" w:hAnsi="Calibri" w:cs="Calibri"/>
          <w:sz w:val="24"/>
          <w:szCs w:val="24"/>
          <w:u w:val="single"/>
        </w:rPr>
        <w:t>2.3 Strategic Goals: Digital Transformation and Sustainability</w:t>
      </w:r>
      <w:bookmarkEnd w:id="7"/>
    </w:p>
    <w:p w14:paraId="730557F6">
      <w:pPr>
        <w:pStyle w:val="7"/>
        <w:spacing w:line="360" w:lineRule="auto"/>
        <w:jc w:val="both"/>
        <w:rPr>
          <w:rFonts w:ascii="Calibri" w:hAnsi="Calibri" w:cs="Calibri"/>
          <w:lang w:val="en-GB"/>
        </w:rPr>
      </w:pPr>
      <w:r>
        <w:rPr>
          <w:rFonts w:ascii="Calibri" w:hAnsi="Calibri" w:cs="Calibri"/>
          <w:lang w:val="en-GB"/>
        </w:rPr>
        <w:t>EasyJet has not only taken a strong stance on digital transformation, but it has also only remained relevant in a volatile market by being sustainable. With great geographical reach, easyJet has made heavy investment into digitising its operations, with everything from improving the customer experience through its mobile app to improving the booking and check-in process. The airline’s other strategic goal is to reduce its footprint on carbon, in line with the global sustainability actions. To help reduce dependance on fuel, the airline has also made a commitment to net zero carbon emissions by 2050 and invest in sustainable aviation tech including electric and hybrid planes.</w:t>
      </w:r>
    </w:p>
    <w:p w14:paraId="4B80E3F0">
      <w:pPr>
        <w:pStyle w:val="3"/>
        <w:jc w:val="both"/>
        <w:rPr>
          <w:rFonts w:ascii="Calibri" w:hAnsi="Calibri" w:cs="Calibri"/>
          <w:sz w:val="24"/>
          <w:szCs w:val="24"/>
          <w:u w:val="single"/>
        </w:rPr>
      </w:pPr>
      <w:bookmarkStart w:id="8" w:name="_Toc180506094"/>
      <w:r>
        <w:rPr>
          <w:rFonts w:ascii="Calibri" w:hAnsi="Calibri" w:cs="Calibri"/>
          <w:sz w:val="24"/>
          <w:szCs w:val="24"/>
          <w:u w:val="single"/>
        </w:rPr>
        <w:t>2.4 Digital Disruption</w:t>
      </w:r>
      <w:bookmarkEnd w:id="8"/>
    </w:p>
    <w:p w14:paraId="39C2D5C4">
      <w:pPr>
        <w:pStyle w:val="7"/>
        <w:spacing w:line="360" w:lineRule="auto"/>
        <w:jc w:val="both"/>
        <w:rPr>
          <w:rFonts w:ascii="Calibri" w:hAnsi="Calibri" w:cs="Calibri"/>
          <w:lang w:val="en-GB"/>
        </w:rPr>
      </w:pPr>
      <w:r>
        <w:rPr>
          <w:rFonts w:ascii="Calibri" w:hAnsi="Calibri" w:cs="Calibri"/>
          <w:lang w:val="en-GB"/>
        </w:rPr>
        <w:t>The airline industry is transforming with technological advancements, a development that EasyJet has fought to embrace digital disruption. Several technological innovations have been introduced by the airline to deal with increasing customer satisfaction and enhance efficiency. For example, when EasyJet use predictive analytics to optimise flight scheduling and maintenance to reduce operational downtime. Again, the airline has added artificial intelligence (AI) to many of its customer service processes such as processing passenger queries in faster and efficient manner. The transformations allow EasyJet to maintain its position in a fast-changing environment of digital with good conditions to deal with future tasks in the aviation sector.</w:t>
      </w:r>
    </w:p>
    <w:p w14:paraId="08EC36F5">
      <w:pPr>
        <w:pStyle w:val="2"/>
        <w:spacing w:line="360" w:lineRule="auto"/>
        <w:jc w:val="both"/>
        <w:rPr>
          <w:rFonts w:ascii="Calibri" w:hAnsi="Calibri" w:cs="Calibri"/>
          <w:b/>
          <w:bCs/>
          <w:sz w:val="28"/>
          <w:szCs w:val="28"/>
          <w:lang w:val="en-GB"/>
        </w:rPr>
      </w:pPr>
      <w:bookmarkStart w:id="9" w:name="_Toc180506095"/>
      <w:r>
        <w:rPr>
          <w:rFonts w:ascii="Calibri" w:hAnsi="Calibri" w:cs="Calibri"/>
          <w:b/>
          <w:bCs/>
          <w:sz w:val="28"/>
          <w:szCs w:val="28"/>
          <w:lang w:val="en-GB"/>
        </w:rPr>
        <w:t>3. IMPACT OF EXTERNAL ENVIRONMENT ON EASYJET</w:t>
      </w:r>
      <w:bookmarkEnd w:id="9"/>
      <w:r>
        <w:rPr>
          <w:rFonts w:ascii="Calibri" w:hAnsi="Calibri" w:cs="Calibri"/>
          <w:b/>
          <w:bCs/>
          <w:sz w:val="28"/>
          <w:szCs w:val="28"/>
          <w:lang w:val="en-GB"/>
        </w:rPr>
        <w:t xml:space="preserve"> </w:t>
      </w:r>
    </w:p>
    <w:p w14:paraId="365C9E4E">
      <w:pPr>
        <w:pStyle w:val="3"/>
        <w:spacing w:line="360" w:lineRule="auto"/>
        <w:rPr>
          <w:rFonts w:ascii="Calibri" w:hAnsi="Calibri" w:cs="Calibri"/>
          <w:b/>
          <w:bCs/>
          <w:sz w:val="24"/>
          <w:szCs w:val="24"/>
          <w:u w:val="single"/>
        </w:rPr>
      </w:pPr>
      <w:bookmarkStart w:id="10" w:name="_Toc180506096"/>
      <w:r>
        <w:rPr>
          <w:rFonts w:ascii="Calibri" w:hAnsi="Calibri" w:cs="Calibri"/>
          <w:b/>
          <w:bCs/>
          <w:sz w:val="24"/>
          <w:szCs w:val="24"/>
          <w:u w:val="single"/>
        </w:rPr>
        <w:t xml:space="preserve">3.1 Digital Disruption: </w:t>
      </w:r>
    </w:p>
    <w:p w14:paraId="69051477">
      <w:pPr>
        <w:pStyle w:val="3"/>
        <w:spacing w:line="360" w:lineRule="auto"/>
        <w:rPr>
          <w:rFonts w:ascii="Calibri" w:hAnsi="Calibri" w:cs="Calibri"/>
          <w:b/>
          <w:bCs/>
          <w:sz w:val="24"/>
          <w:szCs w:val="24"/>
          <w:u w:val="single"/>
        </w:rPr>
      </w:pPr>
      <w:r>
        <w:rPr>
          <w:rFonts w:ascii="Calibri" w:hAnsi="Calibri" w:cs="Calibri"/>
          <w:sz w:val="24"/>
          <w:szCs w:val="24"/>
          <w:u w:val="single"/>
        </w:rPr>
        <w:t>Impact of AI, Automation, and Customer Engagement Technologies</w:t>
      </w:r>
      <w:bookmarkEnd w:id="10"/>
      <w:r>
        <w:rPr>
          <w:rFonts w:ascii="Calibri" w:hAnsi="Calibri" w:cs="Calibri"/>
          <w:b/>
          <w:bCs/>
          <w:sz w:val="24"/>
          <w:szCs w:val="24"/>
          <w:u w:val="single"/>
        </w:rPr>
        <w:t xml:space="preserve"> </w:t>
      </w:r>
    </w:p>
    <w:p w14:paraId="28D232F5">
      <w:pPr>
        <w:pStyle w:val="7"/>
        <w:spacing w:line="360" w:lineRule="auto"/>
        <w:jc w:val="both"/>
        <w:rPr>
          <w:rFonts w:ascii="Calibri" w:hAnsi="Calibri" w:cs="Calibri"/>
          <w:lang w:val="en-GB"/>
        </w:rPr>
      </w:pPr>
      <w:r>
        <w:rPr>
          <w:rFonts w:ascii="Calibri" w:hAnsi="Calibri" w:cs="Calibri"/>
          <w:lang w:val="en-GB"/>
        </w:rPr>
        <w:t>The airline industry has experienced many changes, which are brought about by digital disruption, and EasyJet has integrated different technology advancements to remain competitive with customers' evolving demands. EasyJet has integrated artificial intelligence (AI) into many of the different operations it has, including in predictive maintenance and optimising operational efficiency. Using AI driven predictive analytics, EasyJet has been able to enhance the monitoring of its aircraft and reduce the risk of unplanned maintenance, whilst increasing overall flight punctuality.</w:t>
      </w:r>
    </w:p>
    <w:p w14:paraId="0E873B60">
      <w:pPr>
        <w:pStyle w:val="7"/>
        <w:spacing w:line="360" w:lineRule="auto"/>
        <w:jc w:val="both"/>
        <w:rPr>
          <w:rFonts w:ascii="Calibri" w:hAnsi="Calibri" w:cs="Calibri"/>
          <w:lang w:val="en-GB"/>
        </w:rPr>
      </w:pPr>
      <w:r>
        <w:rPr>
          <w:rFonts w:ascii="Calibri" w:hAnsi="Calibri" w:cs="Calibri"/>
          <w:lang w:val="en-GB"/>
        </w:rPr>
        <w:t>The customer service processes at EasyJet have also become further focused on automation. This reduces the need for human interaction and speeds up the process, increasing customer satisfaction; for example, automated check-in kiosks and mobile boarding passes have replaced human interaction with an automated boarding process. Increased automation advancements in EasyJet means they can operate in a more efficient manner at a lower cost meaning a better customer experience.</w:t>
      </w:r>
    </w:p>
    <w:p w14:paraId="74FD9CE0">
      <w:pPr>
        <w:pStyle w:val="7"/>
        <w:spacing w:line="360" w:lineRule="auto"/>
        <w:jc w:val="both"/>
        <w:rPr>
          <w:rFonts w:ascii="Calibri" w:hAnsi="Calibri" w:cs="Calibri"/>
          <w:lang w:val="en-GB"/>
        </w:rPr>
      </w:pPr>
      <w:r>
        <w:rPr>
          <w:rFonts w:ascii="Calibri" w:hAnsi="Calibri" w:cs="Calibri"/>
          <w:lang w:val="en-GB"/>
        </w:rPr>
        <w:t>Distributed throughout EasyJet’s digital transformation are Customer engagement technologies. Its app is mobile first, with easyJet customers able to book flights, check in and get real time flight information. AI powered chatbots and mobile app personalized notifications have ameliorated airline’s engagement and time targeted immediate response to the queries in a competitive business environment (Harvey and Turnbull, 2006).</w:t>
      </w:r>
    </w:p>
    <w:p w14:paraId="1AFF4616">
      <w:pPr>
        <w:pStyle w:val="3"/>
        <w:jc w:val="both"/>
        <w:rPr>
          <w:rFonts w:ascii="Calibri" w:hAnsi="Calibri" w:cs="Calibri"/>
          <w:sz w:val="24"/>
          <w:szCs w:val="24"/>
          <w:u w:val="single"/>
        </w:rPr>
      </w:pPr>
      <w:bookmarkStart w:id="11" w:name="_Toc180506097"/>
      <w:r>
        <w:rPr>
          <w:rFonts w:ascii="Calibri" w:hAnsi="Calibri" w:cs="Calibri"/>
          <w:b/>
          <w:bCs/>
          <w:sz w:val="24"/>
          <w:szCs w:val="24"/>
          <w:u w:val="single"/>
        </w:rPr>
        <w:t>3.2 Economic Uncertainty</w:t>
      </w:r>
      <w:r>
        <w:rPr>
          <w:rFonts w:ascii="Calibri" w:hAnsi="Calibri" w:cs="Calibri"/>
          <w:sz w:val="24"/>
          <w:szCs w:val="24"/>
          <w:u w:val="single"/>
        </w:rPr>
        <w:t xml:space="preserve">: </w:t>
      </w:r>
    </w:p>
    <w:p w14:paraId="53C81671">
      <w:pPr>
        <w:pStyle w:val="3"/>
        <w:jc w:val="both"/>
        <w:rPr>
          <w:rFonts w:ascii="Calibri" w:hAnsi="Calibri" w:cs="Calibri"/>
          <w:sz w:val="24"/>
          <w:szCs w:val="24"/>
          <w:u w:val="single"/>
        </w:rPr>
      </w:pPr>
      <w:r>
        <w:rPr>
          <w:rFonts w:ascii="Calibri" w:hAnsi="Calibri" w:cs="Calibri"/>
          <w:sz w:val="24"/>
          <w:szCs w:val="24"/>
          <w:u w:val="single"/>
        </w:rPr>
        <w:t>Effects of Post-Pandemic Recovery, Fuel Price Volatility, and Brexit</w:t>
      </w:r>
      <w:bookmarkEnd w:id="11"/>
      <w:r>
        <w:rPr>
          <w:rFonts w:ascii="Calibri" w:hAnsi="Calibri" w:cs="Calibri"/>
          <w:sz w:val="24"/>
          <w:szCs w:val="24"/>
          <w:u w:val="single"/>
        </w:rPr>
        <w:t xml:space="preserve"> </w:t>
      </w:r>
    </w:p>
    <w:p w14:paraId="6DFF212C">
      <w:pPr>
        <w:pStyle w:val="7"/>
        <w:spacing w:line="360" w:lineRule="auto"/>
        <w:jc w:val="both"/>
        <w:rPr>
          <w:rFonts w:ascii="Calibri" w:hAnsi="Calibri" w:cs="Calibri"/>
          <w:lang w:val="en-GB"/>
        </w:rPr>
      </w:pPr>
      <w:r>
        <w:rPr>
          <w:rFonts w:ascii="Calibri" w:hAnsi="Calibri" w:cs="Calibri"/>
          <w:lang w:val="en-GB"/>
        </w:rPr>
        <w:t>EasyJet faces economic uncertainty especially since the COVID-19 pandemic. And Europe’s post-pandemic recovery has been slow and uneven depending on restrictions and how much the confidence of consumers for air travel has changed. Like most airlines, EasyJet's exposed to massive losses during a time when travel restrictions brought flights to a halt. But easyJet has responded by offering flexible booking policies and announcing route changes that taper in line with rising and falling travel demand.</w:t>
      </w:r>
    </w:p>
    <w:p w14:paraId="6FA8854D">
      <w:pPr>
        <w:pStyle w:val="7"/>
        <w:spacing w:line="360" w:lineRule="auto"/>
        <w:jc w:val="both"/>
        <w:rPr>
          <w:rFonts w:ascii="Calibri" w:hAnsi="Calibri" w:cs="Calibri"/>
          <w:lang w:val="en-GB"/>
        </w:rPr>
      </w:pPr>
      <w:r>
        <w:rPr>
          <w:rFonts w:ascii="Calibri" w:hAnsi="Calibri" w:cs="Calibri"/>
          <w:lang w:val="en-GB"/>
        </w:rPr>
        <w:t>There is another major challenge, that is fuel price volatility. Airlines have an imbalance of fuel as one of the major costs of operation, and the EasyJet has been susceptible to its volatility. EasyJet’s profitability has been made even less likely to return due to global factors such as geopolitical instability and changes to oil production resulting in big fuel price increases. The airline has undertaken some fuel hedging to mitigate some of these risks, but fuel price volatility still makes a dent in the airlines bottom-Line.</w:t>
      </w:r>
    </w:p>
    <w:p w14:paraId="7B80F648">
      <w:pPr>
        <w:pStyle w:val="7"/>
        <w:spacing w:line="360" w:lineRule="auto"/>
        <w:jc w:val="both"/>
        <w:rPr>
          <w:rFonts w:ascii="Calibri" w:hAnsi="Calibri" w:cs="Calibri"/>
          <w:lang w:val="en-GB"/>
        </w:rPr>
      </w:pPr>
      <w:r>
        <w:rPr>
          <w:rFonts w:ascii="Calibri" w:hAnsi="Calibri" w:cs="Calibri"/>
          <w:lang w:val="en-GB"/>
        </w:rPr>
        <w:t>The regulatory and operational challenges that Brexit has added to this are made even more complex by EasyJet. For the airline, it has meant having to set up new legal entities across the European Union so that it stills has the capacity to fly within EU countries, at the expense of increased administrative and operational costs. Additionally, EasyJet has had to repeatedly alter based on shifting political winds such as uncertainty surrounding travel regulations, tariffs and the flow of goods and services post Brexit (Nohria and Champy, 1996)</w:t>
      </w:r>
    </w:p>
    <w:p w14:paraId="4AC0CC5A">
      <w:pPr>
        <w:pStyle w:val="3"/>
        <w:jc w:val="both"/>
        <w:rPr>
          <w:rFonts w:ascii="Calibri" w:hAnsi="Calibri" w:cs="Calibri"/>
          <w:sz w:val="24"/>
          <w:szCs w:val="24"/>
          <w:u w:val="single"/>
        </w:rPr>
      </w:pPr>
      <w:bookmarkStart w:id="12" w:name="_Toc180506098"/>
      <w:r>
        <w:rPr>
          <w:rFonts w:ascii="Calibri" w:hAnsi="Calibri" w:cs="Calibri"/>
          <w:b/>
          <w:bCs/>
          <w:sz w:val="24"/>
          <w:szCs w:val="24"/>
          <w:u w:val="single"/>
        </w:rPr>
        <w:t>3.3 Globalisation and Competition</w:t>
      </w:r>
      <w:r>
        <w:rPr>
          <w:rFonts w:ascii="Calibri" w:hAnsi="Calibri" w:cs="Calibri"/>
          <w:sz w:val="24"/>
          <w:szCs w:val="24"/>
          <w:u w:val="single"/>
        </w:rPr>
        <w:t xml:space="preserve">: </w:t>
      </w:r>
    </w:p>
    <w:p w14:paraId="1D752823">
      <w:pPr>
        <w:pStyle w:val="3"/>
        <w:jc w:val="both"/>
        <w:rPr>
          <w:rFonts w:ascii="Calibri" w:hAnsi="Calibri" w:cs="Calibri"/>
          <w:sz w:val="24"/>
          <w:szCs w:val="24"/>
          <w:u w:val="single"/>
        </w:rPr>
      </w:pPr>
      <w:r>
        <w:rPr>
          <w:rFonts w:ascii="Calibri" w:hAnsi="Calibri" w:cs="Calibri"/>
          <w:sz w:val="24"/>
          <w:szCs w:val="24"/>
          <w:u w:val="single"/>
        </w:rPr>
        <w:t>Challenges from International and Domestic Competitors</w:t>
      </w:r>
      <w:bookmarkEnd w:id="12"/>
    </w:p>
    <w:p w14:paraId="446457D0">
      <w:pPr>
        <w:jc w:val="both"/>
      </w:pPr>
    </w:p>
    <w:p w14:paraId="51A8D33E">
      <w:pPr>
        <w:pStyle w:val="7"/>
        <w:spacing w:line="360" w:lineRule="auto"/>
        <w:jc w:val="both"/>
        <w:rPr>
          <w:rFonts w:ascii="Calibri" w:hAnsi="Calibri" w:cs="Calibri"/>
          <w:lang w:val="en-GB"/>
        </w:rPr>
      </w:pPr>
      <w:r>
        <w:rPr>
          <w:rFonts w:ascii="Calibri" w:hAnsi="Calibri" w:cs="Calibri"/>
          <w:lang w:val="en-GB"/>
        </w:rPr>
        <w:t>EasyJet is in a highly competitive marketplace in the airline industry as result of globalisation and faces intense pressure from both international and domestic competitors. Both Ryanair in Europe and global powerhouses like Southwest in the US have similar low-cost carrier business models including low-cost flights. EasyJet operates in the main part of Europe, competing head on with Ryanair, Wizz Air, and other LCC on the capture of price sensitive consumers. It is also challenging as global alliances between airlines magnify the network reach of the competitors thereby making it difficult for EasyJet to sell an airline service that is differentiated only on cost.</w:t>
      </w:r>
    </w:p>
    <w:p w14:paraId="54BCD687">
      <w:pPr>
        <w:pStyle w:val="7"/>
        <w:spacing w:line="360" w:lineRule="auto"/>
        <w:jc w:val="both"/>
        <w:rPr>
          <w:rFonts w:ascii="Calibri" w:hAnsi="Calibri" w:cs="Calibri"/>
          <w:lang w:val="en-GB"/>
        </w:rPr>
      </w:pPr>
      <w:r>
        <w:rPr>
          <w:rFonts w:ascii="Calibri" w:hAnsi="Calibri" w:cs="Calibri"/>
          <w:lang w:val="en-GB"/>
        </w:rPr>
        <w:t>Secondly, the traditional full-service carriers (FSCs) are responding to this level of competition by starting their own budget brands or dropping fares to keep their market share. For example, British Airways and Lufthansa have both used moves to appeal to the wallet conscious traveler. Keeping operational efficiency meanwhile expanding the market presence in Europe, EasyJet faces the challenge to scale its markets differently than other global competitors (Bogoslov et al., 2022), leveraging economies of scale; therefore, EasyJet must always be very innovative and constantly optimise its cost structure in order to retain its place in the marketplace at a very low cost and stay viable for passengers both domestically and internationally.</w:t>
      </w:r>
    </w:p>
    <w:p w14:paraId="74CBAD39">
      <w:pPr>
        <w:pStyle w:val="3"/>
        <w:jc w:val="both"/>
        <w:rPr>
          <w:rFonts w:asciiTheme="minorHAnsi" w:hAnsiTheme="minorHAnsi" w:cstheme="minorHAnsi"/>
          <w:sz w:val="24"/>
          <w:szCs w:val="24"/>
          <w:u w:val="single"/>
        </w:rPr>
      </w:pPr>
      <w:bookmarkStart w:id="13" w:name="_Toc180506099"/>
      <w:r>
        <w:rPr>
          <w:rFonts w:asciiTheme="minorHAnsi" w:hAnsiTheme="minorHAnsi" w:cstheme="minorHAnsi"/>
          <w:b/>
          <w:bCs/>
          <w:sz w:val="24"/>
          <w:szCs w:val="24"/>
          <w:u w:val="single"/>
        </w:rPr>
        <w:t>3.4 Government Regulations:</w:t>
      </w:r>
      <w:r>
        <w:rPr>
          <w:rFonts w:asciiTheme="minorHAnsi" w:hAnsiTheme="minorHAnsi" w:cstheme="minorHAnsi"/>
          <w:sz w:val="24"/>
          <w:szCs w:val="24"/>
          <w:u w:val="single"/>
        </w:rPr>
        <w:t xml:space="preserve"> </w:t>
      </w:r>
    </w:p>
    <w:p w14:paraId="15D4BFB4">
      <w:pPr>
        <w:pStyle w:val="3"/>
        <w:jc w:val="both"/>
        <w:rPr>
          <w:rFonts w:asciiTheme="minorHAnsi" w:hAnsiTheme="minorHAnsi" w:cstheme="minorHAnsi"/>
          <w:sz w:val="24"/>
          <w:szCs w:val="24"/>
          <w:u w:val="single"/>
        </w:rPr>
      </w:pPr>
      <w:r>
        <w:rPr>
          <w:rFonts w:asciiTheme="minorHAnsi" w:hAnsiTheme="minorHAnsi" w:cstheme="minorHAnsi"/>
          <w:sz w:val="24"/>
          <w:szCs w:val="24"/>
          <w:u w:val="single"/>
        </w:rPr>
        <w:t>Influence of New Policies and Environmental Regulations</w:t>
      </w:r>
      <w:bookmarkEnd w:id="13"/>
      <w:r>
        <w:rPr>
          <w:rFonts w:asciiTheme="minorHAnsi" w:hAnsiTheme="minorHAnsi" w:cstheme="minorHAnsi"/>
          <w:sz w:val="24"/>
          <w:szCs w:val="24"/>
          <w:u w:val="single"/>
        </w:rPr>
        <w:t xml:space="preserve"> </w:t>
      </w:r>
    </w:p>
    <w:p w14:paraId="19E08919">
      <w:pPr>
        <w:pStyle w:val="7"/>
        <w:spacing w:line="360" w:lineRule="auto"/>
        <w:jc w:val="both"/>
        <w:rPr>
          <w:rFonts w:ascii="Calibri" w:hAnsi="Calibri" w:cs="Calibri"/>
          <w:lang w:val="en-GB"/>
        </w:rPr>
      </w:pPr>
      <w:r>
        <w:rPr>
          <w:rFonts w:ascii="Calibri" w:hAnsi="Calibri" w:cs="Calibri"/>
          <w:lang w:val="en-GB"/>
        </w:rPr>
        <w:t>Its operational environment is very much shaped by government regulations and especially, its environmental policies in the European aviation sector are very rigorous. Airlines are subject to pressure by the European Green Deal, the initiative that intends to cut carbon emissions and promote sustainability. This framework includes the Carbon Emissions Trading System (ETS) which mandates that airlines within Europe purchase allowances for the carbon they are responsible for and create costal financial burdens it may add on airlines’ profit margins. Particularly, these regulations also motivate innovation, as EasyJet is investing in the more fuel-efficient aircraft and researching on sustainable aviation fuels (Lahiri and Symeonidis, 2017)</w:t>
      </w:r>
    </w:p>
    <w:p w14:paraId="55F83D7A">
      <w:pPr>
        <w:pStyle w:val="7"/>
        <w:spacing w:line="360" w:lineRule="auto"/>
        <w:jc w:val="both"/>
        <w:rPr>
          <w:rFonts w:ascii="Calibri" w:hAnsi="Calibri" w:cs="Calibri"/>
          <w:lang w:val="en-GB"/>
        </w:rPr>
      </w:pPr>
      <w:r>
        <w:rPr>
          <w:rFonts w:ascii="Calibri" w:hAnsi="Calibri" w:cs="Calibri"/>
          <w:lang w:val="en-GB"/>
        </w:rPr>
        <w:t>The aviation industry has to comply with complex environmental regulations, but also to safety, security and consumer protection regulations. After Brexit, EasyJet has become more operationally complex, having to set up a separate legal entity in Austria to keep its EU airline rights, but it`s increased administrative cost and compliance issues as a result. These are too high of a cost, plus, they dictate that EasyJet has to change its business model to match government policy but still remain competitive in the market (Desombre, 2000).</w:t>
      </w:r>
    </w:p>
    <w:p w14:paraId="31AA442C">
      <w:pPr>
        <w:pStyle w:val="2"/>
        <w:spacing w:line="360" w:lineRule="auto"/>
        <w:jc w:val="both"/>
        <w:rPr>
          <w:rFonts w:ascii="Calibri" w:hAnsi="Calibri" w:cs="Calibri"/>
          <w:b/>
          <w:bCs/>
          <w:lang w:val="en-GB"/>
        </w:rPr>
      </w:pPr>
      <w:bookmarkStart w:id="14" w:name="_Toc180506100"/>
      <w:r>
        <w:rPr>
          <w:b/>
          <w:bCs/>
          <w:lang w:val="en-GB"/>
        </w:rPr>
        <w:t>4</w:t>
      </w:r>
      <w:r>
        <w:rPr>
          <w:rFonts w:ascii="Calibri" w:hAnsi="Calibri" w:cs="Calibri"/>
          <w:b/>
          <w:bCs/>
          <w:lang w:val="en-GB"/>
        </w:rPr>
        <w:t>. Change Management Models and Theories in Practice</w:t>
      </w:r>
      <w:bookmarkEnd w:id="14"/>
      <w:r>
        <w:rPr>
          <w:rFonts w:ascii="Calibri" w:hAnsi="Calibri" w:cs="Calibri"/>
          <w:b/>
          <w:bCs/>
          <w:lang w:val="en-GB"/>
        </w:rPr>
        <w:t xml:space="preserve"> </w:t>
      </w:r>
    </w:p>
    <w:p w14:paraId="356F4D88">
      <w:pPr>
        <w:pStyle w:val="3"/>
        <w:spacing w:line="360" w:lineRule="auto"/>
        <w:jc w:val="both"/>
        <w:rPr>
          <w:rFonts w:ascii="Calibri" w:hAnsi="Calibri" w:cs="Calibri"/>
          <w:u w:val="single"/>
        </w:rPr>
      </w:pPr>
      <w:bookmarkStart w:id="15" w:name="_Toc180506101"/>
      <w:r>
        <w:rPr>
          <w:rFonts w:ascii="Calibri" w:hAnsi="Calibri" w:cs="Calibri"/>
          <w:b/>
          <w:bCs/>
          <w:u w:val="single"/>
        </w:rPr>
        <w:t>4.1 Lewin’s Change Model:</w:t>
      </w:r>
      <w:r>
        <w:rPr>
          <w:rFonts w:ascii="Calibri" w:hAnsi="Calibri" w:cs="Calibri"/>
          <w:u w:val="single"/>
        </w:rPr>
        <w:t xml:space="preserve"> </w:t>
      </w:r>
    </w:p>
    <w:p w14:paraId="6C06218D">
      <w:pPr>
        <w:pStyle w:val="3"/>
        <w:spacing w:line="360" w:lineRule="auto"/>
        <w:jc w:val="both"/>
        <w:rPr>
          <w:u w:val="single"/>
        </w:rPr>
      </w:pPr>
      <w:r>
        <w:rPr>
          <w:rFonts w:ascii="Calibri" w:hAnsi="Calibri" w:cs="Calibri"/>
          <w:u w:val="single"/>
        </w:rPr>
        <w:t>Application to EasyJet’s Digital Shift</w:t>
      </w:r>
      <w:bookmarkEnd w:id="15"/>
      <w:r>
        <w:rPr>
          <w:u w:val="single"/>
        </w:rPr>
        <w:t xml:space="preserve"> </w:t>
      </w:r>
    </w:p>
    <w:p w14:paraId="424C8FC0">
      <w:pPr>
        <w:pStyle w:val="7"/>
        <w:spacing w:line="360" w:lineRule="auto"/>
        <w:jc w:val="both"/>
        <w:rPr>
          <w:rFonts w:ascii="Calibri" w:hAnsi="Calibri" w:cs="Calibri"/>
          <w:lang w:val="en-GB"/>
        </w:rPr>
      </w:pPr>
      <w:r>
        <w:rPr>
          <w:rFonts w:ascii="Calibri" w:hAnsi="Calibri" w:cs="Calibri"/>
          <w:lang w:val="en-GB"/>
        </w:rPr>
        <w:t>Lewin’s Change Model is both simple and powerful at the same time, a model which clearly helps one understand and apply organizational change. The model consists of three stages: Change, Unfreeze and Refreeze. Within the context of EasyJet’s digital transformation, the Unfreeze phase is one of defining the need for digital innovation for the organization to be competitive moving forward. The communication of need for change to employees, as well as dealing with possible resistance.</w:t>
      </w:r>
    </w:p>
    <w:p w14:paraId="0E33930B">
      <w:pPr>
        <w:pStyle w:val="7"/>
        <w:spacing w:line="360" w:lineRule="auto"/>
        <w:jc w:val="both"/>
        <w:rPr>
          <w:rFonts w:ascii="Calibri" w:hAnsi="Calibri" w:cs="Calibri"/>
          <w:lang w:val="en-GB"/>
        </w:rPr>
      </w:pPr>
      <w:r>
        <w:rPr>
          <w:rFonts w:ascii="Calibri" w:hAnsi="Calibri" w:cs="Calibri"/>
          <w:lang w:val="en-GB"/>
        </w:rPr>
        <w:t>A Change phase would be the digitalization of automation as well as artificial intelligence in customer engagement and the operational processes. At this stage EasyJet embraced mobile apps, automated check in and predictive maintenance systems.</w:t>
      </w:r>
    </w:p>
    <w:p w14:paraId="0F0D4B2E">
      <w:pPr>
        <w:pStyle w:val="7"/>
        <w:spacing w:line="360" w:lineRule="auto"/>
        <w:jc w:val="both"/>
        <w:rPr>
          <w:rFonts w:ascii="Calibri" w:hAnsi="Calibri" w:cs="Calibri"/>
          <w:lang w:val="en-GB"/>
        </w:rPr>
      </w:pPr>
      <w:r>
        <w:rPr>
          <w:rFonts w:ascii="Calibri" w:hAnsi="Calibri" w:cs="Calibri"/>
          <w:lang w:val="en-GB"/>
        </w:rPr>
        <w:t>The Refreeze stage is where we solidify these changes into the organization’s culture. By integrating digital technologies into the heart of their operations, embedding them into the core, EasyJet has managed to refreeze and ensure their employees are trained and committed to maintaining these innovations over the long haul (Bogoslov et al., 2022).</w:t>
      </w:r>
    </w:p>
    <w:p w14:paraId="4AD05CE6">
      <w:pPr>
        <w:pStyle w:val="3"/>
        <w:jc w:val="both"/>
        <w:rPr>
          <w:rFonts w:ascii="Calibri" w:hAnsi="Calibri" w:cs="Calibri"/>
          <w:sz w:val="24"/>
          <w:szCs w:val="24"/>
          <w:u w:val="single"/>
        </w:rPr>
      </w:pPr>
      <w:bookmarkStart w:id="16" w:name="_Toc180506102"/>
      <w:r>
        <w:rPr>
          <w:rFonts w:ascii="Calibri" w:hAnsi="Calibri" w:cs="Calibri"/>
          <w:b/>
          <w:bCs/>
          <w:sz w:val="24"/>
          <w:szCs w:val="24"/>
          <w:u w:val="single"/>
        </w:rPr>
        <w:t>4.2 Kotter’s 8-Step Process</w:t>
      </w:r>
      <w:r>
        <w:rPr>
          <w:rFonts w:ascii="Calibri" w:hAnsi="Calibri" w:cs="Calibri"/>
          <w:sz w:val="24"/>
          <w:szCs w:val="24"/>
          <w:u w:val="single"/>
        </w:rPr>
        <w:t xml:space="preserve">: </w:t>
      </w:r>
    </w:p>
    <w:p w14:paraId="62862701">
      <w:pPr>
        <w:pStyle w:val="3"/>
        <w:jc w:val="both"/>
        <w:rPr>
          <w:rFonts w:ascii="Calibri" w:hAnsi="Calibri" w:cs="Calibri"/>
          <w:sz w:val="24"/>
          <w:szCs w:val="24"/>
          <w:u w:val="single"/>
        </w:rPr>
      </w:pPr>
      <w:r>
        <w:rPr>
          <w:rFonts w:ascii="Calibri" w:hAnsi="Calibri" w:cs="Calibri"/>
          <w:sz w:val="24"/>
          <w:szCs w:val="24"/>
          <w:u w:val="single"/>
        </w:rPr>
        <w:t>Structuring EasyJet’s Change Initiatives</w:t>
      </w:r>
      <w:bookmarkEnd w:id="16"/>
      <w:r>
        <w:rPr>
          <w:rFonts w:ascii="Calibri" w:hAnsi="Calibri" w:cs="Calibri"/>
          <w:sz w:val="24"/>
          <w:szCs w:val="24"/>
          <w:u w:val="single"/>
        </w:rPr>
        <w:t xml:space="preserve"> </w:t>
      </w:r>
    </w:p>
    <w:p w14:paraId="45080406">
      <w:pPr>
        <w:pStyle w:val="7"/>
        <w:spacing w:line="360" w:lineRule="auto"/>
        <w:jc w:val="both"/>
        <w:rPr>
          <w:rFonts w:ascii="Calibri" w:hAnsi="Calibri" w:cs="Calibri"/>
          <w:lang w:val="en-GB"/>
        </w:rPr>
      </w:pPr>
      <w:r>
        <w:rPr>
          <w:rFonts w:ascii="Calibri" w:hAnsi="Calibri" w:cs="Calibri"/>
          <w:lang w:val="en-GB"/>
        </w:rPr>
        <w:t>John Kotter’s 8 Step Process is the most well-known for structured change management. With this model as a guide, EasyJet can now see how it should digitally transform. Creating a sense of urgency might be done in alignment with market pressures of competitors and the need to be digitally innovative. This allows for Build a guiding coalition by pulling together a team of digital and managerial experts to lead the transformation.</w:t>
      </w:r>
    </w:p>
    <w:p w14:paraId="5F8F2CAD">
      <w:pPr>
        <w:pStyle w:val="7"/>
        <w:spacing w:line="360" w:lineRule="auto"/>
        <w:jc w:val="both"/>
        <w:rPr>
          <w:rFonts w:ascii="Calibri" w:hAnsi="Calibri" w:cs="Calibri"/>
          <w:lang w:val="en-GB"/>
        </w:rPr>
      </w:pPr>
      <w:r>
        <w:rPr>
          <w:rFonts w:ascii="Calibri" w:hAnsi="Calibri" w:cs="Calibri"/>
          <w:lang w:val="en-GB"/>
        </w:rPr>
        <w:t>A strategic vision would form so that EasyJet’s leadership could define clear goals for the digital shift. Automating and improving customer experience or increasing operation efficiency might be an example of this. For buy in and lowering resistance to the vision, it’s crucial that you communicate the vision to employees and stakeholders.</w:t>
      </w:r>
    </w:p>
    <w:p w14:paraId="12B1C22A">
      <w:pPr>
        <w:pStyle w:val="7"/>
        <w:spacing w:line="360" w:lineRule="auto"/>
        <w:jc w:val="both"/>
        <w:rPr>
          <w:rFonts w:ascii="Calibri" w:hAnsi="Calibri" w:cs="Calibri"/>
          <w:lang w:val="en-GB"/>
        </w:rPr>
      </w:pPr>
      <w:r>
        <w:rPr>
          <w:rFonts w:ascii="Calibri" w:hAnsi="Calibri" w:cs="Calibri"/>
          <w:lang w:val="en-GB"/>
        </w:rPr>
        <w:t>EasyJet completes the final steps to generate short term wins and anchor the change in corporate culture by ensuring that EasyJet endorse the use of digital tools through celebration of milestones and incorporation of digital competency as core part of its culture (Hayes and Richardson, 2008).</w:t>
      </w:r>
    </w:p>
    <w:p w14:paraId="0191E308">
      <w:pPr>
        <w:pStyle w:val="3"/>
        <w:jc w:val="both"/>
        <w:rPr>
          <w:rFonts w:ascii="Calibri" w:hAnsi="Calibri" w:cs="Calibri"/>
          <w:sz w:val="24"/>
          <w:szCs w:val="24"/>
        </w:rPr>
      </w:pPr>
      <w:bookmarkStart w:id="17" w:name="_Toc180506103"/>
      <w:r>
        <w:rPr>
          <w:rFonts w:ascii="Calibri" w:hAnsi="Calibri" w:cs="Calibri"/>
          <w:b/>
          <w:bCs/>
          <w:sz w:val="24"/>
          <w:szCs w:val="24"/>
          <w:u w:val="single"/>
        </w:rPr>
        <w:t>4.3 McKinsey’s 7-S Framework:</w:t>
      </w:r>
      <w:r>
        <w:rPr>
          <w:rFonts w:ascii="Calibri" w:hAnsi="Calibri" w:cs="Calibri"/>
          <w:sz w:val="24"/>
          <w:szCs w:val="24"/>
        </w:rPr>
        <w:t xml:space="preserve"> </w:t>
      </w:r>
    </w:p>
    <w:p w14:paraId="3EF6818F">
      <w:pPr>
        <w:pStyle w:val="3"/>
        <w:jc w:val="both"/>
        <w:rPr>
          <w:rFonts w:ascii="Calibri" w:hAnsi="Calibri" w:cs="Calibri"/>
        </w:rPr>
      </w:pPr>
      <w:r>
        <w:rPr>
          <w:rFonts w:ascii="Calibri" w:hAnsi="Calibri" w:cs="Calibri"/>
          <w:sz w:val="24"/>
          <w:szCs w:val="24"/>
          <w:u w:val="single"/>
        </w:rPr>
        <w:t>Alignment of Strategy, Systems, and Structure</w:t>
      </w:r>
      <w:bookmarkEnd w:id="17"/>
      <w:r>
        <w:rPr>
          <w:rFonts w:ascii="Calibri" w:hAnsi="Calibri" w:cs="Calibri"/>
          <w:sz w:val="24"/>
          <w:szCs w:val="24"/>
        </w:rPr>
        <w:t xml:space="preserve"> </w:t>
      </w:r>
    </w:p>
    <w:p w14:paraId="3B888E54">
      <w:pPr>
        <w:pStyle w:val="7"/>
        <w:spacing w:line="360" w:lineRule="auto"/>
        <w:jc w:val="both"/>
        <w:rPr>
          <w:rFonts w:ascii="Calibri" w:hAnsi="Calibri" w:cs="Calibri"/>
          <w:lang w:val="en-GB"/>
        </w:rPr>
      </w:pPr>
      <w:r>
        <w:rPr>
          <w:rFonts w:ascii="Calibri" w:hAnsi="Calibri" w:cs="Calibri"/>
          <w:lang w:val="en-GB"/>
        </w:rPr>
        <w:t>McKinsey’s 7-S Framework offers a holistic approach to organisational change by focusing on seven key elements: Strategy, Structure, Systems, Shared Values, Style, Staff and Skills. Strategy for the case of EasyJet entails adoption of digital transformation to improve efficiency and competitiveness. This strategy needs to have structure that evolves to support this by aligning leadership roles and teams with the digital focus.</w:t>
      </w:r>
    </w:p>
    <w:p w14:paraId="00C91292">
      <w:pPr>
        <w:pStyle w:val="7"/>
        <w:spacing w:line="360" w:lineRule="auto"/>
        <w:jc w:val="both"/>
        <w:rPr>
          <w:rFonts w:ascii="Calibri" w:hAnsi="Calibri" w:cs="Calibri"/>
          <w:lang w:val="en-GB"/>
        </w:rPr>
      </w:pPr>
      <w:r>
        <w:rPr>
          <w:rFonts w:ascii="Calibri" w:hAnsi="Calibri" w:cs="Calibri"/>
          <w:lang w:val="en-GB"/>
        </w:rPr>
        <w:t>Critical for the company’s digital initiatives are systems, like IT infrastructure and customer service platforms. The EasyJet Shared Values have to incorporate innovation and the Style of leadership should be flexible and supportive of change.</w:t>
      </w:r>
    </w:p>
    <w:p w14:paraId="0FEB4FA7">
      <w:pPr>
        <w:pStyle w:val="7"/>
        <w:spacing w:line="360" w:lineRule="auto"/>
        <w:jc w:val="both"/>
        <w:rPr>
          <w:rFonts w:ascii="Calibri" w:hAnsi="Calibri" w:cs="Calibri"/>
          <w:lang w:val="en-GB"/>
        </w:rPr>
      </w:pPr>
      <w:r>
        <w:rPr>
          <w:rFonts w:ascii="Calibri" w:hAnsi="Calibri" w:cs="Calibri"/>
          <w:lang w:val="en-GB"/>
        </w:rPr>
        <w:t>Staff and skills both matters. Due to increasing use of new technologies and the changing environment, for EasyJet, this means the company needs to invest in staff training for the new technology and having the right talent to drive innovation. EasyJet can align these elements in order for its digital transformation to be sustainable (Harvey and Turnbull, 2006)</w:t>
      </w:r>
    </w:p>
    <w:p w14:paraId="0E7500EE">
      <w:pPr>
        <w:pStyle w:val="2"/>
        <w:spacing w:line="360" w:lineRule="auto"/>
        <w:jc w:val="both"/>
        <w:rPr>
          <w:rFonts w:ascii="Calibri" w:hAnsi="Calibri" w:cs="Calibri"/>
          <w:b/>
          <w:bCs/>
          <w:sz w:val="28"/>
          <w:szCs w:val="28"/>
          <w:lang w:val="en-GB"/>
        </w:rPr>
      </w:pPr>
      <w:bookmarkStart w:id="18" w:name="_Toc180506104"/>
      <w:r>
        <w:rPr>
          <w:rFonts w:ascii="Calibri" w:hAnsi="Calibri" w:cs="Calibri"/>
          <w:b/>
          <w:bCs/>
          <w:sz w:val="28"/>
          <w:szCs w:val="28"/>
          <w:lang w:val="en-GB"/>
        </w:rPr>
        <w:t>4.2 Evaluation of Strategic Change</w:t>
      </w:r>
      <w:bookmarkEnd w:id="18"/>
    </w:p>
    <w:p w14:paraId="5526C083">
      <w:pPr>
        <w:pStyle w:val="3"/>
        <w:spacing w:line="360" w:lineRule="auto"/>
        <w:jc w:val="both"/>
        <w:rPr>
          <w:rFonts w:ascii="Calibri" w:hAnsi="Calibri" w:cs="Calibri"/>
          <w:b/>
          <w:bCs/>
          <w:u w:val="single"/>
        </w:rPr>
      </w:pPr>
      <w:bookmarkStart w:id="19" w:name="_Toc180506105"/>
      <w:r>
        <w:rPr>
          <w:rFonts w:ascii="Calibri" w:hAnsi="Calibri" w:cs="Calibri"/>
          <w:b/>
          <w:bCs/>
          <w:u w:val="single"/>
        </w:rPr>
        <w:t>4.2.1 Technology Integration:</w:t>
      </w:r>
    </w:p>
    <w:p w14:paraId="3E93324A">
      <w:pPr>
        <w:pStyle w:val="3"/>
        <w:spacing w:line="360" w:lineRule="auto"/>
        <w:jc w:val="both"/>
        <w:rPr>
          <w:rFonts w:ascii="Calibri" w:hAnsi="Calibri" w:cs="Calibri"/>
          <w:u w:val="single"/>
        </w:rPr>
      </w:pPr>
      <w:r>
        <w:rPr>
          <w:rFonts w:ascii="Calibri" w:hAnsi="Calibri" w:cs="Calibri"/>
          <w:u w:val="single"/>
        </w:rPr>
        <w:t xml:space="preserve"> Role of Leadership in Managing Technological Changes</w:t>
      </w:r>
      <w:bookmarkEnd w:id="19"/>
      <w:r>
        <w:rPr>
          <w:rFonts w:ascii="Calibri" w:hAnsi="Calibri" w:cs="Calibri"/>
          <w:u w:val="single"/>
        </w:rPr>
        <w:t xml:space="preserve"> </w:t>
      </w:r>
    </w:p>
    <w:p w14:paraId="0DCED3D7">
      <w:pPr>
        <w:pStyle w:val="7"/>
        <w:spacing w:line="360" w:lineRule="auto"/>
        <w:jc w:val="both"/>
        <w:rPr>
          <w:rFonts w:ascii="Calibri" w:hAnsi="Calibri" w:cs="Calibri"/>
          <w:lang w:val="en-GB"/>
        </w:rPr>
      </w:pPr>
      <w:r>
        <w:rPr>
          <w:rFonts w:ascii="Calibri" w:hAnsi="Calibri" w:cs="Calibri"/>
          <w:lang w:val="en-GB"/>
        </w:rPr>
        <w:t>Because of the EasyJet case, technology integration is a crucial element in organisational change. Since there is a lot technology in these changes their management needs the role of leadership. Especially in this context, transformational leadership is effective as it encourages employees to accept taking part in technological progression (Ağ, 2019). A leadership must be enabling of innovation and having resilience to all of the disruption that comes along with doing digital.</w:t>
      </w:r>
    </w:p>
    <w:p w14:paraId="3DF39158">
      <w:pPr>
        <w:pStyle w:val="7"/>
        <w:spacing w:line="360" w:lineRule="auto"/>
        <w:jc w:val="both"/>
        <w:rPr>
          <w:rFonts w:ascii="Calibri" w:hAnsi="Calibri" w:cs="Calibri"/>
          <w:lang w:val="en-GB"/>
        </w:rPr>
      </w:pPr>
      <w:r>
        <w:rPr>
          <w:rFonts w:ascii="Calibri" w:hAnsi="Calibri" w:cs="Calibri"/>
          <w:lang w:val="en-GB"/>
        </w:rPr>
        <w:t>In the case of Easy Jet, customer engagement technologies and AI as well as predictive maintenance technologies were successfully integrated, in large part, due to strong leadership driving the change on the organization. By creating a clear vision and engaging employees at every level, EasyJet set the stage for its operations to align with its digital goals to implement new technologies with the smoothness (Euchner, 2013). Success was based on leadership's ability to communicate the value of these changes, and to deliver the resources that supported them.</w:t>
      </w:r>
    </w:p>
    <w:p w14:paraId="0A48BC15">
      <w:pPr>
        <w:pStyle w:val="3"/>
        <w:jc w:val="both"/>
        <w:rPr>
          <w:rFonts w:ascii="Calibri" w:hAnsi="Calibri" w:cs="Calibri"/>
          <w:sz w:val="24"/>
          <w:szCs w:val="24"/>
          <w:u w:val="single"/>
        </w:rPr>
      </w:pPr>
      <w:bookmarkStart w:id="20" w:name="_Toc180506106"/>
      <w:r>
        <w:rPr>
          <w:rFonts w:ascii="Calibri" w:hAnsi="Calibri" w:cs="Calibri"/>
          <w:b/>
          <w:bCs/>
          <w:sz w:val="24"/>
          <w:szCs w:val="24"/>
          <w:u w:val="single"/>
        </w:rPr>
        <w:t>4.2.2 Leadership Styles:</w:t>
      </w:r>
      <w:r>
        <w:rPr>
          <w:rFonts w:ascii="Calibri" w:hAnsi="Calibri" w:cs="Calibri"/>
          <w:sz w:val="24"/>
          <w:szCs w:val="24"/>
          <w:u w:val="single"/>
        </w:rPr>
        <w:t xml:space="preserve"> </w:t>
      </w:r>
    </w:p>
    <w:p w14:paraId="441BABA5">
      <w:pPr>
        <w:pStyle w:val="3"/>
        <w:jc w:val="both"/>
        <w:rPr>
          <w:rFonts w:ascii="Calibri" w:hAnsi="Calibri" w:cs="Calibri"/>
          <w:sz w:val="24"/>
          <w:szCs w:val="24"/>
          <w:u w:val="single"/>
        </w:rPr>
      </w:pPr>
      <w:r>
        <w:rPr>
          <w:rFonts w:ascii="Calibri" w:hAnsi="Calibri" w:cs="Calibri"/>
          <w:sz w:val="24"/>
          <w:szCs w:val="24"/>
          <w:u w:val="single"/>
        </w:rPr>
        <w:t>Critical Analysis of Leadership Styles</w:t>
      </w:r>
      <w:bookmarkEnd w:id="20"/>
      <w:r>
        <w:rPr>
          <w:rFonts w:ascii="Calibri" w:hAnsi="Calibri" w:cs="Calibri"/>
          <w:sz w:val="24"/>
          <w:szCs w:val="24"/>
          <w:u w:val="single"/>
        </w:rPr>
        <w:t xml:space="preserve"> </w:t>
      </w:r>
    </w:p>
    <w:p w14:paraId="7E67F280">
      <w:pPr>
        <w:pStyle w:val="7"/>
        <w:spacing w:line="360" w:lineRule="auto"/>
        <w:jc w:val="both"/>
        <w:rPr>
          <w:rFonts w:ascii="Calibri" w:hAnsi="Calibri" w:cs="Calibri"/>
          <w:lang w:val="en-GB"/>
        </w:rPr>
      </w:pPr>
      <w:r>
        <w:rPr>
          <w:rFonts w:ascii="Calibri" w:hAnsi="Calibri" w:cs="Calibri"/>
          <w:lang w:val="en-GB"/>
        </w:rPr>
        <w:t>Strategic changes are largely successful if the leadership has the appropriate leadership style. Transformational leader was identified as particularly powerful in managing organisational transitions, particularly in technology driven environments (Korbi, 2015). A style of leadership that promotes a culture of collaboration and trust is necessary as EasyJet navigates complex changes like these, and is an important culture when many team members have an impact on a single project.</w:t>
      </w:r>
    </w:p>
    <w:p w14:paraId="74CF0452">
      <w:pPr>
        <w:pStyle w:val="7"/>
        <w:spacing w:line="360" w:lineRule="auto"/>
        <w:jc w:val="both"/>
        <w:rPr>
          <w:rFonts w:ascii="Calibri" w:hAnsi="Calibri" w:cs="Calibri"/>
          <w:lang w:val="en-GB"/>
        </w:rPr>
      </w:pPr>
      <w:r>
        <w:rPr>
          <w:rFonts w:ascii="Calibri" w:hAnsi="Calibri" w:cs="Calibri"/>
          <w:lang w:val="en-GB"/>
        </w:rPr>
        <w:t>However, situational leadership is a flexible approach to an inappropriate leadership style being adapted to the particular needs of the organization as well as employees at a certain point in time. Situational leadership may have been useful for EasyJet in particular for the way it addressed different types of operational and cultural challenge through its repositioning from a more traditional business model to a technology based one. The adaptability of this leadership style assures us that the level of leadership guidance given to the team is adequate for their readiness to accept change (Bogoslovskaya, 2012).</w:t>
      </w:r>
    </w:p>
    <w:p w14:paraId="2F447CB7">
      <w:pPr>
        <w:pStyle w:val="3"/>
        <w:jc w:val="both"/>
      </w:pPr>
    </w:p>
    <w:p w14:paraId="706F15A6">
      <w:pPr>
        <w:pStyle w:val="3"/>
        <w:jc w:val="both"/>
        <w:rPr>
          <w:rFonts w:ascii="Calibri" w:hAnsi="Calibri" w:cs="Calibri"/>
          <w:sz w:val="24"/>
          <w:szCs w:val="24"/>
          <w:u w:val="single"/>
        </w:rPr>
      </w:pPr>
      <w:bookmarkStart w:id="21" w:name="_Toc180506107"/>
      <w:r>
        <w:rPr>
          <w:rFonts w:ascii="Calibri" w:hAnsi="Calibri" w:cs="Calibri"/>
          <w:b/>
          <w:bCs/>
          <w:sz w:val="24"/>
          <w:szCs w:val="24"/>
          <w:u w:val="single"/>
        </w:rPr>
        <w:t>4.2.3 Internal and External Triggers:</w:t>
      </w:r>
      <w:r>
        <w:rPr>
          <w:rFonts w:ascii="Calibri" w:hAnsi="Calibri" w:cs="Calibri"/>
          <w:sz w:val="24"/>
          <w:szCs w:val="24"/>
          <w:u w:val="single"/>
        </w:rPr>
        <w:t xml:space="preserve"> </w:t>
      </w:r>
    </w:p>
    <w:p w14:paraId="71714594">
      <w:pPr>
        <w:pStyle w:val="3"/>
        <w:jc w:val="both"/>
        <w:rPr>
          <w:rFonts w:ascii="Calibri" w:hAnsi="Calibri" w:cs="Calibri"/>
          <w:sz w:val="24"/>
          <w:szCs w:val="24"/>
          <w:u w:val="single"/>
        </w:rPr>
      </w:pPr>
      <w:r>
        <w:rPr>
          <w:rFonts w:ascii="Calibri" w:hAnsi="Calibri" w:cs="Calibri"/>
          <w:sz w:val="24"/>
          <w:szCs w:val="24"/>
          <w:u w:val="single"/>
        </w:rPr>
        <w:t>Identifying and Responding to Triggers for Change</w:t>
      </w:r>
      <w:bookmarkEnd w:id="21"/>
      <w:r>
        <w:rPr>
          <w:rFonts w:ascii="Calibri" w:hAnsi="Calibri" w:cs="Calibri"/>
          <w:sz w:val="24"/>
          <w:szCs w:val="24"/>
          <w:u w:val="single"/>
        </w:rPr>
        <w:t xml:space="preserve"> </w:t>
      </w:r>
    </w:p>
    <w:p w14:paraId="456D8DA9">
      <w:pPr>
        <w:pStyle w:val="7"/>
        <w:spacing w:line="360" w:lineRule="auto"/>
        <w:jc w:val="both"/>
        <w:rPr>
          <w:rFonts w:ascii="Calibri" w:hAnsi="Calibri" w:cs="Calibri"/>
          <w:lang w:val="en-GB"/>
        </w:rPr>
      </w:pPr>
      <w:r>
        <w:rPr>
          <w:rFonts w:ascii="Calibri" w:hAnsi="Calibri" w:cs="Calibri"/>
          <w:lang w:val="en-GB"/>
        </w:rPr>
        <w:t>Internal and external factors are the triggers for organisational change. In the case of EasyJet, although there were both external triggers and also internal triggers such as competitive pressure from other low-cost carriers, technological advancement, and regulatory changes have led the company to undertake a major digital transformation. To cope with all these external challenges, easyJet invested in automation, strengthening customer service capabilities and taking up environmentally friendly practices in accordance with the new rules (Lofquist, 2011).</w:t>
      </w:r>
    </w:p>
    <w:p w14:paraId="16E06B1B">
      <w:pPr>
        <w:pStyle w:val="7"/>
        <w:spacing w:line="360" w:lineRule="auto"/>
        <w:jc w:val="both"/>
        <w:rPr>
          <w:rFonts w:ascii="Calibri" w:hAnsi="Calibri" w:cs="Calibri"/>
          <w:lang w:val="en-GB"/>
        </w:rPr>
      </w:pPr>
      <w:r>
        <w:rPr>
          <w:rFonts w:ascii="Calibri" w:hAnsi="Calibri" w:cs="Calibri"/>
          <w:lang w:val="en-GB"/>
        </w:rPr>
        <w:t>Also, triggers of transformation happened internally with changes of leadership and changes of corporate strategy. For example, EasyJet’s imperative on internal cost-saving and operational efficiency led to adopting more streamlined ways. Based on these triggers, EasyJet has been able to identify them and respond with strategic initiatives to allow it to maintain its position as a leader among low-cost airline market so as to be adaptable in a fast-changing business evironment (Boateng, 2020).</w:t>
      </w:r>
    </w:p>
    <w:p w14:paraId="12687CEB">
      <w:pPr>
        <w:pStyle w:val="2"/>
        <w:spacing w:line="360" w:lineRule="auto"/>
        <w:jc w:val="both"/>
        <w:rPr>
          <w:rFonts w:ascii="Calibri" w:hAnsi="Calibri" w:cs="Calibri"/>
          <w:b/>
          <w:bCs/>
          <w:sz w:val="28"/>
          <w:szCs w:val="28"/>
          <w:lang w:val="en-GB"/>
        </w:rPr>
      </w:pPr>
      <w:bookmarkStart w:id="22" w:name="_Toc180506108"/>
      <w:r>
        <w:rPr>
          <w:rFonts w:ascii="Calibri" w:hAnsi="Calibri" w:cs="Calibri"/>
          <w:b/>
          <w:bCs/>
          <w:sz w:val="28"/>
          <w:szCs w:val="28"/>
          <w:lang w:val="en-GB"/>
        </w:rPr>
        <w:t>5. IMPACT OF ORGANISATIONAL CULTURE ON CHANGE</w:t>
      </w:r>
      <w:bookmarkEnd w:id="22"/>
      <w:r>
        <w:rPr>
          <w:rFonts w:ascii="Calibri" w:hAnsi="Calibri" w:cs="Calibri"/>
          <w:b/>
          <w:bCs/>
          <w:sz w:val="28"/>
          <w:szCs w:val="28"/>
          <w:lang w:val="en-GB"/>
        </w:rPr>
        <w:t xml:space="preserve"> </w:t>
      </w:r>
    </w:p>
    <w:p w14:paraId="1FB3E4A9">
      <w:pPr>
        <w:pStyle w:val="3"/>
        <w:spacing w:line="360" w:lineRule="auto"/>
        <w:jc w:val="both"/>
        <w:rPr>
          <w:rFonts w:ascii="Calibri" w:hAnsi="Calibri" w:cs="Calibri"/>
          <w:sz w:val="24"/>
          <w:szCs w:val="24"/>
          <w:u w:val="single"/>
        </w:rPr>
      </w:pPr>
      <w:bookmarkStart w:id="23" w:name="_Toc180506109"/>
      <w:r>
        <w:rPr>
          <w:rFonts w:ascii="Calibri" w:hAnsi="Calibri" w:cs="Calibri"/>
          <w:b/>
          <w:bCs/>
          <w:sz w:val="24"/>
          <w:szCs w:val="24"/>
          <w:u w:val="single"/>
        </w:rPr>
        <w:t>5.1 Organisational Culture at EasyJet:</w:t>
      </w:r>
      <w:r>
        <w:rPr>
          <w:rFonts w:ascii="Calibri" w:hAnsi="Calibri" w:cs="Calibri"/>
          <w:sz w:val="24"/>
          <w:szCs w:val="24"/>
          <w:u w:val="single"/>
        </w:rPr>
        <w:t xml:space="preserve"> </w:t>
      </w:r>
    </w:p>
    <w:p w14:paraId="4D8CF4D3">
      <w:pPr>
        <w:pStyle w:val="3"/>
        <w:spacing w:line="360" w:lineRule="auto"/>
        <w:jc w:val="both"/>
        <w:rPr>
          <w:rFonts w:ascii="Calibri" w:hAnsi="Calibri" w:cs="Calibri"/>
          <w:sz w:val="24"/>
          <w:szCs w:val="24"/>
          <w:u w:val="single"/>
        </w:rPr>
      </w:pPr>
      <w:r>
        <w:rPr>
          <w:rFonts w:ascii="Calibri" w:hAnsi="Calibri" w:cs="Calibri"/>
          <w:sz w:val="24"/>
          <w:szCs w:val="24"/>
          <w:u w:val="single"/>
        </w:rPr>
        <w:t>How the Company's Culture Affects Change Initiatives</w:t>
      </w:r>
      <w:bookmarkEnd w:id="23"/>
      <w:r>
        <w:rPr>
          <w:rFonts w:ascii="Calibri" w:hAnsi="Calibri" w:cs="Calibri"/>
          <w:sz w:val="24"/>
          <w:szCs w:val="24"/>
          <w:u w:val="single"/>
        </w:rPr>
        <w:t xml:space="preserve"> </w:t>
      </w:r>
    </w:p>
    <w:p w14:paraId="3D783A7F">
      <w:pPr>
        <w:pStyle w:val="7"/>
        <w:spacing w:line="360" w:lineRule="auto"/>
        <w:jc w:val="both"/>
        <w:rPr>
          <w:rFonts w:ascii="Calibri" w:hAnsi="Calibri" w:cs="Calibri"/>
          <w:lang w:val="en-GB"/>
        </w:rPr>
      </w:pPr>
      <w:r>
        <w:rPr>
          <w:rFonts w:ascii="Calibri" w:hAnsi="Calibri" w:cs="Calibri"/>
          <w:lang w:val="en-GB"/>
        </w:rPr>
        <w:t>The success of change initiatives within a company depends on organization’s culture. Low-cost airlines, such as EasyJet, are particularly dependent on the organizational culture and consequentially the set values of cheapness, efficiency and flexibility to ensure the highest competitive edge. The foundation of EasyJet’s change initiatives, in particular in their digital transformation, has been easyJet’s culture of operational excellence and service.</w:t>
      </w:r>
    </w:p>
    <w:p w14:paraId="4868DCAC">
      <w:pPr>
        <w:pStyle w:val="7"/>
        <w:spacing w:line="360" w:lineRule="auto"/>
        <w:jc w:val="both"/>
        <w:rPr>
          <w:rFonts w:ascii="Calibri" w:hAnsi="Calibri" w:cs="Calibri"/>
          <w:lang w:val="en-GB"/>
        </w:rPr>
      </w:pPr>
      <w:r>
        <w:rPr>
          <w:rFonts w:ascii="Calibri" w:hAnsi="Calibri" w:cs="Calibri"/>
          <w:lang w:val="en-GB"/>
        </w:rPr>
        <w:t>Change is encouraged in EasyJet’s culture, and when it comes to technological integrations, as during changes to the way it improves customer service and operational efficiency, change is there, so to speak. But the slippery slope of emphasizing low costs could also help foster a culture that is wary of big changes that demand a big investment. Often, however, this tension slows the change when introducing new technologies that may first impose operational costs (Ogbonna and Harris, 2014).</w:t>
      </w:r>
    </w:p>
    <w:p w14:paraId="5327DD00">
      <w:pPr>
        <w:pStyle w:val="7"/>
        <w:spacing w:line="360" w:lineRule="auto"/>
        <w:jc w:val="both"/>
        <w:rPr>
          <w:rFonts w:ascii="Calibri" w:hAnsi="Calibri" w:cs="Calibri"/>
          <w:lang w:val="en-GB"/>
        </w:rPr>
      </w:pPr>
      <w:r>
        <w:rPr>
          <w:rFonts w:ascii="Calibri" w:hAnsi="Calibri" w:cs="Calibri"/>
          <w:lang w:val="en-GB"/>
        </w:rPr>
        <w:t>Additionally, EasyJet’s organisational culture supports continuous improvement and innovation, enabling it to meet industry challenges of fluctuating fuel prices and economic uncertainty. Promoting transparency and collaboration among the employees helps the company’s leadership leverage its existing culture to drive change initiatives. Despite this however, the pace of cultural adaptation can be slower than structural changes, and needs ongoing reinforcement to change initiatives (Bernardo, 2014).</w:t>
      </w:r>
    </w:p>
    <w:p w14:paraId="793CFF66">
      <w:pPr>
        <w:pStyle w:val="3"/>
        <w:rPr>
          <w:rFonts w:ascii="Calibri" w:hAnsi="Calibri" w:cs="Calibri"/>
          <w:sz w:val="24"/>
          <w:szCs w:val="24"/>
          <w:u w:val="single"/>
        </w:rPr>
      </w:pPr>
      <w:bookmarkStart w:id="24" w:name="_Toc180506110"/>
      <w:r>
        <w:rPr>
          <w:rFonts w:ascii="Calibri" w:hAnsi="Calibri" w:cs="Calibri"/>
          <w:b/>
          <w:bCs/>
          <w:sz w:val="24"/>
          <w:szCs w:val="24"/>
          <w:u w:val="single"/>
        </w:rPr>
        <w:t>5.2 Cultural Resistance:</w:t>
      </w:r>
      <w:r>
        <w:rPr>
          <w:rFonts w:ascii="Calibri" w:hAnsi="Calibri" w:cs="Calibri"/>
          <w:sz w:val="24"/>
          <w:szCs w:val="24"/>
          <w:u w:val="single"/>
        </w:rPr>
        <w:t xml:space="preserve"> </w:t>
      </w:r>
    </w:p>
    <w:p w14:paraId="7986276E">
      <w:pPr>
        <w:pStyle w:val="3"/>
        <w:rPr>
          <w:rFonts w:ascii="Calibri" w:hAnsi="Calibri" w:cs="Calibri"/>
          <w:sz w:val="24"/>
          <w:szCs w:val="24"/>
          <w:u w:val="single"/>
        </w:rPr>
      </w:pPr>
      <w:r>
        <w:rPr>
          <w:rFonts w:ascii="Calibri" w:hAnsi="Calibri" w:cs="Calibri"/>
          <w:sz w:val="24"/>
          <w:szCs w:val="24"/>
          <w:u w:val="single"/>
        </w:rPr>
        <w:t>Analysis of Resistance Encountered During Change and How it was Addressed</w:t>
      </w:r>
      <w:bookmarkEnd w:id="24"/>
      <w:r>
        <w:rPr>
          <w:rFonts w:ascii="Calibri" w:hAnsi="Calibri" w:cs="Calibri"/>
          <w:sz w:val="24"/>
          <w:szCs w:val="24"/>
          <w:u w:val="single"/>
        </w:rPr>
        <w:t xml:space="preserve"> </w:t>
      </w:r>
    </w:p>
    <w:p w14:paraId="6BAEFDAF">
      <w:pPr>
        <w:pStyle w:val="7"/>
        <w:spacing w:line="360" w:lineRule="auto"/>
        <w:jc w:val="both"/>
        <w:rPr>
          <w:rFonts w:ascii="Calibri" w:hAnsi="Calibri" w:cs="Calibri"/>
          <w:lang w:val="en-GB"/>
        </w:rPr>
      </w:pPr>
      <w:r>
        <w:rPr>
          <w:rFonts w:ascii="Calibri" w:hAnsi="Calibri" w:cs="Calibri"/>
          <w:lang w:val="en-GB"/>
        </w:rPr>
        <w:t>One of the common challenges when it relates to rolling out of organisational changes is cultural resistance, and it is particularly common when the changes involved affect entrenched practices. Cultural resistance has emerged at EasyJet, when some of its digital transformation efforts have become thwarted notably within employees who might be wary of the automation of customer relations or operational functions. Often, this resistance comes from a fear of job displacement and a reluctance to implement new technologies, to which generate a feeling of uncertainty with staff.</w:t>
      </w:r>
    </w:p>
    <w:p w14:paraId="33472194">
      <w:pPr>
        <w:pStyle w:val="7"/>
        <w:spacing w:line="360" w:lineRule="auto"/>
        <w:jc w:val="both"/>
        <w:rPr>
          <w:rFonts w:ascii="Calibri" w:hAnsi="Calibri" w:cs="Calibri"/>
          <w:lang w:val="en-GB"/>
        </w:rPr>
      </w:pPr>
      <w:r>
        <w:rPr>
          <w:rFonts w:ascii="Calibri" w:hAnsi="Calibri" w:cs="Calibri"/>
          <w:lang w:val="en-GB"/>
        </w:rPr>
        <w:t>In order to overcome this resistance, EasyJet’s leadership has used tactics to promote inclusivity and open communication. For example, employees across different levels were engaged at various stages of the change decision making process for them to own the change initiative. EasyJet has been able to attack some of the resistance such as its digital transformation (Iraz and Efeoğlu, 2023) by building up a guiding coalition of leaders and key stakeholders.</w:t>
      </w:r>
    </w:p>
    <w:p w14:paraId="4AE0001C">
      <w:pPr>
        <w:pStyle w:val="7"/>
        <w:spacing w:line="360" w:lineRule="auto"/>
        <w:jc w:val="both"/>
        <w:rPr>
          <w:rFonts w:ascii="Calibri" w:hAnsi="Calibri" w:cs="Calibri"/>
          <w:lang w:val="en-GB"/>
        </w:rPr>
      </w:pPr>
      <w:r>
        <w:rPr>
          <w:rFonts w:ascii="Calibri" w:hAnsi="Calibri" w:cs="Calibri"/>
          <w:lang w:val="en-GB"/>
        </w:rPr>
        <w:t>And EasyJet is investing in training and upskilling programs to ensure employees are ready to work with new technologies. This not only decreases resistance but increases adaptability by the workforce for future changes. Thus, the values of the company were aligned with the change initiatives making it easier for both maintaining operational efficiency (Ogbonna and Harris, 2014) and at the same time reinforcing culture to be open to innovation.</w:t>
      </w:r>
    </w:p>
    <w:p w14:paraId="5BC50180">
      <w:pPr>
        <w:pStyle w:val="3"/>
        <w:rPr>
          <w:rFonts w:ascii="Calibri" w:hAnsi="Calibri" w:cs="Calibri"/>
          <w:sz w:val="24"/>
          <w:szCs w:val="24"/>
          <w:u w:val="single"/>
        </w:rPr>
      </w:pPr>
      <w:bookmarkStart w:id="25" w:name="_Toc180506111"/>
      <w:r>
        <w:rPr>
          <w:rStyle w:val="12"/>
          <w:rFonts w:ascii="Calibri" w:hAnsi="Calibri" w:cs="Calibri"/>
          <w:b/>
          <w:bCs/>
          <w:sz w:val="24"/>
          <w:szCs w:val="24"/>
          <w:u w:val="single"/>
        </w:rPr>
        <w:t>5.3 Strategies to Manage Culture:</w:t>
      </w:r>
      <w:r>
        <w:rPr>
          <w:rFonts w:ascii="Calibri" w:hAnsi="Calibri" w:cs="Calibri"/>
          <w:sz w:val="24"/>
          <w:szCs w:val="24"/>
          <w:u w:val="single"/>
        </w:rPr>
        <w:t xml:space="preserve"> </w:t>
      </w:r>
    </w:p>
    <w:p w14:paraId="2365159D">
      <w:pPr>
        <w:pStyle w:val="3"/>
        <w:rPr>
          <w:rFonts w:ascii="Calibri" w:hAnsi="Calibri" w:cs="Calibri"/>
          <w:sz w:val="24"/>
          <w:szCs w:val="24"/>
          <w:u w:val="single"/>
        </w:rPr>
      </w:pPr>
      <w:r>
        <w:rPr>
          <w:rFonts w:ascii="Calibri" w:hAnsi="Calibri" w:cs="Calibri"/>
          <w:sz w:val="24"/>
          <w:szCs w:val="24"/>
          <w:u w:val="single"/>
        </w:rPr>
        <w:t>Leadership's Role in Overcoming Resistance through Engagement and Communication</w:t>
      </w:r>
      <w:bookmarkEnd w:id="25"/>
      <w:r>
        <w:rPr>
          <w:rFonts w:ascii="Calibri" w:hAnsi="Calibri" w:cs="Calibri"/>
          <w:sz w:val="24"/>
          <w:szCs w:val="24"/>
          <w:u w:val="single"/>
        </w:rPr>
        <w:t xml:space="preserve"> </w:t>
      </w:r>
    </w:p>
    <w:p w14:paraId="1EFF3E7F">
      <w:pPr>
        <w:pStyle w:val="7"/>
        <w:spacing w:line="360" w:lineRule="auto"/>
        <w:jc w:val="both"/>
        <w:rPr>
          <w:rFonts w:ascii="Calibri" w:hAnsi="Calibri" w:cs="Calibri"/>
          <w:lang w:val="en-GB"/>
        </w:rPr>
      </w:pPr>
      <w:r>
        <w:rPr>
          <w:rFonts w:ascii="Calibri" w:hAnsi="Calibri" w:cs="Calibri"/>
          <w:lang w:val="en-GB"/>
        </w:rPr>
        <w:t>Closely related to managing organisational culture, leadership has a vital role in overcoming resistance to change. In both EasyJet and in many other organizations, the leadership strategies used to address cultural resistance through engagement and clear communication. Change leaders help employees perceive the need for change and how that would align with the company’s goals. Such a culture will lead to an environment that welcomes transformation instead of opposing it (Bryman, 1989).</w:t>
      </w:r>
    </w:p>
    <w:p w14:paraId="410D474F">
      <w:pPr>
        <w:pStyle w:val="7"/>
        <w:spacing w:line="360" w:lineRule="auto"/>
        <w:jc w:val="both"/>
        <w:rPr>
          <w:rFonts w:ascii="Calibri" w:hAnsi="Calibri" w:cs="Calibri"/>
          <w:lang w:val="en-GB"/>
        </w:rPr>
      </w:pPr>
      <w:r>
        <w:rPr>
          <w:rFonts w:ascii="Calibri" w:hAnsi="Calibri" w:cs="Calibri"/>
          <w:lang w:val="en-GB"/>
        </w:rPr>
        <w:t>Leadership at EasyJet use one of the most effective tools at their disposal in managing change resistance effective communication. Leaders create open channels of communication and thereby clarify doubts, dispel misinformation and foster transparency throughout change process. These builds trust among employees and alleviates the anxiety of change amongst employees. In addition, engaging employees becomes another way, through mechanisms such as feedback or collaborative platforms, to create engagement by involving employees in the decision-making process.</w:t>
      </w:r>
    </w:p>
    <w:p w14:paraId="35756BE1">
      <w:pPr>
        <w:pStyle w:val="7"/>
        <w:spacing w:line="360" w:lineRule="auto"/>
        <w:jc w:val="both"/>
        <w:rPr>
          <w:rFonts w:ascii="Calibri" w:hAnsi="Calibri" w:cs="Calibri"/>
          <w:lang w:val="en-GB"/>
        </w:rPr>
      </w:pPr>
      <w:r>
        <w:rPr>
          <w:rFonts w:ascii="Calibri" w:hAnsi="Calibri" w:cs="Calibri"/>
          <w:lang w:val="en-GB"/>
        </w:rPr>
        <w:t>Engagement strategy also use by leaders to establish a sense of shared vision for the future that speaks to employees’ values and the future long-term objectives of the company. When leaders equip employees with positive change outcomes and offer continued support, they can help align employees with company goals as well as establishing a culture that is able to withstand change (Howard and Ulferts, 2017).</w:t>
      </w:r>
    </w:p>
    <w:p w14:paraId="4903D878">
      <w:pPr>
        <w:pStyle w:val="2"/>
        <w:spacing w:line="360" w:lineRule="auto"/>
        <w:jc w:val="both"/>
        <w:rPr>
          <w:rFonts w:ascii="Calibri" w:hAnsi="Calibri" w:cs="Calibri"/>
          <w:b/>
          <w:bCs/>
          <w:sz w:val="28"/>
          <w:szCs w:val="28"/>
          <w:lang w:val="en-GB"/>
        </w:rPr>
      </w:pPr>
      <w:bookmarkStart w:id="26" w:name="_Toc180506112"/>
      <w:r>
        <w:rPr>
          <w:rFonts w:ascii="Calibri" w:hAnsi="Calibri" w:cs="Calibri"/>
          <w:b/>
          <w:bCs/>
          <w:sz w:val="28"/>
          <w:szCs w:val="28"/>
          <w:lang w:val="en-GB"/>
        </w:rPr>
        <w:t>6. PROPOSED CHANGE MANAGEMENT PLAN FOR EASYJET</w:t>
      </w:r>
      <w:bookmarkEnd w:id="26"/>
    </w:p>
    <w:p w14:paraId="33944F75">
      <w:pPr>
        <w:pStyle w:val="3"/>
        <w:spacing w:line="360" w:lineRule="auto"/>
        <w:jc w:val="both"/>
        <w:rPr>
          <w:rFonts w:ascii="Calibri" w:hAnsi="Calibri" w:cs="Calibri"/>
        </w:rPr>
      </w:pPr>
      <w:bookmarkStart w:id="27" w:name="_Toc180506113"/>
      <w:r>
        <w:rPr>
          <w:rFonts w:ascii="Calibri" w:hAnsi="Calibri" w:cs="Calibri"/>
          <w:b/>
          <w:bCs/>
          <w:sz w:val="24"/>
          <w:szCs w:val="24"/>
          <w:u w:val="single"/>
        </w:rPr>
        <w:t>6.1 Proposed Strategic Change:</w:t>
      </w:r>
      <w:r>
        <w:rPr>
          <w:rFonts w:ascii="Calibri" w:hAnsi="Calibri" w:cs="Calibri"/>
          <w:sz w:val="24"/>
          <w:szCs w:val="24"/>
          <w:u w:val="single"/>
        </w:rPr>
        <w:t xml:space="preserve"> </w:t>
      </w:r>
      <w:r>
        <w:rPr>
          <w:rFonts w:ascii="Calibri" w:hAnsi="Calibri" w:cs="Calibri"/>
          <w:u w:val="single"/>
        </w:rPr>
        <w:t>Digital Customer Experience</w:t>
      </w:r>
      <w:bookmarkEnd w:id="27"/>
      <w:r>
        <w:rPr>
          <w:rFonts w:ascii="Calibri" w:hAnsi="Calibri" w:cs="Calibri"/>
        </w:rPr>
        <w:t xml:space="preserve"> </w:t>
      </w:r>
    </w:p>
    <w:p w14:paraId="4AEC5F1F">
      <w:pPr>
        <w:pStyle w:val="7"/>
        <w:spacing w:line="360" w:lineRule="auto"/>
        <w:jc w:val="both"/>
        <w:rPr>
          <w:rFonts w:ascii="Calibri" w:hAnsi="Calibri" w:cs="Calibri"/>
          <w:lang w:val="en-GB"/>
        </w:rPr>
      </w:pPr>
      <w:r>
        <w:rPr>
          <w:rFonts w:ascii="Calibri" w:hAnsi="Calibri" w:cs="Calibri"/>
          <w:lang w:val="en-GB"/>
        </w:rPr>
        <w:t>Strategic change proposed for EasyJet is a major digitalisation of its customer experience. Customer expectations evolve every day and airlines have to adapt with more personalised and seamless digital services. Emerging technologies like artificial intelligence (AI) and automation provide easyJet with the tools they can use to make their mobile applications and websites interface more friendly by tailoring the experience to the wants and needs of the customer based on their travel history.</w:t>
      </w:r>
    </w:p>
    <w:p w14:paraId="67E5E648">
      <w:pPr>
        <w:pStyle w:val="7"/>
        <w:spacing w:line="360" w:lineRule="auto"/>
        <w:jc w:val="both"/>
        <w:rPr>
          <w:rFonts w:ascii="Calibri" w:hAnsi="Calibri" w:cs="Calibri"/>
          <w:lang w:val="en-GB"/>
        </w:rPr>
      </w:pPr>
      <w:r>
        <w:rPr>
          <w:rFonts w:ascii="Calibri" w:hAnsi="Calibri" w:cs="Calibri"/>
          <w:lang w:val="en-GB"/>
        </w:rPr>
        <w:t>Not only would this digital transformation improve operational processes while enhancing customer satisfaction, but it would also make life easier overall for everyone working in the company. Say, using AI powered chatbots for customer service and predictive analytics for ticket pricing helps in making the overall booking experience more effective, reduce wait time and provide an option for customer to manage their travel efficiently. These initiatives align with EasyJet's commitment to operational efficiency and customer-centricity, providing a modern digital solution to stay competitive in the low-cost airline industry (Bekbossynova and Bekniyazov, 2020).</w:t>
      </w:r>
    </w:p>
    <w:p w14:paraId="79C0373D">
      <w:pPr>
        <w:pStyle w:val="3"/>
        <w:jc w:val="both"/>
        <w:rPr>
          <w:sz w:val="24"/>
          <w:szCs w:val="24"/>
          <w:u w:val="single"/>
        </w:rPr>
      </w:pPr>
      <w:bookmarkStart w:id="28" w:name="_Toc180506114"/>
      <w:r>
        <w:rPr>
          <w:rFonts w:ascii="Calibri" w:hAnsi="Calibri" w:cs="Calibri"/>
          <w:b/>
          <w:bCs/>
          <w:sz w:val="24"/>
          <w:szCs w:val="24"/>
          <w:u w:val="single"/>
        </w:rPr>
        <w:t>6.2 Financial Plan</w:t>
      </w:r>
      <w:r>
        <w:rPr>
          <w:rFonts w:ascii="Calibri" w:hAnsi="Calibri" w:cs="Calibri"/>
          <w:sz w:val="24"/>
          <w:szCs w:val="24"/>
          <w:u w:val="single"/>
        </w:rPr>
        <w:t>: Cost Estimation, Potential ROI, and Financial Benefits</w:t>
      </w:r>
      <w:bookmarkEnd w:id="28"/>
      <w:r>
        <w:rPr>
          <w:sz w:val="24"/>
          <w:szCs w:val="24"/>
          <w:u w:val="single"/>
        </w:rPr>
        <w:t xml:space="preserve"> </w:t>
      </w:r>
    </w:p>
    <w:p w14:paraId="49B741FF">
      <w:pPr>
        <w:pStyle w:val="7"/>
        <w:spacing w:line="360" w:lineRule="auto"/>
        <w:jc w:val="both"/>
        <w:rPr>
          <w:rFonts w:ascii="Calibri" w:hAnsi="Calibri" w:cs="Calibri"/>
          <w:lang w:val="en-GB"/>
        </w:rPr>
      </w:pPr>
      <w:r>
        <w:rPr>
          <w:rFonts w:ascii="Calibri" w:hAnsi="Calibri" w:cs="Calibri"/>
          <w:lang w:val="en-GB"/>
        </w:rPr>
        <w:t>Both short term investments and long-term gains are included within the financial plan for the proposed digital customer experience enhancement. EasyJet's digital infrastructure to accommodate AI and automation will initially cost about £50 million, including technological upgrades, AI integration and staff training. But returns on investment (ROI) should be high, with savings of £15 million each year on a reduction in customer service-related costs and efficiency improvements (Pronchakov et al., 2022) .</w:t>
      </w:r>
    </w:p>
    <w:p w14:paraId="166BB9FE">
      <w:pPr>
        <w:pStyle w:val="7"/>
        <w:spacing w:line="360" w:lineRule="auto"/>
        <w:jc w:val="both"/>
        <w:rPr>
          <w:rFonts w:ascii="Calibri" w:hAnsi="Calibri" w:cs="Calibri"/>
          <w:lang w:val="en-GB"/>
        </w:rPr>
      </w:pPr>
      <w:r>
        <w:rPr>
          <w:rFonts w:ascii="Calibri" w:hAnsi="Calibri" w:cs="Calibri"/>
          <w:lang w:val="en-GB"/>
        </w:rPr>
        <w:t>Beyond the cost savings, the improved digital experience should improve customer retention and satisfaction, driving a 10% lift in year one and two of ticket sales. These streamlined customer service processes will also mean quicker responses and fewer disruptions, and make EasyJet more operationally resilient altogether. EasyJet has been positioned as a leader in digital innovation within the airline industry due to the fact that the long-term financial benefits of this transformation will offset the initial costs many times over (Ladera-Mejia et al., 2022).</w:t>
      </w:r>
    </w:p>
    <w:p w14:paraId="51B59CB6">
      <w:pPr>
        <w:pStyle w:val="3"/>
        <w:jc w:val="both"/>
        <w:rPr>
          <w:rFonts w:ascii="Calibri" w:hAnsi="Calibri" w:cs="Calibri"/>
          <w:sz w:val="24"/>
          <w:szCs w:val="24"/>
          <w:u w:val="single"/>
        </w:rPr>
      </w:pPr>
      <w:bookmarkStart w:id="29" w:name="_Toc180506115"/>
      <w:r>
        <w:rPr>
          <w:rFonts w:ascii="Calibri" w:hAnsi="Calibri" w:cs="Calibri"/>
          <w:sz w:val="24"/>
          <w:szCs w:val="24"/>
          <w:u w:val="single"/>
        </w:rPr>
        <w:t>6.3 Communication Plan</w:t>
      </w:r>
      <w:bookmarkEnd w:id="29"/>
      <w:r>
        <w:rPr>
          <w:rFonts w:ascii="Calibri" w:hAnsi="Calibri" w:cs="Calibri"/>
          <w:sz w:val="24"/>
          <w:szCs w:val="24"/>
          <w:u w:val="single"/>
        </w:rPr>
        <w:t xml:space="preserve"> </w:t>
      </w:r>
    </w:p>
    <w:p w14:paraId="1FB0F087">
      <w:pPr>
        <w:pStyle w:val="7"/>
        <w:spacing w:line="360" w:lineRule="auto"/>
        <w:jc w:val="both"/>
        <w:rPr>
          <w:rFonts w:ascii="Calibri" w:hAnsi="Calibri" w:cs="Calibri"/>
          <w:lang w:val="en-GB"/>
        </w:rPr>
      </w:pPr>
      <w:r>
        <w:rPr>
          <w:rFonts w:ascii="Calibri" w:hAnsi="Calibri" w:cs="Calibri"/>
          <w:lang w:val="en-GB"/>
        </w:rPr>
        <w:t>An important element of EasyJet’s proposed change management plan is that it should be carried out successfully with effective communication. The company needs to be transparent across all its communication channels inside and outside the organisation to facilitate smooth implementation.</w:t>
      </w:r>
    </w:p>
    <w:p w14:paraId="62082868">
      <w:pPr>
        <w:pStyle w:val="7"/>
        <w:numPr>
          <w:ilvl w:val="0"/>
          <w:numId w:val="1"/>
        </w:numPr>
        <w:spacing w:line="360" w:lineRule="auto"/>
        <w:jc w:val="both"/>
        <w:rPr>
          <w:rFonts w:ascii="Calibri" w:hAnsi="Calibri" w:cs="Calibri"/>
          <w:lang w:val="en-GB"/>
        </w:rPr>
      </w:pPr>
      <w:r>
        <w:rPr>
          <w:rFonts w:ascii="Calibri" w:hAnsi="Calibri" w:cs="Calibri"/>
          <w:b/>
          <w:bCs/>
          <w:lang w:val="en-GB"/>
        </w:rPr>
        <w:t>Internal Communication:</w:t>
      </w:r>
      <w:r>
        <w:rPr>
          <w:rFonts w:ascii="Calibri" w:hAnsi="Calibri" w:cs="Calibri"/>
          <w:lang w:val="en-GB"/>
        </w:rPr>
        <w:t xml:space="preserve"> Inside, EasyJet should on this basis give a prime location to free interaction in between the leadership group and employees, a culture of transparency. But regular emails, internal newsletters or team meetings can keep you up to date. And not least, set up a dedicated internal platform for employees to ask questions, give feedback, and track progress, so everyone’s focused on the change objectives. Town hall meetings should be led by leadership to share the benefits of change, set clear time lines, and even dispel employee concerns. It will help decrease resistance and increase engagement (Bateh et al., 2013).</w:t>
      </w:r>
    </w:p>
    <w:p w14:paraId="6E0314EA">
      <w:pPr>
        <w:pStyle w:val="7"/>
        <w:numPr>
          <w:ilvl w:val="0"/>
          <w:numId w:val="1"/>
        </w:numPr>
        <w:spacing w:line="360" w:lineRule="auto"/>
        <w:jc w:val="both"/>
        <w:rPr>
          <w:rFonts w:ascii="Calibri" w:hAnsi="Calibri" w:cs="Calibri"/>
          <w:lang w:val="en-GB"/>
        </w:rPr>
      </w:pPr>
      <w:r>
        <w:rPr>
          <w:rFonts w:ascii="Calibri" w:hAnsi="Calibri" w:cs="Calibri"/>
          <w:b/>
          <w:bCs/>
          <w:lang w:val="en-GB"/>
        </w:rPr>
        <w:t xml:space="preserve">External Communication: </w:t>
      </w:r>
      <w:r>
        <w:rPr>
          <w:rFonts w:ascii="Calibri" w:hAnsi="Calibri" w:cs="Calibri"/>
          <w:lang w:val="en-GB"/>
        </w:rPr>
        <w:t>EasyJet then needs to send out clear, consistent and constant messages with the customer and stakeholders externally. Digital channels such as the company website, social media and customer service channels all offer the possibility to achieve this. Having transparency in managing customer expectations will be key, and regular updates from how the digital transformation will improve their experience must be shared with them. Unsurprisingly, all the communication resulting from the change process is consistent and it helps to build trust and guarantee positive brand image (Nwagbara, 2011).</w:t>
      </w:r>
    </w:p>
    <w:p w14:paraId="725D5A7F">
      <w:pPr>
        <w:pStyle w:val="3"/>
        <w:jc w:val="both"/>
        <w:rPr>
          <w:rFonts w:ascii="Calibri" w:hAnsi="Calibri" w:cs="Calibri"/>
          <w:sz w:val="24"/>
          <w:szCs w:val="24"/>
          <w:u w:val="single"/>
        </w:rPr>
      </w:pPr>
      <w:bookmarkStart w:id="30" w:name="_Toc180506116"/>
      <w:r>
        <w:rPr>
          <w:rFonts w:ascii="Calibri" w:hAnsi="Calibri" w:cs="Calibri"/>
          <w:sz w:val="24"/>
          <w:szCs w:val="24"/>
          <w:u w:val="single"/>
        </w:rPr>
        <w:t>6.4 Evaluation Plan</w:t>
      </w:r>
      <w:bookmarkEnd w:id="30"/>
      <w:r>
        <w:rPr>
          <w:rFonts w:ascii="Calibri" w:hAnsi="Calibri" w:cs="Calibri"/>
          <w:sz w:val="24"/>
          <w:szCs w:val="24"/>
          <w:u w:val="single"/>
        </w:rPr>
        <w:t xml:space="preserve"> </w:t>
      </w:r>
    </w:p>
    <w:p w14:paraId="0265BFF6">
      <w:pPr>
        <w:autoSpaceDE w:val="0"/>
        <w:autoSpaceDN w:val="0"/>
        <w:adjustRightInd w:val="0"/>
        <w:spacing w:line="360" w:lineRule="auto"/>
        <w:jc w:val="both"/>
        <w:rPr>
          <w:rFonts w:ascii="Calibri" w:hAnsi="Calibri" w:cs="Calibri"/>
          <w:kern w:val="0"/>
          <w:sz w:val="24"/>
          <w:szCs w:val="24"/>
        </w:rPr>
      </w:pPr>
      <w:r>
        <w:rPr>
          <w:rFonts w:ascii="Calibri" w:hAnsi="Calibri" w:cs="Calibri"/>
          <w:kern w:val="0"/>
          <w:sz w:val="24"/>
          <w:szCs w:val="24"/>
        </w:rPr>
        <w:t>To measure the success of the proposed digital transformation, EasyJet needs a robust evaluation plan that includes key performance indicators (KPIs), feedback mechanisms, and regular progress reviews.</w:t>
      </w:r>
    </w:p>
    <w:p w14:paraId="46850E47">
      <w:pPr>
        <w:pStyle w:val="7"/>
        <w:numPr>
          <w:ilvl w:val="0"/>
          <w:numId w:val="2"/>
        </w:numPr>
        <w:spacing w:line="360" w:lineRule="auto"/>
        <w:jc w:val="both"/>
        <w:rPr>
          <w:rFonts w:ascii="Calibri" w:hAnsi="Calibri" w:cs="Calibri"/>
          <w:lang w:val="en-GB"/>
        </w:rPr>
      </w:pPr>
      <w:r>
        <w:rPr>
          <w:rFonts w:ascii="Calibri" w:hAnsi="Calibri" w:cs="Calibri"/>
          <w:b/>
          <w:bCs/>
          <w:lang w:val="en-GB"/>
        </w:rPr>
        <w:t>KPIs:</w:t>
      </w:r>
      <w:r>
        <w:rPr>
          <w:rFonts w:ascii="Calibri" w:hAnsi="Calibri" w:cs="Calibri"/>
          <w:lang w:val="en-GB"/>
        </w:rPr>
        <w:t xml:space="preserve"> Therefore, certain key metrics should concentrate on customer satisfaction, operational efficiency and financial performance. Depending on the enterprise, specific KPIs could be customer satisfaction scores, website and mobile app engagement rates or reductions in operational costs through automation. EasyJet will able to monitor these KPIs to track the efficacy of the digital transformation and adjust strategies as and when needed (Pronchakov et al., 2022)</w:t>
      </w:r>
    </w:p>
    <w:p w14:paraId="79818D8F">
      <w:pPr>
        <w:pStyle w:val="7"/>
        <w:numPr>
          <w:ilvl w:val="0"/>
          <w:numId w:val="2"/>
        </w:numPr>
        <w:spacing w:line="360" w:lineRule="auto"/>
        <w:jc w:val="both"/>
        <w:rPr>
          <w:rFonts w:ascii="Calibri" w:hAnsi="Calibri" w:cs="Calibri"/>
          <w:lang w:val="en-GB"/>
        </w:rPr>
      </w:pPr>
      <w:r>
        <w:rPr>
          <w:rFonts w:ascii="Calibri" w:hAnsi="Calibri" w:cs="Calibri"/>
          <w:b/>
          <w:bCs/>
          <w:lang w:val="en-GB"/>
        </w:rPr>
        <w:t>Feedback Mechanisms</w:t>
      </w:r>
      <w:r>
        <w:rPr>
          <w:rFonts w:ascii="Calibri" w:hAnsi="Calibri" w:cs="Calibri"/>
          <w:lang w:val="en-GB"/>
        </w:rPr>
        <w:t>: Continuous improvement is based on coming up with feedback from both customers and employees. To better understand if the changes are being received well by customers and staff, it is easy for EasyJet to undertake employee surveys and customer feedback forms. This will be used to identify possible issues early and take a quick remedy action.</w:t>
      </w:r>
    </w:p>
    <w:p w14:paraId="7A20A9FF">
      <w:pPr>
        <w:pStyle w:val="7"/>
        <w:numPr>
          <w:ilvl w:val="0"/>
          <w:numId w:val="2"/>
        </w:numPr>
        <w:spacing w:line="360" w:lineRule="auto"/>
        <w:jc w:val="both"/>
        <w:rPr>
          <w:rFonts w:ascii="Calibri" w:hAnsi="Calibri" w:cs="Calibri"/>
          <w:lang w:val="en-GB"/>
        </w:rPr>
      </w:pPr>
      <w:r>
        <w:rPr>
          <w:rFonts w:ascii="Calibri" w:hAnsi="Calibri" w:cs="Calibri"/>
          <w:b/>
          <w:bCs/>
          <w:lang w:val="en-GB"/>
        </w:rPr>
        <w:t>Progress Reviews:</w:t>
      </w:r>
      <w:r>
        <w:rPr>
          <w:rFonts w:ascii="Calibri" w:hAnsi="Calibri" w:cs="Calibri"/>
          <w:lang w:val="en-GB"/>
        </w:rPr>
        <w:t xml:space="preserve"> The change initiative should be evaluated in total terms through regular progress reviews. In addition to these reviews, they should involve leadership, project managers and key stakeholders so that the transformation continues on track. Planned reviews are a monthly or quarterly assessment of the performance against KPIs, along with any feedback from the stakeholders, and tuning the plan to achieve long term success (Ladera-Mejia et al., 2022).</w:t>
      </w:r>
    </w:p>
    <w:p w14:paraId="0A2BA0B5">
      <w:pPr>
        <w:pStyle w:val="2"/>
        <w:spacing w:line="360" w:lineRule="auto"/>
        <w:jc w:val="both"/>
        <w:rPr>
          <w:rFonts w:ascii="Calibri" w:hAnsi="Calibri" w:cs="Calibri"/>
          <w:b/>
          <w:bCs/>
          <w:sz w:val="28"/>
          <w:szCs w:val="28"/>
          <w:lang w:val="en-GB"/>
        </w:rPr>
      </w:pPr>
      <w:bookmarkStart w:id="31" w:name="_Toc180506117"/>
      <w:r>
        <w:rPr>
          <w:rFonts w:ascii="Calibri" w:hAnsi="Calibri" w:cs="Calibri"/>
          <w:b/>
          <w:bCs/>
          <w:sz w:val="28"/>
          <w:szCs w:val="28"/>
          <w:lang w:val="en-GB"/>
        </w:rPr>
        <w:t>7. CRITICAL ANALYSIS OF CHANGE MANAGEMENT AT EASYJET</w:t>
      </w:r>
      <w:bookmarkEnd w:id="31"/>
      <w:r>
        <w:rPr>
          <w:rFonts w:ascii="Calibri" w:hAnsi="Calibri" w:cs="Calibri"/>
          <w:b/>
          <w:bCs/>
          <w:sz w:val="28"/>
          <w:szCs w:val="28"/>
          <w:lang w:val="en-GB"/>
        </w:rPr>
        <w:t xml:space="preserve"> </w:t>
      </w:r>
    </w:p>
    <w:p w14:paraId="46C0EA63">
      <w:pPr>
        <w:pStyle w:val="3"/>
        <w:spacing w:line="360" w:lineRule="auto"/>
        <w:jc w:val="both"/>
        <w:rPr>
          <w:rFonts w:ascii="Calibri" w:hAnsi="Calibri" w:cs="Calibri"/>
          <w:u w:val="single"/>
        </w:rPr>
      </w:pPr>
      <w:bookmarkStart w:id="32" w:name="_Toc180506118"/>
      <w:r>
        <w:rPr>
          <w:rFonts w:ascii="Calibri" w:hAnsi="Calibri" w:cs="Calibri"/>
          <w:u w:val="single"/>
        </w:rPr>
        <w:t>7.1 Analysis of Past Change Initiatives</w:t>
      </w:r>
      <w:bookmarkEnd w:id="32"/>
      <w:r>
        <w:rPr>
          <w:rFonts w:ascii="Calibri" w:hAnsi="Calibri" w:cs="Calibri"/>
          <w:u w:val="single"/>
        </w:rPr>
        <w:t xml:space="preserve"> </w:t>
      </w:r>
    </w:p>
    <w:p w14:paraId="058B5719">
      <w:pPr>
        <w:pStyle w:val="7"/>
        <w:spacing w:line="360" w:lineRule="auto"/>
        <w:jc w:val="both"/>
        <w:rPr>
          <w:rFonts w:ascii="Calibri" w:hAnsi="Calibri" w:cs="Calibri"/>
          <w:lang w:val="en-GB"/>
        </w:rPr>
      </w:pPr>
      <w:r>
        <w:rPr>
          <w:rFonts w:ascii="Calibri" w:hAnsi="Calibri" w:cs="Calibri"/>
          <w:lang w:val="en-GB"/>
        </w:rPr>
        <w:t>In recent years, EasyJet has undergone a lot of changes which have concentrated on three main focal areas: cost cutting and technological integration. The airline adopted a series of changes during the late 2000s in order to keep its position as a leading low-cost carrier. It also included online booking system and digitization of its business nation-wide using digital innovations. Additionally, just as easyJet replied to external pressures (environmental regulation, etc), it has implemented sustainable aviation strategies (carbon offset programs, looking into using more fuel-efficient aircraft, etc.)</w:t>
      </w:r>
    </w:p>
    <w:p w14:paraId="4D98FE0C">
      <w:pPr>
        <w:pStyle w:val="7"/>
        <w:spacing w:line="360" w:lineRule="auto"/>
        <w:jc w:val="both"/>
        <w:rPr>
          <w:rFonts w:ascii="Calibri" w:hAnsi="Calibri" w:cs="Calibri"/>
          <w:lang w:val="en-GB"/>
        </w:rPr>
      </w:pPr>
      <w:r>
        <w:rPr>
          <w:rFonts w:ascii="Calibri" w:hAnsi="Calibri" w:cs="Calibri"/>
          <w:lang w:val="en-GB"/>
        </w:rPr>
        <w:t>Experience from the post pandemic recovery was one of the EasyJet’s biggest transformations when the company restructured its work force and lessened some of its operations when travel led to less demand. The changes shown here were in response to the external pressures, but the airline was able to adapt to the changed market conditions. If easyJet has been able to succeed in achieving this goal it is because, despite occasional resistance, the company has been, relatively, successful in navigating organisational changes whilst leveraging a culture of operational efficiency (Harvey and Turnbull, 2006).</w:t>
      </w:r>
    </w:p>
    <w:p w14:paraId="2E6C1BE7">
      <w:pPr>
        <w:pStyle w:val="3"/>
        <w:jc w:val="both"/>
        <w:rPr>
          <w:rFonts w:ascii="Calibri" w:hAnsi="Calibri" w:cs="Calibri"/>
          <w:sz w:val="24"/>
          <w:szCs w:val="24"/>
          <w:u w:val="single"/>
        </w:rPr>
      </w:pPr>
      <w:bookmarkStart w:id="33" w:name="_Toc180506119"/>
      <w:r>
        <w:rPr>
          <w:rFonts w:ascii="Calibri" w:hAnsi="Calibri" w:cs="Calibri"/>
          <w:sz w:val="24"/>
          <w:szCs w:val="24"/>
          <w:u w:val="single"/>
        </w:rPr>
        <w:t>7.2 Comparison with Competitors</w:t>
      </w:r>
      <w:bookmarkEnd w:id="33"/>
      <w:r>
        <w:rPr>
          <w:rFonts w:ascii="Calibri" w:hAnsi="Calibri" w:cs="Calibri"/>
          <w:sz w:val="24"/>
          <w:szCs w:val="24"/>
          <w:u w:val="single"/>
        </w:rPr>
        <w:t xml:space="preserve"> </w:t>
      </w:r>
    </w:p>
    <w:p w14:paraId="007146F1">
      <w:pPr>
        <w:pStyle w:val="7"/>
        <w:spacing w:line="360" w:lineRule="auto"/>
        <w:jc w:val="both"/>
        <w:rPr>
          <w:rFonts w:ascii="Calibri" w:hAnsi="Calibri" w:cs="Calibri"/>
          <w:lang w:val="en-GB"/>
        </w:rPr>
      </w:pPr>
      <w:r>
        <w:rPr>
          <w:rFonts w:ascii="Calibri" w:hAnsi="Calibri" w:cs="Calibri"/>
          <w:lang w:val="en-GB"/>
        </w:rPr>
        <w:t>EasyJet has been a more active adopter of technology than the majority of its competitors when considering the change management strategies of change of its change management strategies. For example, EasyJet has kept a balance between cost cutting measures on one hand and customer experience on the other, while Ryanair has concentrated on simply cut cost while losing customer quests. Having leaned into mobile apps and AI for customer engagement, EasyJet is able to offer a more seamless experience to its customers than its peers are.</w:t>
      </w:r>
    </w:p>
    <w:p w14:paraId="03AD76FD">
      <w:pPr>
        <w:pStyle w:val="7"/>
        <w:spacing w:line="360" w:lineRule="auto"/>
        <w:jc w:val="both"/>
        <w:rPr>
          <w:rFonts w:ascii="Calibri" w:hAnsi="Calibri" w:cs="Calibri"/>
          <w:lang w:val="en-GB"/>
        </w:rPr>
      </w:pPr>
      <w:r>
        <w:rPr>
          <w:rFonts w:ascii="Calibri" w:hAnsi="Calibri" w:cs="Calibri"/>
          <w:lang w:val="en-GB"/>
        </w:rPr>
        <w:t>For example, British Airways, a full-service airline, has shifted significantly, thanks to the COVID-19 pandemic. While British Airways did follow up the EasyJet playbook in terms of cost reduction strategies, it carried on a richer premium service offering rather than digital transformation. Their commitment to maintain a low-cost model and integrate digital solutions made them differ from the competitive landscape of European aviation (Ladera-Mejia et al., 2022).</w:t>
      </w:r>
    </w:p>
    <w:p w14:paraId="30BA78B1">
      <w:pPr>
        <w:autoSpaceDE w:val="0"/>
        <w:autoSpaceDN w:val="0"/>
        <w:adjustRightInd w:val="0"/>
        <w:rPr>
          <w:rFonts w:ascii="Calibri" w:hAnsi="Calibri" w:cs="Calibri"/>
          <w:kern w:val="0"/>
          <w:sz w:val="20"/>
          <w:szCs w:val="20"/>
          <w:u w:val="single"/>
        </w:rPr>
      </w:pPr>
      <w:bookmarkStart w:id="34" w:name="_Toc180506120"/>
      <w:r>
        <w:rPr>
          <w:rStyle w:val="12"/>
          <w:rFonts w:ascii="Calibri" w:hAnsi="Calibri" w:cs="Calibri"/>
          <w:sz w:val="24"/>
          <w:szCs w:val="24"/>
          <w:u w:val="single"/>
        </w:rPr>
        <w:t>7.3 Future Directions: Recommendations for Ongoing and Future Change Management at EasyJet</w:t>
      </w:r>
      <w:bookmarkEnd w:id="34"/>
      <w:r>
        <w:rPr>
          <w:rStyle w:val="12"/>
          <w:rFonts w:ascii="Calibri" w:hAnsi="Calibri" w:cs="Calibri"/>
          <w:sz w:val="24"/>
          <w:szCs w:val="24"/>
          <w:u w:val="single"/>
        </w:rPr>
        <w:t xml:space="preserve"> </w:t>
      </w:r>
    </w:p>
    <w:p w14:paraId="51B36899">
      <w:pPr>
        <w:pStyle w:val="7"/>
        <w:spacing w:line="360" w:lineRule="auto"/>
        <w:jc w:val="both"/>
        <w:rPr>
          <w:rFonts w:ascii="Calibri" w:hAnsi="Calibri" w:cs="Calibri"/>
          <w:lang w:val="en-GB"/>
        </w:rPr>
      </w:pPr>
      <w:r>
        <w:rPr>
          <w:rFonts w:ascii="Calibri" w:hAnsi="Calibri" w:cs="Calibri"/>
          <w:lang w:val="en-GB"/>
        </w:rPr>
        <w:t>For EasyJet, looking forward, the sustainability and digital transformation ripples should continue to be core elements of any change management strategy. More and more the airline industry is under pressure to adopt a more sustainable practice. EasyJet should therefore accelerate its investment in sustainable aviation fuel SAF and even consider the hybrid or electric aircraft option for its future carbon emission reduction long term strategy. More importantly, these initiatives will not only fulfill the requirements of EasyJet’s regulations but also help the brand to acquire a better reputation as an environmental sensitive brand.</w:t>
      </w:r>
    </w:p>
    <w:p w14:paraId="677C761B">
      <w:pPr>
        <w:pStyle w:val="7"/>
        <w:spacing w:line="360" w:lineRule="auto"/>
        <w:jc w:val="both"/>
        <w:rPr>
          <w:rFonts w:ascii="Calibri" w:hAnsi="Calibri" w:cs="Calibri"/>
          <w:lang w:val="en-GB"/>
        </w:rPr>
      </w:pPr>
      <w:r>
        <w:rPr>
          <w:rFonts w:ascii="Calibri" w:hAnsi="Calibri" w:cs="Calibri"/>
          <w:lang w:val="en-GB"/>
        </w:rPr>
        <w:t>In the case of digital transformation, EasyJet should extend its customer engagement using data driven technologies. AI and machine learning could be used to help improve customer loyalty by personalising travel experiences and providing real time travel itinerary updates. Furthermore, it could also be integrated with blockchain technology for more secure and transparent ticketing systems (Pronchakov et al., 2022).</w:t>
      </w:r>
    </w:p>
    <w:p w14:paraId="2CCBE4EB">
      <w:pPr>
        <w:pStyle w:val="2"/>
        <w:spacing w:line="360" w:lineRule="auto"/>
        <w:jc w:val="both"/>
        <w:rPr>
          <w:rFonts w:ascii="Calibri" w:hAnsi="Calibri" w:cs="Calibri"/>
          <w:b/>
          <w:bCs/>
          <w:sz w:val="28"/>
          <w:szCs w:val="28"/>
          <w:lang w:val="en-GB"/>
        </w:rPr>
      </w:pPr>
      <w:bookmarkStart w:id="35" w:name="_Toc180506121"/>
      <w:r>
        <w:rPr>
          <w:rFonts w:ascii="Calibri" w:hAnsi="Calibri" w:cs="Calibri"/>
          <w:b/>
          <w:bCs/>
          <w:sz w:val="28"/>
          <w:szCs w:val="28"/>
          <w:lang w:val="en-GB"/>
        </w:rPr>
        <w:t>8. CONCLUSION</w:t>
      </w:r>
      <w:bookmarkEnd w:id="35"/>
      <w:r>
        <w:rPr>
          <w:rFonts w:ascii="Calibri" w:hAnsi="Calibri" w:cs="Calibri"/>
          <w:b/>
          <w:bCs/>
          <w:sz w:val="28"/>
          <w:szCs w:val="28"/>
          <w:lang w:val="en-GB"/>
        </w:rPr>
        <w:t xml:space="preserve"> </w:t>
      </w:r>
    </w:p>
    <w:p w14:paraId="5D3BC41C">
      <w:pPr>
        <w:pStyle w:val="7"/>
        <w:spacing w:line="360" w:lineRule="auto"/>
        <w:jc w:val="both"/>
        <w:rPr>
          <w:rFonts w:ascii="Calibri" w:hAnsi="Calibri" w:cs="Calibri"/>
          <w:lang w:val="en-GB"/>
          <w14:ligatures w14:val="none"/>
        </w:rPr>
      </w:pPr>
      <w:r>
        <w:rPr>
          <w:rFonts w:ascii="Calibri" w:hAnsi="Calibri" w:cs="Calibri"/>
          <w:lang w:val="en-GB"/>
        </w:rPr>
        <w:t>In conclusion</w:t>
      </w:r>
      <w:r>
        <w:rPr>
          <w:rFonts w:ascii="Calibri" w:hAnsi="Calibri" w:cs="Calibri"/>
          <w:lang w:val="en-GB"/>
          <w14:ligatures w14:val="none"/>
        </w:rPr>
        <w:t>, the airline industry has driven the company to adapt its operations by becoming more efficient and having a digital transformation. EasyJet has kept itself competitive by embracing innovations like mobile apps, automation and AI driven services. But there are still issues, for example, resistance for change and external pressures. The more sustainable it gets, the more it has to reinvest into environmentally friendly things like sustainable aviation fuels. The future is looking ahead to continuous innovation, digital progress and environmental endeavors, continuing to keep EasyJet competitive and flexible.</w:t>
      </w:r>
    </w:p>
    <w:p w14:paraId="6A3C5FA9">
      <w:pPr>
        <w:autoSpaceDE w:val="0"/>
        <w:autoSpaceDN w:val="0"/>
        <w:adjustRightInd w:val="0"/>
        <w:spacing w:line="360" w:lineRule="auto"/>
        <w:jc w:val="both"/>
        <w:rPr>
          <w:rFonts w:ascii="Calibri" w:hAnsi="Calibri" w:cs="Calibri"/>
          <w:kern w:val="0"/>
          <w:sz w:val="24"/>
          <w:szCs w:val="24"/>
        </w:rPr>
      </w:pPr>
      <w:r>
        <w:rPr>
          <w:rFonts w:ascii="Calibri" w:hAnsi="Calibri" w:cs="Calibri"/>
          <w:kern w:val="0"/>
          <w:sz w:val="24"/>
          <w:szCs w:val="24"/>
        </w:rPr>
        <w:t>However, like all organisations, EasyJet faces challenges, including resistance to change and external pressures from competitors and regulatory bodies. Its ability to balance customer satisfaction with operational efficiency sets it apart from its competitors, but continuous improvement is necessary to remain relevant. Sustainability is becoming an increasingly important aspect of the airline industry, and EasyJet must accelerate its commitment to environmentally friendly practices, such as investing in sustainable aviation fuels and exploring electric aircraft options.</w:t>
      </w:r>
    </w:p>
    <w:p w14:paraId="051C5B0F">
      <w:pPr>
        <w:autoSpaceDE w:val="0"/>
        <w:autoSpaceDN w:val="0"/>
        <w:adjustRightInd w:val="0"/>
        <w:jc w:val="both"/>
        <w:rPr>
          <w:rFonts w:ascii="Calibri" w:hAnsi="Calibri" w:cs="Calibri"/>
          <w:kern w:val="0"/>
        </w:rPr>
      </w:pPr>
    </w:p>
    <w:p w14:paraId="1E38DF11">
      <w:pPr>
        <w:autoSpaceDE w:val="0"/>
        <w:autoSpaceDN w:val="0"/>
        <w:adjustRightInd w:val="0"/>
        <w:jc w:val="both"/>
        <w:rPr>
          <w:rFonts w:ascii="Calibri" w:hAnsi="Calibri" w:cs="Calibri"/>
          <w:kern w:val="0"/>
        </w:rPr>
      </w:pPr>
    </w:p>
    <w:p w14:paraId="3B254008">
      <w:pPr>
        <w:autoSpaceDE w:val="0"/>
        <w:autoSpaceDN w:val="0"/>
        <w:adjustRightInd w:val="0"/>
        <w:jc w:val="both"/>
        <w:rPr>
          <w:rFonts w:ascii="Calibri" w:hAnsi="Calibri" w:cs="Calibri"/>
          <w:kern w:val="0"/>
        </w:rPr>
      </w:pPr>
    </w:p>
    <w:p w14:paraId="13148F3F">
      <w:pPr>
        <w:autoSpaceDE w:val="0"/>
        <w:autoSpaceDN w:val="0"/>
        <w:adjustRightInd w:val="0"/>
        <w:jc w:val="both"/>
        <w:rPr>
          <w:rFonts w:ascii="Calibri" w:hAnsi="Calibri" w:cs="Calibri"/>
          <w:kern w:val="0"/>
        </w:rPr>
      </w:pPr>
    </w:p>
    <w:p w14:paraId="02E5B8AF">
      <w:pPr>
        <w:autoSpaceDE w:val="0"/>
        <w:autoSpaceDN w:val="0"/>
        <w:adjustRightInd w:val="0"/>
        <w:jc w:val="both"/>
        <w:rPr>
          <w:rFonts w:ascii="Calibri" w:hAnsi="Calibri" w:cs="Calibri"/>
          <w:kern w:val="0"/>
        </w:rPr>
      </w:pPr>
    </w:p>
    <w:p w14:paraId="6462EEBE">
      <w:pPr>
        <w:autoSpaceDE w:val="0"/>
        <w:autoSpaceDN w:val="0"/>
        <w:adjustRightInd w:val="0"/>
        <w:jc w:val="both"/>
        <w:rPr>
          <w:rFonts w:ascii="Calibri" w:hAnsi="Calibri" w:cs="Calibri"/>
          <w:kern w:val="0"/>
        </w:rPr>
      </w:pPr>
    </w:p>
    <w:p w14:paraId="0C714D6A">
      <w:pPr>
        <w:autoSpaceDE w:val="0"/>
        <w:autoSpaceDN w:val="0"/>
        <w:adjustRightInd w:val="0"/>
        <w:jc w:val="both"/>
        <w:rPr>
          <w:rFonts w:ascii="Calibri" w:hAnsi="Calibri" w:cs="Calibri"/>
          <w:kern w:val="0"/>
        </w:rPr>
      </w:pPr>
    </w:p>
    <w:p w14:paraId="0E78E2A1">
      <w:pPr>
        <w:autoSpaceDE w:val="0"/>
        <w:autoSpaceDN w:val="0"/>
        <w:adjustRightInd w:val="0"/>
        <w:jc w:val="both"/>
        <w:rPr>
          <w:rFonts w:ascii="Calibri" w:hAnsi="Calibri" w:cs="Calibri"/>
          <w:kern w:val="0"/>
        </w:rPr>
      </w:pPr>
    </w:p>
    <w:p w14:paraId="2B2611B2">
      <w:pPr>
        <w:autoSpaceDE w:val="0"/>
        <w:autoSpaceDN w:val="0"/>
        <w:adjustRightInd w:val="0"/>
        <w:jc w:val="both"/>
        <w:rPr>
          <w:rFonts w:ascii="Calibri" w:hAnsi="Calibri" w:cs="Calibri"/>
          <w:kern w:val="0"/>
        </w:rPr>
      </w:pPr>
    </w:p>
    <w:p w14:paraId="7BDF666F">
      <w:pPr>
        <w:autoSpaceDE w:val="0"/>
        <w:autoSpaceDN w:val="0"/>
        <w:adjustRightInd w:val="0"/>
        <w:jc w:val="both"/>
        <w:rPr>
          <w:rFonts w:ascii="Calibri" w:hAnsi="Calibri" w:cs="Calibri"/>
          <w:kern w:val="0"/>
        </w:rPr>
      </w:pPr>
    </w:p>
    <w:p w14:paraId="6F2D705A">
      <w:pPr>
        <w:autoSpaceDE w:val="0"/>
        <w:autoSpaceDN w:val="0"/>
        <w:adjustRightInd w:val="0"/>
        <w:jc w:val="both"/>
        <w:rPr>
          <w:rFonts w:ascii="Calibri" w:hAnsi="Calibri" w:cs="Calibri"/>
          <w:kern w:val="0"/>
        </w:rPr>
      </w:pPr>
    </w:p>
    <w:p w14:paraId="47D58DD6">
      <w:pPr>
        <w:autoSpaceDE w:val="0"/>
        <w:autoSpaceDN w:val="0"/>
        <w:adjustRightInd w:val="0"/>
        <w:jc w:val="both"/>
        <w:rPr>
          <w:rFonts w:ascii="Calibri" w:hAnsi="Calibri" w:cs="Calibri"/>
          <w:kern w:val="0"/>
        </w:rPr>
      </w:pPr>
    </w:p>
    <w:p w14:paraId="15FAB616">
      <w:pPr>
        <w:autoSpaceDE w:val="0"/>
        <w:autoSpaceDN w:val="0"/>
        <w:adjustRightInd w:val="0"/>
        <w:jc w:val="both"/>
        <w:rPr>
          <w:rFonts w:ascii="Calibri" w:hAnsi="Calibri" w:cs="Calibri"/>
          <w:kern w:val="0"/>
        </w:rPr>
      </w:pPr>
    </w:p>
    <w:p w14:paraId="06275986">
      <w:pPr>
        <w:jc w:val="both"/>
        <w:rPr>
          <w:rFonts w:ascii="Calibri" w:hAnsi="Calibri" w:cs="Calibri"/>
          <w:kern w:val="0"/>
        </w:rPr>
      </w:pPr>
    </w:p>
    <w:sdt>
      <w:sdtPr>
        <w:rPr>
          <w:rFonts w:ascii="Calibri" w:hAnsi="Calibri" w:cs="Calibri" w:eastAsiaTheme="minorHAnsi"/>
          <w:color w:val="auto"/>
          <w:kern w:val="2"/>
          <w:sz w:val="24"/>
          <w:szCs w:val="24"/>
          <w:lang w:val="en-GB"/>
          <w14:ligatures w14:val="standardContextual"/>
        </w:rPr>
        <w:id w:val="475267089"/>
        <w:docPartObj>
          <w:docPartGallery w:val="AutoText"/>
        </w:docPartObj>
      </w:sdtPr>
      <w:sdtEndPr>
        <w:rPr>
          <w:rFonts w:ascii="Calibri" w:hAnsi="Calibri" w:cs="Calibri" w:eastAsiaTheme="minorHAnsi"/>
          <w:color w:val="auto"/>
          <w:kern w:val="2"/>
          <w:sz w:val="24"/>
          <w:szCs w:val="24"/>
          <w:lang w:val="en-GB"/>
          <w14:ligatures w14:val="standardContextual"/>
        </w:rPr>
      </w:sdtEndPr>
      <w:sdtContent>
        <w:p w14:paraId="0BB6BDC8">
          <w:pPr>
            <w:pStyle w:val="2"/>
            <w:jc w:val="both"/>
            <w:rPr>
              <w:rFonts w:ascii="Calibri" w:hAnsi="Calibri" w:cs="Calibri"/>
              <w:b/>
              <w:bCs/>
              <w:lang w:val="en-GB"/>
            </w:rPr>
          </w:pPr>
          <w:bookmarkStart w:id="36" w:name="_Toc180506122"/>
          <w:r>
            <w:rPr>
              <w:rFonts w:ascii="Calibri" w:hAnsi="Calibri" w:cs="Calibri"/>
              <w:b/>
              <w:bCs/>
              <w:lang w:val="en-GB"/>
            </w:rPr>
            <w:t>REFERENCES</w:t>
          </w:r>
          <w:bookmarkEnd w:id="36"/>
        </w:p>
        <w:sdt>
          <w:sdtPr>
            <w:rPr>
              <w:rFonts w:ascii="Calibri" w:hAnsi="Calibri" w:cs="Calibri"/>
              <w:sz w:val="24"/>
              <w:szCs w:val="24"/>
            </w:rPr>
            <w:id w:val="-573587230"/>
          </w:sdtPr>
          <w:sdtEndPr>
            <w:rPr>
              <w:rFonts w:ascii="Calibri" w:hAnsi="Calibri" w:cs="Calibri"/>
              <w:sz w:val="24"/>
              <w:szCs w:val="24"/>
            </w:rPr>
          </w:sdtEndPr>
          <w:sdtContent>
            <w:p w14:paraId="23B4A0AA">
              <w:pPr>
                <w:autoSpaceDE w:val="0"/>
                <w:autoSpaceDN w:val="0"/>
                <w:adjustRightInd w:val="0"/>
                <w:ind w:firstLine="45"/>
                <w:rPr>
                  <w:rFonts w:ascii="Calibri" w:hAnsi="Calibri" w:cs="Calibri"/>
                  <w:kern w:val="0"/>
                  <w:sz w:val="24"/>
                  <w:szCs w:val="24"/>
                </w:rPr>
              </w:pPr>
            </w:p>
            <w:p w14:paraId="6A597181">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 xml:space="preserve">AĞ, C. (2019). BİLİŞİM TEKNOLOJİLERİ YETENEĞİNİN, FİRMANIN DEĞİŞİM SÜRECİNE VE PERFORMANSINA ETKİSİ İLE DÖNÜŞÜMSEL LİDERLİĞİN BU ETKİDEKİ ROLÜ. International Journal of Social Humanities Sciences Research (JSHSR), 6(34), pp.842–857. doi: </w:t>
              </w:r>
              <w:r>
                <w:fldChar w:fldCharType="begin"/>
              </w:r>
              <w:r>
                <w:instrText xml:space="preserve"> HYPERLINK "https://doi.org/10.26450/jshsr.1150" </w:instrText>
              </w:r>
              <w:r>
                <w:fldChar w:fldCharType="separate"/>
              </w:r>
              <w:r>
                <w:rPr>
                  <w:rFonts w:ascii="Calibri" w:hAnsi="Calibri" w:cs="Calibri"/>
                  <w:kern w:val="0"/>
                  <w:sz w:val="24"/>
                  <w:szCs w:val="24"/>
                </w:rPr>
                <w:t>https://doi.org/10.26450/jshsr.1150</w:t>
              </w:r>
              <w:r>
                <w:rPr>
                  <w:rFonts w:ascii="Calibri" w:hAnsi="Calibri" w:cs="Calibri"/>
                  <w:kern w:val="0"/>
                  <w:sz w:val="24"/>
                  <w:szCs w:val="24"/>
                </w:rPr>
                <w:fldChar w:fldCharType="end"/>
              </w:r>
              <w:r>
                <w:rPr>
                  <w:rFonts w:ascii="Calibri" w:hAnsi="Calibri" w:cs="Calibri"/>
                  <w:kern w:val="0"/>
                  <w:sz w:val="24"/>
                  <w:szCs w:val="24"/>
                </w:rPr>
                <w:t>.</w:t>
              </w:r>
            </w:p>
            <w:p w14:paraId="163EC3F3">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 xml:space="preserve">Anara Bekbossynova and Yermek Bekniyazov (2020). Digitalization of Simple Things Cost Savings from Basic Transformation Case: Karachaganak Field. doi: </w:t>
              </w:r>
              <w:r>
                <w:fldChar w:fldCharType="begin"/>
              </w:r>
              <w:r>
                <w:instrText xml:space="preserve"> HYPERLINK "https://doi.org/10.2118/202505-ms" </w:instrText>
              </w:r>
              <w:r>
                <w:fldChar w:fldCharType="separate"/>
              </w:r>
              <w:r>
                <w:rPr>
                  <w:rFonts w:ascii="Calibri" w:hAnsi="Calibri" w:cs="Calibri"/>
                  <w:kern w:val="0"/>
                  <w:sz w:val="24"/>
                  <w:szCs w:val="24"/>
                </w:rPr>
                <w:t>https://doi.org/10.2118/202505-ms</w:t>
              </w:r>
              <w:r>
                <w:rPr>
                  <w:rFonts w:ascii="Calibri" w:hAnsi="Calibri" w:cs="Calibri"/>
                  <w:kern w:val="0"/>
                  <w:sz w:val="24"/>
                  <w:szCs w:val="24"/>
                </w:rPr>
                <w:fldChar w:fldCharType="end"/>
              </w:r>
              <w:r>
                <w:rPr>
                  <w:rFonts w:ascii="Calibri" w:hAnsi="Calibri" w:cs="Calibri"/>
                  <w:kern w:val="0"/>
                  <w:sz w:val="24"/>
                  <w:szCs w:val="24"/>
                </w:rPr>
                <w:t>.</w:t>
              </w:r>
            </w:p>
            <w:p w14:paraId="141C98CB">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Anani-Bossman, A., Boateng, E., Nutsugah, N. and Semarco, S., 2024. Internal communications during crisis-induced organizational change. In Organizational Communication in the Digital Era: Examining the Impact of AI, Chatbots, and Covid-19 (pp. 219-251). Cham: Springer Nature Switzerland.</w:t>
              </w:r>
            </w:p>
            <w:p w14:paraId="2EA62726">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Bateh, J., Castaneda, M.E. and Farah, J.E. (2013). Employee Resistance To Organizational Change. International Journal of Management &amp; Information Systems (IJMIS), 17(2), p.113.</w:t>
              </w:r>
            </w:p>
            <w:p w14:paraId="15469F3E">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Bernardo, A.C., 2003. Cultura e subculturas: gestão do sistema cultural nas organizações.</w:t>
              </w:r>
            </w:p>
            <w:p w14:paraId="2F8283F0">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 xml:space="preserve">Bogoslov, I.A., Lungu, A.E., Stoica, E.A. and Georgescu, M.R. (2022). European Green Deal Impact on Entrepreneurship and Competition: A Free Market Approach. Sustainability, 14(19), p.12335. doi: </w:t>
              </w:r>
              <w:r>
                <w:fldChar w:fldCharType="begin"/>
              </w:r>
              <w:r>
                <w:instrText xml:space="preserve"> HYPERLINK "https://doi.org/10.3390/su141912335" </w:instrText>
              </w:r>
              <w:r>
                <w:fldChar w:fldCharType="separate"/>
              </w:r>
              <w:r>
                <w:rPr>
                  <w:rFonts w:ascii="Calibri" w:hAnsi="Calibri" w:cs="Calibri"/>
                  <w:kern w:val="0"/>
                  <w:sz w:val="24"/>
                  <w:szCs w:val="24"/>
                </w:rPr>
                <w:t>https://doi.org/10.3390/su141912335</w:t>
              </w:r>
              <w:r>
                <w:rPr>
                  <w:rFonts w:ascii="Calibri" w:hAnsi="Calibri" w:cs="Calibri"/>
                  <w:kern w:val="0"/>
                  <w:sz w:val="24"/>
                  <w:szCs w:val="24"/>
                </w:rPr>
                <w:fldChar w:fldCharType="end"/>
              </w:r>
              <w:r>
                <w:rPr>
                  <w:rFonts w:ascii="Calibri" w:hAnsi="Calibri" w:cs="Calibri"/>
                  <w:kern w:val="0"/>
                  <w:sz w:val="24"/>
                  <w:szCs w:val="24"/>
                </w:rPr>
                <w:t>.</w:t>
              </w:r>
            </w:p>
            <w:p w14:paraId="206A016F">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Bogoslovskaya, A. (2012). Strategies Change Aspects. Journal of Organizational Change Management.</w:t>
              </w:r>
            </w:p>
            <w:p w14:paraId="447D533D">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Boateng, S.A. (2020). Leading Organizational Change. Journal of Public Administration and Research.</w:t>
              </w:r>
            </w:p>
            <w:p w14:paraId="70C71305">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 xml:space="preserve">Bryman, A. (1989). Leadership and culture in organisations. Public Money &amp; Management, 9(3), pp.35–41. doi: </w:t>
              </w:r>
              <w:r>
                <w:fldChar w:fldCharType="begin"/>
              </w:r>
              <w:r>
                <w:instrText xml:space="preserve"> HYPERLINK "https://doi.org/10.1080/09540968909387555" </w:instrText>
              </w:r>
              <w:r>
                <w:fldChar w:fldCharType="separate"/>
              </w:r>
              <w:r>
                <w:rPr>
                  <w:rFonts w:ascii="Calibri" w:hAnsi="Calibri" w:cs="Calibri"/>
                  <w:kern w:val="0"/>
                  <w:sz w:val="24"/>
                  <w:szCs w:val="24"/>
                </w:rPr>
                <w:t>https://doi.org/10.1080/09540968909387555</w:t>
              </w:r>
              <w:r>
                <w:rPr>
                  <w:rFonts w:ascii="Calibri" w:hAnsi="Calibri" w:cs="Calibri"/>
                  <w:kern w:val="0"/>
                  <w:sz w:val="24"/>
                  <w:szCs w:val="24"/>
                </w:rPr>
                <w:fldChar w:fldCharType="end"/>
              </w:r>
              <w:r>
                <w:rPr>
                  <w:rFonts w:ascii="Calibri" w:hAnsi="Calibri" w:cs="Calibri"/>
                  <w:kern w:val="0"/>
                  <w:sz w:val="24"/>
                  <w:szCs w:val="24"/>
                </w:rPr>
                <w:t>.</w:t>
              </w:r>
            </w:p>
            <w:p w14:paraId="2BD2DD49">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 xml:space="preserve">DeSombre, E.R. (2000). Domestic Sources of International Environmental Policy. doi: </w:t>
              </w:r>
              <w:r>
                <w:fldChar w:fldCharType="begin"/>
              </w:r>
              <w:r>
                <w:instrText xml:space="preserve"> HYPERLINK "https://doi.org/10.7551/mitpress/2486.001.0001" </w:instrText>
              </w:r>
              <w:r>
                <w:fldChar w:fldCharType="separate"/>
              </w:r>
              <w:r>
                <w:rPr>
                  <w:rFonts w:ascii="Calibri" w:hAnsi="Calibri" w:cs="Calibri"/>
                  <w:kern w:val="0"/>
                  <w:sz w:val="24"/>
                  <w:szCs w:val="24"/>
                </w:rPr>
                <w:t>https://doi.org/10.7551/mitpress/2486.001.0001</w:t>
              </w:r>
              <w:r>
                <w:rPr>
                  <w:rFonts w:ascii="Calibri" w:hAnsi="Calibri" w:cs="Calibri"/>
                  <w:kern w:val="0"/>
                  <w:sz w:val="24"/>
                  <w:szCs w:val="24"/>
                </w:rPr>
                <w:fldChar w:fldCharType="end"/>
              </w:r>
              <w:r>
                <w:rPr>
                  <w:rFonts w:ascii="Calibri" w:hAnsi="Calibri" w:cs="Calibri"/>
                  <w:kern w:val="0"/>
                  <w:sz w:val="24"/>
                  <w:szCs w:val="24"/>
                </w:rPr>
                <w:t>.</w:t>
              </w:r>
            </w:p>
            <w:p w14:paraId="72CFA976">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 xml:space="preserve">Euchner, J. (2013). Innovation is Change Management. Research-Technology Management, 56(4), pp.10–11. doi: </w:t>
              </w:r>
              <w:r>
                <w:fldChar w:fldCharType="begin"/>
              </w:r>
              <w:r>
                <w:instrText xml:space="preserve"> HYPERLINK "https://doi.org/10.5437/08956308x5604002" </w:instrText>
              </w:r>
              <w:r>
                <w:fldChar w:fldCharType="separate"/>
              </w:r>
              <w:r>
                <w:rPr>
                  <w:rFonts w:ascii="Calibri" w:hAnsi="Calibri" w:cs="Calibri"/>
                  <w:kern w:val="0"/>
                  <w:sz w:val="24"/>
                  <w:szCs w:val="24"/>
                </w:rPr>
                <w:t>https://doi.org/10.5437/08956308x5604002</w:t>
              </w:r>
              <w:r>
                <w:rPr>
                  <w:rFonts w:ascii="Calibri" w:hAnsi="Calibri" w:cs="Calibri"/>
                  <w:kern w:val="0"/>
                  <w:sz w:val="24"/>
                  <w:szCs w:val="24"/>
                </w:rPr>
                <w:fldChar w:fldCharType="end"/>
              </w:r>
              <w:r>
                <w:rPr>
                  <w:rFonts w:ascii="Calibri" w:hAnsi="Calibri" w:cs="Calibri"/>
                  <w:kern w:val="0"/>
                  <w:sz w:val="24"/>
                  <w:szCs w:val="24"/>
                </w:rPr>
                <w:t>.</w:t>
              </w:r>
            </w:p>
            <w:p w14:paraId="0FA3A0D8">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 xml:space="preserve">Harvey, G. and Turnbull, P. (2006). Employment Relations, Management Style and Flight Crew Attitudes at Low Cost Airline Subsidiaries: European Management Journal, 24(5), pp.330–337. doi: </w:t>
              </w:r>
              <w:r>
                <w:fldChar w:fldCharType="begin"/>
              </w:r>
              <w:r>
                <w:instrText xml:space="preserve"> HYPERLINK "https://doi.org/10.1016/j.emj.2006.07.002" </w:instrText>
              </w:r>
              <w:r>
                <w:fldChar w:fldCharType="separate"/>
              </w:r>
              <w:r>
                <w:rPr>
                  <w:rFonts w:ascii="Calibri" w:hAnsi="Calibri" w:cs="Calibri"/>
                  <w:kern w:val="0"/>
                  <w:sz w:val="24"/>
                  <w:szCs w:val="24"/>
                </w:rPr>
                <w:t>https://doi.org/10.1016/j.emj.2006.07.002</w:t>
              </w:r>
              <w:r>
                <w:rPr>
                  <w:rFonts w:ascii="Calibri" w:hAnsi="Calibri" w:cs="Calibri"/>
                  <w:kern w:val="0"/>
                  <w:sz w:val="24"/>
                  <w:szCs w:val="24"/>
                </w:rPr>
                <w:fldChar w:fldCharType="end"/>
              </w:r>
              <w:r>
                <w:rPr>
                  <w:rFonts w:ascii="Calibri" w:hAnsi="Calibri" w:cs="Calibri"/>
                  <w:kern w:val="0"/>
                  <w:sz w:val="24"/>
                  <w:szCs w:val="24"/>
                </w:rPr>
                <w:t>.</w:t>
              </w:r>
            </w:p>
            <w:p w14:paraId="1EE88B83">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 xml:space="preserve">Hayes, S. and Richardson, I. (2008). Scrum Implementation Using Kotter’s Change Model. Lecture Notes in Business Information Processing, pp.161–171. doi: </w:t>
              </w:r>
              <w:r>
                <w:fldChar w:fldCharType="begin"/>
              </w:r>
              <w:r>
                <w:instrText xml:space="preserve"> HYPERLINK "https://doi.org/10.1007/978-3-540-68255-4_16" </w:instrText>
              </w:r>
              <w:r>
                <w:fldChar w:fldCharType="separate"/>
              </w:r>
              <w:r>
                <w:rPr>
                  <w:rFonts w:ascii="Calibri" w:hAnsi="Calibri" w:cs="Calibri"/>
                  <w:kern w:val="0"/>
                  <w:sz w:val="24"/>
                  <w:szCs w:val="24"/>
                </w:rPr>
                <w:t>https://doi.org/10.1007/978-3-540-68255-4_16</w:t>
              </w:r>
              <w:r>
                <w:rPr>
                  <w:rFonts w:ascii="Calibri" w:hAnsi="Calibri" w:cs="Calibri"/>
                  <w:kern w:val="0"/>
                  <w:sz w:val="24"/>
                  <w:szCs w:val="24"/>
                </w:rPr>
                <w:fldChar w:fldCharType="end"/>
              </w:r>
              <w:r>
                <w:rPr>
                  <w:rFonts w:ascii="Calibri" w:hAnsi="Calibri" w:cs="Calibri"/>
                  <w:kern w:val="0"/>
                  <w:sz w:val="24"/>
                  <w:szCs w:val="24"/>
                </w:rPr>
                <w:t>.</w:t>
              </w:r>
            </w:p>
            <w:p w14:paraId="6CEDA755">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 xml:space="preserve">Howard, T.L. and Ulferts, G.W. (2017). A note on the impact of leadership style on organisational culture. International Journal of Management and Decision Making, 16(1), p.1. doi: </w:t>
              </w:r>
              <w:r>
                <w:fldChar w:fldCharType="begin"/>
              </w:r>
              <w:r>
                <w:instrText xml:space="preserve"> HYPERLINK "https://doi.org/10.1504/ijmdm.2017.10004133" </w:instrText>
              </w:r>
              <w:r>
                <w:fldChar w:fldCharType="separate"/>
              </w:r>
              <w:r>
                <w:rPr>
                  <w:rFonts w:ascii="Calibri" w:hAnsi="Calibri" w:cs="Calibri"/>
                  <w:kern w:val="0"/>
                  <w:sz w:val="24"/>
                  <w:szCs w:val="24"/>
                </w:rPr>
                <w:t>https://doi.org/10.1504/ijmdm.2017.10004133</w:t>
              </w:r>
              <w:r>
                <w:rPr>
                  <w:rFonts w:ascii="Calibri" w:hAnsi="Calibri" w:cs="Calibri"/>
                  <w:kern w:val="0"/>
                  <w:sz w:val="24"/>
                  <w:szCs w:val="24"/>
                </w:rPr>
                <w:fldChar w:fldCharType="end"/>
              </w:r>
              <w:r>
                <w:rPr>
                  <w:rFonts w:ascii="Calibri" w:hAnsi="Calibri" w:cs="Calibri"/>
                  <w:kern w:val="0"/>
                  <w:sz w:val="24"/>
                  <w:szCs w:val="24"/>
                </w:rPr>
                <w:t>.</w:t>
              </w:r>
            </w:p>
            <w:p w14:paraId="5929E1A6">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 xml:space="preserve">İRAZ, R. and EFEOĞLU, M.S. (2023). Örgütsel Değişimi Başarmak Yolunda Değişime Direnmeyi Ortadan Kaldırmak İçin Örgüt Kültürünün Rolü ve Önemi: Sanayi Sektörüne Yönelik Bir Araştırma. Selçuk Üniversitesi Sosyal Bilimler Enstitüsü Dergisi, (51), pp.34–53. doi: </w:t>
              </w:r>
              <w:r>
                <w:fldChar w:fldCharType="begin"/>
              </w:r>
              <w:r>
                <w:instrText xml:space="preserve"> HYPERLINK "https://doi.org/10.52642/susbed.1222052" </w:instrText>
              </w:r>
              <w:r>
                <w:fldChar w:fldCharType="separate"/>
              </w:r>
              <w:r>
                <w:rPr>
                  <w:rFonts w:ascii="Calibri" w:hAnsi="Calibri" w:cs="Calibri"/>
                  <w:kern w:val="0"/>
                  <w:sz w:val="24"/>
                  <w:szCs w:val="24"/>
                </w:rPr>
                <w:t>https://doi.org/10.52642/susbed.1222052</w:t>
              </w:r>
              <w:r>
                <w:rPr>
                  <w:rFonts w:ascii="Calibri" w:hAnsi="Calibri" w:cs="Calibri"/>
                  <w:kern w:val="0"/>
                  <w:sz w:val="24"/>
                  <w:szCs w:val="24"/>
                </w:rPr>
                <w:fldChar w:fldCharType="end"/>
              </w:r>
              <w:r>
                <w:rPr>
                  <w:rFonts w:ascii="Calibri" w:hAnsi="Calibri" w:cs="Calibri"/>
                  <w:kern w:val="0"/>
                  <w:sz w:val="24"/>
                  <w:szCs w:val="24"/>
                </w:rPr>
                <w:t>.</w:t>
              </w:r>
            </w:p>
            <w:p w14:paraId="5E6A0C37">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 xml:space="preserve">Korbi, K. (2015). Leadership and Strategic Change. The Journal of Organizational Management Studies, [online] 2015, pp.1–32. doi: </w:t>
              </w:r>
              <w:r>
                <w:fldChar w:fldCharType="begin"/>
              </w:r>
              <w:r>
                <w:instrText xml:space="preserve"> HYPERLINK "https://doi.org/10.5171/2015.638847" </w:instrText>
              </w:r>
              <w:r>
                <w:fldChar w:fldCharType="separate"/>
              </w:r>
              <w:r>
                <w:rPr>
                  <w:rFonts w:ascii="Calibri" w:hAnsi="Calibri" w:cs="Calibri"/>
                  <w:kern w:val="0"/>
                  <w:sz w:val="24"/>
                  <w:szCs w:val="24"/>
                </w:rPr>
                <w:t>https://doi.org/10.5171/2015.638847</w:t>
              </w:r>
              <w:r>
                <w:rPr>
                  <w:rFonts w:ascii="Calibri" w:hAnsi="Calibri" w:cs="Calibri"/>
                  <w:kern w:val="0"/>
                  <w:sz w:val="24"/>
                  <w:szCs w:val="24"/>
                </w:rPr>
                <w:fldChar w:fldCharType="end"/>
              </w:r>
              <w:r>
                <w:rPr>
                  <w:rFonts w:ascii="Calibri" w:hAnsi="Calibri" w:cs="Calibri"/>
                  <w:kern w:val="0"/>
                  <w:sz w:val="24"/>
                  <w:szCs w:val="24"/>
                </w:rPr>
                <w:t>.</w:t>
              </w:r>
            </w:p>
            <w:p w14:paraId="73FA49F9">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 xml:space="preserve">Ladera-Mejia, A.G., Pun-Gutierrez, X.S., Quiroz-Flores, J. and Flores-Perez, A.E. (2022). Digital Transformation Model Based on Business Process Management and Lean Manufacturing to Increase the Productivity of the Administrative Area of a Peruvian Aeronautical Company. doi: </w:t>
              </w:r>
              <w:r>
                <w:fldChar w:fldCharType="begin"/>
              </w:r>
              <w:r>
                <w:instrText xml:space="preserve"> HYPERLINK "https://doi.org/10.1145/3568834.3568852" </w:instrText>
              </w:r>
              <w:r>
                <w:fldChar w:fldCharType="separate"/>
              </w:r>
              <w:r>
                <w:rPr>
                  <w:rFonts w:ascii="Calibri" w:hAnsi="Calibri" w:cs="Calibri"/>
                  <w:kern w:val="0"/>
                  <w:sz w:val="24"/>
                  <w:szCs w:val="24"/>
                </w:rPr>
                <w:t>https://doi.org/10.1145/3568834.3568852</w:t>
              </w:r>
              <w:r>
                <w:rPr>
                  <w:rFonts w:ascii="Calibri" w:hAnsi="Calibri" w:cs="Calibri"/>
                  <w:kern w:val="0"/>
                  <w:sz w:val="24"/>
                  <w:szCs w:val="24"/>
                </w:rPr>
                <w:fldChar w:fldCharType="end"/>
              </w:r>
              <w:r>
                <w:rPr>
                  <w:rFonts w:ascii="Calibri" w:hAnsi="Calibri" w:cs="Calibri"/>
                  <w:kern w:val="0"/>
                  <w:sz w:val="24"/>
                  <w:szCs w:val="24"/>
                </w:rPr>
                <w:t>.</w:t>
              </w:r>
            </w:p>
            <w:p w14:paraId="43C979BA">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 xml:space="preserve">Lahiri, S. and Symeonidis, G. (2017). Environmental protection without loss of international competitiveness. Journal of Public Economic Theory, 19(5), pp.921–936. doi: </w:t>
              </w:r>
              <w:r>
                <w:fldChar w:fldCharType="begin"/>
              </w:r>
              <w:r>
                <w:instrText xml:space="preserve"> HYPERLINK "https://doi.org/10.1111/jpet.12264" </w:instrText>
              </w:r>
              <w:r>
                <w:fldChar w:fldCharType="separate"/>
              </w:r>
              <w:r>
                <w:rPr>
                  <w:rFonts w:ascii="Calibri" w:hAnsi="Calibri" w:cs="Calibri"/>
                  <w:kern w:val="0"/>
                  <w:sz w:val="24"/>
                  <w:szCs w:val="24"/>
                </w:rPr>
                <w:t>https://doi.org/10.1111/jpet.12264</w:t>
              </w:r>
              <w:r>
                <w:rPr>
                  <w:rFonts w:ascii="Calibri" w:hAnsi="Calibri" w:cs="Calibri"/>
                  <w:kern w:val="0"/>
                  <w:sz w:val="24"/>
                  <w:szCs w:val="24"/>
                </w:rPr>
                <w:fldChar w:fldCharType="end"/>
              </w:r>
              <w:r>
                <w:rPr>
                  <w:rFonts w:ascii="Calibri" w:hAnsi="Calibri" w:cs="Calibri"/>
                  <w:kern w:val="0"/>
                  <w:sz w:val="24"/>
                  <w:szCs w:val="24"/>
                </w:rPr>
                <w:t>.</w:t>
              </w:r>
            </w:p>
            <w:p w14:paraId="4210ED42">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 xml:space="preserve">Lofquist, E.A. (2011). Doomed to Fail: A Case Study of Change Implementation Collapse In the Norwegian Civil Aviation Industry. Journal of Change Management, 11(2), pp.223–243. doi: </w:t>
              </w:r>
              <w:r>
                <w:fldChar w:fldCharType="begin"/>
              </w:r>
              <w:r>
                <w:instrText xml:space="preserve"> HYPERLINK "https://doi.org/10.1080/14697017.2010.527853" </w:instrText>
              </w:r>
              <w:r>
                <w:fldChar w:fldCharType="separate"/>
              </w:r>
              <w:r>
                <w:rPr>
                  <w:rFonts w:ascii="Calibri" w:hAnsi="Calibri" w:cs="Calibri"/>
                  <w:kern w:val="0"/>
                  <w:sz w:val="24"/>
                  <w:szCs w:val="24"/>
                </w:rPr>
                <w:t>https://doi.org/10.1080/14697017.2010.527853</w:t>
              </w:r>
              <w:r>
                <w:rPr>
                  <w:rFonts w:ascii="Calibri" w:hAnsi="Calibri" w:cs="Calibri"/>
                  <w:kern w:val="0"/>
                  <w:sz w:val="24"/>
                  <w:szCs w:val="24"/>
                </w:rPr>
                <w:fldChar w:fldCharType="end"/>
              </w:r>
              <w:r>
                <w:rPr>
                  <w:rFonts w:ascii="Calibri" w:hAnsi="Calibri" w:cs="Calibri"/>
                  <w:kern w:val="0"/>
                  <w:sz w:val="24"/>
                  <w:szCs w:val="24"/>
                </w:rPr>
                <w:t>.</w:t>
              </w:r>
            </w:p>
            <w:p w14:paraId="02C5CCDA">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 xml:space="preserve">Mushtaq, S. (2011). Resistance to Organizational Change: Successful Implementation of Change through Effective Communication. SSRN Electronic Journal, 1(1). doi: </w:t>
              </w:r>
              <w:r>
                <w:fldChar w:fldCharType="begin"/>
              </w:r>
              <w:r>
                <w:instrText xml:space="preserve"> HYPERLINK "https://doi.org/10.2139/ssrn.1759034" </w:instrText>
              </w:r>
              <w:r>
                <w:fldChar w:fldCharType="separate"/>
              </w:r>
              <w:r>
                <w:rPr>
                  <w:rFonts w:ascii="Calibri" w:hAnsi="Calibri" w:cs="Calibri"/>
                  <w:kern w:val="0"/>
                  <w:sz w:val="24"/>
                  <w:szCs w:val="24"/>
                </w:rPr>
                <w:t>https://doi.org/10.2139/ssrn.1759034</w:t>
              </w:r>
              <w:r>
                <w:rPr>
                  <w:rFonts w:ascii="Calibri" w:hAnsi="Calibri" w:cs="Calibri"/>
                  <w:kern w:val="0"/>
                  <w:sz w:val="24"/>
                  <w:szCs w:val="24"/>
                </w:rPr>
                <w:fldChar w:fldCharType="end"/>
              </w:r>
              <w:r>
                <w:rPr>
                  <w:rFonts w:ascii="Calibri" w:hAnsi="Calibri" w:cs="Calibri"/>
                  <w:kern w:val="0"/>
                  <w:sz w:val="24"/>
                  <w:szCs w:val="24"/>
                </w:rPr>
                <w:t>.</w:t>
              </w:r>
            </w:p>
            <w:p w14:paraId="216A740C">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Nwagbara, U. (2011). Leading by interaction in educational organizations: The imperatives of leadership communication and complaint management. Technológia Vzdelávania, 22(2), pp.1-20.</w:t>
              </w:r>
            </w:p>
            <w:p w14:paraId="77C60BED">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 xml:space="preserve">Ogbonna, E. and Harris, L.C. (2014). Organizational Cultural Perpetuation: A Case Study of an English Premier League Football Club. British Journal of Management, 25(4), pp.667–686. doi: </w:t>
              </w:r>
              <w:r>
                <w:fldChar w:fldCharType="begin"/>
              </w:r>
              <w:r>
                <w:instrText xml:space="preserve"> HYPERLINK "https://doi.org/10.1111/1467-8551.12037" </w:instrText>
              </w:r>
              <w:r>
                <w:fldChar w:fldCharType="separate"/>
              </w:r>
              <w:r>
                <w:rPr>
                  <w:rFonts w:ascii="Calibri" w:hAnsi="Calibri" w:cs="Calibri"/>
                  <w:kern w:val="0"/>
                  <w:sz w:val="24"/>
                  <w:szCs w:val="24"/>
                </w:rPr>
                <w:t>https://doi.org/10.1111/1467-8551.12037</w:t>
              </w:r>
              <w:r>
                <w:rPr>
                  <w:rFonts w:ascii="Calibri" w:hAnsi="Calibri" w:cs="Calibri"/>
                  <w:kern w:val="0"/>
                  <w:sz w:val="24"/>
                  <w:szCs w:val="24"/>
                </w:rPr>
                <w:fldChar w:fldCharType="end"/>
              </w:r>
              <w:r>
                <w:rPr>
                  <w:rFonts w:ascii="Calibri" w:hAnsi="Calibri" w:cs="Calibri"/>
                  <w:kern w:val="0"/>
                  <w:sz w:val="24"/>
                  <w:szCs w:val="24"/>
                </w:rPr>
                <w:t>.</w:t>
              </w:r>
            </w:p>
            <w:p w14:paraId="7C9B57E7">
              <w:pPr>
                <w:pStyle w:val="11"/>
                <w:numPr>
                  <w:ilvl w:val="0"/>
                  <w:numId w:val="3"/>
                </w:numPr>
                <w:autoSpaceDE w:val="0"/>
                <w:autoSpaceDN w:val="0"/>
                <w:adjustRightInd w:val="0"/>
                <w:rPr>
                  <w:rFonts w:ascii="Calibri" w:hAnsi="Calibri" w:cs="Calibri"/>
                  <w:kern w:val="0"/>
                  <w:sz w:val="24"/>
                  <w:szCs w:val="24"/>
                </w:rPr>
              </w:pPr>
              <w:r>
                <w:rPr>
                  <w:rFonts w:ascii="Calibri" w:hAnsi="Calibri" w:cs="Calibri"/>
                  <w:kern w:val="0"/>
                  <w:sz w:val="24"/>
                  <w:szCs w:val="24"/>
                </w:rPr>
                <w:t xml:space="preserve">Pronchakov, Y., Prokhorov, O. and Fedorovich, O. (2022). Concept of High-Tech Enterprise Development Management in the Context of Digital Transformation. Computation, 10(7), p.118. doi: </w:t>
              </w:r>
              <w:r>
                <w:fldChar w:fldCharType="begin"/>
              </w:r>
              <w:r>
                <w:instrText xml:space="preserve"> HYPERLINK "https://doi.org/10.3390/computation10070118" </w:instrText>
              </w:r>
              <w:r>
                <w:fldChar w:fldCharType="separate"/>
              </w:r>
              <w:r>
                <w:rPr>
                  <w:rFonts w:ascii="Calibri" w:hAnsi="Calibri" w:cs="Calibri"/>
                  <w:kern w:val="0"/>
                  <w:sz w:val="24"/>
                  <w:szCs w:val="24"/>
                </w:rPr>
                <w:t>https://doi.org/10.3390/computation10070118</w:t>
              </w:r>
              <w:r>
                <w:rPr>
                  <w:rFonts w:ascii="Calibri" w:hAnsi="Calibri" w:cs="Calibri"/>
                  <w:kern w:val="0"/>
                  <w:sz w:val="24"/>
                  <w:szCs w:val="24"/>
                </w:rPr>
                <w:fldChar w:fldCharType="end"/>
              </w:r>
              <w:r>
                <w:rPr>
                  <w:rFonts w:ascii="Calibri" w:hAnsi="Calibri" w:cs="Calibri"/>
                  <w:kern w:val="0"/>
                  <w:sz w:val="24"/>
                  <w:szCs w:val="24"/>
                </w:rPr>
                <w:t>.</w:t>
              </w:r>
            </w:p>
          </w:sdtContent>
        </w:sdt>
      </w:sdtContent>
    </w:sdt>
    <w:p w14:paraId="2B0D8DB9">
      <w:pPr>
        <w:jc w:val="both"/>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45121B"/>
    <w:multiLevelType w:val="multilevel"/>
    <w:tmpl w:val="0E45121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B551353"/>
    <w:multiLevelType w:val="multilevel"/>
    <w:tmpl w:val="2B55135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4D113E87"/>
    <w:multiLevelType w:val="multilevel"/>
    <w:tmpl w:val="4D113E8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8"/>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A71"/>
    <w:rsid w:val="00001FBF"/>
    <w:rsid w:val="00010F83"/>
    <w:rsid w:val="000419B6"/>
    <w:rsid w:val="000C09E9"/>
    <w:rsid w:val="000E3EE2"/>
    <w:rsid w:val="000E49C0"/>
    <w:rsid w:val="00121D41"/>
    <w:rsid w:val="001611D4"/>
    <w:rsid w:val="001905A1"/>
    <w:rsid w:val="00195E31"/>
    <w:rsid w:val="001B459F"/>
    <w:rsid w:val="001E4727"/>
    <w:rsid w:val="00207669"/>
    <w:rsid w:val="00212516"/>
    <w:rsid w:val="00222844"/>
    <w:rsid w:val="0025116B"/>
    <w:rsid w:val="00286C53"/>
    <w:rsid w:val="00297135"/>
    <w:rsid w:val="002A44DC"/>
    <w:rsid w:val="003464A6"/>
    <w:rsid w:val="003B379A"/>
    <w:rsid w:val="003D77E9"/>
    <w:rsid w:val="003F55AC"/>
    <w:rsid w:val="00401909"/>
    <w:rsid w:val="004230C6"/>
    <w:rsid w:val="004349BC"/>
    <w:rsid w:val="004461D8"/>
    <w:rsid w:val="004E5E8A"/>
    <w:rsid w:val="004F7813"/>
    <w:rsid w:val="0051133E"/>
    <w:rsid w:val="00523DC7"/>
    <w:rsid w:val="005272AA"/>
    <w:rsid w:val="00587198"/>
    <w:rsid w:val="005D15D2"/>
    <w:rsid w:val="00602863"/>
    <w:rsid w:val="00604B15"/>
    <w:rsid w:val="00624571"/>
    <w:rsid w:val="00676026"/>
    <w:rsid w:val="006A047C"/>
    <w:rsid w:val="006C1AD8"/>
    <w:rsid w:val="006C247F"/>
    <w:rsid w:val="006E77A9"/>
    <w:rsid w:val="00705E48"/>
    <w:rsid w:val="00707EC3"/>
    <w:rsid w:val="0071015C"/>
    <w:rsid w:val="007223C5"/>
    <w:rsid w:val="007375CE"/>
    <w:rsid w:val="00797839"/>
    <w:rsid w:val="008122DE"/>
    <w:rsid w:val="00876B08"/>
    <w:rsid w:val="00890C11"/>
    <w:rsid w:val="008959AA"/>
    <w:rsid w:val="008B1C35"/>
    <w:rsid w:val="009145C7"/>
    <w:rsid w:val="00985AED"/>
    <w:rsid w:val="009A0083"/>
    <w:rsid w:val="009D302F"/>
    <w:rsid w:val="00A54A23"/>
    <w:rsid w:val="00A6413F"/>
    <w:rsid w:val="00A8076E"/>
    <w:rsid w:val="00A8379C"/>
    <w:rsid w:val="00A84D9F"/>
    <w:rsid w:val="00AD48D4"/>
    <w:rsid w:val="00AD657B"/>
    <w:rsid w:val="00AE2066"/>
    <w:rsid w:val="00AF67FA"/>
    <w:rsid w:val="00B1397D"/>
    <w:rsid w:val="00B37D93"/>
    <w:rsid w:val="00B412CC"/>
    <w:rsid w:val="00B448C3"/>
    <w:rsid w:val="00B648D0"/>
    <w:rsid w:val="00B8114C"/>
    <w:rsid w:val="00BA56C5"/>
    <w:rsid w:val="00C26393"/>
    <w:rsid w:val="00C40573"/>
    <w:rsid w:val="00C5473F"/>
    <w:rsid w:val="00C57309"/>
    <w:rsid w:val="00C9557C"/>
    <w:rsid w:val="00CA5A71"/>
    <w:rsid w:val="00D21254"/>
    <w:rsid w:val="00D86158"/>
    <w:rsid w:val="00DD7E8B"/>
    <w:rsid w:val="00E1249A"/>
    <w:rsid w:val="00E3091B"/>
    <w:rsid w:val="00E717E8"/>
    <w:rsid w:val="00E86B29"/>
    <w:rsid w:val="00EA1FEB"/>
    <w:rsid w:val="00EA377A"/>
    <w:rsid w:val="00EE4FC4"/>
    <w:rsid w:val="00F077F0"/>
    <w:rsid w:val="00F26DFE"/>
    <w:rsid w:val="00F407B0"/>
    <w:rsid w:val="00F56E01"/>
    <w:rsid w:val="00F82E3E"/>
    <w:rsid w:val="00FA38BB"/>
    <w:rsid w:val="00FD1A40"/>
    <w:rsid w:val="00FE0567"/>
    <w:rsid w:val="00FE4660"/>
    <w:rsid w:val="00FE6F6A"/>
    <w:rsid w:val="00FF2CED"/>
    <w:rsid w:val="00FF5704"/>
    <w:rsid w:val="744F76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kern w:val="2"/>
      <w:sz w:val="22"/>
      <w:szCs w:val="22"/>
      <w:lang w:val="en-GB" w:eastAsia="en-US" w:bidi="ar-SA"/>
      <w14:ligatures w14:val="standardContextual"/>
    </w:rPr>
  </w:style>
  <w:style w:type="paragraph" w:styleId="2">
    <w:name w:val="heading 1"/>
    <w:basedOn w:val="1"/>
    <w:next w:val="1"/>
    <w:link w:val="10"/>
    <w:qFormat/>
    <w:uiPriority w:val="9"/>
    <w:pPr>
      <w:keepNext/>
      <w:keepLines/>
      <w:spacing w:before="240" w:after="0" w:line="259" w:lineRule="auto"/>
      <w:outlineLvl w:val="0"/>
    </w:pPr>
    <w:rPr>
      <w:rFonts w:asciiTheme="majorHAnsi" w:hAnsiTheme="majorHAnsi" w:eastAsiaTheme="majorEastAsia" w:cstheme="majorBidi"/>
      <w:color w:val="376092" w:themeColor="accent1" w:themeShade="BF"/>
      <w:kern w:val="0"/>
      <w:sz w:val="32"/>
      <w:szCs w:val="32"/>
      <w:lang w:val="en-US"/>
      <w14:ligatures w14:val="none"/>
    </w:rPr>
  </w:style>
  <w:style w:type="paragraph" w:styleId="3">
    <w:name w:val="heading 2"/>
    <w:basedOn w:val="1"/>
    <w:next w:val="1"/>
    <w:link w:val="1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Hyperlink"/>
    <w:basedOn w:val="4"/>
    <w:unhideWhenUsed/>
    <w:uiPriority w:val="99"/>
    <w:rPr>
      <w:color w:val="0000FF" w:themeColor="hyperlink"/>
      <w:u w:val="single"/>
      <w14:textFill>
        <w14:solidFill>
          <w14:schemeClr w14:val="hlink"/>
        </w14:solidFill>
      </w14:textFill>
    </w:rPr>
  </w:style>
  <w:style w:type="paragraph" w:styleId="7">
    <w:name w:val="Normal (Web)"/>
    <w:basedOn w:val="1"/>
    <w:unhideWhenUsed/>
    <w:uiPriority w:val="99"/>
    <w:pPr>
      <w:spacing w:before="100" w:beforeAutospacing="1" w:after="100" w:afterAutospacing="1" w:line="240" w:lineRule="auto"/>
    </w:pPr>
    <w:rPr>
      <w:rFonts w:ascii="Times New Roman" w:hAnsi="Times New Roman" w:eastAsia="Times New Roman" w:cs="Times New Roman"/>
      <w:kern w:val="0"/>
      <w:sz w:val="24"/>
      <w:szCs w:val="24"/>
      <w:lang w:val="en-US"/>
    </w:rPr>
  </w:style>
  <w:style w:type="paragraph" w:styleId="8">
    <w:name w:val="toc 1"/>
    <w:basedOn w:val="1"/>
    <w:next w:val="1"/>
    <w:autoRedefine/>
    <w:unhideWhenUsed/>
    <w:uiPriority w:val="39"/>
    <w:pPr>
      <w:spacing w:after="100"/>
    </w:pPr>
  </w:style>
  <w:style w:type="paragraph" w:styleId="9">
    <w:name w:val="toc 2"/>
    <w:basedOn w:val="1"/>
    <w:next w:val="1"/>
    <w:autoRedefine/>
    <w:unhideWhenUsed/>
    <w:qFormat/>
    <w:uiPriority w:val="39"/>
    <w:pPr>
      <w:spacing w:after="100"/>
      <w:ind w:left="220"/>
    </w:pPr>
  </w:style>
  <w:style w:type="character" w:customStyle="1" w:styleId="10">
    <w:name w:val="Heading 1 Char"/>
    <w:basedOn w:val="4"/>
    <w:link w:val="2"/>
    <w:uiPriority w:val="9"/>
    <w:rPr>
      <w:rFonts w:asciiTheme="majorHAnsi" w:hAnsiTheme="majorHAnsi" w:eastAsiaTheme="majorEastAsia" w:cstheme="majorBidi"/>
      <w:color w:val="376092" w:themeColor="accent1" w:themeShade="BF"/>
      <w:kern w:val="0"/>
      <w:sz w:val="32"/>
      <w:szCs w:val="32"/>
      <w14:ligatures w14:val="none"/>
    </w:rPr>
  </w:style>
  <w:style w:type="paragraph" w:styleId="11">
    <w:name w:val="List Paragraph"/>
    <w:basedOn w:val="1"/>
    <w:qFormat/>
    <w:uiPriority w:val="34"/>
    <w:pPr>
      <w:ind w:left="720"/>
      <w:contextualSpacing/>
    </w:pPr>
  </w:style>
  <w:style w:type="character" w:customStyle="1" w:styleId="12">
    <w:name w:val="Heading 2 Char"/>
    <w:basedOn w:val="4"/>
    <w:link w:val="3"/>
    <w:uiPriority w:val="9"/>
    <w:rPr>
      <w:rFonts w:asciiTheme="majorHAnsi" w:hAnsiTheme="majorHAnsi" w:eastAsiaTheme="majorEastAsia" w:cstheme="majorBidi"/>
      <w:color w:val="376092" w:themeColor="accent1" w:themeShade="BF"/>
      <w:sz w:val="26"/>
      <w:szCs w:val="26"/>
      <w:lang w:val="en-GB"/>
    </w:rPr>
  </w:style>
  <w:style w:type="paragraph" w:customStyle="1" w:styleId="13">
    <w:name w:val="TOC Heading"/>
    <w:basedOn w:val="2"/>
    <w:next w:val="1"/>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image" Target="cid:image001.png@01D0EA4A.2BD679A0" TargetMode="Externa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6C481C-422B-4AC9-BE3A-DCE645ED430A}">
  <ds:schemaRefs/>
</ds:datastoreItem>
</file>

<file path=docProps/app.xml><?xml version="1.0" encoding="utf-8"?>
<Properties xmlns="http://schemas.openxmlformats.org/officeDocument/2006/extended-properties" xmlns:vt="http://schemas.openxmlformats.org/officeDocument/2006/docPropsVTypes">
  <Template>Normal</Template>
  <Pages>22</Pages>
  <Words>6509</Words>
  <Characters>37102</Characters>
  <Lines>309</Lines>
  <Paragraphs>87</Paragraphs>
  <TotalTime>28</TotalTime>
  <ScaleCrop>false</ScaleCrop>
  <LinksUpToDate>false</LinksUpToDate>
  <CharactersWithSpaces>43524</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2024-10-21T17:16:00Z</dcterms:created>
  <dc:creator>Dell</dc:creator>
  <cp:lastModifiedBy>марина Иванова</cp:lastModifiedBy>
  <dcterms:modified xsi:type="dcterms:W3CDTF">2024-11-20T10:38:02Z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2057-12.2.0.18911</vt:lpwstr>
  </property>
  <property fmtid="{D5CDD505-2E9C-101B-9397-08002B2CF9AE}" pid="3" name="ICV">
    <vt:lpwstr>24DC4E70C266497BA7F28CB340387671_13</vt:lpwstr>
  </property>
</Properties>
</file>