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88C69" w14:textId="25415E8D" w:rsidR="007A7217" w:rsidRPr="00721D03" w:rsidRDefault="007A7217" w:rsidP="007A7217">
      <w:pPr>
        <w:spacing w:line="360" w:lineRule="auto"/>
        <w:jc w:val="both"/>
        <w:rPr>
          <w:rFonts w:ascii="Arial" w:hAnsi="Arial" w:cs="Arial"/>
          <w:b/>
          <w:bCs/>
        </w:rPr>
      </w:pPr>
      <w:r w:rsidRPr="00721D03">
        <w:rPr>
          <w:rFonts w:ascii="Arial" w:hAnsi="Arial" w:cs="Arial"/>
          <w:b/>
          <w:bCs/>
        </w:rPr>
        <w:t>Literature Review on Adolescents’ Social Identity Development</w:t>
      </w:r>
    </w:p>
    <w:p w14:paraId="24542C27" w14:textId="4D97D5E1" w:rsidR="007A7217" w:rsidRDefault="007A7217" w:rsidP="007A7217">
      <w:pPr>
        <w:spacing w:line="360" w:lineRule="auto"/>
        <w:jc w:val="both"/>
        <w:rPr>
          <w:rFonts w:ascii="Arial" w:hAnsi="Arial" w:cs="Arial"/>
        </w:rPr>
      </w:pPr>
      <w:r>
        <w:rPr>
          <w:rFonts w:ascii="Arial" w:hAnsi="Arial" w:cs="Arial"/>
        </w:rPr>
        <w:t>Adolescence is a critical period for identity formation, particularly the development of social identity, which refers to the part of an individual’s self-concept derived from perceived membership in social groups (Tajfel &amp; Turner, 1986). As adolescents begin to engage more actively with peers, social groups, and society at large, their social identities, pertaining to gender, ethnicity, religion, sexuality, and other group affiliations, become increasingly salient. This literature review explores theoretical frameworks and empirical research on social identity development during adolescence, highlighting key findings and critically evaluating influential studies.</w:t>
      </w:r>
    </w:p>
    <w:p w14:paraId="5583787F" w14:textId="36132D39" w:rsidR="007A7217" w:rsidRDefault="007A7217" w:rsidP="007A7217">
      <w:pPr>
        <w:spacing w:line="360" w:lineRule="auto"/>
        <w:jc w:val="both"/>
        <w:rPr>
          <w:rFonts w:ascii="Arial" w:hAnsi="Arial" w:cs="Arial"/>
        </w:rPr>
      </w:pPr>
      <w:r>
        <w:rPr>
          <w:rFonts w:ascii="Arial" w:hAnsi="Arial" w:cs="Arial"/>
        </w:rPr>
        <w:t xml:space="preserve">Several theoretical models provide a foundation for understanding how adolescents develop </w:t>
      </w:r>
      <w:r w:rsidR="007259C6">
        <w:rPr>
          <w:rFonts w:ascii="Arial" w:hAnsi="Arial" w:cs="Arial"/>
        </w:rPr>
        <w:t>social identities. One of the most influential is the Social Identity Theory (SIT), proposed by Tajfel and Turner (1979), which posits that individuals derive self-esteem from their group memberships. Adolescents, navigating multiple social groups, begin to categorize themselves and others, often leading to in-group favouritism and out-group differentiation.</w:t>
      </w:r>
    </w:p>
    <w:p w14:paraId="4C829280" w14:textId="4564A89F" w:rsidR="007259C6" w:rsidRDefault="007259C6" w:rsidP="007A7217">
      <w:pPr>
        <w:spacing w:line="360" w:lineRule="auto"/>
        <w:jc w:val="both"/>
        <w:rPr>
          <w:rFonts w:ascii="Arial" w:hAnsi="Arial" w:cs="Arial"/>
        </w:rPr>
      </w:pPr>
      <w:r>
        <w:rPr>
          <w:rFonts w:ascii="Arial" w:hAnsi="Arial" w:cs="Arial"/>
        </w:rPr>
        <w:t>Building on SIT, Erikson’s (1968) Psychosocial Theory emphasized identity vs. role confusion as the central challenge of adolescence. Although Erikson focused broadly on ego identity, his work laid the groundwork for understanding how personal and social identities interact. Later, Marcia’s (1980) identity status model (diffusion, foreclosure, moratorium, and achievement) offered a framework for empirical investigation into identity formation, including social components.</w:t>
      </w:r>
    </w:p>
    <w:p w14:paraId="6D648C3B" w14:textId="668096B5" w:rsidR="007259C6" w:rsidRDefault="007259C6" w:rsidP="007A7217">
      <w:pPr>
        <w:spacing w:line="360" w:lineRule="auto"/>
        <w:jc w:val="both"/>
        <w:rPr>
          <w:rFonts w:ascii="Arial" w:hAnsi="Arial" w:cs="Arial"/>
        </w:rPr>
      </w:pPr>
      <w:r>
        <w:rPr>
          <w:rFonts w:ascii="Arial" w:hAnsi="Arial" w:cs="Arial"/>
        </w:rPr>
        <w:t xml:space="preserve">More recently, Developmental Intergroup Theory (Bigler &amp; Liben, 2007) has been influential in explaining how children and adolescents form attitudes about social groups. The theory posits that identity development is shaped by cognitive development, social categorization, and environmental input, particularly messages from parents, schools, and media. </w:t>
      </w:r>
    </w:p>
    <w:p w14:paraId="400FDD51" w14:textId="513855DB" w:rsidR="007259C6" w:rsidRDefault="007259C6" w:rsidP="007A7217">
      <w:pPr>
        <w:spacing w:line="360" w:lineRule="auto"/>
        <w:jc w:val="both"/>
        <w:rPr>
          <w:rFonts w:ascii="Arial" w:hAnsi="Arial" w:cs="Arial"/>
        </w:rPr>
      </w:pPr>
      <w:r>
        <w:rPr>
          <w:rFonts w:ascii="Arial" w:hAnsi="Arial" w:cs="Arial"/>
        </w:rPr>
        <w:t xml:space="preserve">While these theories provide valuable lenses, critics argue that they may underplay intersectionality and cultural variation. For example, SIT has been criticised for overemphasizing group distinctions without adequately addressing internal diversity and identity negotiation within groups (Ashmore et al, 2004). </w:t>
      </w:r>
    </w:p>
    <w:p w14:paraId="6D6B6582" w14:textId="5399C5F4" w:rsidR="002615C8" w:rsidRDefault="00EF0590" w:rsidP="002615C8">
      <w:pPr>
        <w:spacing w:line="360" w:lineRule="auto"/>
        <w:jc w:val="both"/>
        <w:rPr>
          <w:rFonts w:ascii="Arial" w:hAnsi="Arial" w:cs="Arial"/>
        </w:rPr>
      </w:pPr>
      <w:r>
        <w:rPr>
          <w:rFonts w:ascii="Arial" w:hAnsi="Arial" w:cs="Arial"/>
        </w:rPr>
        <w:lastRenderedPageBreak/>
        <w:t>A substantial body of literature focuses on ethnic and racial identity (ERI) as a vital aspect of adolescents’ social identity. Phinney’s (1992) model outlines a three-stage process: unexamined ethnic identity, exploration, and achieved identity. Empirical studies support this model, showing that exploration and commitment are positively correlated with self-esteem and academic performance (Phinney &amp; Ong, 2007).</w:t>
      </w:r>
    </w:p>
    <w:p w14:paraId="5D35A0EC" w14:textId="7B4A90E4" w:rsidR="002615C8" w:rsidRPr="00721D03" w:rsidRDefault="002615C8" w:rsidP="002615C8">
      <w:pPr>
        <w:spacing w:line="360" w:lineRule="auto"/>
        <w:jc w:val="both"/>
        <w:rPr>
          <w:rFonts w:ascii="Arial" w:hAnsi="Arial" w:cs="Arial"/>
          <w:highlight w:val="yellow"/>
        </w:rPr>
      </w:pPr>
      <w:r w:rsidRPr="00721D03">
        <w:rPr>
          <w:rFonts w:ascii="Arial" w:hAnsi="Arial" w:cs="Arial"/>
          <w:highlight w:val="yellow"/>
        </w:rPr>
        <w:t>Umaña-Taylor et al. (2004) conducted a longitudinal study</w:t>
      </w:r>
      <w:r w:rsidRPr="00721D03">
        <w:rPr>
          <w:rFonts w:ascii="Arial" w:hAnsi="Arial" w:cs="Arial"/>
          <w:highlight w:val="yellow"/>
        </w:rPr>
        <w:t xml:space="preserve"> examining the role of ethnic identity development in Latino adolescents, focusing particularly on the processes of exploration and resolution. The study employed structured interviews and standardized scales over multiple time points to assess how changes in ethnic identity related to psychological functioning. The researchers found that adolescents who engaged more deeply in exploring their ethnic background, through reflection, conversations with family, and engagement in cultural practices, demonstrated higher levels of psychological well-being over time. Specifically, ethnic identity exploration was positively associated with increased self-esteem, a greater sense of purpose, and lower levels of internalizing symptoms such as anxiety and depression. These findings support Phinney’s (1992) three-stage</w:t>
      </w:r>
      <w:r w:rsidR="00E17CCB" w:rsidRPr="00721D03">
        <w:rPr>
          <w:rFonts w:ascii="Arial" w:hAnsi="Arial" w:cs="Arial"/>
          <w:highlight w:val="yellow"/>
        </w:rPr>
        <w:t xml:space="preserve"> model of ethnic identity development, which emphasizes the progression from unexamined identity through exploration to achieved identity as beneficial for adolescent development.</w:t>
      </w:r>
    </w:p>
    <w:p w14:paraId="436E0AAC" w14:textId="6B300B17" w:rsidR="00E17CCB" w:rsidRPr="00721D03" w:rsidRDefault="00E17CCB" w:rsidP="002615C8">
      <w:pPr>
        <w:spacing w:line="360" w:lineRule="auto"/>
        <w:jc w:val="both"/>
        <w:rPr>
          <w:rFonts w:ascii="Arial" w:hAnsi="Arial" w:cs="Arial"/>
          <w:highlight w:val="yellow"/>
        </w:rPr>
      </w:pPr>
      <w:r w:rsidRPr="00721D03">
        <w:rPr>
          <w:rFonts w:ascii="Arial" w:hAnsi="Arial" w:cs="Arial"/>
          <w:highlight w:val="yellow"/>
        </w:rPr>
        <w:t>Moreover, this study underscored the role of contextual factors such as family ethnic socialization. Adolescents who reported more frequent ethnic socialization messages from parents, such as stories about cultural history or participation in cultural events, were more likely to engage in identity exploration and to feel positively about their ethnic group (</w:t>
      </w:r>
      <w:r w:rsidRPr="00721D03">
        <w:rPr>
          <w:rFonts w:ascii="Arial" w:hAnsi="Arial" w:cs="Arial"/>
          <w:highlight w:val="yellow"/>
        </w:rPr>
        <w:t>Umaña-Taylor et al.</w:t>
      </w:r>
      <w:r w:rsidRPr="00721D03">
        <w:rPr>
          <w:rFonts w:ascii="Arial" w:hAnsi="Arial" w:cs="Arial"/>
          <w:highlight w:val="yellow"/>
        </w:rPr>
        <w:t>,</w:t>
      </w:r>
      <w:r w:rsidRPr="00721D03">
        <w:rPr>
          <w:rFonts w:ascii="Arial" w:hAnsi="Arial" w:cs="Arial"/>
          <w:highlight w:val="yellow"/>
        </w:rPr>
        <w:t xml:space="preserve"> 2004</w:t>
      </w:r>
      <w:r w:rsidRPr="00721D03">
        <w:rPr>
          <w:rFonts w:ascii="Arial" w:hAnsi="Arial" w:cs="Arial"/>
          <w:highlight w:val="yellow"/>
        </w:rPr>
        <w:t xml:space="preserve">; </w:t>
      </w:r>
      <w:r w:rsidRPr="00721D03">
        <w:rPr>
          <w:rFonts w:ascii="Arial" w:hAnsi="Arial" w:cs="Arial"/>
          <w:highlight w:val="yellow"/>
        </w:rPr>
        <w:t>Umaña-Taylor</w:t>
      </w:r>
      <w:r w:rsidRPr="00721D03">
        <w:rPr>
          <w:rFonts w:ascii="Arial" w:hAnsi="Arial" w:cs="Arial"/>
          <w:highlight w:val="yellow"/>
        </w:rPr>
        <w:t xml:space="preserve">, 2011). These findings highlight the family as a central context for ethnic identity development and reinforce the importance of culturally affirming environments. </w:t>
      </w:r>
    </w:p>
    <w:p w14:paraId="35CB591D" w14:textId="4775AA8C" w:rsidR="00E17CCB" w:rsidRPr="00721D03" w:rsidRDefault="00E17CCB" w:rsidP="002615C8">
      <w:pPr>
        <w:spacing w:line="360" w:lineRule="auto"/>
        <w:jc w:val="both"/>
        <w:rPr>
          <w:rFonts w:ascii="Arial" w:hAnsi="Arial" w:cs="Arial"/>
          <w:highlight w:val="yellow"/>
        </w:rPr>
      </w:pPr>
      <w:r w:rsidRPr="00721D03">
        <w:rPr>
          <w:rFonts w:ascii="Arial" w:hAnsi="Arial" w:cs="Arial"/>
          <w:highlight w:val="yellow"/>
        </w:rPr>
        <w:t xml:space="preserve">Similarly, Kiang et al. (2008) explored the relationship between ethnic-racial identity (ERI) processes, specifically exploration and affirmation, and psychological outcomes among Asian American adolescents. Using data from a large sample of youth aged 14 to 18, the authors found that adolescents who reported higher levels of ERI exploration (actively learning about and thinking about their ethnic background) and ERI affirmation (positive feelings and pride toward their group) also reported higher self-esteem, greater life </w:t>
      </w:r>
      <w:proofErr w:type="spellStart"/>
      <w:r w:rsidRPr="00721D03">
        <w:rPr>
          <w:rFonts w:ascii="Arial" w:hAnsi="Arial" w:cs="Arial"/>
          <w:highlight w:val="yellow"/>
        </w:rPr>
        <w:t>satisfactgion</w:t>
      </w:r>
      <w:proofErr w:type="spellEnd"/>
      <w:r w:rsidRPr="00721D03">
        <w:rPr>
          <w:rFonts w:ascii="Arial" w:hAnsi="Arial" w:cs="Arial"/>
          <w:highlight w:val="yellow"/>
        </w:rPr>
        <w:t xml:space="preserve">, and lower depressive symptoms. These </w:t>
      </w:r>
      <w:r w:rsidRPr="00721D03">
        <w:rPr>
          <w:rFonts w:ascii="Arial" w:hAnsi="Arial" w:cs="Arial"/>
          <w:highlight w:val="yellow"/>
        </w:rPr>
        <w:lastRenderedPageBreak/>
        <w:t>associations held even</w:t>
      </w:r>
      <w:r w:rsidR="00041C7F" w:rsidRPr="00721D03">
        <w:rPr>
          <w:rFonts w:ascii="Arial" w:hAnsi="Arial" w:cs="Arial"/>
          <w:highlight w:val="yellow"/>
        </w:rPr>
        <w:t xml:space="preserve"> after controlling for demographic variables and acculturation levels, suggesting that the positive effects of ERI development are robust across a range of contexts. </w:t>
      </w:r>
    </w:p>
    <w:p w14:paraId="4BD3E271" w14:textId="13913083" w:rsidR="00041C7F" w:rsidRPr="00721D03" w:rsidRDefault="00041C7F" w:rsidP="002615C8">
      <w:pPr>
        <w:spacing w:line="360" w:lineRule="auto"/>
        <w:jc w:val="both"/>
        <w:rPr>
          <w:rFonts w:ascii="Arial" w:hAnsi="Arial" w:cs="Arial"/>
          <w:highlight w:val="yellow"/>
        </w:rPr>
      </w:pPr>
      <w:r w:rsidRPr="00721D03">
        <w:rPr>
          <w:rFonts w:ascii="Arial" w:hAnsi="Arial" w:cs="Arial"/>
          <w:highlight w:val="yellow"/>
        </w:rPr>
        <w:t>Kiang et al.’s (2008) finding contribute to a growing body of evidence indicating that a strong, positive ethnic identity serves as a protective factor against the negative effects of discrimination and acculturative stress (Rivas-Drake et al., 2014; Neblett et al., 2012). For instance, affirmation, the affective component of ERI, has been found to buffer the psychological impact of racial and ethnic discrimination, reducing the risk of depression and increasing resilience (Romero er al., 2007). Furthermore, these studies suggest that exploration and affirmation work in tandem: while exploration provides the cognitive foundation for understanding one’s heritage, affirmation enhances emotional well-being by fostering pride and belonging.</w:t>
      </w:r>
    </w:p>
    <w:p w14:paraId="600BAD3D" w14:textId="57497F51" w:rsidR="002615C8" w:rsidRDefault="00041C7F" w:rsidP="007A7217">
      <w:pPr>
        <w:spacing w:line="360" w:lineRule="auto"/>
        <w:jc w:val="both"/>
        <w:rPr>
          <w:rFonts w:ascii="Arial" w:hAnsi="Arial" w:cs="Arial"/>
        </w:rPr>
      </w:pPr>
      <w:r w:rsidRPr="00721D03">
        <w:rPr>
          <w:rFonts w:ascii="Arial" w:hAnsi="Arial" w:cs="Arial"/>
          <w:highlight w:val="yellow"/>
        </w:rPr>
        <w:t>Importantly, both studies challenge earlier assumptions that strong ethnic identification might hinder integration or adaption in mainstream society. Instead, they demonstrate that ethnic identity development can coexist with bicultural competence and even enhance psychological outcomes. This is consistent with Berry’s (1997) model of acculturation, which argues that integration</w:t>
      </w:r>
      <w:r w:rsidR="00721D03" w:rsidRPr="00721D03">
        <w:rPr>
          <w:rFonts w:ascii="Arial" w:hAnsi="Arial" w:cs="Arial"/>
          <w:highlight w:val="yellow"/>
        </w:rPr>
        <w:t>, maintaining one’s heritage culture while participating in the host culture, is the most adaptive strategy for minority youth</w:t>
      </w:r>
      <w:r w:rsidR="00850C4A">
        <w:rPr>
          <w:rFonts w:ascii="Arial" w:hAnsi="Arial" w:cs="Arial"/>
        </w:rPr>
        <w:t>.</w:t>
      </w:r>
    </w:p>
    <w:p w14:paraId="42EFA4E5" w14:textId="03BE38F6" w:rsidR="00EF0590" w:rsidRDefault="00EF0590" w:rsidP="007A7217">
      <w:pPr>
        <w:spacing w:line="360" w:lineRule="auto"/>
        <w:jc w:val="both"/>
        <w:rPr>
          <w:rFonts w:ascii="Arial" w:hAnsi="Arial" w:cs="Arial"/>
        </w:rPr>
      </w:pPr>
      <w:r w:rsidRPr="00850C4A">
        <w:rPr>
          <w:rFonts w:ascii="Arial" w:hAnsi="Arial" w:cs="Arial"/>
          <w:highlight w:val="magenta"/>
        </w:rPr>
        <w:t>Umaña-Taylor et al. (2004) conducted a longitudinal study with Latino adolescents, finding that greater exploration of ethnic identity predicted higher levels of psychological well-being. Similarly, Kiang et al. (2008) found that ERI exploration and affirmation were linked to positive outcomes, such as higher self-esteem and lower depressive symptoms, among Asian American youth.</w:t>
      </w:r>
      <w:r>
        <w:rPr>
          <w:rFonts w:ascii="Arial" w:hAnsi="Arial" w:cs="Arial"/>
        </w:rPr>
        <w:t xml:space="preserve"> </w:t>
      </w:r>
    </w:p>
    <w:p w14:paraId="2FD0B16E" w14:textId="217EB6C8" w:rsidR="00EF0590" w:rsidRDefault="00EF0590" w:rsidP="007A7217">
      <w:pPr>
        <w:spacing w:line="360" w:lineRule="auto"/>
        <w:jc w:val="both"/>
        <w:rPr>
          <w:rFonts w:ascii="Arial" w:hAnsi="Arial" w:cs="Arial"/>
        </w:rPr>
      </w:pPr>
      <w:r>
        <w:rPr>
          <w:rFonts w:ascii="Arial" w:hAnsi="Arial" w:cs="Arial"/>
        </w:rPr>
        <w:t>However, some scholars critique the generalizability of these findings. For instance, Syed and Azmitia (~2008) argue that linear models of ERI development fail to capture the complexity of identity negotiation in multiethnic or bicultural youth. Their qualitative study with college students from diverse backgrounds revealed fluid and context-depend</w:t>
      </w:r>
      <w:r w:rsidR="000906C9">
        <w:rPr>
          <w:rFonts w:ascii="Arial" w:hAnsi="Arial" w:cs="Arial"/>
        </w:rPr>
        <w:t>ent identity expressions that challenge rigid stage-based models.</w:t>
      </w:r>
    </w:p>
    <w:p w14:paraId="76171C6E" w14:textId="65AD3876" w:rsidR="000906C9" w:rsidRDefault="000906C9" w:rsidP="007A7217">
      <w:pPr>
        <w:spacing w:line="360" w:lineRule="auto"/>
        <w:jc w:val="both"/>
        <w:rPr>
          <w:rFonts w:ascii="Arial" w:hAnsi="Arial" w:cs="Arial"/>
        </w:rPr>
      </w:pPr>
      <w:r>
        <w:rPr>
          <w:rFonts w:ascii="Arial" w:hAnsi="Arial" w:cs="Arial"/>
        </w:rPr>
        <w:t xml:space="preserve">In response, Cross’s (1991) </w:t>
      </w:r>
      <w:proofErr w:type="spellStart"/>
      <w:r>
        <w:rPr>
          <w:rFonts w:ascii="Arial" w:hAnsi="Arial" w:cs="Arial"/>
        </w:rPr>
        <w:t>Nigrescence</w:t>
      </w:r>
      <w:proofErr w:type="spellEnd"/>
      <w:r>
        <w:rPr>
          <w:rFonts w:ascii="Arial" w:hAnsi="Arial" w:cs="Arial"/>
        </w:rPr>
        <w:t xml:space="preserve"> model and Helm’s (1995) White Racial Identity Development Model introduce race-specific trajectories, recognising that experiences of systemic racism significantly shape identity. These models emphasize how exposure to discrimination can trigger identity exploration and resistance.</w:t>
      </w:r>
    </w:p>
    <w:p w14:paraId="006307EB" w14:textId="339369D0" w:rsidR="000906C9" w:rsidRDefault="000906C9" w:rsidP="007A7217">
      <w:pPr>
        <w:spacing w:line="360" w:lineRule="auto"/>
        <w:jc w:val="both"/>
        <w:rPr>
          <w:rFonts w:ascii="Arial" w:hAnsi="Arial" w:cs="Arial"/>
        </w:rPr>
      </w:pPr>
      <w:r>
        <w:rPr>
          <w:rFonts w:ascii="Arial" w:hAnsi="Arial" w:cs="Arial"/>
        </w:rPr>
        <w:lastRenderedPageBreak/>
        <w:t>Empirical support for this comes from Sellers et al. (1998), who developed the Multidimensional Model of Racial Identity (MMRI), positing that racial identity includes multiple dimensions: salience, centrality, regard, and ideology. Their studies demonstrate that adolescents who view race as central to their self-concept and hold positive in-group attitudes tend to experience better psychological outcomes, even when facing racial discrimination.</w:t>
      </w:r>
    </w:p>
    <w:p w14:paraId="2D961D88" w14:textId="5857E219" w:rsidR="000906C9" w:rsidRDefault="000906C9" w:rsidP="007A7217">
      <w:pPr>
        <w:spacing w:line="360" w:lineRule="auto"/>
        <w:jc w:val="both"/>
        <w:rPr>
          <w:rFonts w:ascii="Arial" w:hAnsi="Arial" w:cs="Arial"/>
        </w:rPr>
      </w:pPr>
      <w:r>
        <w:rPr>
          <w:rFonts w:ascii="Arial" w:hAnsi="Arial" w:cs="Arial"/>
        </w:rPr>
        <w:t xml:space="preserve">Gender identity and sexual orientation become increasingly salient during adolescence, intersecting with broader social identity processes. According to the Gender Schema Theory (Bem, 1981), children internalize gendered expectations, which shape their behaviours and self-perceptions. During adolescence, as cognitive capacity for abstraction increases, individuals begin to critically assess and either conform to or resist traditional gender norms. </w:t>
      </w:r>
    </w:p>
    <w:p w14:paraId="443FF24B" w14:textId="6ED297DA" w:rsidR="000906C9" w:rsidRDefault="000906C9" w:rsidP="007A7217">
      <w:pPr>
        <w:spacing w:line="360" w:lineRule="auto"/>
        <w:jc w:val="both"/>
        <w:rPr>
          <w:rFonts w:ascii="Arial" w:hAnsi="Arial" w:cs="Arial"/>
        </w:rPr>
      </w:pPr>
      <w:r>
        <w:rPr>
          <w:rFonts w:ascii="Arial" w:hAnsi="Arial" w:cs="Arial"/>
        </w:rPr>
        <w:t xml:space="preserve">Galambos et al. (1990) found that gender role attitudes become more traditional in early adolescence but later may become more egalitarian, suggesting that identity development is dynamic and </w:t>
      </w:r>
      <w:r w:rsidR="00D473B1">
        <w:rPr>
          <w:rFonts w:ascii="Arial" w:hAnsi="Arial" w:cs="Arial"/>
        </w:rPr>
        <w:t>context sensitive</w:t>
      </w:r>
      <w:r>
        <w:rPr>
          <w:rFonts w:ascii="Arial" w:hAnsi="Arial" w:cs="Arial"/>
        </w:rPr>
        <w:t xml:space="preserve">. Similarly, Perry and Pauletti (2011) </w:t>
      </w:r>
      <w:r w:rsidR="00D473B1">
        <w:rPr>
          <w:rFonts w:ascii="Arial" w:hAnsi="Arial" w:cs="Arial"/>
        </w:rPr>
        <w:t>reviewed evidence that gender identity flexibility increases during mid-to-late adolescence, particularly in supportive social environments.</w:t>
      </w:r>
    </w:p>
    <w:p w14:paraId="682AE5E6" w14:textId="4D7588E0" w:rsidR="00D473B1" w:rsidRDefault="00D473B1" w:rsidP="007A7217">
      <w:pPr>
        <w:spacing w:line="360" w:lineRule="auto"/>
        <w:jc w:val="both"/>
        <w:rPr>
          <w:rFonts w:ascii="Arial" w:hAnsi="Arial" w:cs="Arial"/>
        </w:rPr>
      </w:pPr>
      <w:r>
        <w:rPr>
          <w:rFonts w:ascii="Arial" w:hAnsi="Arial" w:cs="Arial"/>
        </w:rPr>
        <w:t xml:space="preserve">Sexual identity development has been extensively examined through models such as </w:t>
      </w:r>
      <w:proofErr w:type="spellStart"/>
      <w:r>
        <w:rPr>
          <w:rFonts w:ascii="Arial" w:hAnsi="Arial" w:cs="Arial"/>
        </w:rPr>
        <w:t>Cass’</w:t>
      </w:r>
      <w:proofErr w:type="spellEnd"/>
      <w:r>
        <w:rPr>
          <w:rFonts w:ascii="Arial" w:hAnsi="Arial" w:cs="Arial"/>
        </w:rPr>
        <w:t xml:space="preserve"> (1979) six-stage model, which includes identity confusion, comparison, tolerance, acceptance, pride, and synthesis. Although foundational, </w:t>
      </w:r>
      <w:proofErr w:type="spellStart"/>
      <w:r>
        <w:rPr>
          <w:rFonts w:ascii="Arial" w:hAnsi="Arial" w:cs="Arial"/>
        </w:rPr>
        <w:t>Cass’</w:t>
      </w:r>
      <w:proofErr w:type="spellEnd"/>
      <w:r>
        <w:rPr>
          <w:rFonts w:ascii="Arial" w:hAnsi="Arial" w:cs="Arial"/>
        </w:rPr>
        <w:t xml:space="preserve"> model has been critiqued for its linearity and lack of cultural sensitivity.</w:t>
      </w:r>
    </w:p>
    <w:p w14:paraId="6BEB8904" w14:textId="1AEB4136" w:rsidR="00D473B1" w:rsidRDefault="00D473B1" w:rsidP="007A7217">
      <w:pPr>
        <w:spacing w:line="360" w:lineRule="auto"/>
        <w:jc w:val="both"/>
        <w:rPr>
          <w:rFonts w:ascii="Arial" w:hAnsi="Arial" w:cs="Arial"/>
        </w:rPr>
      </w:pPr>
      <w:r>
        <w:rPr>
          <w:rFonts w:ascii="Arial" w:hAnsi="Arial" w:cs="Arial"/>
        </w:rPr>
        <w:t>More recent research, such as Savin-Williams and Diamond (2000), emphasizes a more fluid, non-linear trajectory. Their longitudinal work with sexual minority youth suggests that many do not follow a uniform path toward identity formation and may adopt labels (e.g., bisexual, pansexual, queer) that shift over time.</w:t>
      </w:r>
    </w:p>
    <w:p w14:paraId="38F57892" w14:textId="3D5CB169" w:rsidR="00D473B1" w:rsidRDefault="00D473B1" w:rsidP="007A7217">
      <w:pPr>
        <w:spacing w:line="360" w:lineRule="auto"/>
        <w:jc w:val="both"/>
        <w:rPr>
          <w:rFonts w:ascii="Arial" w:hAnsi="Arial" w:cs="Arial"/>
        </w:rPr>
      </w:pPr>
      <w:r>
        <w:rPr>
          <w:rFonts w:ascii="Arial" w:hAnsi="Arial" w:cs="Arial"/>
        </w:rPr>
        <w:t>Environmental context is crucial. Ryan et al. (2009) found that LGBTQ adolescents with rejecting families were more than eight times more likely to report suicide attempts than those with supportive families, underscoring the significance of social context in identity development.</w:t>
      </w:r>
    </w:p>
    <w:p w14:paraId="5D017C69" w14:textId="10F1CE68" w:rsidR="00D473B1" w:rsidRDefault="00D473B1" w:rsidP="007A7217">
      <w:pPr>
        <w:spacing w:line="360" w:lineRule="auto"/>
        <w:jc w:val="both"/>
        <w:rPr>
          <w:rFonts w:ascii="Arial" w:hAnsi="Arial" w:cs="Arial"/>
        </w:rPr>
      </w:pPr>
      <w:r>
        <w:rPr>
          <w:rFonts w:ascii="Arial" w:hAnsi="Arial" w:cs="Arial"/>
        </w:rPr>
        <w:t xml:space="preserve">Peers play a pivotal role in adolescents’ identity formation. Brown et al. (1994) conceptualized adolescent peer groups as “crowds” that provide a framework for </w:t>
      </w:r>
      <w:r>
        <w:rPr>
          <w:rFonts w:ascii="Arial" w:hAnsi="Arial" w:cs="Arial"/>
        </w:rPr>
        <w:lastRenderedPageBreak/>
        <w:t>social identity</w:t>
      </w:r>
      <w:r w:rsidR="007066B1">
        <w:rPr>
          <w:rFonts w:ascii="Arial" w:hAnsi="Arial" w:cs="Arial"/>
        </w:rPr>
        <w:t>. For example, youth may align themselves with groups such as “jock,” “nerds,” or “goths,” each carrying distinct norms and social capital.</w:t>
      </w:r>
    </w:p>
    <w:p w14:paraId="2C0739F1" w14:textId="2401C2B7" w:rsidR="007066B1" w:rsidRDefault="007066B1" w:rsidP="007A7217">
      <w:pPr>
        <w:spacing w:line="360" w:lineRule="auto"/>
        <w:jc w:val="both"/>
        <w:rPr>
          <w:rFonts w:ascii="Arial" w:hAnsi="Arial" w:cs="Arial"/>
        </w:rPr>
      </w:pPr>
      <w:r>
        <w:rPr>
          <w:rFonts w:ascii="Arial" w:hAnsi="Arial" w:cs="Arial"/>
        </w:rPr>
        <w:t>Kinney (1993) conducted ethnographic research in high schools and found that adolescents often moved between groups or modified group boundaries, challenging the notion of fixed social identities. This flexibility can serve adaptive functions, allowing adolescents to experiment with different roles and values.</w:t>
      </w:r>
    </w:p>
    <w:p w14:paraId="4007FA80" w14:textId="2FEEE674" w:rsidR="007066B1" w:rsidRDefault="007066B1" w:rsidP="007A7217">
      <w:pPr>
        <w:spacing w:line="360" w:lineRule="auto"/>
        <w:jc w:val="both"/>
        <w:rPr>
          <w:rFonts w:ascii="Arial" w:hAnsi="Arial" w:cs="Arial"/>
        </w:rPr>
      </w:pPr>
      <w:r>
        <w:rPr>
          <w:rFonts w:ascii="Arial" w:hAnsi="Arial" w:cs="Arial"/>
        </w:rPr>
        <w:t xml:space="preserve">However, peer influence is not uniformly positive. </w:t>
      </w:r>
      <w:proofErr w:type="spellStart"/>
      <w:r>
        <w:rPr>
          <w:rFonts w:ascii="Arial" w:hAnsi="Arial" w:cs="Arial"/>
        </w:rPr>
        <w:t>Prinstein</w:t>
      </w:r>
      <w:proofErr w:type="spellEnd"/>
      <w:r>
        <w:rPr>
          <w:rFonts w:ascii="Arial" w:hAnsi="Arial" w:cs="Arial"/>
        </w:rPr>
        <w:t xml:space="preserve"> and Dodge (2008) found that adolescents with low self-concept clarity were more susceptible to peer pressure and more likely to engage in risky behaviours to maintain group membership. Thus, while peer affiliations can foster belonging, they may also pressure conformity and marginalise difference.</w:t>
      </w:r>
    </w:p>
    <w:p w14:paraId="0E75D22D" w14:textId="5FBE2BB9" w:rsidR="007066B1" w:rsidRDefault="007066B1" w:rsidP="007A7217">
      <w:pPr>
        <w:spacing w:line="360" w:lineRule="auto"/>
        <w:jc w:val="both"/>
        <w:rPr>
          <w:rFonts w:ascii="Arial" w:hAnsi="Arial" w:cs="Arial"/>
        </w:rPr>
      </w:pPr>
      <w:r>
        <w:rPr>
          <w:rFonts w:ascii="Arial" w:hAnsi="Arial" w:cs="Arial"/>
        </w:rPr>
        <w:t xml:space="preserve">Social media has added a new dimension. Nesi and </w:t>
      </w:r>
      <w:proofErr w:type="spellStart"/>
      <w:r>
        <w:rPr>
          <w:rFonts w:ascii="Arial" w:hAnsi="Arial" w:cs="Arial"/>
        </w:rPr>
        <w:t>Prinstein</w:t>
      </w:r>
      <w:proofErr w:type="spellEnd"/>
      <w:r>
        <w:rPr>
          <w:rFonts w:ascii="Arial" w:hAnsi="Arial" w:cs="Arial"/>
        </w:rPr>
        <w:t xml:space="preserve"> (2015) found that online interactions can amplify peer influence, with adolescents curating identities to receive validation via “likes” and comments. While social media can promote self-expression, it may also heighten social comparison and identity diffusion.</w:t>
      </w:r>
    </w:p>
    <w:p w14:paraId="28AC4581" w14:textId="0C1EBF79" w:rsidR="007066B1" w:rsidRDefault="007066B1" w:rsidP="007A7217">
      <w:pPr>
        <w:spacing w:line="360" w:lineRule="auto"/>
        <w:jc w:val="both"/>
        <w:rPr>
          <w:rFonts w:ascii="Arial" w:hAnsi="Arial" w:cs="Arial"/>
        </w:rPr>
      </w:pPr>
      <w:r>
        <w:rPr>
          <w:rFonts w:ascii="Arial" w:hAnsi="Arial" w:cs="Arial"/>
        </w:rPr>
        <w:t xml:space="preserve">Institutions such as schools and community organisations are key settings for identity development. Martin (2011) </w:t>
      </w:r>
      <w:r w:rsidR="00483864">
        <w:rPr>
          <w:rFonts w:ascii="Arial" w:hAnsi="Arial" w:cs="Arial"/>
        </w:rPr>
        <w:t>argues</w:t>
      </w:r>
      <w:r>
        <w:rPr>
          <w:rFonts w:ascii="Arial" w:hAnsi="Arial" w:cs="Arial"/>
        </w:rPr>
        <w:t xml:space="preserve"> that schools serve as “identity workspaces,” where adolescents negotiate roles, values, and social positions. School climate, teacher support, and representation in curricula all influence whether adolescents feel seen and valued.</w:t>
      </w:r>
    </w:p>
    <w:p w14:paraId="20B4A515" w14:textId="27E58C14" w:rsidR="007066B1" w:rsidRDefault="007066B1" w:rsidP="007A7217">
      <w:pPr>
        <w:spacing w:line="360" w:lineRule="auto"/>
        <w:jc w:val="both"/>
        <w:rPr>
          <w:rFonts w:ascii="Arial" w:hAnsi="Arial" w:cs="Arial"/>
        </w:rPr>
      </w:pPr>
      <w:r>
        <w:rPr>
          <w:rFonts w:ascii="Arial" w:hAnsi="Arial" w:cs="Arial"/>
        </w:rPr>
        <w:t xml:space="preserve">For example, Seaton et al. (2014) found that African American adolescents attending racially diverse schools reported stronger racial identity centrality </w:t>
      </w:r>
      <w:r w:rsidR="00483864">
        <w:rPr>
          <w:rFonts w:ascii="Arial" w:hAnsi="Arial" w:cs="Arial"/>
        </w:rPr>
        <w:t>when they perceived racial discrimination. In contrast, positive school climates mitigated the negative effects of discrimination on well-being.</w:t>
      </w:r>
    </w:p>
    <w:p w14:paraId="05CE4A75" w14:textId="246C2087" w:rsidR="00483864" w:rsidRDefault="00483864" w:rsidP="007A7217">
      <w:pPr>
        <w:spacing w:line="360" w:lineRule="auto"/>
        <w:jc w:val="both"/>
        <w:rPr>
          <w:rFonts w:ascii="Arial" w:hAnsi="Arial" w:cs="Arial"/>
        </w:rPr>
      </w:pPr>
      <w:r>
        <w:rPr>
          <w:rFonts w:ascii="Arial" w:hAnsi="Arial" w:cs="Arial"/>
        </w:rPr>
        <w:t xml:space="preserve">Community involvement also contributes to identity. </w:t>
      </w:r>
      <w:proofErr w:type="spellStart"/>
      <w:r>
        <w:rPr>
          <w:rFonts w:ascii="Arial" w:hAnsi="Arial" w:cs="Arial"/>
        </w:rPr>
        <w:t>Youniss</w:t>
      </w:r>
      <w:proofErr w:type="spellEnd"/>
      <w:r>
        <w:rPr>
          <w:rFonts w:ascii="Arial" w:hAnsi="Arial" w:cs="Arial"/>
        </w:rPr>
        <w:t xml:space="preserve"> et al. (2002) found that participation in civic activities (e.g., volunteering, activism) fosters a sense of belonging and political identity. Such engagement was linked to increased agency and self-efficacy.</w:t>
      </w:r>
    </w:p>
    <w:p w14:paraId="2ACB67CD" w14:textId="40C4256E" w:rsidR="00483864" w:rsidRDefault="00483864" w:rsidP="007A7217">
      <w:pPr>
        <w:spacing w:line="360" w:lineRule="auto"/>
        <w:jc w:val="both"/>
        <w:rPr>
          <w:rFonts w:ascii="Arial" w:hAnsi="Arial" w:cs="Arial"/>
        </w:rPr>
      </w:pPr>
      <w:r>
        <w:rPr>
          <w:rFonts w:ascii="Arial" w:hAnsi="Arial" w:cs="Arial"/>
        </w:rPr>
        <w:t xml:space="preserve">However, institutional settings can also reinforce marginalisation. Fine (1991) highlighted how zero-tolerance policies and biased discipline practices </w:t>
      </w:r>
      <w:r>
        <w:rPr>
          <w:rFonts w:ascii="Arial" w:hAnsi="Arial" w:cs="Arial"/>
        </w:rPr>
        <w:lastRenderedPageBreak/>
        <w:t>disproportionately affect minority youth, sending implicit messages about their place in society. This can lead to identity conflict and resistance.</w:t>
      </w:r>
    </w:p>
    <w:p w14:paraId="11C98EE9" w14:textId="17764A39" w:rsidR="00483864" w:rsidRDefault="00483864" w:rsidP="007A7217">
      <w:pPr>
        <w:spacing w:line="360" w:lineRule="auto"/>
        <w:jc w:val="both"/>
        <w:rPr>
          <w:rFonts w:ascii="Arial" w:hAnsi="Arial" w:cs="Arial"/>
        </w:rPr>
      </w:pPr>
      <w:r>
        <w:rPr>
          <w:rFonts w:ascii="Arial" w:hAnsi="Arial" w:cs="Arial"/>
        </w:rPr>
        <w:t>A growing body of research emphasizes the importance of intersectionality in understanding adolescents’ social identity development. Coined by Crenshaw (1989), intersectionality examines how multiple identities (e.g., race, gender, class, sexuality) interact in shaping lived experiences.</w:t>
      </w:r>
    </w:p>
    <w:p w14:paraId="11D1A21C" w14:textId="57D62E67" w:rsidR="00483864" w:rsidRDefault="00483864" w:rsidP="007A7217">
      <w:pPr>
        <w:spacing w:line="360" w:lineRule="auto"/>
        <w:jc w:val="both"/>
        <w:rPr>
          <w:rFonts w:ascii="Arial" w:hAnsi="Arial" w:cs="Arial"/>
        </w:rPr>
      </w:pPr>
      <w:r w:rsidRPr="00850C4A">
        <w:rPr>
          <w:rFonts w:ascii="Arial" w:hAnsi="Arial" w:cs="Arial"/>
        </w:rPr>
        <w:t>Rogers and Way (2016) studied Black and Latino youth and found that adolescents simultaneously developed ethnic, gendered, and class-based identities, often in response to structural inequalities. Their identities were not additive but mutually constitutive, shaped by intersecting systems of power.</w:t>
      </w:r>
    </w:p>
    <w:p w14:paraId="5CB454D4" w14:textId="7EF59BA1" w:rsidR="00483864" w:rsidRDefault="00483864" w:rsidP="007A7217">
      <w:pPr>
        <w:spacing w:line="360" w:lineRule="auto"/>
        <w:jc w:val="both"/>
        <w:rPr>
          <w:rFonts w:ascii="Arial" w:hAnsi="Arial" w:cs="Arial"/>
        </w:rPr>
      </w:pPr>
      <w:r>
        <w:rPr>
          <w:rFonts w:ascii="Arial" w:hAnsi="Arial" w:cs="Arial"/>
        </w:rPr>
        <w:t>Similarly, Jones and Abes (2013) propose a constructivist approach to multiple identities, emphasizing how meaning-making processes allow adolescents to integrate complex and sometimes conflicting identity components.</w:t>
      </w:r>
    </w:p>
    <w:p w14:paraId="1C4E8DA7" w14:textId="661B08BB" w:rsidR="00483864" w:rsidRDefault="00483864" w:rsidP="007A7217">
      <w:pPr>
        <w:spacing w:line="360" w:lineRule="auto"/>
        <w:jc w:val="both"/>
        <w:rPr>
          <w:rFonts w:ascii="Arial" w:hAnsi="Arial" w:cs="Arial"/>
        </w:rPr>
      </w:pPr>
      <w:r>
        <w:rPr>
          <w:rFonts w:ascii="Arial" w:hAnsi="Arial" w:cs="Arial"/>
        </w:rPr>
        <w:t xml:space="preserve">These perspectives challenge monolithic models </w:t>
      </w:r>
      <w:r w:rsidR="00B61106">
        <w:rPr>
          <w:rFonts w:ascii="Arial" w:hAnsi="Arial" w:cs="Arial"/>
        </w:rPr>
        <w:t>and call for culturally responsive, context-sensitive research. They also underscore the need for methodologies that capture nuance, such as narrative inquiry and participatory action research.</w:t>
      </w:r>
    </w:p>
    <w:p w14:paraId="2466AFC6" w14:textId="3629F90F" w:rsidR="00B61106" w:rsidRDefault="00B61106" w:rsidP="007A7217">
      <w:pPr>
        <w:spacing w:line="360" w:lineRule="auto"/>
        <w:jc w:val="both"/>
        <w:rPr>
          <w:rFonts w:ascii="Arial" w:hAnsi="Arial" w:cs="Arial"/>
        </w:rPr>
      </w:pPr>
      <w:r>
        <w:rPr>
          <w:rFonts w:ascii="Arial" w:hAnsi="Arial" w:cs="Arial"/>
        </w:rPr>
        <w:t>Social identity development in adolescence is a multifaceted, dynamic process influenced by individual, relational, and contextual factors. Theories such as Social Identity Theory, Erikson’s psychosocial stages, and Developmental Intergroup Theory provide valuable frameworks, while empirical studies across domains – ethnicity, gender, peer groups, and institutions – shed light on specific processes.</w:t>
      </w:r>
    </w:p>
    <w:p w14:paraId="77A083BA" w14:textId="0FC01941" w:rsidR="00B61106" w:rsidRDefault="00B61106" w:rsidP="007A7217">
      <w:pPr>
        <w:spacing w:line="360" w:lineRule="auto"/>
        <w:jc w:val="both"/>
        <w:rPr>
          <w:rFonts w:ascii="Arial" w:hAnsi="Arial" w:cs="Arial"/>
        </w:rPr>
      </w:pPr>
      <w:r>
        <w:rPr>
          <w:rFonts w:ascii="Arial" w:hAnsi="Arial" w:cs="Arial"/>
        </w:rPr>
        <w:t xml:space="preserve">However, linear and universal models fall short in accounting for the fluid, intersectional, and culturally embedded nature of identity development. Future research should prioritize diverse samples, longitudinal designs, and integrative models that reflect the complexity of </w:t>
      </w:r>
      <w:proofErr w:type="gramStart"/>
      <w:r>
        <w:rPr>
          <w:rFonts w:ascii="Arial" w:hAnsi="Arial" w:cs="Arial"/>
        </w:rPr>
        <w:t>adolescents’</w:t>
      </w:r>
      <w:proofErr w:type="gramEnd"/>
      <w:r>
        <w:rPr>
          <w:rFonts w:ascii="Arial" w:hAnsi="Arial" w:cs="Arial"/>
        </w:rPr>
        <w:t xml:space="preserve"> lived experiences. By understanding how adolescents construct and negotiate their social identities, educators, policymakers, and practitioners can better support youth in their journey toward a coherent and empowered sense of self.</w:t>
      </w:r>
    </w:p>
    <w:p w14:paraId="1FB0BC26" w14:textId="77777777" w:rsidR="00686F61" w:rsidRDefault="00686F61" w:rsidP="007A7217">
      <w:pPr>
        <w:spacing w:line="360" w:lineRule="auto"/>
        <w:jc w:val="both"/>
        <w:rPr>
          <w:rFonts w:ascii="Arial" w:hAnsi="Arial" w:cs="Arial"/>
        </w:rPr>
      </w:pPr>
    </w:p>
    <w:p w14:paraId="3610D84A" w14:textId="77777777" w:rsidR="00850C4A" w:rsidRDefault="00850C4A" w:rsidP="007A7217">
      <w:pPr>
        <w:spacing w:line="360" w:lineRule="auto"/>
        <w:jc w:val="both"/>
        <w:rPr>
          <w:rFonts w:ascii="Arial" w:hAnsi="Arial" w:cs="Arial"/>
        </w:rPr>
      </w:pPr>
    </w:p>
    <w:p w14:paraId="7FDEC266" w14:textId="5EC43620" w:rsidR="00B61106" w:rsidRDefault="00B61106" w:rsidP="007A7217">
      <w:pPr>
        <w:spacing w:line="360" w:lineRule="auto"/>
        <w:jc w:val="both"/>
        <w:rPr>
          <w:rFonts w:ascii="Arial" w:hAnsi="Arial" w:cs="Arial"/>
        </w:rPr>
      </w:pPr>
      <w:r>
        <w:rPr>
          <w:rFonts w:ascii="Arial" w:hAnsi="Arial" w:cs="Arial"/>
        </w:rPr>
        <w:lastRenderedPageBreak/>
        <w:t>References</w:t>
      </w:r>
    </w:p>
    <w:p w14:paraId="1EFD265E" w14:textId="4408D1E8" w:rsidR="00B61106" w:rsidRDefault="00B61106" w:rsidP="007A7217">
      <w:pPr>
        <w:spacing w:line="360" w:lineRule="auto"/>
        <w:jc w:val="both"/>
        <w:rPr>
          <w:rFonts w:ascii="Arial" w:hAnsi="Arial" w:cs="Arial"/>
        </w:rPr>
      </w:pPr>
      <w:r>
        <w:rPr>
          <w:rFonts w:ascii="Arial" w:hAnsi="Arial" w:cs="Arial"/>
        </w:rPr>
        <w:t xml:space="preserve">Ashmore, R. D., </w:t>
      </w:r>
      <w:proofErr w:type="spellStart"/>
      <w:r>
        <w:rPr>
          <w:rFonts w:ascii="Arial" w:hAnsi="Arial" w:cs="Arial"/>
        </w:rPr>
        <w:t>Deaux</w:t>
      </w:r>
      <w:proofErr w:type="spellEnd"/>
      <w:r>
        <w:rPr>
          <w:rFonts w:ascii="Arial" w:hAnsi="Arial" w:cs="Arial"/>
        </w:rPr>
        <w:t>, K., &amp; McLaughlin-Volpe, T. (</w:t>
      </w:r>
      <w:r w:rsidR="009D57BD">
        <w:rPr>
          <w:rFonts w:ascii="Arial" w:hAnsi="Arial" w:cs="Arial"/>
        </w:rPr>
        <w:t xml:space="preserve">2004). An organising framework for collective identity: Articulation and significance of multidimensionality. </w:t>
      </w:r>
      <w:r w:rsidR="009D57BD">
        <w:rPr>
          <w:rFonts w:ascii="Arial" w:hAnsi="Arial" w:cs="Arial"/>
          <w:i/>
          <w:iCs/>
        </w:rPr>
        <w:t>Psychological Bulletin, 130</w:t>
      </w:r>
      <w:r w:rsidR="009D57BD">
        <w:rPr>
          <w:rFonts w:ascii="Arial" w:hAnsi="Arial" w:cs="Arial"/>
        </w:rPr>
        <w:t xml:space="preserve">(1), 80-114, </w:t>
      </w:r>
      <w:hyperlink r:id="rId6" w:history="1">
        <w:r w:rsidR="009D57BD" w:rsidRPr="007E3FE2">
          <w:rPr>
            <w:rStyle w:val="Hyperlink"/>
            <w:rFonts w:ascii="Arial" w:hAnsi="Arial" w:cs="Arial"/>
          </w:rPr>
          <w:t>https://doi.org/10.1037/0033-2909.130.1.80</w:t>
        </w:r>
      </w:hyperlink>
    </w:p>
    <w:p w14:paraId="1646FC46" w14:textId="1967061C" w:rsidR="009D57BD" w:rsidRDefault="009D57BD" w:rsidP="007A7217">
      <w:pPr>
        <w:spacing w:line="360" w:lineRule="auto"/>
        <w:jc w:val="both"/>
        <w:rPr>
          <w:rFonts w:ascii="Arial" w:hAnsi="Arial" w:cs="Arial"/>
        </w:rPr>
      </w:pPr>
      <w:r>
        <w:rPr>
          <w:rFonts w:ascii="Arial" w:hAnsi="Arial" w:cs="Arial"/>
        </w:rPr>
        <w:t xml:space="preserve">Bem, S. L. (1981). Gender schema theory: A cognitive account of sex typing. </w:t>
      </w:r>
      <w:r>
        <w:rPr>
          <w:rFonts w:ascii="Arial" w:hAnsi="Arial" w:cs="Arial"/>
          <w:i/>
          <w:iCs/>
        </w:rPr>
        <w:t>Psychological Review, 88</w:t>
      </w:r>
      <w:r>
        <w:rPr>
          <w:rFonts w:ascii="Arial" w:hAnsi="Arial" w:cs="Arial"/>
        </w:rPr>
        <w:t xml:space="preserve">(4), 354-364. </w:t>
      </w:r>
      <w:hyperlink r:id="rId7" w:history="1">
        <w:r w:rsidRPr="007E3FE2">
          <w:rPr>
            <w:rStyle w:val="Hyperlink"/>
            <w:rFonts w:ascii="Arial" w:hAnsi="Arial" w:cs="Arial"/>
          </w:rPr>
          <w:t>https://doi.org/10.1037/0033-295X.88.4.354</w:t>
        </w:r>
      </w:hyperlink>
    </w:p>
    <w:p w14:paraId="0759487B" w14:textId="2CA82DB0" w:rsidR="00550320" w:rsidRPr="00550320" w:rsidRDefault="00550320" w:rsidP="007A7217">
      <w:pPr>
        <w:spacing w:line="360" w:lineRule="auto"/>
        <w:jc w:val="both"/>
        <w:rPr>
          <w:rFonts w:ascii="Arial" w:hAnsi="Arial" w:cs="Arial"/>
        </w:rPr>
      </w:pPr>
      <w:r w:rsidRPr="00DF5DEF">
        <w:rPr>
          <w:rFonts w:ascii="Arial" w:hAnsi="Arial" w:cs="Arial"/>
        </w:rPr>
        <w:t>Berry, J. W. (</w:t>
      </w:r>
      <w:r w:rsidRPr="00FB1D86">
        <w:rPr>
          <w:rFonts w:ascii="Arial" w:hAnsi="Arial" w:cs="Arial"/>
        </w:rPr>
        <w:t>2008</w:t>
      </w:r>
      <w:r w:rsidRPr="00DF5DEF">
        <w:rPr>
          <w:rFonts w:ascii="Arial" w:hAnsi="Arial" w:cs="Arial"/>
        </w:rPr>
        <w:t xml:space="preserve">). Immigration, acculturation, and adaptation. </w:t>
      </w:r>
      <w:r w:rsidRPr="00DF5DEF">
        <w:rPr>
          <w:rFonts w:ascii="Arial" w:hAnsi="Arial" w:cs="Arial"/>
          <w:i/>
          <w:iCs/>
        </w:rPr>
        <w:t>Applied Psychology, 46</w:t>
      </w:r>
      <w:r w:rsidRPr="00DF5DEF">
        <w:rPr>
          <w:rFonts w:ascii="Arial" w:hAnsi="Arial" w:cs="Arial"/>
        </w:rPr>
        <w:t>(1), 5–34. https://doi.org/10.1111/j.1464-0597.1997.tb01087.x</w:t>
      </w:r>
    </w:p>
    <w:p w14:paraId="66A6161F" w14:textId="7C68F0F6" w:rsidR="009D57BD" w:rsidRDefault="009D57BD" w:rsidP="007A7217">
      <w:pPr>
        <w:spacing w:line="360" w:lineRule="auto"/>
        <w:jc w:val="both"/>
        <w:rPr>
          <w:rFonts w:ascii="Arial" w:hAnsi="Arial" w:cs="Arial"/>
        </w:rPr>
      </w:pPr>
      <w:r>
        <w:rPr>
          <w:rFonts w:ascii="Arial" w:hAnsi="Arial" w:cs="Arial"/>
        </w:rPr>
        <w:t xml:space="preserve">Bigler, R. S., &amp; Liben, L.S. (2007). Developmental intergroup theory: Explaining and reducing children’s social stereotyping and prejudice. </w:t>
      </w:r>
      <w:r>
        <w:rPr>
          <w:rFonts w:ascii="Arial" w:hAnsi="Arial" w:cs="Arial"/>
          <w:i/>
          <w:iCs/>
        </w:rPr>
        <w:t>Current Directions in Psychological Science, 16</w:t>
      </w:r>
      <w:r>
        <w:rPr>
          <w:rFonts w:ascii="Arial" w:hAnsi="Arial" w:cs="Arial"/>
        </w:rPr>
        <w:t xml:space="preserve">(3), 162-166. </w:t>
      </w:r>
      <w:hyperlink r:id="rId8" w:history="1">
        <w:r w:rsidRPr="007E3FE2">
          <w:rPr>
            <w:rStyle w:val="Hyperlink"/>
            <w:rFonts w:ascii="Arial" w:hAnsi="Arial" w:cs="Arial"/>
          </w:rPr>
          <w:t>https://doi.org/10.1111/j.1467-8721.2007.00496.X</w:t>
        </w:r>
      </w:hyperlink>
    </w:p>
    <w:p w14:paraId="5D9B40C3" w14:textId="18549976" w:rsidR="009D57BD" w:rsidRDefault="009D57BD" w:rsidP="007A7217">
      <w:pPr>
        <w:spacing w:line="360" w:lineRule="auto"/>
        <w:jc w:val="both"/>
        <w:rPr>
          <w:rFonts w:ascii="Arial" w:hAnsi="Arial" w:cs="Arial"/>
        </w:rPr>
      </w:pPr>
      <w:r>
        <w:rPr>
          <w:rFonts w:ascii="Arial" w:hAnsi="Arial" w:cs="Arial"/>
        </w:rPr>
        <w:t xml:space="preserve">Brown, B. B., Dolcini, M. M., &amp; Leventhal, A. (1997). Transformations in peer relationships at adolescence: Implications for health-related behaviour. In J. Schulenburg, J. L. Maggs, &amp; K. </w:t>
      </w:r>
      <w:proofErr w:type="spellStart"/>
      <w:r>
        <w:rPr>
          <w:rFonts w:ascii="Arial" w:hAnsi="Arial" w:cs="Arial"/>
        </w:rPr>
        <w:t>Hurrelmann</w:t>
      </w:r>
      <w:proofErr w:type="spellEnd"/>
      <w:r>
        <w:rPr>
          <w:rFonts w:ascii="Arial" w:hAnsi="Arial" w:cs="Arial"/>
        </w:rPr>
        <w:t xml:space="preserve"> (Eds.), </w:t>
      </w:r>
      <w:r>
        <w:rPr>
          <w:rFonts w:ascii="Arial" w:hAnsi="Arial" w:cs="Arial"/>
          <w:i/>
          <w:iCs/>
        </w:rPr>
        <w:t>Health risks and developmental transitions during adolescence</w:t>
      </w:r>
      <w:r>
        <w:rPr>
          <w:rFonts w:ascii="Arial" w:hAnsi="Arial" w:cs="Arial"/>
        </w:rPr>
        <w:t xml:space="preserve"> (</w:t>
      </w:r>
      <w:r w:rsidR="00B33C67">
        <w:rPr>
          <w:rFonts w:ascii="Arial" w:hAnsi="Arial" w:cs="Arial"/>
        </w:rPr>
        <w:t>pp</w:t>
      </w:r>
      <w:r>
        <w:rPr>
          <w:rFonts w:ascii="Arial" w:hAnsi="Arial" w:cs="Arial"/>
        </w:rPr>
        <w:t>. 161-189) Cambridge University Press.</w:t>
      </w:r>
    </w:p>
    <w:p w14:paraId="01695256" w14:textId="372CEA26" w:rsidR="009D57BD" w:rsidRDefault="009D57BD" w:rsidP="007A7217">
      <w:pPr>
        <w:spacing w:line="360" w:lineRule="auto"/>
        <w:jc w:val="both"/>
        <w:rPr>
          <w:rFonts w:ascii="Arial" w:hAnsi="Arial" w:cs="Arial"/>
        </w:rPr>
      </w:pPr>
      <w:r>
        <w:rPr>
          <w:rFonts w:ascii="Arial" w:hAnsi="Arial" w:cs="Arial"/>
        </w:rPr>
        <w:t xml:space="preserve">Cass, V. C. (1979). Homosexual identity formation: A theoretical model. </w:t>
      </w:r>
      <w:r>
        <w:rPr>
          <w:rFonts w:ascii="Arial" w:hAnsi="Arial" w:cs="Arial"/>
          <w:i/>
          <w:iCs/>
        </w:rPr>
        <w:t>Journal of Homosexuality, 4</w:t>
      </w:r>
      <w:r>
        <w:rPr>
          <w:rFonts w:ascii="Arial" w:hAnsi="Arial" w:cs="Arial"/>
        </w:rPr>
        <w:t xml:space="preserve">(3), 219-235. </w:t>
      </w:r>
      <w:hyperlink r:id="rId9" w:history="1">
        <w:r w:rsidR="00B33C67" w:rsidRPr="007E3FE2">
          <w:rPr>
            <w:rStyle w:val="Hyperlink"/>
            <w:rFonts w:ascii="Arial" w:hAnsi="Arial" w:cs="Arial"/>
          </w:rPr>
          <w:t>https://doi.org/10.1300/J082v04n03_01</w:t>
        </w:r>
      </w:hyperlink>
    </w:p>
    <w:p w14:paraId="140D1C39" w14:textId="34F944E3" w:rsidR="00B33C67" w:rsidRDefault="00B33C67" w:rsidP="007A7217">
      <w:pPr>
        <w:spacing w:line="360" w:lineRule="auto"/>
        <w:jc w:val="both"/>
        <w:rPr>
          <w:rFonts w:ascii="Arial" w:hAnsi="Arial" w:cs="Arial"/>
        </w:rPr>
      </w:pPr>
      <w:r>
        <w:rPr>
          <w:rFonts w:ascii="Arial" w:hAnsi="Arial" w:cs="Arial"/>
        </w:rPr>
        <w:t xml:space="preserve">Crenshaw, K. (1989). Demarginalizing the intersection of race and sex: A Black Feminist Critique of Antidiscrimination Doctrine, Feminist Theory and Antiracist Politics. </w:t>
      </w:r>
      <w:r>
        <w:rPr>
          <w:rFonts w:ascii="Arial" w:hAnsi="Arial" w:cs="Arial"/>
          <w:i/>
          <w:iCs/>
        </w:rPr>
        <w:t>University of Chicago Legal Forum, 1989</w:t>
      </w:r>
      <w:r>
        <w:rPr>
          <w:rFonts w:ascii="Arial" w:hAnsi="Arial" w:cs="Arial"/>
        </w:rPr>
        <w:t xml:space="preserve">(1), 139-167. </w:t>
      </w:r>
      <w:hyperlink r:id="rId10" w:history="1">
        <w:r w:rsidRPr="007E3FE2">
          <w:rPr>
            <w:rStyle w:val="Hyperlink"/>
            <w:rFonts w:ascii="Arial" w:hAnsi="Arial" w:cs="Arial"/>
          </w:rPr>
          <w:t>https://chicagobound.uchicago.edu/ucif/vol1989/iss1/8</w:t>
        </w:r>
      </w:hyperlink>
    </w:p>
    <w:p w14:paraId="7CD3833E" w14:textId="0574D9E8" w:rsidR="00B33C67" w:rsidRDefault="00B33C67" w:rsidP="007A7217">
      <w:pPr>
        <w:spacing w:line="360" w:lineRule="auto"/>
        <w:jc w:val="both"/>
        <w:rPr>
          <w:rFonts w:ascii="Arial" w:hAnsi="Arial" w:cs="Arial"/>
        </w:rPr>
      </w:pPr>
      <w:r>
        <w:rPr>
          <w:rFonts w:ascii="Arial" w:hAnsi="Arial" w:cs="Arial"/>
        </w:rPr>
        <w:t xml:space="preserve">Fine, M. (1991). </w:t>
      </w:r>
      <w:r>
        <w:rPr>
          <w:rFonts w:ascii="Arial" w:hAnsi="Arial" w:cs="Arial"/>
          <w:i/>
          <w:iCs/>
        </w:rPr>
        <w:t xml:space="preserve">Framing </w:t>
      </w:r>
      <w:proofErr w:type="gramStart"/>
      <w:r>
        <w:rPr>
          <w:rFonts w:ascii="Arial" w:hAnsi="Arial" w:cs="Arial"/>
          <w:i/>
          <w:iCs/>
        </w:rPr>
        <w:t>dropouts :Notes</w:t>
      </w:r>
      <w:proofErr w:type="gramEnd"/>
      <w:r>
        <w:rPr>
          <w:rFonts w:ascii="Arial" w:hAnsi="Arial" w:cs="Arial"/>
          <w:i/>
          <w:iCs/>
        </w:rPr>
        <w:t xml:space="preserve"> on the politics of an urban public high school. </w:t>
      </w:r>
      <w:r>
        <w:rPr>
          <w:rFonts w:ascii="Arial" w:hAnsi="Arial" w:cs="Arial"/>
        </w:rPr>
        <w:t>SUNY Press.</w:t>
      </w:r>
    </w:p>
    <w:p w14:paraId="792E155B" w14:textId="60533004" w:rsidR="00B33C67" w:rsidRDefault="00B33C67" w:rsidP="007A7217">
      <w:pPr>
        <w:spacing w:line="360" w:lineRule="auto"/>
        <w:jc w:val="both"/>
        <w:rPr>
          <w:rFonts w:ascii="Arial" w:hAnsi="Arial" w:cs="Arial"/>
        </w:rPr>
      </w:pPr>
      <w:r>
        <w:rPr>
          <w:rFonts w:ascii="Arial" w:hAnsi="Arial" w:cs="Arial"/>
        </w:rPr>
        <w:t xml:space="preserve">Galambos, N. L., Almeida, D. M., &amp; Petersen, A. C. (1990). Masculinity, femininity, and sex role attitudes in early adolescence. </w:t>
      </w:r>
      <w:r>
        <w:rPr>
          <w:rFonts w:ascii="Arial" w:hAnsi="Arial" w:cs="Arial"/>
          <w:i/>
          <w:iCs/>
        </w:rPr>
        <w:t>Child Development, 61</w:t>
      </w:r>
      <w:r>
        <w:rPr>
          <w:rFonts w:ascii="Arial" w:hAnsi="Arial" w:cs="Arial"/>
        </w:rPr>
        <w:t>(6), 1905-1914.</w:t>
      </w:r>
    </w:p>
    <w:p w14:paraId="4BF56D16" w14:textId="4595CCF6" w:rsidR="00B33C67" w:rsidRDefault="00B33C67" w:rsidP="007A7217">
      <w:pPr>
        <w:spacing w:line="360" w:lineRule="auto"/>
        <w:jc w:val="both"/>
        <w:rPr>
          <w:rFonts w:ascii="Arial" w:hAnsi="Arial" w:cs="Arial"/>
        </w:rPr>
      </w:pPr>
      <w:r>
        <w:rPr>
          <w:rFonts w:ascii="Arial" w:hAnsi="Arial" w:cs="Arial"/>
        </w:rPr>
        <w:t xml:space="preserve">Helms, J. E. (1995). An update of Helm’s White and people of </w:t>
      </w:r>
      <w:proofErr w:type="spellStart"/>
      <w:r>
        <w:rPr>
          <w:rFonts w:ascii="Arial" w:hAnsi="Arial" w:cs="Arial"/>
        </w:rPr>
        <w:t>color</w:t>
      </w:r>
      <w:proofErr w:type="spellEnd"/>
      <w:r>
        <w:rPr>
          <w:rFonts w:ascii="Arial" w:hAnsi="Arial" w:cs="Arial"/>
        </w:rPr>
        <w:t xml:space="preserve"> racial identity models. In J. G. </w:t>
      </w:r>
      <w:proofErr w:type="spellStart"/>
      <w:r>
        <w:rPr>
          <w:rFonts w:ascii="Arial" w:hAnsi="Arial" w:cs="Arial"/>
        </w:rPr>
        <w:t>Ponterotto</w:t>
      </w:r>
      <w:proofErr w:type="spellEnd"/>
      <w:r>
        <w:rPr>
          <w:rFonts w:ascii="Arial" w:hAnsi="Arial" w:cs="Arial"/>
        </w:rPr>
        <w:t xml:space="preserve">, J. M. Casas, L. A. Suzuki, &amp; C. M. Alexander (Eds), </w:t>
      </w:r>
      <w:r>
        <w:rPr>
          <w:rFonts w:ascii="Arial" w:hAnsi="Arial" w:cs="Arial"/>
          <w:i/>
          <w:iCs/>
        </w:rPr>
        <w:t xml:space="preserve">Handbook of multicultural counselling </w:t>
      </w:r>
      <w:r>
        <w:rPr>
          <w:rFonts w:ascii="Arial" w:hAnsi="Arial" w:cs="Arial"/>
        </w:rPr>
        <w:t>(pp. 181-198). Sage Publications, Inc.</w:t>
      </w:r>
    </w:p>
    <w:p w14:paraId="323E0C88" w14:textId="3AA0D3FC" w:rsidR="00B33C67" w:rsidRDefault="00B33C67" w:rsidP="007A7217">
      <w:pPr>
        <w:spacing w:line="360" w:lineRule="auto"/>
        <w:jc w:val="both"/>
        <w:rPr>
          <w:rFonts w:ascii="Arial" w:hAnsi="Arial" w:cs="Arial"/>
        </w:rPr>
      </w:pPr>
      <w:r>
        <w:rPr>
          <w:rFonts w:ascii="Arial" w:hAnsi="Arial" w:cs="Arial"/>
        </w:rPr>
        <w:lastRenderedPageBreak/>
        <w:t xml:space="preserve">Jones, S. R., &amp; Abes, E. S. (2013). </w:t>
      </w:r>
      <w:r>
        <w:rPr>
          <w:rFonts w:ascii="Arial" w:hAnsi="Arial" w:cs="Arial"/>
          <w:i/>
          <w:iCs/>
        </w:rPr>
        <w:t xml:space="preserve">Identity development of college students: Advancing frameworks for multiple dimensions of identity. </w:t>
      </w:r>
      <w:r>
        <w:rPr>
          <w:rFonts w:ascii="Arial" w:hAnsi="Arial" w:cs="Arial"/>
        </w:rPr>
        <w:t>Jossey-Bass/Wiley.</w:t>
      </w:r>
    </w:p>
    <w:p w14:paraId="308BBF21" w14:textId="0AC05B79" w:rsidR="00B33C67" w:rsidRDefault="00B33C67" w:rsidP="007A7217">
      <w:pPr>
        <w:spacing w:line="360" w:lineRule="auto"/>
        <w:jc w:val="both"/>
        <w:rPr>
          <w:rFonts w:ascii="Arial" w:hAnsi="Arial" w:cs="Arial"/>
        </w:rPr>
      </w:pPr>
      <w:r>
        <w:rPr>
          <w:rFonts w:ascii="Arial" w:hAnsi="Arial" w:cs="Arial"/>
        </w:rPr>
        <w:t>Kiang</w:t>
      </w:r>
      <w:r w:rsidR="00B802EF">
        <w:rPr>
          <w:rFonts w:ascii="Arial" w:hAnsi="Arial" w:cs="Arial"/>
        </w:rPr>
        <w:t xml:space="preserve">, L., </w:t>
      </w:r>
      <w:proofErr w:type="spellStart"/>
      <w:r w:rsidR="00B802EF">
        <w:rPr>
          <w:rFonts w:ascii="Arial" w:hAnsi="Arial" w:cs="Arial"/>
        </w:rPr>
        <w:t>Witkow</w:t>
      </w:r>
      <w:proofErr w:type="spellEnd"/>
      <w:r w:rsidR="00B802EF">
        <w:rPr>
          <w:rFonts w:ascii="Arial" w:hAnsi="Arial" w:cs="Arial"/>
        </w:rPr>
        <w:t xml:space="preserve">, M. R., Baldelomar, O. A., &amp; </w:t>
      </w:r>
      <w:proofErr w:type="spellStart"/>
      <w:r w:rsidR="00B802EF">
        <w:rPr>
          <w:rFonts w:ascii="Arial" w:hAnsi="Arial" w:cs="Arial"/>
        </w:rPr>
        <w:t>Fuligni</w:t>
      </w:r>
      <w:proofErr w:type="spellEnd"/>
      <w:r w:rsidR="00B802EF">
        <w:rPr>
          <w:rFonts w:ascii="Arial" w:hAnsi="Arial" w:cs="Arial"/>
        </w:rPr>
        <w:t xml:space="preserve">, A. J. (2010). Change in ethnic identity across the high school years among adolescents with Latin American, Asian, and European backgrounds. </w:t>
      </w:r>
      <w:r w:rsidR="00B802EF">
        <w:rPr>
          <w:rFonts w:ascii="Arial" w:hAnsi="Arial" w:cs="Arial"/>
          <w:i/>
          <w:iCs/>
        </w:rPr>
        <w:t>Journal of Youth and Adolescence, 37</w:t>
      </w:r>
      <w:r w:rsidR="00B802EF">
        <w:rPr>
          <w:rFonts w:ascii="Arial" w:hAnsi="Arial" w:cs="Arial"/>
        </w:rPr>
        <w:t xml:space="preserve">(6), 683-693. </w:t>
      </w:r>
      <w:hyperlink r:id="rId11" w:history="1">
        <w:r w:rsidR="00B802EF" w:rsidRPr="007E3FE2">
          <w:rPr>
            <w:rStyle w:val="Hyperlink"/>
            <w:rFonts w:ascii="Arial" w:hAnsi="Arial" w:cs="Arial"/>
          </w:rPr>
          <w:t>https://doi.org/10.1007/s10964-009-9429-5</w:t>
        </w:r>
      </w:hyperlink>
    </w:p>
    <w:p w14:paraId="2843D7B1" w14:textId="615F3076" w:rsidR="00B802EF" w:rsidRDefault="00B802EF" w:rsidP="007A7217">
      <w:pPr>
        <w:spacing w:line="360" w:lineRule="auto"/>
        <w:jc w:val="both"/>
        <w:rPr>
          <w:rFonts w:ascii="Arial" w:hAnsi="Arial" w:cs="Arial"/>
        </w:rPr>
      </w:pPr>
      <w:r>
        <w:rPr>
          <w:rFonts w:ascii="Arial" w:hAnsi="Arial" w:cs="Arial"/>
        </w:rPr>
        <w:t xml:space="preserve">Kinney, D. A. (1993). From nerds to normal: The recovery of identity among adolescents from middle school to high school. </w:t>
      </w:r>
      <w:r>
        <w:rPr>
          <w:rFonts w:ascii="Arial" w:hAnsi="Arial" w:cs="Arial"/>
          <w:i/>
          <w:iCs/>
        </w:rPr>
        <w:t>Sociology of Education, 66</w:t>
      </w:r>
      <w:r>
        <w:rPr>
          <w:rFonts w:ascii="Arial" w:hAnsi="Arial" w:cs="Arial"/>
        </w:rPr>
        <w:t>(1), 21-40.</w:t>
      </w:r>
    </w:p>
    <w:p w14:paraId="07570C89" w14:textId="0C3CFF06" w:rsidR="00B802EF" w:rsidRDefault="00B802EF" w:rsidP="007A7217">
      <w:pPr>
        <w:spacing w:line="360" w:lineRule="auto"/>
        <w:jc w:val="both"/>
        <w:rPr>
          <w:rFonts w:ascii="Arial" w:hAnsi="Arial" w:cs="Arial"/>
        </w:rPr>
      </w:pPr>
      <w:r>
        <w:rPr>
          <w:rFonts w:ascii="Arial" w:hAnsi="Arial" w:cs="Arial"/>
        </w:rPr>
        <w:t xml:space="preserve">Marcia, J. E. (1980). Identity in adolescence. In J. Adelson (Ed.) </w:t>
      </w:r>
      <w:r>
        <w:rPr>
          <w:rFonts w:ascii="Arial" w:hAnsi="Arial" w:cs="Arial"/>
          <w:i/>
          <w:iCs/>
        </w:rPr>
        <w:t xml:space="preserve">Handbook of adolescent psychology </w:t>
      </w:r>
      <w:r>
        <w:rPr>
          <w:rFonts w:ascii="Arial" w:hAnsi="Arial" w:cs="Arial"/>
        </w:rPr>
        <w:t>(pp. 159-187). Wiley</w:t>
      </w:r>
    </w:p>
    <w:p w14:paraId="5A6F39A1" w14:textId="58348092" w:rsidR="00B802EF" w:rsidRDefault="00B802EF" w:rsidP="007A7217">
      <w:pPr>
        <w:spacing w:line="360" w:lineRule="auto"/>
        <w:jc w:val="both"/>
        <w:rPr>
          <w:rFonts w:ascii="Arial" w:hAnsi="Arial" w:cs="Arial"/>
        </w:rPr>
      </w:pPr>
      <w:r>
        <w:rPr>
          <w:rFonts w:ascii="Arial" w:hAnsi="Arial" w:cs="Arial"/>
        </w:rPr>
        <w:t xml:space="preserve">Martin, R. (2011). Schools as developmental contexts during adolescence. </w:t>
      </w:r>
      <w:r>
        <w:rPr>
          <w:rFonts w:ascii="Arial" w:hAnsi="Arial" w:cs="Arial"/>
          <w:i/>
          <w:iCs/>
        </w:rPr>
        <w:t>Journal of Research on Adolescence, 21</w:t>
      </w:r>
      <w:r>
        <w:rPr>
          <w:rFonts w:ascii="Arial" w:hAnsi="Arial" w:cs="Arial"/>
        </w:rPr>
        <w:t xml:space="preserve">(1), 225-241. </w:t>
      </w:r>
      <w:hyperlink r:id="rId12" w:history="1">
        <w:r w:rsidRPr="007E3FE2">
          <w:rPr>
            <w:rStyle w:val="Hyperlink"/>
            <w:rFonts w:ascii="Arial" w:hAnsi="Arial" w:cs="Arial"/>
          </w:rPr>
          <w:t>https://doi.org/10.1111/j.1532-7795.2010.00725.x</w:t>
        </w:r>
      </w:hyperlink>
    </w:p>
    <w:p w14:paraId="09DB016B" w14:textId="20F3DB81" w:rsidR="00550320" w:rsidRDefault="00550320" w:rsidP="007A7217">
      <w:pPr>
        <w:spacing w:line="360" w:lineRule="auto"/>
        <w:jc w:val="both"/>
        <w:rPr>
          <w:rFonts w:ascii="Arial" w:hAnsi="Arial" w:cs="Arial"/>
        </w:rPr>
      </w:pPr>
      <w:r w:rsidRPr="00DF5DEF">
        <w:rPr>
          <w:rFonts w:ascii="Arial" w:hAnsi="Arial" w:cs="Arial"/>
        </w:rPr>
        <w:t>Neblett, E. W., Rivas</w:t>
      </w:r>
      <w:r w:rsidRPr="00DF5DEF">
        <w:rPr>
          <w:rFonts w:ascii="Cambria Math" w:hAnsi="Cambria Math" w:cs="Cambria Math"/>
        </w:rPr>
        <w:t>‐</w:t>
      </w:r>
      <w:r w:rsidRPr="00DF5DEF">
        <w:rPr>
          <w:rFonts w:ascii="Arial" w:hAnsi="Arial" w:cs="Arial"/>
        </w:rPr>
        <w:t>Drake, D., &amp; Umaña</w:t>
      </w:r>
      <w:r w:rsidRPr="00DF5DEF">
        <w:rPr>
          <w:rFonts w:ascii="Cambria Math" w:hAnsi="Cambria Math" w:cs="Cambria Math"/>
        </w:rPr>
        <w:t>‐</w:t>
      </w:r>
      <w:r w:rsidRPr="00DF5DEF">
        <w:rPr>
          <w:rFonts w:ascii="Arial" w:hAnsi="Arial" w:cs="Arial"/>
        </w:rPr>
        <w:t xml:space="preserve">Taylor, A. J. (2012). The promise of racial and ethnic protective factors in promoting ethnic minority youth development. </w:t>
      </w:r>
      <w:r w:rsidRPr="00DF5DEF">
        <w:rPr>
          <w:rFonts w:ascii="Arial" w:hAnsi="Arial" w:cs="Arial"/>
          <w:i/>
          <w:iCs/>
        </w:rPr>
        <w:t>Child Development Perspectives, 6</w:t>
      </w:r>
      <w:r w:rsidRPr="00DF5DEF">
        <w:rPr>
          <w:rFonts w:ascii="Arial" w:hAnsi="Arial" w:cs="Arial"/>
        </w:rPr>
        <w:t>(3), 295–303. https://doi.org/10.1111/j.1750-8606.2012.00239.x</w:t>
      </w:r>
    </w:p>
    <w:p w14:paraId="0E5AE9AE" w14:textId="2DEE522A" w:rsidR="00B802EF" w:rsidRDefault="00B802EF" w:rsidP="007A7217">
      <w:pPr>
        <w:spacing w:line="360" w:lineRule="auto"/>
        <w:jc w:val="both"/>
        <w:rPr>
          <w:rFonts w:ascii="Arial" w:hAnsi="Arial" w:cs="Arial"/>
        </w:rPr>
      </w:pPr>
      <w:r>
        <w:rPr>
          <w:rFonts w:ascii="Arial" w:hAnsi="Arial" w:cs="Arial"/>
        </w:rPr>
        <w:t xml:space="preserve">Nesi, J., &amp; </w:t>
      </w:r>
      <w:proofErr w:type="spellStart"/>
      <w:r>
        <w:rPr>
          <w:rFonts w:ascii="Arial" w:hAnsi="Arial" w:cs="Arial"/>
        </w:rPr>
        <w:t>Prinstein</w:t>
      </w:r>
      <w:proofErr w:type="spellEnd"/>
      <w:r>
        <w:rPr>
          <w:rFonts w:ascii="Arial" w:hAnsi="Arial" w:cs="Arial"/>
        </w:rPr>
        <w:t>, M. J. (2015). Using social media for social comparison and feedback-seeking: Gender and popula</w:t>
      </w:r>
      <w:r w:rsidR="00D72D0D">
        <w:rPr>
          <w:rFonts w:ascii="Arial" w:hAnsi="Arial" w:cs="Arial"/>
        </w:rPr>
        <w:t xml:space="preserve">rity moderate associations with depressive symptoms. </w:t>
      </w:r>
      <w:r w:rsidR="00D72D0D">
        <w:rPr>
          <w:rFonts w:ascii="Arial" w:hAnsi="Arial" w:cs="Arial"/>
          <w:i/>
          <w:iCs/>
        </w:rPr>
        <w:t>Journal of Abnormal Child Psychology, 43</w:t>
      </w:r>
      <w:r w:rsidR="00D72D0D">
        <w:rPr>
          <w:rFonts w:ascii="Arial" w:hAnsi="Arial" w:cs="Arial"/>
        </w:rPr>
        <w:t xml:space="preserve">(8), 1427-1438. </w:t>
      </w:r>
      <w:hyperlink r:id="rId13" w:history="1">
        <w:r w:rsidR="00D72D0D" w:rsidRPr="007E3FE2">
          <w:rPr>
            <w:rStyle w:val="Hyperlink"/>
            <w:rFonts w:ascii="Arial" w:hAnsi="Arial" w:cs="Arial"/>
          </w:rPr>
          <w:t>https://doi.org/10.1007/s10802-015-0020-0</w:t>
        </w:r>
      </w:hyperlink>
    </w:p>
    <w:p w14:paraId="3A15CF36" w14:textId="3AE8E266" w:rsidR="00D72D0D" w:rsidRDefault="00D72D0D" w:rsidP="007A7217">
      <w:pPr>
        <w:spacing w:line="360" w:lineRule="auto"/>
        <w:jc w:val="both"/>
        <w:rPr>
          <w:rFonts w:ascii="Arial" w:hAnsi="Arial" w:cs="Arial"/>
        </w:rPr>
      </w:pPr>
      <w:r>
        <w:rPr>
          <w:rFonts w:ascii="Arial" w:hAnsi="Arial" w:cs="Arial"/>
        </w:rPr>
        <w:t xml:space="preserve">Perry, D. G., &amp; Pauletti, R. E. (2011). Gender and adolescent development. </w:t>
      </w:r>
      <w:r>
        <w:rPr>
          <w:rFonts w:ascii="Arial" w:hAnsi="Arial" w:cs="Arial"/>
          <w:i/>
          <w:iCs/>
        </w:rPr>
        <w:t>Journal of Research on Adolescence, 21</w:t>
      </w:r>
      <w:r>
        <w:rPr>
          <w:rFonts w:ascii="Arial" w:hAnsi="Arial" w:cs="Arial"/>
        </w:rPr>
        <w:t xml:space="preserve">(1), 61-74. </w:t>
      </w:r>
      <w:hyperlink r:id="rId14" w:history="1">
        <w:r w:rsidRPr="007E3FE2">
          <w:rPr>
            <w:rStyle w:val="Hyperlink"/>
            <w:rFonts w:ascii="Arial" w:hAnsi="Arial" w:cs="Arial"/>
          </w:rPr>
          <w:t>https://doi.org/10.1111/j.1532-7795.2010.00715.x</w:t>
        </w:r>
      </w:hyperlink>
    </w:p>
    <w:p w14:paraId="5F61C5C8" w14:textId="0E759A93" w:rsidR="00D72D0D" w:rsidRDefault="00D72D0D" w:rsidP="007A7217">
      <w:pPr>
        <w:spacing w:line="360" w:lineRule="auto"/>
        <w:jc w:val="both"/>
        <w:rPr>
          <w:rFonts w:ascii="Arial" w:hAnsi="Arial" w:cs="Arial"/>
        </w:rPr>
      </w:pPr>
      <w:r>
        <w:rPr>
          <w:rFonts w:ascii="Arial" w:hAnsi="Arial" w:cs="Arial"/>
        </w:rPr>
        <w:t xml:space="preserve">Phinney, J. S., &amp; Ong, A. D. (2007). Conceptualization and measurement of ethnic identity: </w:t>
      </w:r>
      <w:proofErr w:type="gramStart"/>
      <w:r>
        <w:rPr>
          <w:rFonts w:ascii="Arial" w:hAnsi="Arial" w:cs="Arial"/>
        </w:rPr>
        <w:t>Current status</w:t>
      </w:r>
      <w:proofErr w:type="gramEnd"/>
      <w:r>
        <w:rPr>
          <w:rFonts w:ascii="Arial" w:hAnsi="Arial" w:cs="Arial"/>
        </w:rPr>
        <w:t xml:space="preserve"> and future directions. </w:t>
      </w:r>
      <w:r>
        <w:rPr>
          <w:rFonts w:ascii="Arial" w:hAnsi="Arial" w:cs="Arial"/>
          <w:i/>
          <w:iCs/>
        </w:rPr>
        <w:t xml:space="preserve">Journal of </w:t>
      </w:r>
      <w:proofErr w:type="spellStart"/>
      <w:r>
        <w:rPr>
          <w:rFonts w:ascii="Arial" w:hAnsi="Arial" w:cs="Arial"/>
          <w:i/>
          <w:iCs/>
        </w:rPr>
        <w:t>Counseling</w:t>
      </w:r>
      <w:proofErr w:type="spellEnd"/>
      <w:r>
        <w:rPr>
          <w:rFonts w:ascii="Arial" w:hAnsi="Arial" w:cs="Arial"/>
          <w:i/>
          <w:iCs/>
        </w:rPr>
        <w:t xml:space="preserve"> Psychology, 54</w:t>
      </w:r>
      <w:r>
        <w:rPr>
          <w:rFonts w:ascii="Arial" w:hAnsi="Arial" w:cs="Arial"/>
        </w:rPr>
        <w:t xml:space="preserve">(3), 271-281. </w:t>
      </w:r>
      <w:hyperlink r:id="rId15" w:history="1">
        <w:r w:rsidRPr="007E3FE2">
          <w:rPr>
            <w:rStyle w:val="Hyperlink"/>
            <w:rFonts w:ascii="Arial" w:hAnsi="Arial" w:cs="Arial"/>
          </w:rPr>
          <w:t>https://doi.org/10.1037/0022-0167.54.3.271</w:t>
        </w:r>
      </w:hyperlink>
    </w:p>
    <w:p w14:paraId="76F177FB" w14:textId="79E5A5B4" w:rsidR="00D72D0D" w:rsidRDefault="00D72D0D" w:rsidP="007A7217">
      <w:pPr>
        <w:spacing w:line="360" w:lineRule="auto"/>
        <w:jc w:val="both"/>
        <w:rPr>
          <w:rFonts w:ascii="Arial" w:hAnsi="Arial" w:cs="Arial"/>
        </w:rPr>
      </w:pPr>
      <w:proofErr w:type="spellStart"/>
      <w:r>
        <w:rPr>
          <w:rFonts w:ascii="Arial" w:hAnsi="Arial" w:cs="Arial"/>
        </w:rPr>
        <w:t>Prinstein</w:t>
      </w:r>
      <w:proofErr w:type="spellEnd"/>
      <w:r>
        <w:rPr>
          <w:rFonts w:ascii="Arial" w:hAnsi="Arial" w:cs="Arial"/>
        </w:rPr>
        <w:t xml:space="preserve">, M. J., &amp; Dodge, K. A. (2008). </w:t>
      </w:r>
      <w:r>
        <w:rPr>
          <w:rFonts w:ascii="Arial" w:hAnsi="Arial" w:cs="Arial"/>
          <w:i/>
          <w:iCs/>
        </w:rPr>
        <w:t xml:space="preserve">Understanding peer influence in children and adolescents. </w:t>
      </w:r>
      <w:r>
        <w:rPr>
          <w:rFonts w:ascii="Arial" w:hAnsi="Arial" w:cs="Arial"/>
        </w:rPr>
        <w:t>Guilford Press.</w:t>
      </w:r>
    </w:p>
    <w:p w14:paraId="4F4C0868" w14:textId="13B0DB59" w:rsidR="00550320" w:rsidRDefault="00550320" w:rsidP="007A7217">
      <w:pPr>
        <w:spacing w:line="360" w:lineRule="auto"/>
        <w:jc w:val="both"/>
        <w:rPr>
          <w:rFonts w:ascii="Arial" w:hAnsi="Arial" w:cs="Arial"/>
        </w:rPr>
      </w:pPr>
      <w:r w:rsidRPr="00DF5DEF">
        <w:rPr>
          <w:rFonts w:ascii="Arial" w:hAnsi="Arial" w:cs="Arial"/>
        </w:rPr>
        <w:lastRenderedPageBreak/>
        <w:t xml:space="preserve">Rivas-Drake, D., Seaton, E. K., Markstrom, C., </w:t>
      </w:r>
      <w:proofErr w:type="spellStart"/>
      <w:r w:rsidRPr="00DF5DEF">
        <w:rPr>
          <w:rFonts w:ascii="Arial" w:hAnsi="Arial" w:cs="Arial"/>
        </w:rPr>
        <w:t>Quintana</w:t>
      </w:r>
      <w:proofErr w:type="spellEnd"/>
      <w:r w:rsidRPr="00DF5DEF">
        <w:rPr>
          <w:rFonts w:ascii="Arial" w:hAnsi="Arial" w:cs="Arial"/>
        </w:rPr>
        <w:t xml:space="preserve">, S., Syed, M., Lee, R. M., </w:t>
      </w:r>
      <w:r w:rsidRPr="00FB1D86">
        <w:rPr>
          <w:rFonts w:ascii="Arial" w:hAnsi="Arial" w:cs="Arial"/>
        </w:rPr>
        <w:t>Schwartz, S. J., Umaña-Taylor, A.J., French, S</w:t>
      </w:r>
      <w:r w:rsidRPr="00DF5DEF">
        <w:rPr>
          <w:rFonts w:ascii="Arial" w:hAnsi="Arial" w:cs="Arial"/>
        </w:rPr>
        <w:t>.</w:t>
      </w:r>
      <w:r w:rsidRPr="00FB1D86">
        <w:rPr>
          <w:rFonts w:ascii="Arial" w:hAnsi="Arial" w:cs="Arial"/>
        </w:rPr>
        <w:t>,</w:t>
      </w:r>
      <w:r w:rsidRPr="00DF5DEF">
        <w:rPr>
          <w:rFonts w:ascii="Arial" w:hAnsi="Arial" w:cs="Arial"/>
        </w:rPr>
        <w:t xml:space="preserve"> &amp; Yip, T. (2014). Ethnic and racial identity in adolescence: Implications for psychosocial, academic, and health outcomes. </w:t>
      </w:r>
      <w:r w:rsidRPr="00DF5DEF">
        <w:rPr>
          <w:rFonts w:ascii="Arial" w:hAnsi="Arial" w:cs="Arial"/>
          <w:i/>
          <w:iCs/>
        </w:rPr>
        <w:t>Child Development, 85</w:t>
      </w:r>
      <w:r w:rsidRPr="00DF5DEF">
        <w:rPr>
          <w:rFonts w:ascii="Arial" w:hAnsi="Arial" w:cs="Arial"/>
        </w:rPr>
        <w:t xml:space="preserve">(1), 40–57. </w:t>
      </w:r>
      <w:hyperlink r:id="rId16" w:history="1">
        <w:r w:rsidRPr="00DF5DEF">
          <w:rPr>
            <w:rStyle w:val="Hyperlink"/>
            <w:rFonts w:ascii="Arial" w:hAnsi="Arial" w:cs="Arial"/>
          </w:rPr>
          <w:t>https://doi.org/10.1111/cdev.12200</w:t>
        </w:r>
      </w:hyperlink>
    </w:p>
    <w:p w14:paraId="4EAD3E0C" w14:textId="4165C297" w:rsidR="00850C4A" w:rsidRDefault="00850C4A" w:rsidP="007A7217">
      <w:pPr>
        <w:spacing w:line="360" w:lineRule="auto"/>
        <w:jc w:val="both"/>
        <w:rPr>
          <w:rFonts w:ascii="Arial" w:hAnsi="Arial" w:cs="Arial"/>
        </w:rPr>
      </w:pPr>
      <w:r w:rsidRPr="00C54FF1">
        <w:rPr>
          <w:rFonts w:ascii="Arial" w:hAnsi="Arial" w:cs="Arial"/>
        </w:rPr>
        <w:t>Rogers, L. O., &amp; Way, N. (201</w:t>
      </w:r>
      <w:r>
        <w:rPr>
          <w:rFonts w:ascii="Arial" w:hAnsi="Arial" w:cs="Arial"/>
        </w:rPr>
        <w:t>5</w:t>
      </w:r>
      <w:r w:rsidRPr="00C54FF1">
        <w:rPr>
          <w:rFonts w:ascii="Arial" w:hAnsi="Arial" w:cs="Arial"/>
        </w:rPr>
        <w:t xml:space="preserve">). “I have goals to prove all those people wrong and not fit into any one of those boxes”: Paths of resistance to stereotypes among Black adolescent males. </w:t>
      </w:r>
      <w:r w:rsidRPr="00C54FF1">
        <w:rPr>
          <w:rFonts w:ascii="Arial" w:hAnsi="Arial" w:cs="Arial"/>
          <w:i/>
          <w:iCs/>
        </w:rPr>
        <w:t>Journal of Adolescent Research, 31</w:t>
      </w:r>
      <w:r w:rsidRPr="00C54FF1">
        <w:rPr>
          <w:rFonts w:ascii="Arial" w:hAnsi="Arial" w:cs="Arial"/>
        </w:rPr>
        <w:t xml:space="preserve">(3), 263–298. </w:t>
      </w:r>
      <w:hyperlink r:id="rId17" w:tgtFrame="_new" w:history="1">
        <w:r w:rsidRPr="00C54FF1">
          <w:rPr>
            <w:rStyle w:val="Hyperlink"/>
            <w:rFonts w:ascii="Arial" w:hAnsi="Arial" w:cs="Arial"/>
          </w:rPr>
          <w:t>https://doi.org/10.1177/0743558415600071</w:t>
        </w:r>
      </w:hyperlink>
    </w:p>
    <w:p w14:paraId="31C952FE" w14:textId="3AC6851E" w:rsidR="00550320" w:rsidRDefault="00550320" w:rsidP="007A7217">
      <w:pPr>
        <w:spacing w:line="360" w:lineRule="auto"/>
        <w:jc w:val="both"/>
        <w:rPr>
          <w:rFonts w:ascii="Arial" w:hAnsi="Arial" w:cs="Arial"/>
        </w:rPr>
      </w:pPr>
      <w:r w:rsidRPr="00DF5DEF">
        <w:rPr>
          <w:rFonts w:ascii="Arial" w:hAnsi="Arial" w:cs="Arial"/>
        </w:rPr>
        <w:t>Romero, A. J., Edwards, L. M., Fryberg, S. A., &amp; Orduña, M. (20</w:t>
      </w:r>
      <w:r w:rsidRPr="00FB1D86">
        <w:rPr>
          <w:rFonts w:ascii="Arial" w:hAnsi="Arial" w:cs="Arial"/>
        </w:rPr>
        <w:t xml:space="preserve">13) </w:t>
      </w:r>
      <w:r w:rsidRPr="00DF5DEF">
        <w:rPr>
          <w:rFonts w:ascii="Arial" w:hAnsi="Arial" w:cs="Arial"/>
        </w:rPr>
        <w:t xml:space="preserve">Resilience to discrimination stress across ethnic identity status and levels of perceived discrimination. </w:t>
      </w:r>
      <w:r w:rsidRPr="00DF5DEF">
        <w:rPr>
          <w:rFonts w:ascii="Arial" w:hAnsi="Arial" w:cs="Arial"/>
          <w:i/>
          <w:iCs/>
        </w:rPr>
        <w:t>Developmental Psychology, 4</w:t>
      </w:r>
      <w:r w:rsidRPr="00FB1D86">
        <w:rPr>
          <w:rFonts w:ascii="Arial" w:hAnsi="Arial" w:cs="Arial"/>
          <w:i/>
          <w:iCs/>
        </w:rPr>
        <w:t>4</w:t>
      </w:r>
      <w:r w:rsidRPr="00DF5DEF">
        <w:rPr>
          <w:rFonts w:ascii="Arial" w:hAnsi="Arial" w:cs="Arial"/>
        </w:rPr>
        <w:t>(</w:t>
      </w:r>
      <w:r w:rsidRPr="00FB1D86">
        <w:rPr>
          <w:rFonts w:ascii="Arial" w:hAnsi="Arial" w:cs="Arial"/>
        </w:rPr>
        <w:t>1</w:t>
      </w:r>
      <w:r w:rsidRPr="00DF5DEF">
        <w:rPr>
          <w:rFonts w:ascii="Arial" w:hAnsi="Arial" w:cs="Arial"/>
        </w:rPr>
        <w:t>), 1177–1189. https://doi.org/10.1</w:t>
      </w:r>
      <w:r w:rsidRPr="00FB1D86">
        <w:rPr>
          <w:rFonts w:ascii="Arial" w:hAnsi="Arial" w:cs="Arial"/>
        </w:rPr>
        <w:t>111/jasp.12192</w:t>
      </w:r>
    </w:p>
    <w:p w14:paraId="4314D716" w14:textId="2B0D242F" w:rsidR="00D72D0D" w:rsidRDefault="00D72D0D" w:rsidP="007A7217">
      <w:pPr>
        <w:spacing w:line="360" w:lineRule="auto"/>
        <w:jc w:val="both"/>
        <w:rPr>
          <w:rFonts w:ascii="Arial" w:hAnsi="Arial" w:cs="Arial"/>
        </w:rPr>
      </w:pPr>
      <w:r>
        <w:rPr>
          <w:rFonts w:ascii="Arial" w:hAnsi="Arial" w:cs="Arial"/>
        </w:rPr>
        <w:t xml:space="preserve">Ryan, C., Russell, S. T., Huebner, D., Diaz, R., &amp; Sanchez, J. (2010). Family acceptance in adolescence and the health of LGBT young adults. </w:t>
      </w:r>
      <w:r>
        <w:rPr>
          <w:rFonts w:ascii="Arial" w:hAnsi="Arial" w:cs="Arial"/>
          <w:i/>
          <w:iCs/>
        </w:rPr>
        <w:t>Journal of Child and Adolescent Psychiatric Nursing</w:t>
      </w:r>
      <w:r w:rsidR="001E5D75">
        <w:rPr>
          <w:rFonts w:ascii="Arial" w:hAnsi="Arial" w:cs="Arial"/>
          <w:i/>
          <w:iCs/>
        </w:rPr>
        <w:t>: official publication of the Association of child and Adolescent Psychiatric Nurses, Inc, 23</w:t>
      </w:r>
      <w:r w:rsidR="001E5D75">
        <w:rPr>
          <w:rFonts w:ascii="Arial" w:hAnsi="Arial" w:cs="Arial"/>
        </w:rPr>
        <w:t xml:space="preserve">(4), 205-213. </w:t>
      </w:r>
      <w:hyperlink r:id="rId18" w:history="1">
        <w:r w:rsidR="001E5D75" w:rsidRPr="007E3FE2">
          <w:rPr>
            <w:rStyle w:val="Hyperlink"/>
            <w:rFonts w:ascii="Arial" w:hAnsi="Arial" w:cs="Arial"/>
          </w:rPr>
          <w:t>https://doi.org/10.1111/j.1744-6171.2010.00246.x</w:t>
        </w:r>
      </w:hyperlink>
    </w:p>
    <w:p w14:paraId="7F1EDD15" w14:textId="138A17DA" w:rsidR="001E5D75" w:rsidRDefault="001E5D75" w:rsidP="007A7217">
      <w:pPr>
        <w:spacing w:line="360" w:lineRule="auto"/>
        <w:jc w:val="both"/>
        <w:rPr>
          <w:rFonts w:ascii="Arial" w:hAnsi="Arial" w:cs="Arial"/>
        </w:rPr>
      </w:pPr>
      <w:r>
        <w:rPr>
          <w:rFonts w:ascii="Arial" w:hAnsi="Arial" w:cs="Arial"/>
        </w:rPr>
        <w:t xml:space="preserve">Savin-Williams, R. C., &amp; Diamond, L. M. (2000). Sexual identity trajectories among sexual-minority youths: Gender comparisons. </w:t>
      </w:r>
      <w:r>
        <w:rPr>
          <w:rFonts w:ascii="Arial" w:hAnsi="Arial" w:cs="Arial"/>
          <w:i/>
          <w:iCs/>
        </w:rPr>
        <w:t xml:space="preserve">Archives of Sexual </w:t>
      </w:r>
      <w:proofErr w:type="spellStart"/>
      <w:r>
        <w:rPr>
          <w:rFonts w:ascii="Arial" w:hAnsi="Arial" w:cs="Arial"/>
          <w:i/>
          <w:iCs/>
        </w:rPr>
        <w:t>Behavior</w:t>
      </w:r>
      <w:proofErr w:type="spellEnd"/>
      <w:r>
        <w:rPr>
          <w:rFonts w:ascii="Arial" w:hAnsi="Arial" w:cs="Arial"/>
          <w:i/>
          <w:iCs/>
        </w:rPr>
        <w:t>, 29</w:t>
      </w:r>
      <w:r>
        <w:rPr>
          <w:rFonts w:ascii="Arial" w:hAnsi="Arial" w:cs="Arial"/>
        </w:rPr>
        <w:t xml:space="preserve">(6), 607-627. </w:t>
      </w:r>
      <w:hyperlink r:id="rId19" w:history="1">
        <w:r w:rsidRPr="007E3FE2">
          <w:rPr>
            <w:rStyle w:val="Hyperlink"/>
            <w:rFonts w:ascii="Arial" w:hAnsi="Arial" w:cs="Arial"/>
          </w:rPr>
          <w:t>https://doi.org/10.1023/a:1002058505138</w:t>
        </w:r>
      </w:hyperlink>
    </w:p>
    <w:p w14:paraId="3C2A8903" w14:textId="73E50C9F" w:rsidR="001E5D75" w:rsidRDefault="001E5D75" w:rsidP="007A7217">
      <w:pPr>
        <w:spacing w:line="360" w:lineRule="auto"/>
        <w:jc w:val="both"/>
        <w:rPr>
          <w:rFonts w:ascii="Arial" w:hAnsi="Arial" w:cs="Arial"/>
        </w:rPr>
      </w:pPr>
      <w:r>
        <w:rPr>
          <w:rFonts w:ascii="Arial" w:hAnsi="Arial" w:cs="Arial"/>
        </w:rPr>
        <w:t xml:space="preserve">Sellers, R. M., Smith, M. A., Shelton, J. N., Rowley, S. A. J., &amp; Chavous, T. M. (1998). Multidimensional model of racial identity: A reconceptualization of African American racial identity. </w:t>
      </w:r>
      <w:r>
        <w:rPr>
          <w:rFonts w:ascii="Arial" w:hAnsi="Arial" w:cs="Arial"/>
          <w:i/>
          <w:iCs/>
        </w:rPr>
        <w:t xml:space="preserve">Personality and Social Psychology Review: an official journal of the Society for Personality and Social Psychology, </w:t>
      </w:r>
      <w:r w:rsidR="00850C4A">
        <w:rPr>
          <w:rFonts w:ascii="Arial" w:hAnsi="Arial" w:cs="Arial"/>
          <w:i/>
          <w:iCs/>
        </w:rPr>
        <w:t>Inc.</w:t>
      </w:r>
      <w:r>
        <w:rPr>
          <w:rFonts w:ascii="Arial" w:hAnsi="Arial" w:cs="Arial"/>
          <w:i/>
          <w:iCs/>
        </w:rPr>
        <w:t>, 2</w:t>
      </w:r>
      <w:r>
        <w:rPr>
          <w:rFonts w:ascii="Arial" w:hAnsi="Arial" w:cs="Arial"/>
        </w:rPr>
        <w:t xml:space="preserve">(1), 18-39. </w:t>
      </w:r>
      <w:hyperlink r:id="rId20" w:history="1">
        <w:r w:rsidRPr="007E3FE2">
          <w:rPr>
            <w:rStyle w:val="Hyperlink"/>
            <w:rFonts w:ascii="Arial" w:hAnsi="Arial" w:cs="Arial"/>
          </w:rPr>
          <w:t>https://doi.org/10.1207/s15327957pspr0201_2</w:t>
        </w:r>
      </w:hyperlink>
      <w:r>
        <w:rPr>
          <w:rFonts w:ascii="Arial" w:hAnsi="Arial" w:cs="Arial"/>
        </w:rPr>
        <w:t>.</w:t>
      </w:r>
    </w:p>
    <w:p w14:paraId="2C7A6DC8" w14:textId="686FC236" w:rsidR="00850C4A" w:rsidRDefault="00850C4A" w:rsidP="007A7217">
      <w:pPr>
        <w:spacing w:line="360" w:lineRule="auto"/>
        <w:jc w:val="both"/>
        <w:rPr>
          <w:rFonts w:ascii="Arial" w:hAnsi="Arial" w:cs="Arial"/>
        </w:rPr>
      </w:pPr>
      <w:r w:rsidRPr="00C54FF1">
        <w:rPr>
          <w:rFonts w:ascii="Arial" w:hAnsi="Arial" w:cs="Arial"/>
        </w:rPr>
        <w:t xml:space="preserve">Seaton, E. K., Yip, T. (2009). School and </w:t>
      </w:r>
      <w:proofErr w:type="spellStart"/>
      <w:r>
        <w:rPr>
          <w:rFonts w:ascii="Arial" w:hAnsi="Arial" w:cs="Arial"/>
        </w:rPr>
        <w:t>N</w:t>
      </w:r>
      <w:r w:rsidRPr="00C54FF1">
        <w:rPr>
          <w:rFonts w:ascii="Arial" w:hAnsi="Arial" w:cs="Arial"/>
        </w:rPr>
        <w:t>eighborhood</w:t>
      </w:r>
      <w:proofErr w:type="spellEnd"/>
      <w:r w:rsidRPr="00C54FF1">
        <w:rPr>
          <w:rFonts w:ascii="Arial" w:hAnsi="Arial" w:cs="Arial"/>
        </w:rPr>
        <w:t xml:space="preserve"> </w:t>
      </w:r>
      <w:r>
        <w:rPr>
          <w:rFonts w:ascii="Arial" w:hAnsi="Arial" w:cs="Arial"/>
        </w:rPr>
        <w:t>C</w:t>
      </w:r>
      <w:r w:rsidRPr="00C54FF1">
        <w:rPr>
          <w:rFonts w:ascii="Arial" w:hAnsi="Arial" w:cs="Arial"/>
        </w:rPr>
        <w:t xml:space="preserve">ontexts, </w:t>
      </w:r>
      <w:r>
        <w:rPr>
          <w:rFonts w:ascii="Arial" w:hAnsi="Arial" w:cs="Arial"/>
        </w:rPr>
        <w:t>P</w:t>
      </w:r>
      <w:r w:rsidRPr="00C54FF1">
        <w:rPr>
          <w:rFonts w:ascii="Arial" w:hAnsi="Arial" w:cs="Arial"/>
        </w:rPr>
        <w:t xml:space="preserve">erceptions of </w:t>
      </w:r>
      <w:r>
        <w:rPr>
          <w:rFonts w:ascii="Arial" w:hAnsi="Arial" w:cs="Arial"/>
        </w:rPr>
        <w:t>R</w:t>
      </w:r>
      <w:r w:rsidRPr="00C54FF1">
        <w:rPr>
          <w:rFonts w:ascii="Arial" w:hAnsi="Arial" w:cs="Arial"/>
        </w:rPr>
        <w:t xml:space="preserve">acial </w:t>
      </w:r>
      <w:r>
        <w:rPr>
          <w:rFonts w:ascii="Arial" w:hAnsi="Arial" w:cs="Arial"/>
        </w:rPr>
        <w:t>D</w:t>
      </w:r>
      <w:r w:rsidRPr="00C54FF1">
        <w:rPr>
          <w:rFonts w:ascii="Arial" w:hAnsi="Arial" w:cs="Arial"/>
        </w:rPr>
        <w:t xml:space="preserve">iscrimination, and </w:t>
      </w:r>
      <w:r>
        <w:rPr>
          <w:rFonts w:ascii="Arial" w:hAnsi="Arial" w:cs="Arial"/>
        </w:rPr>
        <w:t>P</w:t>
      </w:r>
      <w:r w:rsidRPr="00C54FF1">
        <w:rPr>
          <w:rFonts w:ascii="Arial" w:hAnsi="Arial" w:cs="Arial"/>
        </w:rPr>
        <w:t xml:space="preserve">sychological </w:t>
      </w:r>
      <w:r>
        <w:rPr>
          <w:rFonts w:ascii="Arial" w:hAnsi="Arial" w:cs="Arial"/>
        </w:rPr>
        <w:t>Well-being</w:t>
      </w:r>
      <w:r w:rsidRPr="00C54FF1">
        <w:rPr>
          <w:rFonts w:ascii="Arial" w:hAnsi="Arial" w:cs="Arial"/>
        </w:rPr>
        <w:t xml:space="preserve"> </w:t>
      </w:r>
      <w:r>
        <w:rPr>
          <w:rFonts w:ascii="Arial" w:hAnsi="Arial" w:cs="Arial"/>
        </w:rPr>
        <w:t>A</w:t>
      </w:r>
      <w:r w:rsidRPr="00C54FF1">
        <w:rPr>
          <w:rFonts w:ascii="Arial" w:hAnsi="Arial" w:cs="Arial"/>
        </w:rPr>
        <w:t xml:space="preserve">mong African American </w:t>
      </w:r>
      <w:r>
        <w:rPr>
          <w:rFonts w:ascii="Arial" w:hAnsi="Arial" w:cs="Arial"/>
        </w:rPr>
        <w:t>A</w:t>
      </w:r>
      <w:r w:rsidRPr="00C54FF1">
        <w:rPr>
          <w:rFonts w:ascii="Arial" w:hAnsi="Arial" w:cs="Arial"/>
        </w:rPr>
        <w:t xml:space="preserve">dolescents. </w:t>
      </w:r>
      <w:r w:rsidRPr="00C54FF1">
        <w:rPr>
          <w:rFonts w:ascii="Arial" w:hAnsi="Arial" w:cs="Arial"/>
          <w:i/>
          <w:iCs/>
        </w:rPr>
        <w:t>Journal of Youth and Adolescence, 38</w:t>
      </w:r>
      <w:r w:rsidRPr="00C54FF1">
        <w:rPr>
          <w:rFonts w:ascii="Arial" w:hAnsi="Arial" w:cs="Arial"/>
        </w:rPr>
        <w:t xml:space="preserve">(2), 153–163. </w:t>
      </w:r>
      <w:hyperlink r:id="rId21" w:history="1">
        <w:r w:rsidRPr="007E3FE2">
          <w:rPr>
            <w:rStyle w:val="Hyperlink"/>
            <w:rFonts w:ascii="Arial" w:hAnsi="Arial" w:cs="Arial"/>
          </w:rPr>
          <w:t>https://doi.org/10.1007/s10964-008-9356-x</w:t>
        </w:r>
      </w:hyperlink>
    </w:p>
    <w:p w14:paraId="2D89EFB9" w14:textId="5B4DC18C" w:rsidR="006B064F" w:rsidRDefault="006B064F" w:rsidP="007A7217">
      <w:pPr>
        <w:spacing w:line="360" w:lineRule="auto"/>
        <w:jc w:val="both"/>
        <w:rPr>
          <w:rFonts w:ascii="Arial" w:hAnsi="Arial" w:cs="Arial"/>
        </w:rPr>
      </w:pPr>
      <w:r>
        <w:rPr>
          <w:rFonts w:ascii="Arial" w:hAnsi="Arial" w:cs="Arial"/>
        </w:rPr>
        <w:lastRenderedPageBreak/>
        <w:t xml:space="preserve">Syed, M., &amp; Azmitia, </w:t>
      </w:r>
      <w:r w:rsidR="00850C4A">
        <w:rPr>
          <w:rFonts w:ascii="Arial" w:hAnsi="Arial" w:cs="Arial"/>
        </w:rPr>
        <w:t>M</w:t>
      </w:r>
      <w:r>
        <w:rPr>
          <w:rFonts w:ascii="Arial" w:hAnsi="Arial" w:cs="Arial"/>
        </w:rPr>
        <w:t xml:space="preserve">. (2008). A narrative approach to ethnic identity in emerging adulthood: Bringing life to the identity status model. </w:t>
      </w:r>
      <w:r>
        <w:rPr>
          <w:rFonts w:ascii="Arial" w:hAnsi="Arial" w:cs="Arial"/>
          <w:i/>
          <w:iCs/>
        </w:rPr>
        <w:t>Developmental Psychology, 44</w:t>
      </w:r>
      <w:r>
        <w:rPr>
          <w:rFonts w:ascii="Arial" w:hAnsi="Arial" w:cs="Arial"/>
        </w:rPr>
        <w:t xml:space="preserve">(4), 1012-1027. </w:t>
      </w:r>
      <w:hyperlink r:id="rId22" w:history="1">
        <w:r w:rsidRPr="007E3FE2">
          <w:rPr>
            <w:rStyle w:val="Hyperlink"/>
            <w:rFonts w:ascii="Arial" w:hAnsi="Arial" w:cs="Arial"/>
          </w:rPr>
          <w:t>https://doi.org/10.1037/0012-1649.44.4.1012</w:t>
        </w:r>
      </w:hyperlink>
      <w:r>
        <w:rPr>
          <w:rFonts w:ascii="Arial" w:hAnsi="Arial" w:cs="Arial"/>
        </w:rPr>
        <w:t>.</w:t>
      </w:r>
    </w:p>
    <w:p w14:paraId="14675604" w14:textId="3382F2F9" w:rsidR="006B064F" w:rsidRDefault="006B064F" w:rsidP="007A7217">
      <w:pPr>
        <w:spacing w:line="360" w:lineRule="auto"/>
        <w:jc w:val="both"/>
        <w:rPr>
          <w:rFonts w:ascii="Arial" w:hAnsi="Arial" w:cs="Arial"/>
        </w:rPr>
      </w:pPr>
      <w:r>
        <w:rPr>
          <w:rFonts w:ascii="Arial" w:hAnsi="Arial" w:cs="Arial"/>
        </w:rPr>
        <w:t xml:space="preserve">Tajfel, H., &amp; Turner, J. C. (1979). An integrative theory of intergroup conflict. In W. G. Austin &amp; S. </w:t>
      </w:r>
      <w:proofErr w:type="spellStart"/>
      <w:r>
        <w:rPr>
          <w:rFonts w:ascii="Arial" w:hAnsi="Arial" w:cs="Arial"/>
        </w:rPr>
        <w:t>Worchel</w:t>
      </w:r>
      <w:proofErr w:type="spellEnd"/>
      <w:r>
        <w:rPr>
          <w:rFonts w:ascii="Arial" w:hAnsi="Arial" w:cs="Arial"/>
        </w:rPr>
        <w:t xml:space="preserve"> (Eds.), </w:t>
      </w:r>
      <w:r>
        <w:rPr>
          <w:rFonts w:ascii="Arial" w:hAnsi="Arial" w:cs="Arial"/>
          <w:i/>
          <w:iCs/>
        </w:rPr>
        <w:t xml:space="preserve">The social psychology of intergroup relations </w:t>
      </w:r>
      <w:r>
        <w:rPr>
          <w:rFonts w:ascii="Arial" w:hAnsi="Arial" w:cs="Arial"/>
        </w:rPr>
        <w:t>(pp.33-47). Brooks/Cole.</w:t>
      </w:r>
    </w:p>
    <w:p w14:paraId="171C5D6C" w14:textId="3B012356" w:rsidR="006B064F" w:rsidRDefault="006B064F" w:rsidP="007A7217">
      <w:pPr>
        <w:spacing w:line="360" w:lineRule="auto"/>
        <w:jc w:val="both"/>
        <w:rPr>
          <w:rFonts w:ascii="Arial" w:hAnsi="Arial" w:cs="Arial"/>
        </w:rPr>
      </w:pPr>
      <w:r>
        <w:rPr>
          <w:rFonts w:ascii="Arial" w:hAnsi="Arial" w:cs="Arial"/>
        </w:rPr>
        <w:t xml:space="preserve">Umaña-Taylor, A. J., Bhanot, R., &amp; Shin, N. (2006). Ethnic identity formation during adolescence: The critical role of families. </w:t>
      </w:r>
      <w:r>
        <w:rPr>
          <w:rFonts w:ascii="Arial" w:hAnsi="Arial" w:cs="Arial"/>
          <w:i/>
          <w:iCs/>
        </w:rPr>
        <w:t>Journal of Family Issues, 27</w:t>
      </w:r>
      <w:r>
        <w:rPr>
          <w:rFonts w:ascii="Arial" w:hAnsi="Arial" w:cs="Arial"/>
        </w:rPr>
        <w:t xml:space="preserve">(3), 390-414. </w:t>
      </w:r>
      <w:hyperlink r:id="rId23" w:history="1">
        <w:r w:rsidRPr="007E3FE2">
          <w:rPr>
            <w:rStyle w:val="Hyperlink"/>
            <w:rFonts w:ascii="Arial" w:hAnsi="Arial" w:cs="Arial"/>
          </w:rPr>
          <w:t>https://doi.org/10.1177/0192513x05282960</w:t>
        </w:r>
      </w:hyperlink>
    </w:p>
    <w:p w14:paraId="72C20988" w14:textId="77777777" w:rsidR="00550320" w:rsidRPr="00FB1D86" w:rsidRDefault="00550320" w:rsidP="00550320">
      <w:pPr>
        <w:spacing w:line="360" w:lineRule="auto"/>
        <w:jc w:val="both"/>
        <w:rPr>
          <w:rFonts w:ascii="Arial" w:hAnsi="Arial" w:cs="Arial"/>
        </w:rPr>
      </w:pPr>
      <w:r w:rsidRPr="00FB1D86">
        <w:rPr>
          <w:rFonts w:ascii="Arial" w:hAnsi="Arial" w:cs="Arial"/>
        </w:rPr>
        <w:t xml:space="preserve">Umaña-Taylor, A. J., </w:t>
      </w:r>
      <w:proofErr w:type="spellStart"/>
      <w:r w:rsidRPr="00FB1D86">
        <w:rPr>
          <w:rFonts w:ascii="Arial" w:hAnsi="Arial" w:cs="Arial"/>
        </w:rPr>
        <w:t>Quintana</w:t>
      </w:r>
      <w:proofErr w:type="spellEnd"/>
      <w:r w:rsidRPr="00FB1D86">
        <w:rPr>
          <w:rFonts w:ascii="Arial" w:hAnsi="Arial" w:cs="Arial"/>
        </w:rPr>
        <w:t>, S. M., Lee, R. M., Cross, W. E., Jr, Rivas-Drake, D., Schwartz, S. J., Syed, M., Yip, T., Seaton, E., &amp; Ethnic and Racial Identity in the 21st Century Study Group (2014). Ethnic and racial identity during adolescence and into young adulthood: an integrated conceptualization. </w:t>
      </w:r>
      <w:r w:rsidRPr="00FB1D86">
        <w:rPr>
          <w:rFonts w:ascii="Arial" w:hAnsi="Arial" w:cs="Arial"/>
          <w:i/>
          <w:iCs/>
        </w:rPr>
        <w:t>Child development</w:t>
      </w:r>
      <w:r w:rsidRPr="00FB1D86">
        <w:rPr>
          <w:rFonts w:ascii="Arial" w:hAnsi="Arial" w:cs="Arial"/>
        </w:rPr>
        <w:t>, </w:t>
      </w:r>
      <w:r w:rsidRPr="00FB1D86">
        <w:rPr>
          <w:rFonts w:ascii="Arial" w:hAnsi="Arial" w:cs="Arial"/>
          <w:i/>
          <w:iCs/>
        </w:rPr>
        <w:t>85</w:t>
      </w:r>
      <w:r w:rsidRPr="00FB1D86">
        <w:rPr>
          <w:rFonts w:ascii="Arial" w:hAnsi="Arial" w:cs="Arial"/>
        </w:rPr>
        <w:t xml:space="preserve">(1), 21–39. </w:t>
      </w:r>
      <w:hyperlink r:id="rId24" w:history="1">
        <w:r w:rsidRPr="00FB1D86">
          <w:rPr>
            <w:rStyle w:val="Hyperlink"/>
            <w:rFonts w:ascii="Arial" w:hAnsi="Arial" w:cs="Arial"/>
          </w:rPr>
          <w:t>https://doi.org/10.1111/cdev.12196</w:t>
        </w:r>
      </w:hyperlink>
    </w:p>
    <w:p w14:paraId="53294ED4" w14:textId="354D0CE5" w:rsidR="00550320" w:rsidRDefault="00550320" w:rsidP="007A7217">
      <w:pPr>
        <w:spacing w:line="360" w:lineRule="auto"/>
        <w:jc w:val="both"/>
        <w:rPr>
          <w:rFonts w:ascii="Arial" w:hAnsi="Arial" w:cs="Arial"/>
        </w:rPr>
      </w:pPr>
      <w:r w:rsidRPr="00DF5DEF">
        <w:rPr>
          <w:rFonts w:ascii="Arial" w:hAnsi="Arial" w:cs="Arial"/>
        </w:rPr>
        <w:t>Umaña</w:t>
      </w:r>
      <w:r w:rsidRPr="00DF5DEF">
        <w:rPr>
          <w:rFonts w:ascii="Cambria Math" w:hAnsi="Cambria Math" w:cs="Cambria Math"/>
        </w:rPr>
        <w:t>‐</w:t>
      </w:r>
      <w:r w:rsidRPr="00DF5DEF">
        <w:rPr>
          <w:rFonts w:ascii="Arial" w:hAnsi="Arial" w:cs="Arial"/>
        </w:rPr>
        <w:t xml:space="preserve">Taylor, A. J., </w:t>
      </w:r>
      <w:proofErr w:type="spellStart"/>
      <w:r w:rsidRPr="00DF5DEF">
        <w:rPr>
          <w:rFonts w:ascii="Arial" w:hAnsi="Arial" w:cs="Arial"/>
        </w:rPr>
        <w:t>Yazedjian</w:t>
      </w:r>
      <w:proofErr w:type="spellEnd"/>
      <w:r w:rsidRPr="00DF5DEF">
        <w:rPr>
          <w:rFonts w:ascii="Arial" w:hAnsi="Arial" w:cs="Arial"/>
        </w:rPr>
        <w:t xml:space="preserve">, A., &amp; </w:t>
      </w:r>
      <w:proofErr w:type="spellStart"/>
      <w:r w:rsidRPr="00DF5DEF">
        <w:rPr>
          <w:rFonts w:ascii="Arial" w:hAnsi="Arial" w:cs="Arial"/>
        </w:rPr>
        <w:t>Bámaca</w:t>
      </w:r>
      <w:proofErr w:type="spellEnd"/>
      <w:r w:rsidRPr="00DF5DEF">
        <w:rPr>
          <w:rFonts w:ascii="Cambria Math" w:hAnsi="Cambria Math" w:cs="Cambria Math"/>
        </w:rPr>
        <w:t>‐</w:t>
      </w:r>
      <w:r w:rsidRPr="00DF5DEF">
        <w:rPr>
          <w:rFonts w:ascii="Arial" w:hAnsi="Arial" w:cs="Arial"/>
        </w:rPr>
        <w:t xml:space="preserve">Gómez, M. Y. (2004). Developing the </w:t>
      </w:r>
      <w:r w:rsidRPr="00FB1D86">
        <w:rPr>
          <w:rFonts w:ascii="Arial" w:hAnsi="Arial" w:cs="Arial"/>
        </w:rPr>
        <w:t>E</w:t>
      </w:r>
      <w:r w:rsidRPr="00DF5DEF">
        <w:rPr>
          <w:rFonts w:ascii="Arial" w:hAnsi="Arial" w:cs="Arial"/>
        </w:rPr>
        <w:t xml:space="preserve">thnic </w:t>
      </w:r>
      <w:r w:rsidRPr="00FB1D86">
        <w:rPr>
          <w:rFonts w:ascii="Arial" w:hAnsi="Arial" w:cs="Arial"/>
        </w:rPr>
        <w:t>I</w:t>
      </w:r>
      <w:r w:rsidRPr="00DF5DEF">
        <w:rPr>
          <w:rFonts w:ascii="Arial" w:hAnsi="Arial" w:cs="Arial"/>
        </w:rPr>
        <w:t xml:space="preserve">dentity </w:t>
      </w:r>
      <w:r w:rsidRPr="00FB1D86">
        <w:rPr>
          <w:rFonts w:ascii="Arial" w:hAnsi="Arial" w:cs="Arial"/>
        </w:rPr>
        <w:t>S</w:t>
      </w:r>
      <w:r w:rsidRPr="00DF5DEF">
        <w:rPr>
          <w:rFonts w:ascii="Arial" w:hAnsi="Arial" w:cs="Arial"/>
        </w:rPr>
        <w:t xml:space="preserve">cale </w:t>
      </w:r>
      <w:r w:rsidRPr="00FB1D86">
        <w:rPr>
          <w:rFonts w:ascii="Arial" w:hAnsi="Arial" w:cs="Arial"/>
        </w:rPr>
        <w:t>U</w:t>
      </w:r>
      <w:r w:rsidRPr="00DF5DEF">
        <w:rPr>
          <w:rFonts w:ascii="Arial" w:hAnsi="Arial" w:cs="Arial"/>
        </w:rPr>
        <w:t xml:space="preserve">sing </w:t>
      </w:r>
      <w:proofErr w:type="spellStart"/>
      <w:r w:rsidRPr="00DF5DEF">
        <w:rPr>
          <w:rFonts w:ascii="Arial" w:hAnsi="Arial" w:cs="Arial"/>
        </w:rPr>
        <w:t>Eriksonian</w:t>
      </w:r>
      <w:proofErr w:type="spellEnd"/>
      <w:r w:rsidRPr="00DF5DEF">
        <w:rPr>
          <w:rFonts w:ascii="Arial" w:hAnsi="Arial" w:cs="Arial"/>
        </w:rPr>
        <w:t xml:space="preserve"> and </w:t>
      </w:r>
      <w:r w:rsidRPr="00FB1D86">
        <w:rPr>
          <w:rFonts w:ascii="Arial" w:hAnsi="Arial" w:cs="Arial"/>
        </w:rPr>
        <w:t>S</w:t>
      </w:r>
      <w:r w:rsidRPr="00DF5DEF">
        <w:rPr>
          <w:rFonts w:ascii="Arial" w:hAnsi="Arial" w:cs="Arial"/>
        </w:rPr>
        <w:t xml:space="preserve">ocial </w:t>
      </w:r>
      <w:r w:rsidRPr="00FB1D86">
        <w:rPr>
          <w:rFonts w:ascii="Arial" w:hAnsi="Arial" w:cs="Arial"/>
        </w:rPr>
        <w:t>I</w:t>
      </w:r>
      <w:r w:rsidRPr="00DF5DEF">
        <w:rPr>
          <w:rFonts w:ascii="Arial" w:hAnsi="Arial" w:cs="Arial"/>
        </w:rPr>
        <w:t xml:space="preserve">dentity </w:t>
      </w:r>
      <w:r w:rsidRPr="00FB1D86">
        <w:rPr>
          <w:rFonts w:ascii="Arial" w:hAnsi="Arial" w:cs="Arial"/>
        </w:rPr>
        <w:t>P</w:t>
      </w:r>
      <w:r w:rsidRPr="00DF5DEF">
        <w:rPr>
          <w:rFonts w:ascii="Arial" w:hAnsi="Arial" w:cs="Arial"/>
        </w:rPr>
        <w:t xml:space="preserve">erspectives. </w:t>
      </w:r>
      <w:r w:rsidRPr="00DF5DEF">
        <w:rPr>
          <w:rFonts w:ascii="Arial" w:hAnsi="Arial" w:cs="Arial"/>
          <w:i/>
          <w:iCs/>
        </w:rPr>
        <w:t>Identity, 4</w:t>
      </w:r>
      <w:r w:rsidRPr="00DF5DEF">
        <w:rPr>
          <w:rFonts w:ascii="Arial" w:hAnsi="Arial" w:cs="Arial"/>
        </w:rPr>
        <w:t>(1), 9–38. https://doi.org/10.1207/S1532706XID0401_2</w:t>
      </w:r>
    </w:p>
    <w:p w14:paraId="6BA92A0F" w14:textId="0DD03D01" w:rsidR="006B064F" w:rsidRDefault="006B064F" w:rsidP="007A7217">
      <w:pPr>
        <w:spacing w:line="360" w:lineRule="auto"/>
        <w:jc w:val="both"/>
        <w:rPr>
          <w:rFonts w:ascii="Arial" w:hAnsi="Arial" w:cs="Arial"/>
        </w:rPr>
      </w:pPr>
      <w:proofErr w:type="spellStart"/>
      <w:r>
        <w:rPr>
          <w:rFonts w:ascii="Arial" w:hAnsi="Arial" w:cs="Arial"/>
        </w:rPr>
        <w:t>Youniss</w:t>
      </w:r>
      <w:proofErr w:type="spellEnd"/>
      <w:r>
        <w:rPr>
          <w:rFonts w:ascii="Arial" w:hAnsi="Arial" w:cs="Arial"/>
        </w:rPr>
        <w:t xml:space="preserve">, J., McLellan, J. A., &amp; Yates, M. (2002). Religion, community service, and identity in American youth. </w:t>
      </w:r>
      <w:r>
        <w:rPr>
          <w:rFonts w:ascii="Arial" w:hAnsi="Arial" w:cs="Arial"/>
          <w:i/>
          <w:iCs/>
        </w:rPr>
        <w:t>Journal of Adolescence, 22</w:t>
      </w:r>
      <w:r>
        <w:rPr>
          <w:rFonts w:ascii="Arial" w:hAnsi="Arial" w:cs="Arial"/>
        </w:rPr>
        <w:t xml:space="preserve">(2), 243-253. </w:t>
      </w:r>
      <w:hyperlink r:id="rId25" w:history="1">
        <w:r w:rsidRPr="007E3FE2">
          <w:rPr>
            <w:rStyle w:val="Hyperlink"/>
            <w:rFonts w:ascii="Arial" w:hAnsi="Arial" w:cs="Arial"/>
          </w:rPr>
          <w:t>https://doi.org/10.1006/jado.1999.0214</w:t>
        </w:r>
      </w:hyperlink>
    </w:p>
    <w:p w14:paraId="6CA52BE3" w14:textId="77777777" w:rsidR="006B064F" w:rsidRPr="006B064F" w:rsidRDefault="006B064F" w:rsidP="007A7217">
      <w:pPr>
        <w:spacing w:line="360" w:lineRule="auto"/>
        <w:jc w:val="both"/>
        <w:rPr>
          <w:rFonts w:ascii="Arial" w:hAnsi="Arial" w:cs="Arial"/>
        </w:rPr>
      </w:pPr>
    </w:p>
    <w:p w14:paraId="0F4524CF" w14:textId="77777777" w:rsidR="00483864" w:rsidRDefault="00483864" w:rsidP="007A7217">
      <w:pPr>
        <w:spacing w:line="360" w:lineRule="auto"/>
        <w:jc w:val="both"/>
        <w:rPr>
          <w:rFonts w:ascii="Arial" w:hAnsi="Arial" w:cs="Arial"/>
        </w:rPr>
      </w:pPr>
    </w:p>
    <w:p w14:paraId="331A9AFA" w14:textId="77777777" w:rsidR="00D473B1" w:rsidRDefault="00D473B1" w:rsidP="007A7217">
      <w:pPr>
        <w:spacing w:line="360" w:lineRule="auto"/>
        <w:jc w:val="both"/>
        <w:rPr>
          <w:rFonts w:ascii="Arial" w:hAnsi="Arial" w:cs="Arial"/>
        </w:rPr>
      </w:pPr>
    </w:p>
    <w:p w14:paraId="3A0BA3BB" w14:textId="77777777" w:rsidR="00D473B1" w:rsidRDefault="00D473B1" w:rsidP="007A7217">
      <w:pPr>
        <w:spacing w:line="360" w:lineRule="auto"/>
        <w:jc w:val="both"/>
        <w:rPr>
          <w:rFonts w:ascii="Arial" w:hAnsi="Arial" w:cs="Arial"/>
        </w:rPr>
      </w:pPr>
    </w:p>
    <w:p w14:paraId="00B06797" w14:textId="77777777" w:rsidR="00EF0590" w:rsidRPr="007A7217" w:rsidRDefault="00EF0590" w:rsidP="007A7217">
      <w:pPr>
        <w:spacing w:line="360" w:lineRule="auto"/>
        <w:jc w:val="both"/>
        <w:rPr>
          <w:rFonts w:ascii="Arial" w:hAnsi="Arial" w:cs="Arial"/>
        </w:rPr>
      </w:pPr>
    </w:p>
    <w:sectPr w:rsidR="00EF0590" w:rsidRPr="007A721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AE1DC" w14:textId="77777777" w:rsidR="00FE6167" w:rsidRDefault="00FE6167" w:rsidP="00B20C8F">
      <w:pPr>
        <w:spacing w:after="0" w:line="240" w:lineRule="auto"/>
      </w:pPr>
      <w:r>
        <w:separator/>
      </w:r>
    </w:p>
  </w:endnote>
  <w:endnote w:type="continuationSeparator" w:id="0">
    <w:p w14:paraId="684FDD8D" w14:textId="77777777" w:rsidR="00FE6167" w:rsidRDefault="00FE6167" w:rsidP="00B20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8B078" w14:textId="77777777" w:rsidR="00B20C8F" w:rsidRDefault="00B20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51379" w14:textId="77777777" w:rsidR="00FE6167" w:rsidRDefault="00FE6167" w:rsidP="00B20C8F">
      <w:pPr>
        <w:spacing w:after="0" w:line="240" w:lineRule="auto"/>
      </w:pPr>
      <w:r>
        <w:separator/>
      </w:r>
    </w:p>
  </w:footnote>
  <w:footnote w:type="continuationSeparator" w:id="0">
    <w:p w14:paraId="79C0E05E" w14:textId="77777777" w:rsidR="00FE6167" w:rsidRDefault="00FE6167" w:rsidP="00B20C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217"/>
    <w:rsid w:val="00041C7F"/>
    <w:rsid w:val="000906C9"/>
    <w:rsid w:val="001E5D75"/>
    <w:rsid w:val="002615C8"/>
    <w:rsid w:val="00424CB3"/>
    <w:rsid w:val="00483864"/>
    <w:rsid w:val="00550320"/>
    <w:rsid w:val="00686F61"/>
    <w:rsid w:val="006B064F"/>
    <w:rsid w:val="007066B1"/>
    <w:rsid w:val="00721D03"/>
    <w:rsid w:val="007259C6"/>
    <w:rsid w:val="007A7217"/>
    <w:rsid w:val="00850C4A"/>
    <w:rsid w:val="009D57BD"/>
    <w:rsid w:val="00B20C8F"/>
    <w:rsid w:val="00B33C67"/>
    <w:rsid w:val="00B61106"/>
    <w:rsid w:val="00B802EF"/>
    <w:rsid w:val="00D473B1"/>
    <w:rsid w:val="00D72D0D"/>
    <w:rsid w:val="00E17CCB"/>
    <w:rsid w:val="00EF0590"/>
    <w:rsid w:val="00F50034"/>
    <w:rsid w:val="00FE6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8C3F2"/>
  <w15:chartTrackingRefBased/>
  <w15:docId w15:val="{286FC093-12F8-4D52-8B39-3070962B6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2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72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72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2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2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2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2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2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2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2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72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72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2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2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2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2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2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217"/>
    <w:rPr>
      <w:rFonts w:eastAsiaTheme="majorEastAsia" w:cstheme="majorBidi"/>
      <w:color w:val="272727" w:themeColor="text1" w:themeTint="D8"/>
    </w:rPr>
  </w:style>
  <w:style w:type="paragraph" w:styleId="Title">
    <w:name w:val="Title"/>
    <w:basedOn w:val="Normal"/>
    <w:next w:val="Normal"/>
    <w:link w:val="TitleChar"/>
    <w:uiPriority w:val="10"/>
    <w:qFormat/>
    <w:rsid w:val="007A72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2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2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2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217"/>
    <w:pPr>
      <w:spacing w:before="160"/>
      <w:jc w:val="center"/>
    </w:pPr>
    <w:rPr>
      <w:i/>
      <w:iCs/>
      <w:color w:val="404040" w:themeColor="text1" w:themeTint="BF"/>
    </w:rPr>
  </w:style>
  <w:style w:type="character" w:customStyle="1" w:styleId="QuoteChar">
    <w:name w:val="Quote Char"/>
    <w:basedOn w:val="DefaultParagraphFont"/>
    <w:link w:val="Quote"/>
    <w:uiPriority w:val="29"/>
    <w:rsid w:val="007A7217"/>
    <w:rPr>
      <w:i/>
      <w:iCs/>
      <w:color w:val="404040" w:themeColor="text1" w:themeTint="BF"/>
    </w:rPr>
  </w:style>
  <w:style w:type="paragraph" w:styleId="ListParagraph">
    <w:name w:val="List Paragraph"/>
    <w:basedOn w:val="Normal"/>
    <w:uiPriority w:val="34"/>
    <w:qFormat/>
    <w:rsid w:val="007A7217"/>
    <w:pPr>
      <w:ind w:left="720"/>
      <w:contextualSpacing/>
    </w:pPr>
  </w:style>
  <w:style w:type="character" w:styleId="IntenseEmphasis">
    <w:name w:val="Intense Emphasis"/>
    <w:basedOn w:val="DefaultParagraphFont"/>
    <w:uiPriority w:val="21"/>
    <w:qFormat/>
    <w:rsid w:val="007A7217"/>
    <w:rPr>
      <w:i/>
      <w:iCs/>
      <w:color w:val="0F4761" w:themeColor="accent1" w:themeShade="BF"/>
    </w:rPr>
  </w:style>
  <w:style w:type="paragraph" w:styleId="IntenseQuote">
    <w:name w:val="Intense Quote"/>
    <w:basedOn w:val="Normal"/>
    <w:next w:val="Normal"/>
    <w:link w:val="IntenseQuoteChar"/>
    <w:uiPriority w:val="30"/>
    <w:qFormat/>
    <w:rsid w:val="007A72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217"/>
    <w:rPr>
      <w:i/>
      <w:iCs/>
      <w:color w:val="0F4761" w:themeColor="accent1" w:themeShade="BF"/>
    </w:rPr>
  </w:style>
  <w:style w:type="character" w:styleId="IntenseReference">
    <w:name w:val="Intense Reference"/>
    <w:basedOn w:val="DefaultParagraphFont"/>
    <w:uiPriority w:val="32"/>
    <w:qFormat/>
    <w:rsid w:val="007A7217"/>
    <w:rPr>
      <w:b/>
      <w:bCs/>
      <w:smallCaps/>
      <w:color w:val="0F4761" w:themeColor="accent1" w:themeShade="BF"/>
      <w:spacing w:val="5"/>
    </w:rPr>
  </w:style>
  <w:style w:type="character" w:styleId="Hyperlink">
    <w:name w:val="Hyperlink"/>
    <w:basedOn w:val="DefaultParagraphFont"/>
    <w:uiPriority w:val="99"/>
    <w:unhideWhenUsed/>
    <w:rsid w:val="009D57BD"/>
    <w:rPr>
      <w:color w:val="467886" w:themeColor="hyperlink"/>
      <w:u w:val="single"/>
    </w:rPr>
  </w:style>
  <w:style w:type="character" w:styleId="UnresolvedMention">
    <w:name w:val="Unresolved Mention"/>
    <w:basedOn w:val="DefaultParagraphFont"/>
    <w:uiPriority w:val="99"/>
    <w:semiHidden/>
    <w:unhideWhenUsed/>
    <w:rsid w:val="009D57BD"/>
    <w:rPr>
      <w:color w:val="605E5C"/>
      <w:shd w:val="clear" w:color="auto" w:fill="E1DFDD"/>
    </w:rPr>
  </w:style>
  <w:style w:type="paragraph" w:styleId="Header">
    <w:name w:val="header"/>
    <w:basedOn w:val="Normal"/>
    <w:link w:val="HeaderChar"/>
    <w:uiPriority w:val="99"/>
    <w:unhideWhenUsed/>
    <w:rsid w:val="00B20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C8F"/>
  </w:style>
  <w:style w:type="paragraph" w:styleId="Footer">
    <w:name w:val="footer"/>
    <w:basedOn w:val="Normal"/>
    <w:link w:val="FooterChar"/>
    <w:uiPriority w:val="99"/>
    <w:unhideWhenUsed/>
    <w:rsid w:val="00B20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C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8721.2007.00496.X" TargetMode="External"/><Relationship Id="rId13" Type="http://schemas.openxmlformats.org/officeDocument/2006/relationships/hyperlink" Target="https://doi.org/10.1007/s10802-015-0020-0" TargetMode="External"/><Relationship Id="rId18" Type="http://schemas.openxmlformats.org/officeDocument/2006/relationships/hyperlink" Target="https://doi.org/10.1111/j.1744-6171.2010.00246.x"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doi.org/10.1007/s10964-008-9356-x" TargetMode="External"/><Relationship Id="rId7" Type="http://schemas.openxmlformats.org/officeDocument/2006/relationships/hyperlink" Target="https://doi.org/10.1037/0033-295X.88.4.354" TargetMode="External"/><Relationship Id="rId12" Type="http://schemas.openxmlformats.org/officeDocument/2006/relationships/hyperlink" Target="https://doi.org/10.1111/j.1532-7795.2010.00725.x" TargetMode="External"/><Relationship Id="rId17" Type="http://schemas.openxmlformats.org/officeDocument/2006/relationships/hyperlink" Target="https://doi.org/10.1177/0743558415600071" TargetMode="External"/><Relationship Id="rId25" Type="http://schemas.openxmlformats.org/officeDocument/2006/relationships/hyperlink" Target="https://doi.org/10.1006/jado.1999.0214" TargetMode="External"/><Relationship Id="rId2" Type="http://schemas.openxmlformats.org/officeDocument/2006/relationships/settings" Target="settings.xml"/><Relationship Id="rId16" Type="http://schemas.openxmlformats.org/officeDocument/2006/relationships/hyperlink" Target="https://doi.org/10.1111/cdev.12200" TargetMode="External"/><Relationship Id="rId20" Type="http://schemas.openxmlformats.org/officeDocument/2006/relationships/hyperlink" Target="https://doi.org/10.1207/s15327957pspr0201_2" TargetMode="External"/><Relationship Id="rId1" Type="http://schemas.openxmlformats.org/officeDocument/2006/relationships/styles" Target="styles.xml"/><Relationship Id="rId6" Type="http://schemas.openxmlformats.org/officeDocument/2006/relationships/hyperlink" Target="https://doi.org/10.1037/0033-2909.130.1.80" TargetMode="External"/><Relationship Id="rId11" Type="http://schemas.openxmlformats.org/officeDocument/2006/relationships/hyperlink" Target="https://doi.org/10.1007/s10964-009-9429-5" TargetMode="External"/><Relationship Id="rId24" Type="http://schemas.openxmlformats.org/officeDocument/2006/relationships/hyperlink" Target="https://doi.org/10.1111/cdev.12196" TargetMode="External"/><Relationship Id="rId5" Type="http://schemas.openxmlformats.org/officeDocument/2006/relationships/endnotes" Target="endnotes.xml"/><Relationship Id="rId15" Type="http://schemas.openxmlformats.org/officeDocument/2006/relationships/hyperlink" Target="https://doi.org/10.1037/0022-0167.54.3.271" TargetMode="External"/><Relationship Id="rId23" Type="http://schemas.openxmlformats.org/officeDocument/2006/relationships/hyperlink" Target="https://doi.org/10.1177/0192513x05282960" TargetMode="External"/><Relationship Id="rId28" Type="http://schemas.openxmlformats.org/officeDocument/2006/relationships/theme" Target="theme/theme1.xml"/><Relationship Id="rId10" Type="http://schemas.openxmlformats.org/officeDocument/2006/relationships/hyperlink" Target="https://chicagobound.uchicago.edu/ucif/vol1989/iss1/8" TargetMode="External"/><Relationship Id="rId19" Type="http://schemas.openxmlformats.org/officeDocument/2006/relationships/hyperlink" Target="https://doi.org/10.1023/a:1002058505138" TargetMode="External"/><Relationship Id="rId4" Type="http://schemas.openxmlformats.org/officeDocument/2006/relationships/footnotes" Target="footnotes.xml"/><Relationship Id="rId9" Type="http://schemas.openxmlformats.org/officeDocument/2006/relationships/hyperlink" Target="https://doi.org/10.1300/J082v04n03_01" TargetMode="External"/><Relationship Id="rId14" Type="http://schemas.openxmlformats.org/officeDocument/2006/relationships/hyperlink" Target="https://doi.org/10.1111/j.1532-7795.2010.00715.x" TargetMode="External"/><Relationship Id="rId22" Type="http://schemas.openxmlformats.org/officeDocument/2006/relationships/hyperlink" Target="https://doi.org/10.1037/0012-1649.44.4.101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TotalTime>
  <Pages>10</Pages>
  <Words>2825</Words>
  <Characters>18841</Characters>
  <Application>Microsoft Office Word</Application>
  <DocSecurity>0</DocSecurity>
  <Lines>296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 (2317684)</dc:creator>
  <cp:keywords/>
  <dc:description/>
  <cp:lastModifiedBy>Steffan Jones (2317684)</cp:lastModifiedBy>
  <cp:revision>3</cp:revision>
  <cp:lastPrinted>2025-07-20T11:33:00Z</cp:lastPrinted>
  <dcterms:created xsi:type="dcterms:W3CDTF">2025-07-19T23:09:00Z</dcterms:created>
  <dcterms:modified xsi:type="dcterms:W3CDTF">2025-07-20T16:16:00Z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ac7698e0-b710-4366-96e1-961cfad0a761</vt:lpwstr>
  </property>
</Properties>
</file>