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19464" w14:textId="77777777" w:rsidR="00B9365B" w:rsidRDefault="006C7841">
      <w:r>
        <w:rPr>
          <w:noProof/>
        </w:rPr>
        <mc:AlternateContent>
          <mc:Choice Requires="wpg">
            <w:drawing>
              <wp:anchor distT="0" distB="0" distL="0" distR="0" simplePos="0" relativeHeight="2" behindDoc="1" locked="0" layoutInCell="1" allowOverlap="1" wp14:anchorId="25BB838B" wp14:editId="25B2215F">
                <wp:simplePos x="0" y="0"/>
                <wp:positionH relativeFrom="page">
                  <wp:align>center</wp:align>
                </wp:positionH>
                <wp:positionV relativeFrom="page">
                  <wp:align>center</wp:align>
                </wp:positionV>
                <wp:extent cx="6864824" cy="9123528"/>
                <wp:effectExtent l="0" t="0" r="2540" b="635"/>
                <wp:wrapNone/>
                <wp:docPr id="1026" name="Group 1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64824" cy="9123528"/>
                          <a:chOff x="0" y="0"/>
                          <a:chExt cx="6864824" cy="9123528"/>
                        </a:xfrm>
                      </wpg:grpSpPr>
                      <wps:wsp>
                        <wps:cNvPr id="1144454078" name="Rectangle 1144454078"/>
                        <wps:cNvSpPr/>
                        <wps:spPr>
                          <a:xfrm>
                            <a:off x="0" y="0"/>
                            <a:ext cx="6858000" cy="1371600"/>
                          </a:xfrm>
                          <a:prstGeom prst="rect">
                            <a:avLst/>
                          </a:prstGeom>
                          <a:solidFill>
                            <a:srgbClr val="156082"/>
                          </a:solidFill>
                          <a:ln>
                            <a:noFill/>
                          </a:ln>
                        </wps:spPr>
                        <wps:bodyPr>
                          <a:prstTxWarp prst="textNoShape">
                            <a:avLst/>
                          </a:prstTxWarp>
                        </wps:bodyPr>
                      </wps:wsp>
                      <wps:wsp>
                        <wps:cNvPr id="1077717394" name="Rectangle 1077717394"/>
                        <wps:cNvSpPr/>
                        <wps:spPr>
                          <a:xfrm>
                            <a:off x="0" y="4094328"/>
                            <a:ext cx="6858000" cy="5029200"/>
                          </a:xfrm>
                          <a:prstGeom prst="rect">
                            <a:avLst/>
                          </a:prstGeom>
                          <a:solidFill>
                            <a:srgbClr val="156082"/>
                          </a:solidFill>
                          <a:ln>
                            <a:noFill/>
                          </a:ln>
                        </wps:spPr>
                        <wps:txbx>
                          <w:txbxContent>
                            <w:p w14:paraId="3120EFE1" w14:textId="77777777" w:rsidR="00B9365B" w:rsidRDefault="00B9365B">
                              <w:pPr>
                                <w:pStyle w:val="NoSpacing"/>
                                <w:spacing w:before="120"/>
                                <w:rPr>
                                  <w:color w:val="FFFFFF"/>
                                </w:rPr>
                              </w:pPr>
                            </w:p>
                          </w:txbxContent>
                        </wps:txbx>
                        <wps:bodyPr vert="horz" wrap="square" lIns="457200" tIns="731520" rIns="457200" bIns="457200" anchor="b">
                          <a:prstTxWarp prst="textNoShape">
                            <a:avLst/>
                          </a:prstTxWarp>
                          <a:noAutofit/>
                        </wps:bodyPr>
                      </wps:wsp>
                      <wps:wsp>
                        <wps:cNvPr id="1026653471" name="Rectangle 1026653471"/>
                        <wps:cNvSpPr/>
                        <wps:spPr>
                          <a:xfrm>
                            <a:off x="6824" y="1371600"/>
                            <a:ext cx="6858000" cy="2722728"/>
                          </a:xfrm>
                          <a:prstGeom prst="rect">
                            <a:avLst/>
                          </a:prstGeom>
                          <a:solidFill>
                            <a:srgbClr val="FFFFFF"/>
                          </a:solidFill>
                          <a:ln>
                            <a:noFill/>
                          </a:ln>
                        </wps:spPr>
                        <wps:txbx>
                          <w:txbxContent>
                            <w:p w14:paraId="18F0B2CB" w14:textId="77777777" w:rsidR="00B9365B" w:rsidRDefault="006C7841">
                              <w:pPr>
                                <w:pStyle w:val="NoSpacing"/>
                                <w:jc w:val="center"/>
                                <w:rPr>
                                  <w:rFonts w:ascii="Aptos Display" w:eastAsia="DengXian Light" w:hAnsi="Aptos Display"/>
                                  <w:b/>
                                  <w:bCs/>
                                  <w:caps/>
                                  <w:color w:val="156082"/>
                                  <w:sz w:val="72"/>
                                  <w:szCs w:val="72"/>
                                </w:rPr>
                              </w:pPr>
                              <w:r>
                                <w:rPr>
                                  <w:rFonts w:ascii="Aptos Display" w:eastAsia="DengXian Light" w:hAnsi="Aptos Display"/>
                                  <w:b/>
                                  <w:bCs/>
                                  <w:caps/>
                                  <w:color w:val="156082"/>
                                  <w:sz w:val="72"/>
                                  <w:szCs w:val="72"/>
                                </w:rPr>
                                <w:t>ASSIGNMENT</w:t>
                              </w:r>
                            </w:p>
                          </w:txbxContent>
                        </wps:txbx>
                        <wps:bodyPr vert="horz" wrap="square" lIns="457200" tIns="91440" rIns="457200" bIns="91440" anchor="ctr">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BB838B" id="Group 198" o:spid="_x0000_s1026" style="position:absolute;left:0;text-align:left;margin-left:0;margin-top:0;width:540.55pt;height:718.4pt;z-index:-503316478;mso-width-percent:882;mso-height-percent:909;mso-wrap-distance-left:0;mso-wrap-distance-right:0;mso-position-horizontal:center;mso-position-horizontal-relative:page;mso-position-vertical:center;mso-position-vertical-relative:page;mso-width-percent:882;mso-height-percent:909" coordsize="68648,9123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">
                <v:rect id="Rectangle 1144454078" o:spid="_x0000_s1027" style="position:absolute;width:68580;height:13716;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" fillcolor="#156082" stroked="f"/>
                <v:rect id="Rectangle 1077717394" o:spid="_x0000_s1028" style="position:absolute;top:40943;width:68580;height:50292;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" fillcolor="#156082" stroked="f">
                  <v:textbox inset="36pt,57.6pt,36pt,36pt">
                    <w:txbxContent>
                      <w:p w14:paraId="3120EFE1" w14:textId="77777777" w:rsidR="00B9365B" w:rsidRDefault="00B9365B">
                        <w:pPr>
                          <w:pStyle w:val="NoSpacing"/>
                          <w:spacing w:before="120"/>
                          <w:rPr>
                            <w:color w:val="FFFFFF"/>
                          </w:rPr>
                        </w:pPr>
                      </w:p>
                    </w:txbxContent>
                  </v:textbox>
                </v:rect>
                <v:rect id="Rectangle 1026653471" o:spid="_x0000_s1029" style="position:absolute;left:68;top:13716;width:68580;height:2722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" stroked="f">
                  <v:textbox inset="36pt,7.2pt,36pt,7.2pt">
                    <w:txbxContent>
                      <w:p w14:paraId="18F0B2CB" w14:textId="77777777" w:rsidR="00B9365B" w:rsidRDefault="006C7841">
                        <w:pPr>
                          <w:pStyle w:val="NoSpacing"/>
                          <w:jc w:val="center"/>
                          <w:rPr>
                            <w:rFonts w:ascii="Aptos Display" w:eastAsia="DengXian Light" w:hAnsi="Aptos Display"/>
                            <w:b/>
                            <w:bCs/>
                            <w:caps/>
                            <w:color w:val="156082"/>
                            <w:sz w:val="72"/>
                            <w:szCs w:val="72"/>
                          </w:rPr>
                        </w:pPr>
                        <w:r>
                          <w:rPr>
                            <w:rFonts w:ascii="Aptos Display" w:eastAsia="DengXian Light" w:hAnsi="Aptos Display"/>
                            <w:b/>
                            <w:bCs/>
                            <w:caps/>
                            <w:color w:val="156082"/>
                            <w:sz w:val="72"/>
                            <w:szCs w:val="72"/>
                          </w:rPr>
                          <w:t>ASSIGNMENT</w:t>
                        </w:r>
                      </w:p>
                    </w:txbxContent>
                  </v:textbox>
                </v:rect>
                <w10:wrap anchorx="page" anchory="page"/>
              </v:group>
            </w:pict>
          </mc:Fallback>
        </mc:AlternateContent>
      </w:r>
    </w:p>
    <w:p w14:paraId="60D695D2" w14:textId="77777777" w:rsidR="00B9365B" w:rsidRDefault="006C7841">
      <w:r>
        <w:br w:type="page"/>
      </w:r>
    </w:p>
    <w:p w14:paraId="233E7CCC" w14:textId="77777777" w:rsidR="00B9365B" w:rsidRDefault="006C7841">
      <w:pPr>
        <w:pStyle w:val="Title"/>
        <w:rPr>
          <w:i/>
          <w:iCs/>
        </w:rPr>
      </w:pPr>
      <w:r>
        <w:rPr>
          <w:i/>
          <w:iCs/>
        </w:rPr>
        <w:lastRenderedPageBreak/>
        <w:t>Essay: “AI undermines academic integrity and compromises the value of education”</w:t>
      </w:r>
    </w:p>
    <w:p w14:paraId="2F4659FA" w14:textId="77777777" w:rsidR="00B9365B" w:rsidRDefault="00B9365B"/>
    <w:p w14:paraId="38F6AAAE" w14:textId="77777777" w:rsidR="00B9365B" w:rsidRDefault="006C7841">
      <w:r>
        <w:t>In recent years, artificial intelligence has permeated every</w:t>
      </w:r>
      <w:r>
        <w:t xml:space="preserve"> facet of modern society. Its integration into education via personalized learning platforms, research assistants, and writing aids has generated both excitement and apprehension. When students rely on AI tools to generate essays, solve problems, or even draft entire research papers, they bypass the rigorous intellectual effort essential for genuine learning. The ease of AI-generated work risks devaluing educational credentials and compromising the very purpose of academia (Currie, 2023).</w:t>
      </w:r>
    </w:p>
    <w:p w14:paraId="69FEAD66" w14:textId="77777777" w:rsidR="00B9365B" w:rsidRDefault="006C7841">
      <w:r>
        <w:t xml:space="preserve">One of the most disturbing implications of this trend is its effect on plagiarism and academic dishonesty. AI-generated essays and research papers are often indistinguishable from work produced by human effort, making it difficult for educators to discern originality. Despite the availability of AI-detection tools, their reliability remains questionable. Studies have shown that even the most sophisticated detectors struggle to differentiate between human and AI-generated content, leading to false positives </w:t>
      </w:r>
      <w:r>
        <w:t>and wrongful accusations of cheating (Henry &amp; Oliver, 2022). As a result, both students and teachers find themselves caught in a lose-lose situation where legitimate work may be penalized, and dishonest practices go unchecked. Hence, the erosion of academic integrity is compounded by the fact that AI not only facilitates plagiarism but also promotes a dependency that stifles independent thought (Rane, et. al., 2024). When learners are encouraged or even allowed to outsource the heavy intellectual lifting to</w:t>
      </w:r>
      <w:r>
        <w:t xml:space="preserve"> machines, they forfeit the opportunity to build critical analytical skills. This overreliance on AI tools is particularly alarming in subjects that require nuanced interpretation and original reasoning. Educators are alarmed by these developments (Rodrigues, et. al., 2024). In some institutions, teachers have reported spending excessive amounts of time trying to detect AI-assisted plagiarism rather than engaging with students’ ideas. Frustration mounts as the traditional pedagogical methods designed to nur</w:t>
      </w:r>
      <w:r>
        <w:t xml:space="preserve">ture critical thinking and originality are undermined by technology that can mimic the style of scholarly work without the underlying substance (Tripathi &amp; Thakar, 2024). One veteran writing instructor, for example, cited the overwhelming challenge of providing meaningful feedback on work that appeared superficially sound yet generated by AI. The potential for widespread misuse of AI in completing assignments could lead to a future where academic achievements no longer accurately </w:t>
      </w:r>
      <w:r>
        <w:lastRenderedPageBreak/>
        <w:t>reflect a student’s abiliti</w:t>
      </w:r>
      <w:r>
        <w:t>es. Such a scenario would have serious repercussions in the professional world, where employers rely on academic records as a measure of a candidate’s ability and potential (Sevnarayan &amp; Potter, 2024). The devaluation of educational qualifications would not only undermine public trust in educational institutions but also compromise the future workforce’s readiness to tackle complex, real-world problems. While proponents of AI in education argue that these tools can enhance learning by providing personalized</w:t>
      </w:r>
      <w:r>
        <w:t xml:space="preserve"> support and instant feedback, the potential benefits are overshadowed by the risks to academic integrity. For instance, some educators have tried to integrate AI into their classrooms by redefining assignments and encouraging students to use these tools as supplements rather than replacements for independent work (Mulenga &amp; Shilongo, 2024). </w:t>
      </w:r>
    </w:p>
    <w:p w14:paraId="6A4F1A3D" w14:textId="77777777" w:rsidR="00B9365B" w:rsidRDefault="006C7841">
      <w:r>
        <w:t>In these controlled scenarios there is temptation to trust AI too much. The challenge is to use AI’s capabilities to make learning better, while keeping students engaged in deep, reflective thinking, which is education. Educational institutions need to address these issues with a multifaceted strategy. The first is clear guidelines and policies around the use of AI. Explicit academic honor codes and penalties for violations of the use of AI generated content should be (Uddin &amp; Abu, 2024). Just as teachers n</w:t>
      </w:r>
      <w:r>
        <w:t>eed strong professional development programs to learn about this rapidly changing world of AI and design new types of assessment that reward creative thinking over rote answers, so too do the students. Reducing the risk of AI assisted plagiarism can be done through alternative methods of evaluation such as in class assessments, oral examinations and project based learning. Such approaches also promote the value of independent problem solving and critical analysis and in addition to safeguarding academic int</w:t>
      </w:r>
      <w:r>
        <w:t>egrity. (Konstadopoulou, 2024).</w:t>
      </w:r>
    </w:p>
    <w:p w14:paraId="77AE7D7C" w14:textId="77777777" w:rsidR="00B9365B" w:rsidRDefault="006C7841">
      <w:r>
        <w:t>When AI is misused, there are serious threats to the value of education, but AI can have a huge impact on education. If students use AI to get away from the problems of real learning, they will not learn to think critically and creatively, and they will also destroy trust in all educational systems as a whole. Educators, policymakers and institutions need to work together to ensure that AI should be used ethically and responsibly, and this has to be done. (Wang &amp; Cornely, 2023).</w:t>
      </w:r>
    </w:p>
    <w:p w14:paraId="7C10EA64" w14:textId="77777777" w:rsidR="00B9365B" w:rsidRDefault="006C7841">
      <w:pPr>
        <w:pStyle w:val="Heading1"/>
      </w:pPr>
      <w:r>
        <w:t>References:</w:t>
      </w:r>
    </w:p>
    <w:p w14:paraId="2FFCF132" w14:textId="77777777" w:rsidR="00B9365B" w:rsidRDefault="006C7841">
      <w:r>
        <w:t>Currie, G.M., 2023, September. Academic integrity and artificial intelligence: is ChatGPT hype, hero or heresy?. In </w:t>
      </w:r>
      <w:r>
        <w:rPr>
          <w:i/>
          <w:iCs/>
        </w:rPr>
        <w:t>Seminars in Nuclear Medicine</w:t>
      </w:r>
      <w:r>
        <w:t> (Vol. 53, No. 5, pp. 719-730). WB Saunders.</w:t>
      </w:r>
    </w:p>
    <w:p w14:paraId="15BDD02D" w14:textId="77777777" w:rsidR="00B9365B" w:rsidRDefault="006C7841">
      <w:r>
        <w:lastRenderedPageBreak/>
        <w:t>Henry, J.V. and Oliver, M., 2022. Who will watch the watchmen? The ethico-political arrangements of algorithmic proctoring for academic integrity. </w:t>
      </w:r>
      <w:r>
        <w:rPr>
          <w:i/>
          <w:iCs/>
        </w:rPr>
        <w:t>Postdigital Science and Education</w:t>
      </w:r>
      <w:r>
        <w:t>, </w:t>
      </w:r>
      <w:r>
        <w:rPr>
          <w:i/>
          <w:iCs/>
        </w:rPr>
        <w:t>4</w:t>
      </w:r>
      <w:r>
        <w:t>(2), pp.330-353.</w:t>
      </w:r>
    </w:p>
    <w:p w14:paraId="2DE80CFD" w14:textId="77777777" w:rsidR="00B9365B" w:rsidRDefault="006C7841">
      <w:r>
        <w:t>Konstadopoulou, A., 2024. Academic integrity in a digital epoch:" What happened when Aristotle introduced phronesis to digital education? Why and how should they work in sync?.</w:t>
      </w:r>
    </w:p>
    <w:p w14:paraId="3A471A0E" w14:textId="77777777" w:rsidR="00B9365B" w:rsidRDefault="006C7841">
      <w:r>
        <w:t>Mulenga, R. and Shilongo, H., 2024. Academic integrity in higher education: Understanding and addressing plagiarism. </w:t>
      </w:r>
      <w:r>
        <w:rPr>
          <w:i/>
          <w:iCs/>
        </w:rPr>
        <w:t>Acta Pedagogia Asiana</w:t>
      </w:r>
      <w:r>
        <w:t>, </w:t>
      </w:r>
      <w:r>
        <w:rPr>
          <w:i/>
          <w:iCs/>
        </w:rPr>
        <w:t>3</w:t>
      </w:r>
      <w:r>
        <w:t>(1), pp.30-43.</w:t>
      </w:r>
    </w:p>
    <w:p w14:paraId="54BF6440" w14:textId="77777777" w:rsidR="00B9365B" w:rsidRDefault="006C7841">
      <w:r>
        <w:t>Rane, N., Shirke, S., Choudhary, S.P. and Rane, J., 2024. Education Strategies for Promoting Academic Integrity in the Era of Artificial Intelligence and ChatGPT: Ethical Considerations, Challenges, Policies, and Future Directions. </w:t>
      </w:r>
      <w:r>
        <w:rPr>
          <w:i/>
          <w:iCs/>
        </w:rPr>
        <w:t>Journal of ELT Studies</w:t>
      </w:r>
      <w:r>
        <w:t>, </w:t>
      </w:r>
      <w:r>
        <w:rPr>
          <w:i/>
          <w:iCs/>
        </w:rPr>
        <w:t>1</w:t>
      </w:r>
      <w:r>
        <w:t>(1), pp.36-59.</w:t>
      </w:r>
    </w:p>
    <w:p w14:paraId="4D75CAEF" w14:textId="77777777" w:rsidR="00B9365B" w:rsidRDefault="006C7841">
      <w:r>
        <w:t>Rodrigues, M., Silva, R., Borges, A.P., Franco, M. and Oliveira, C., 2024. Artificial intelligence: threat or asset to academic integrity? A bibliometric analysis. </w:t>
      </w:r>
      <w:r>
        <w:rPr>
          <w:i/>
          <w:iCs/>
        </w:rPr>
        <w:t>Kybernetes</w:t>
      </w:r>
      <w:r>
        <w:t>.</w:t>
      </w:r>
    </w:p>
    <w:p w14:paraId="3AF70AF1" w14:textId="77777777" w:rsidR="00B9365B" w:rsidRDefault="006C7841">
      <w:r>
        <w:t>Sevnarayan, K. and Potter, M.A., 2024. Generative Artificial Intelligence in distance education: Transformations, challenges, and impact on academic integrity and student voice. </w:t>
      </w:r>
      <w:r>
        <w:rPr>
          <w:i/>
          <w:iCs/>
        </w:rPr>
        <w:t>Journal of Applied Learning and Teaching</w:t>
      </w:r>
      <w:r>
        <w:t>, </w:t>
      </w:r>
      <w:r>
        <w:rPr>
          <w:i/>
          <w:iCs/>
        </w:rPr>
        <w:t>7</w:t>
      </w:r>
      <w:r>
        <w:t>(1).</w:t>
      </w:r>
    </w:p>
    <w:p w14:paraId="326B8A68" w14:textId="77777777" w:rsidR="00B9365B" w:rsidRDefault="006C7841">
      <w:r>
        <w:t>Tripathi, A. and Thakar, S.V., 2024. Ethical use of AI for academic integrity: Preventing plagiarism and cheating. </w:t>
      </w:r>
      <w:r>
        <w:rPr>
          <w:i/>
          <w:iCs/>
        </w:rPr>
        <w:t>Ethical Frameworks in Special Education: A Guide for Researchers</w:t>
      </w:r>
      <w:r>
        <w:t>, </w:t>
      </w:r>
      <w:r>
        <w:rPr>
          <w:i/>
          <w:iCs/>
        </w:rPr>
        <w:t>91</w:t>
      </w:r>
      <w:r>
        <w:t>.</w:t>
      </w:r>
    </w:p>
    <w:p w14:paraId="62A97CDD" w14:textId="77777777" w:rsidR="00B9365B" w:rsidRDefault="006C7841">
      <w:r>
        <w:t>Uddin, M.M. and Abu, S.E., 2024. Navigating Ethical Frameworks to Mitigate Academic Misconduct While Leveraging Generative AI.</w:t>
      </w:r>
    </w:p>
    <w:p w14:paraId="1B281642" w14:textId="77777777" w:rsidR="00B9365B" w:rsidRDefault="006C7841">
      <w:r>
        <w:t>Wang, J. and Cornely, P.R., 2023, November. Addressing Academic Misconduct in the Age of ChatGPT: Strategies and Solutions. In </w:t>
      </w:r>
      <w:r>
        <w:rPr>
          <w:i/>
          <w:iCs/>
        </w:rPr>
        <w:t>Proceedings of the 2023 7th International Conference on Education and E-Learning</w:t>
      </w:r>
      <w:r>
        <w:t> (pp. 19-25).</w:t>
      </w:r>
    </w:p>
    <w:p w14:paraId="6BEAB1FF" w14:textId="77777777" w:rsidR="00B9365B" w:rsidRDefault="00B9365B"/>
    <w:sectPr w:rsidR="00B9365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65B"/>
    <w:rsid w:val="006C7841"/>
    <w:rsid w:val="00A967B4"/>
    <w:rsid w:val="00B936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460108D"/>
  <w15:docId w15:val="{1E9A1DE5-C068-AA4C-B2E6-02CF58874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SimSun"/>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color w:val="000000"/>
    </w:rPr>
  </w:style>
  <w:style w:type="paragraph" w:styleId="Heading1">
    <w:name w:val="heading 1"/>
    <w:basedOn w:val="Normal"/>
    <w:next w:val="Normal"/>
    <w:link w:val="Heading1Char"/>
    <w:uiPriority w:val="9"/>
    <w:qFormat/>
    <w:pPr>
      <w:keepNext/>
      <w:keepLines/>
      <w:spacing w:before="360" w:after="80"/>
      <w:outlineLvl w:val="0"/>
    </w:pPr>
    <w:rPr>
      <w:rFonts w:eastAsia="DengXian Light"/>
      <w:b/>
      <w:sz w:val="36"/>
      <w:szCs w:val="40"/>
      <w:u w:val="single"/>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qFormat/>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qFormat/>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DengXian Light" w:hAnsi="Times New Roman" w:cs="SimSun"/>
      <w:b/>
      <w:color w:val="000000"/>
      <w:sz w:val="36"/>
      <w:szCs w:val="40"/>
      <w:u w:val="single"/>
    </w:rPr>
  </w:style>
  <w:style w:type="character" w:customStyle="1" w:styleId="Heading2Char">
    <w:name w:val="Heading 2 Char"/>
    <w:basedOn w:val="DefaultParagraphFont"/>
    <w:link w:val="Heading2"/>
    <w:uiPriority w:val="9"/>
    <w:rPr>
      <w:rFonts w:ascii="Aptos Display" w:eastAsia="DengXian Light" w:hAnsi="Aptos Display" w:cs="SimSun"/>
      <w:color w:val="0F4761"/>
      <w:sz w:val="32"/>
      <w:szCs w:val="32"/>
    </w:rPr>
  </w:style>
  <w:style w:type="character" w:customStyle="1" w:styleId="Heading3Char">
    <w:name w:val="Heading 3 Char"/>
    <w:basedOn w:val="DefaultParagraphFont"/>
    <w:link w:val="Heading3"/>
    <w:uiPriority w:val="9"/>
    <w:rPr>
      <w:rFonts w:eastAsia="DengXian Light" w:cs="SimSun"/>
      <w:color w:val="0F4761"/>
      <w:sz w:val="28"/>
      <w:szCs w:val="28"/>
    </w:rPr>
  </w:style>
  <w:style w:type="character" w:customStyle="1" w:styleId="Heading4Char">
    <w:name w:val="Heading 4 Char"/>
    <w:basedOn w:val="DefaultParagraphFont"/>
    <w:link w:val="Heading4"/>
    <w:uiPriority w:val="9"/>
    <w:rPr>
      <w:rFonts w:eastAsia="DengXian Light" w:cs="SimSun"/>
      <w:i/>
      <w:iCs/>
      <w:color w:val="0F4761"/>
    </w:rPr>
  </w:style>
  <w:style w:type="character" w:customStyle="1" w:styleId="Heading5Char">
    <w:name w:val="Heading 5 Char"/>
    <w:basedOn w:val="DefaultParagraphFont"/>
    <w:link w:val="Heading5"/>
    <w:uiPriority w:val="9"/>
    <w:rPr>
      <w:rFonts w:eastAsia="DengXian Light" w:cs="SimSun"/>
      <w:color w:val="0F4761"/>
    </w:rPr>
  </w:style>
  <w:style w:type="character" w:customStyle="1" w:styleId="Heading6Char">
    <w:name w:val="Heading 6 Char"/>
    <w:basedOn w:val="DefaultParagraphFont"/>
    <w:link w:val="Heading6"/>
    <w:uiPriority w:val="9"/>
    <w:rPr>
      <w:rFonts w:eastAsia="DengXian Light" w:cs="SimSun"/>
      <w:i/>
      <w:iCs/>
      <w:color w:val="595959"/>
    </w:rPr>
  </w:style>
  <w:style w:type="character" w:customStyle="1" w:styleId="Heading7Char">
    <w:name w:val="Heading 7 Char"/>
    <w:basedOn w:val="DefaultParagraphFont"/>
    <w:link w:val="Heading7"/>
    <w:uiPriority w:val="9"/>
    <w:rPr>
      <w:rFonts w:eastAsia="DengXian Light" w:cs="SimSun"/>
      <w:color w:val="595959"/>
    </w:rPr>
  </w:style>
  <w:style w:type="character" w:customStyle="1" w:styleId="Heading8Char">
    <w:name w:val="Heading 8 Char"/>
    <w:basedOn w:val="DefaultParagraphFont"/>
    <w:link w:val="Heading8"/>
    <w:uiPriority w:val="9"/>
    <w:rPr>
      <w:rFonts w:eastAsia="DengXian Light" w:cs="SimSun"/>
      <w:i/>
      <w:iCs/>
      <w:color w:val="272727"/>
    </w:rPr>
  </w:style>
  <w:style w:type="character" w:customStyle="1" w:styleId="Heading9Char">
    <w:name w:val="Heading 9 Char"/>
    <w:basedOn w:val="DefaultParagraphFont"/>
    <w:link w:val="Heading9"/>
    <w:uiPriority w:val="9"/>
    <w:rPr>
      <w:rFonts w:eastAsia="DengXian Light"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basedOn w:val="DefaultParagraphFont"/>
    <w:link w:val="Title"/>
    <w:uiPriority w:val="10"/>
    <w:rPr>
      <w:rFonts w:ascii="Aptos Display" w:eastAsia="DengXian Light"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DengXian Light"/>
      <w:color w:val="595959"/>
      <w:spacing w:val="15"/>
      <w:sz w:val="28"/>
      <w:szCs w:val="28"/>
    </w:rPr>
  </w:style>
  <w:style w:type="character" w:customStyle="1" w:styleId="SubtitleChar">
    <w:name w:val="Subtitle Char"/>
    <w:basedOn w:val="DefaultParagraphFont"/>
    <w:link w:val="Subtitle"/>
    <w:uiPriority w:val="11"/>
    <w:rPr>
      <w:rFonts w:eastAsia="DengXian Light"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paragraph" w:styleId="NoSpacing">
    <w:name w:val="No Spacing"/>
    <w:link w:val="NoSpacingChar"/>
    <w:uiPriority w:val="1"/>
    <w:qFormat/>
    <w:pPr>
      <w:spacing w:after="0" w:line="240" w:lineRule="auto"/>
    </w:pPr>
    <w:rPr>
      <w:kern w:val="0"/>
      <w:sz w:val="22"/>
      <w:szCs w:val="22"/>
      <w:lang w:eastAsia="en-US"/>
      <w14:ligatures w14:val="none"/>
    </w:rPr>
  </w:style>
  <w:style w:type="character" w:customStyle="1" w:styleId="NoSpacingChar">
    <w:name w:val="No Spacing Char"/>
    <w:basedOn w:val="DefaultParagraphFont"/>
    <w:link w:val="NoSpacing"/>
    <w:uiPriority w:val="1"/>
    <w:rPr>
      <w:kern w:val="0"/>
      <w:sz w:val="22"/>
      <w:szCs w:val="22"/>
      <w:lang w:eastAsia="en-US"/>
      <w14:ligatures w14:val="none"/>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color w:val="auto"/>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1048</Words>
  <Characters>5979</Characters>
  <Application>Microsoft Office Word</Application>
  <DocSecurity>0</DocSecurity>
  <Lines>49</Lines>
  <Paragraphs>14</Paragraphs>
  <ScaleCrop>false</ScaleCrop>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creator>Muhammad Rauf Mughal</dc:creator>
  <cp:lastModifiedBy>Badr Ghani</cp:lastModifiedBy>
  <cp:revision>2</cp:revision>
  <dcterms:created xsi:type="dcterms:W3CDTF">2025-02-18T14:56:00Z</dcterms:created>
  <dcterms:modified xsi:type="dcterms:W3CDTF">2025-02-18T14:56:00Z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9b6a6ed1a8084a8881dd6b5205dd1fa6</vt:lpwstr>
  </property>
</Properties>
</file>