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418EEB" w14:textId="18956385" w:rsidR="00680655" w:rsidRPr="00A97F45" w:rsidRDefault="005B6DB9" w:rsidP="00872CAF">
      <w:pPr>
        <w:spacing w:line="276" w:lineRule="auto"/>
        <w:rPr>
          <w:rFonts w:asciiTheme="minorHAnsi" w:hAnsiTheme="minorHAnsi" w:cstheme="minorHAnsi"/>
          <w:u w:val="single"/>
          <w:lang w:val="cy-GB"/>
        </w:rPr>
      </w:pPr>
      <w:r w:rsidRPr="00A406E5">
        <w:rPr>
          <w:rFonts w:ascii="Arial" w:hAnsi="Arial" w:cs="Arial"/>
          <w:noProof/>
        </w:rPr>
        <w:drawing>
          <wp:anchor distT="0" distB="0" distL="114300" distR="114300" simplePos="0" relativeHeight="251659264" behindDoc="0" locked="0" layoutInCell="1" allowOverlap="1" wp14:anchorId="41058AB5" wp14:editId="34A698A4">
            <wp:simplePos x="0" y="0"/>
            <wp:positionH relativeFrom="column">
              <wp:posOffset>-405048</wp:posOffset>
            </wp:positionH>
            <wp:positionV relativeFrom="paragraph">
              <wp:posOffset>193</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567BCE" w14:textId="250A1BB9" w:rsidR="005B6DB9" w:rsidRDefault="001457C3" w:rsidP="001457C3">
      <w:pPr>
        <w:spacing w:line="276" w:lineRule="auto"/>
        <w:rPr>
          <w:rFonts w:asciiTheme="minorHAnsi" w:eastAsiaTheme="minorHAnsi" w:hAnsiTheme="minorHAnsi" w:cstheme="minorHAnsi"/>
          <w:lang w:val="cy-GB"/>
        </w:rPr>
      </w:pPr>
      <w:r w:rsidRPr="00A97F45">
        <w:rPr>
          <w:rFonts w:asciiTheme="minorHAnsi" w:eastAsiaTheme="minorHAnsi" w:hAnsiTheme="minorHAnsi" w:cstheme="minorHAnsi"/>
          <w:lang w:val="cy-GB"/>
        </w:rPr>
        <w:tab/>
      </w:r>
    </w:p>
    <w:p w14:paraId="154D3B2B" w14:textId="3098D1D6" w:rsidR="005B6DB9" w:rsidRDefault="005B6DB9" w:rsidP="001457C3">
      <w:pPr>
        <w:spacing w:line="276" w:lineRule="auto"/>
        <w:rPr>
          <w:rFonts w:asciiTheme="minorHAnsi" w:eastAsiaTheme="minorHAnsi" w:hAnsiTheme="minorHAnsi" w:cstheme="minorHAnsi"/>
          <w:lang w:val="cy-GB"/>
        </w:rPr>
      </w:pPr>
    </w:p>
    <w:tbl>
      <w:tblPr>
        <w:tblpPr w:leftFromText="180" w:rightFromText="180" w:vertAnchor="text" w:horzAnchor="margin" w:tblpY="127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B6DB9" w:rsidRPr="00A406E5" w14:paraId="01D8193E" w14:textId="77777777" w:rsidTr="005B6DB9">
        <w:tc>
          <w:tcPr>
            <w:tcW w:w="2093" w:type="dxa"/>
            <w:shd w:val="clear" w:color="auto" w:fill="auto"/>
          </w:tcPr>
          <w:p w14:paraId="190FDF33"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Enw’r myfyriwr:</w:t>
            </w:r>
          </w:p>
        </w:tc>
        <w:tc>
          <w:tcPr>
            <w:tcW w:w="3293" w:type="dxa"/>
          </w:tcPr>
          <w:p w14:paraId="10F26652" w14:textId="77777777" w:rsidR="005B6DB9" w:rsidRPr="00A406E5" w:rsidRDefault="005B6DB9" w:rsidP="005B6DB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roofErr w:type="spellStart"/>
            <w:r>
              <w:rPr>
                <w:rFonts w:ascii="Arial" w:hAnsi="Arial" w:cs="Arial"/>
                <w:b/>
                <w:sz w:val="22"/>
                <w:szCs w:val="22"/>
              </w:rPr>
              <w:t>Eleri</w:t>
            </w:r>
            <w:proofErr w:type="spellEnd"/>
            <w:r>
              <w:rPr>
                <w:rFonts w:ascii="Arial" w:hAnsi="Arial" w:cs="Arial"/>
                <w:b/>
                <w:sz w:val="22"/>
                <w:szCs w:val="22"/>
              </w:rPr>
              <w:t xml:space="preserve"> Smith</w:t>
            </w:r>
          </w:p>
        </w:tc>
        <w:tc>
          <w:tcPr>
            <w:tcW w:w="2268" w:type="dxa"/>
            <w:shd w:val="clear" w:color="auto" w:fill="D9D9D9" w:themeFill="background1" w:themeFillShade="D9"/>
          </w:tcPr>
          <w:p w14:paraId="3E4C1382"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Rhif Adnabod y myfyriwr:</w:t>
            </w:r>
          </w:p>
        </w:tc>
        <w:tc>
          <w:tcPr>
            <w:tcW w:w="2268" w:type="dxa"/>
          </w:tcPr>
          <w:p w14:paraId="07953327" w14:textId="77777777" w:rsidR="005B6DB9" w:rsidRPr="00A406E5" w:rsidRDefault="005B6DB9" w:rsidP="005B6DB9">
            <w:pPr>
              <w:spacing w:before="120" w:after="120"/>
              <w:jc w:val="both"/>
              <w:rPr>
                <w:rFonts w:ascii="Arial" w:hAnsi="Arial" w:cs="Arial"/>
                <w:b/>
                <w:sz w:val="22"/>
                <w:szCs w:val="22"/>
              </w:rPr>
            </w:pPr>
            <w:r>
              <w:rPr>
                <w:rFonts w:ascii="Arial" w:hAnsi="Arial" w:cs="Arial"/>
                <w:b/>
                <w:sz w:val="22"/>
                <w:szCs w:val="22"/>
              </w:rPr>
              <w:t>1500151</w:t>
            </w:r>
          </w:p>
        </w:tc>
      </w:tr>
      <w:tr w:rsidR="005B6DB9" w:rsidRPr="00A406E5" w14:paraId="6A3129AB" w14:textId="77777777" w:rsidTr="005B6DB9">
        <w:tc>
          <w:tcPr>
            <w:tcW w:w="2093" w:type="dxa"/>
            <w:shd w:val="clear" w:color="auto" w:fill="auto"/>
          </w:tcPr>
          <w:p w14:paraId="5A4D0A3B"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Rhaglen:</w:t>
            </w:r>
          </w:p>
        </w:tc>
        <w:tc>
          <w:tcPr>
            <w:tcW w:w="7829" w:type="dxa"/>
            <w:gridSpan w:val="3"/>
          </w:tcPr>
          <w:p w14:paraId="588E67CE" w14:textId="77777777" w:rsidR="005B6DB9" w:rsidRPr="00A406E5" w:rsidRDefault="005B6DB9" w:rsidP="005B6DB9">
            <w:pPr>
              <w:spacing w:before="120" w:after="120"/>
              <w:jc w:val="both"/>
              <w:rPr>
                <w:rFonts w:ascii="Arial" w:hAnsi="Arial" w:cs="Arial"/>
                <w:b/>
                <w:sz w:val="22"/>
                <w:szCs w:val="22"/>
              </w:rPr>
            </w:pPr>
            <w:r w:rsidRPr="0055084A">
              <w:rPr>
                <w:rFonts w:ascii="Arial" w:hAnsi="Arial" w:cs="Arial"/>
                <w:b/>
                <w:sz w:val="22"/>
                <w:szCs w:val="22"/>
              </w:rPr>
              <w:t xml:space="preserve">TAR </w:t>
            </w:r>
            <w:proofErr w:type="spellStart"/>
            <w:r w:rsidRPr="0055084A">
              <w:rPr>
                <w:rFonts w:ascii="Arial" w:hAnsi="Arial" w:cs="Arial"/>
                <w:b/>
                <w:sz w:val="22"/>
                <w:szCs w:val="22"/>
              </w:rPr>
              <w:t>Uwchradd</w:t>
            </w:r>
            <w:proofErr w:type="spellEnd"/>
          </w:p>
        </w:tc>
      </w:tr>
      <w:tr w:rsidR="005B6DB9" w:rsidRPr="00A406E5" w14:paraId="58722646" w14:textId="77777777" w:rsidTr="005B6DB9">
        <w:tc>
          <w:tcPr>
            <w:tcW w:w="2093" w:type="dxa"/>
            <w:shd w:val="clear" w:color="auto" w:fill="auto"/>
          </w:tcPr>
          <w:p w14:paraId="7B186B2C"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Modwl:</w:t>
            </w:r>
          </w:p>
        </w:tc>
        <w:tc>
          <w:tcPr>
            <w:tcW w:w="7829" w:type="dxa"/>
            <w:gridSpan w:val="3"/>
            <w:shd w:val="clear" w:color="auto" w:fill="auto"/>
          </w:tcPr>
          <w:p w14:paraId="72D45FF5" w14:textId="77777777" w:rsidR="005B6DB9" w:rsidRPr="00A406E5" w:rsidRDefault="005B6DB9" w:rsidP="005B6DB9">
            <w:pPr>
              <w:spacing w:before="120" w:after="120"/>
              <w:jc w:val="both"/>
              <w:rPr>
                <w:rFonts w:ascii="Arial" w:hAnsi="Arial" w:cs="Arial"/>
                <w:b/>
                <w:sz w:val="22"/>
                <w:szCs w:val="22"/>
              </w:rPr>
            </w:pPr>
            <w:proofErr w:type="spellStart"/>
            <w:r w:rsidRPr="0055084A">
              <w:rPr>
                <w:rFonts w:ascii="Arial" w:hAnsi="Arial" w:cs="Arial"/>
                <w:b/>
                <w:sz w:val="22"/>
                <w:szCs w:val="22"/>
              </w:rPr>
              <w:t>Ymchwilio</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i</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Faterion</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Cyfoes</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mewn</w:t>
            </w:r>
            <w:proofErr w:type="spellEnd"/>
            <w:r>
              <w:rPr>
                <w:rFonts w:ascii="Arial" w:hAnsi="Arial" w:cs="Arial"/>
                <w:b/>
                <w:sz w:val="22"/>
                <w:szCs w:val="22"/>
              </w:rPr>
              <w:t xml:space="preserve"> </w:t>
            </w:r>
            <w:proofErr w:type="spellStart"/>
            <w:r>
              <w:rPr>
                <w:rFonts w:ascii="Arial" w:hAnsi="Arial" w:cs="Arial"/>
                <w:b/>
                <w:sz w:val="22"/>
                <w:szCs w:val="22"/>
              </w:rPr>
              <w:t>Addysg</w:t>
            </w:r>
            <w:proofErr w:type="spellEnd"/>
            <w:r>
              <w:rPr>
                <w:rFonts w:ascii="Arial" w:hAnsi="Arial" w:cs="Arial"/>
                <w:b/>
                <w:sz w:val="22"/>
                <w:szCs w:val="22"/>
              </w:rPr>
              <w:t xml:space="preserve"> </w:t>
            </w:r>
            <w:proofErr w:type="spellStart"/>
            <w:r>
              <w:rPr>
                <w:rFonts w:ascii="Arial" w:hAnsi="Arial" w:cs="Arial"/>
                <w:b/>
                <w:sz w:val="22"/>
                <w:szCs w:val="22"/>
              </w:rPr>
              <w:t>Uwchradd</w:t>
            </w:r>
            <w:proofErr w:type="spellEnd"/>
          </w:p>
        </w:tc>
      </w:tr>
      <w:tr w:rsidR="005B6DB9" w:rsidRPr="00A406E5" w14:paraId="7342F632" w14:textId="77777777" w:rsidTr="005B6DB9">
        <w:tc>
          <w:tcPr>
            <w:tcW w:w="2093" w:type="dxa"/>
            <w:shd w:val="clear" w:color="auto" w:fill="auto"/>
          </w:tcPr>
          <w:p w14:paraId="2E333767"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Cod y modwl:</w:t>
            </w:r>
          </w:p>
        </w:tc>
        <w:tc>
          <w:tcPr>
            <w:tcW w:w="3293" w:type="dxa"/>
          </w:tcPr>
          <w:p w14:paraId="7DE13A70" w14:textId="77777777" w:rsidR="005B6DB9" w:rsidRPr="0055084A" w:rsidRDefault="005B6DB9" w:rsidP="005B6DB9">
            <w:pPr>
              <w:spacing w:before="120" w:after="120"/>
              <w:jc w:val="both"/>
              <w:rPr>
                <w:rFonts w:ascii="Arial" w:hAnsi="Arial" w:cs="Arial"/>
                <w:b/>
                <w:sz w:val="22"/>
                <w:szCs w:val="22"/>
              </w:rPr>
            </w:pPr>
            <w:r w:rsidRPr="0055084A">
              <w:rPr>
                <w:rFonts w:ascii="Arial" w:hAnsi="Arial" w:cs="Arial"/>
                <w:b/>
              </w:rPr>
              <w:t>ECSP7001C</w:t>
            </w:r>
          </w:p>
        </w:tc>
        <w:tc>
          <w:tcPr>
            <w:tcW w:w="2268" w:type="dxa"/>
            <w:shd w:val="clear" w:color="auto" w:fill="D9D9D9" w:themeFill="background1" w:themeFillShade="D9"/>
          </w:tcPr>
          <w:p w14:paraId="448BDA97" w14:textId="77777777" w:rsidR="005B6DB9" w:rsidRPr="004D5E9B" w:rsidRDefault="005B6DB9" w:rsidP="005B6DB9">
            <w:pPr>
              <w:pStyle w:val="Heading2"/>
              <w:rPr>
                <w:rFonts w:ascii="Arial" w:hAnsi="Arial" w:cs="Arial"/>
                <w:sz w:val="22"/>
                <w:szCs w:val="22"/>
              </w:rPr>
            </w:pPr>
            <w:r w:rsidRPr="5E388572">
              <w:rPr>
                <w:rFonts w:ascii="Arial" w:hAnsi="Arial" w:cs="Arial"/>
                <w:sz w:val="22"/>
                <w:szCs w:val="22"/>
                <w:lang w:val="cy-GB"/>
              </w:rPr>
              <w:t>Cyfraniad at Asesiad Cyffredinol y Modwl  (%):</w:t>
            </w:r>
          </w:p>
        </w:tc>
        <w:tc>
          <w:tcPr>
            <w:tcW w:w="2268" w:type="dxa"/>
          </w:tcPr>
          <w:p w14:paraId="444DAF18" w14:textId="77777777" w:rsidR="005B6DB9" w:rsidRPr="00A406E5" w:rsidRDefault="005B6DB9" w:rsidP="005B6DB9">
            <w:pPr>
              <w:spacing w:before="120" w:after="120"/>
              <w:jc w:val="both"/>
              <w:rPr>
                <w:rFonts w:ascii="Arial" w:hAnsi="Arial" w:cs="Arial"/>
                <w:b/>
                <w:sz w:val="22"/>
                <w:szCs w:val="22"/>
              </w:rPr>
            </w:pPr>
            <w:r>
              <w:rPr>
                <w:rFonts w:ascii="Arial" w:hAnsi="Arial" w:cs="Arial"/>
                <w:b/>
                <w:sz w:val="22"/>
                <w:szCs w:val="22"/>
              </w:rPr>
              <w:t>100%</w:t>
            </w:r>
          </w:p>
        </w:tc>
      </w:tr>
      <w:tr w:rsidR="005B6DB9" w:rsidRPr="00A406E5" w14:paraId="58612489" w14:textId="77777777" w:rsidTr="005B6DB9">
        <w:tc>
          <w:tcPr>
            <w:tcW w:w="2093" w:type="dxa"/>
            <w:shd w:val="clear" w:color="auto" w:fill="auto"/>
          </w:tcPr>
          <w:p w14:paraId="6AEBCB21"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Darlithydd:</w:t>
            </w:r>
          </w:p>
        </w:tc>
        <w:tc>
          <w:tcPr>
            <w:tcW w:w="3293" w:type="dxa"/>
          </w:tcPr>
          <w:p w14:paraId="72DCB1A3" w14:textId="77777777" w:rsidR="005B6DB9" w:rsidRPr="00A406E5" w:rsidRDefault="005B6DB9" w:rsidP="005B6DB9">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hemeFill="background1" w:themeFillShade="D9"/>
          </w:tcPr>
          <w:p w14:paraId="1797B5C6"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Gwiriwr Mewnol:</w:t>
            </w:r>
          </w:p>
        </w:tc>
        <w:tc>
          <w:tcPr>
            <w:tcW w:w="2268" w:type="dxa"/>
          </w:tcPr>
          <w:p w14:paraId="322534A3" w14:textId="77777777" w:rsidR="005B6DB9" w:rsidRPr="00A406E5" w:rsidRDefault="005B6DB9" w:rsidP="005B6DB9">
            <w:pPr>
              <w:spacing w:before="120" w:after="120"/>
              <w:jc w:val="both"/>
              <w:rPr>
                <w:rFonts w:ascii="Arial" w:hAnsi="Arial" w:cs="Arial"/>
                <w:b/>
                <w:sz w:val="22"/>
                <w:szCs w:val="22"/>
              </w:rPr>
            </w:pPr>
          </w:p>
        </w:tc>
      </w:tr>
      <w:tr w:rsidR="005B6DB9" w:rsidRPr="00A406E5" w14:paraId="41B25C1B" w14:textId="77777777" w:rsidTr="005B6DB9">
        <w:tc>
          <w:tcPr>
            <w:tcW w:w="2093" w:type="dxa"/>
            <w:shd w:val="clear" w:color="auto" w:fill="auto"/>
          </w:tcPr>
          <w:p w14:paraId="21C37503"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Teitl yr Aseiniad:</w:t>
            </w:r>
          </w:p>
        </w:tc>
        <w:tc>
          <w:tcPr>
            <w:tcW w:w="3293" w:type="dxa"/>
          </w:tcPr>
          <w:p w14:paraId="626CB460" w14:textId="77777777" w:rsidR="005B6DB9" w:rsidRPr="00A406E5" w:rsidRDefault="005B6DB9" w:rsidP="005B6DB9">
            <w:pPr>
              <w:spacing w:before="120" w:after="120"/>
              <w:jc w:val="both"/>
              <w:rPr>
                <w:rFonts w:ascii="Arial" w:hAnsi="Arial" w:cs="Arial"/>
                <w:b/>
                <w:sz w:val="22"/>
                <w:szCs w:val="22"/>
              </w:rPr>
            </w:pPr>
            <w:proofErr w:type="spellStart"/>
            <w:r w:rsidRPr="0055084A">
              <w:rPr>
                <w:rFonts w:ascii="Arial" w:hAnsi="Arial" w:cs="Arial"/>
                <w:b/>
                <w:sz w:val="22"/>
                <w:szCs w:val="22"/>
              </w:rPr>
              <w:t>Ymchwilio</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i</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Faterion</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Cyfoes</w:t>
            </w:r>
            <w:proofErr w:type="spellEnd"/>
            <w:r w:rsidRPr="0055084A">
              <w:rPr>
                <w:rFonts w:ascii="Arial" w:hAnsi="Arial" w:cs="Arial"/>
                <w:b/>
                <w:sz w:val="22"/>
                <w:szCs w:val="22"/>
              </w:rPr>
              <w:t xml:space="preserve"> </w:t>
            </w:r>
            <w:proofErr w:type="spellStart"/>
            <w:r w:rsidRPr="0055084A">
              <w:rPr>
                <w:rFonts w:ascii="Arial" w:hAnsi="Arial" w:cs="Arial"/>
                <w:b/>
                <w:sz w:val="22"/>
                <w:szCs w:val="22"/>
              </w:rPr>
              <w:t>mewn</w:t>
            </w:r>
            <w:proofErr w:type="spellEnd"/>
            <w:r>
              <w:rPr>
                <w:rFonts w:ascii="Arial" w:hAnsi="Arial" w:cs="Arial"/>
                <w:b/>
                <w:sz w:val="22"/>
                <w:szCs w:val="22"/>
              </w:rPr>
              <w:t xml:space="preserve"> </w:t>
            </w:r>
            <w:proofErr w:type="spellStart"/>
            <w:r>
              <w:rPr>
                <w:rFonts w:ascii="Arial" w:hAnsi="Arial" w:cs="Arial"/>
                <w:b/>
                <w:sz w:val="22"/>
                <w:szCs w:val="22"/>
              </w:rPr>
              <w:t>Addysg</w:t>
            </w:r>
            <w:proofErr w:type="spellEnd"/>
            <w:r>
              <w:rPr>
                <w:rFonts w:ascii="Arial" w:hAnsi="Arial" w:cs="Arial"/>
                <w:b/>
                <w:sz w:val="22"/>
                <w:szCs w:val="22"/>
              </w:rPr>
              <w:t xml:space="preserve"> </w:t>
            </w:r>
            <w:proofErr w:type="spellStart"/>
            <w:r>
              <w:rPr>
                <w:rFonts w:ascii="Arial" w:hAnsi="Arial" w:cs="Arial"/>
                <w:b/>
                <w:sz w:val="22"/>
                <w:szCs w:val="22"/>
              </w:rPr>
              <w:t>Uwchradd</w:t>
            </w:r>
            <w:proofErr w:type="spellEnd"/>
          </w:p>
        </w:tc>
        <w:tc>
          <w:tcPr>
            <w:tcW w:w="2268" w:type="dxa"/>
            <w:shd w:val="clear" w:color="auto" w:fill="auto"/>
          </w:tcPr>
          <w:p w14:paraId="7F50C13B"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 xml:space="preserve">Nifer o eiriau (neu’r cyfwerth): </w:t>
            </w:r>
          </w:p>
        </w:tc>
        <w:tc>
          <w:tcPr>
            <w:tcW w:w="2268" w:type="dxa"/>
          </w:tcPr>
          <w:p w14:paraId="5811E606" w14:textId="77777777" w:rsidR="005B6DB9" w:rsidRPr="00A406E5" w:rsidRDefault="005B6DB9" w:rsidP="005B6DB9">
            <w:pPr>
              <w:spacing w:before="120" w:after="120"/>
              <w:jc w:val="both"/>
              <w:rPr>
                <w:rFonts w:ascii="Arial" w:hAnsi="Arial" w:cs="Arial"/>
                <w:b/>
                <w:sz w:val="22"/>
                <w:szCs w:val="22"/>
              </w:rPr>
            </w:pPr>
            <w:r w:rsidRPr="0055084A">
              <w:rPr>
                <w:rFonts w:ascii="Arial" w:hAnsi="Arial" w:cs="Arial"/>
                <w:b/>
                <w:sz w:val="22"/>
                <w:szCs w:val="22"/>
              </w:rPr>
              <w:t xml:space="preserve">5,000 o </w:t>
            </w:r>
            <w:proofErr w:type="spellStart"/>
            <w:r w:rsidRPr="0055084A">
              <w:rPr>
                <w:rFonts w:ascii="Arial" w:hAnsi="Arial" w:cs="Arial"/>
                <w:b/>
                <w:sz w:val="22"/>
                <w:szCs w:val="22"/>
              </w:rPr>
              <w:t>eiriau</w:t>
            </w:r>
            <w:proofErr w:type="spellEnd"/>
          </w:p>
        </w:tc>
      </w:tr>
      <w:tr w:rsidR="005B6DB9" w:rsidRPr="00A406E5" w14:paraId="067F67F0" w14:textId="77777777" w:rsidTr="005B6DB9">
        <w:tc>
          <w:tcPr>
            <w:tcW w:w="2093" w:type="dxa"/>
            <w:shd w:val="clear" w:color="auto" w:fill="auto"/>
          </w:tcPr>
          <w:p w14:paraId="72844F2C"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Dyddiad cyflwyno:</w:t>
            </w:r>
          </w:p>
        </w:tc>
        <w:tc>
          <w:tcPr>
            <w:tcW w:w="3293" w:type="dxa"/>
            <w:shd w:val="clear" w:color="auto" w:fill="auto"/>
          </w:tcPr>
          <w:p w14:paraId="58DE433E" w14:textId="77777777" w:rsidR="005B6DB9" w:rsidRPr="00A406E5" w:rsidRDefault="005B6DB9" w:rsidP="005B6DB9">
            <w:pPr>
              <w:spacing w:before="120" w:after="120"/>
              <w:jc w:val="both"/>
              <w:rPr>
                <w:rFonts w:ascii="Arial" w:hAnsi="Arial" w:cs="Arial"/>
                <w:b/>
                <w:sz w:val="22"/>
                <w:szCs w:val="22"/>
              </w:rPr>
            </w:pPr>
            <w:proofErr w:type="spellStart"/>
            <w:r>
              <w:rPr>
                <w:rFonts w:ascii="Arial" w:hAnsi="Arial" w:cs="Arial"/>
                <w:b/>
                <w:sz w:val="22"/>
                <w:szCs w:val="22"/>
              </w:rPr>
              <w:t>Ionawr</w:t>
            </w:r>
            <w:proofErr w:type="spellEnd"/>
            <w:r>
              <w:rPr>
                <w:rFonts w:ascii="Arial" w:hAnsi="Arial" w:cs="Arial"/>
                <w:b/>
                <w:sz w:val="22"/>
                <w:szCs w:val="22"/>
              </w:rPr>
              <w:t xml:space="preserve"> 28, 2019</w:t>
            </w:r>
          </w:p>
        </w:tc>
        <w:tc>
          <w:tcPr>
            <w:tcW w:w="2268" w:type="dxa"/>
            <w:shd w:val="clear" w:color="auto" w:fill="auto"/>
          </w:tcPr>
          <w:p w14:paraId="61C68FE4"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 xml:space="preserve">Dyddiad dychwelyd marciau dros dro ac adborth ysgrifenedig: </w:t>
            </w:r>
          </w:p>
        </w:tc>
        <w:tc>
          <w:tcPr>
            <w:tcW w:w="2268" w:type="dxa"/>
          </w:tcPr>
          <w:p w14:paraId="198B0D06" w14:textId="77777777" w:rsidR="005B6DB9" w:rsidRPr="00A406E5" w:rsidRDefault="005B6DB9" w:rsidP="005B6DB9">
            <w:pPr>
              <w:spacing w:before="120" w:after="120"/>
              <w:jc w:val="both"/>
              <w:rPr>
                <w:rFonts w:ascii="Arial" w:hAnsi="Arial" w:cs="Arial"/>
                <w:b/>
                <w:sz w:val="22"/>
                <w:szCs w:val="22"/>
              </w:rPr>
            </w:pPr>
            <w:proofErr w:type="spellStart"/>
            <w:r w:rsidRPr="0055084A">
              <w:rPr>
                <w:rFonts w:ascii="Arial" w:hAnsi="Arial" w:cs="Arial"/>
                <w:b/>
                <w:sz w:val="22"/>
                <w:szCs w:val="22"/>
              </w:rPr>
              <w:t>Chwefror</w:t>
            </w:r>
            <w:proofErr w:type="spellEnd"/>
            <w:r>
              <w:rPr>
                <w:rFonts w:ascii="Arial" w:hAnsi="Arial" w:cs="Arial"/>
                <w:b/>
                <w:sz w:val="22"/>
                <w:szCs w:val="22"/>
              </w:rPr>
              <w:t xml:space="preserve"> 19, 2019</w:t>
            </w:r>
          </w:p>
        </w:tc>
      </w:tr>
      <w:tr w:rsidR="005B6DB9" w:rsidRPr="00A406E5" w14:paraId="099113F8" w14:textId="77777777" w:rsidTr="005B6DB9">
        <w:tc>
          <w:tcPr>
            <w:tcW w:w="2093" w:type="dxa"/>
            <w:shd w:val="clear" w:color="auto" w:fill="auto"/>
          </w:tcPr>
          <w:p w14:paraId="60C323F9"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 xml:space="preserve">Dull cyflwyno: </w:t>
            </w:r>
          </w:p>
        </w:tc>
        <w:tc>
          <w:tcPr>
            <w:tcW w:w="7829" w:type="dxa"/>
            <w:gridSpan w:val="3"/>
            <w:shd w:val="clear" w:color="auto" w:fill="auto"/>
          </w:tcPr>
          <w:p w14:paraId="3947F3BB" w14:textId="77777777" w:rsidR="005B6DB9" w:rsidRPr="00A406E5" w:rsidRDefault="005B6DB9" w:rsidP="005B6DB9">
            <w:pPr>
              <w:rPr>
                <w:rFonts w:ascii="Arial" w:hAnsi="Arial" w:cs="Arial"/>
                <w:sz w:val="22"/>
                <w:szCs w:val="22"/>
              </w:rPr>
            </w:pPr>
            <w:r w:rsidRPr="5E388572">
              <w:rPr>
                <w:rFonts w:ascii="Arial" w:hAnsi="Arial" w:cs="Arial"/>
                <w:sz w:val="22"/>
                <w:szCs w:val="22"/>
                <w:lang w:val="cy-GB"/>
              </w:rPr>
              <w:t xml:space="preserve">Lle bo’n ymarferol ac yn bosibl, rhaid cyflwyno pob asesiad ysgrifenedig drwy Turnitin, oni nodir yn wahanol gan y Darlithydd. </w:t>
            </w:r>
            <w:r w:rsidRPr="5E388572">
              <w:rPr>
                <w:rFonts w:ascii="Arial" w:hAnsi="Arial" w:cs="Arial"/>
                <w:sz w:val="22"/>
                <w:szCs w:val="22"/>
              </w:rPr>
              <w:t xml:space="preserve"> </w:t>
            </w:r>
            <w:r w:rsidRPr="5E388572">
              <w:rPr>
                <w:rFonts w:ascii="Arial" w:hAnsi="Arial" w:cs="Arial"/>
                <w:sz w:val="22"/>
                <w:szCs w:val="22"/>
                <w:lang w:val="cy-GB"/>
              </w:rPr>
              <w:t>(PEIDIWCH â rhoi’r fanyleb asesu hon i mewn i Turnitin neu bydd yn cyfateb i lawer o bethau tebyg yng nghyflwyniadau myfyrwyr eraill.)</w:t>
            </w:r>
          </w:p>
          <w:p w14:paraId="185E1278"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Dull cyflwyno arall (os ydy’n berthnasol):</w:t>
            </w:r>
            <w:r w:rsidRPr="5E388572">
              <w:rPr>
                <w:rFonts w:ascii="Arial" w:hAnsi="Arial" w:cs="Arial"/>
                <w:b/>
                <w:bCs/>
                <w:sz w:val="22"/>
                <w:szCs w:val="22"/>
              </w:rPr>
              <w:t xml:space="preserve"> </w:t>
            </w:r>
          </w:p>
          <w:p w14:paraId="6BF74EA5" w14:textId="77777777" w:rsidR="005B6DB9" w:rsidRPr="00A406E5" w:rsidRDefault="005B6DB9" w:rsidP="005B6DB9">
            <w:pPr>
              <w:spacing w:before="120" w:after="120"/>
              <w:jc w:val="both"/>
              <w:rPr>
                <w:rFonts w:ascii="Arial" w:hAnsi="Arial" w:cs="Arial"/>
                <w:b/>
                <w:bCs/>
                <w:sz w:val="22"/>
                <w:szCs w:val="22"/>
              </w:rPr>
            </w:pPr>
            <w:r w:rsidRPr="5E388572">
              <w:rPr>
                <w:rFonts w:ascii="Arial" w:hAnsi="Arial" w:cs="Arial"/>
                <w:b/>
                <w:bCs/>
                <w:sz w:val="22"/>
                <w:szCs w:val="22"/>
                <w:lang w:val="cy-GB"/>
              </w:rPr>
              <w:t>Bydd cyflwyno’r asesiad yn hwyr yn arwain at ddyfarnu marc cosb.</w:t>
            </w:r>
            <w:r w:rsidRPr="5E388572">
              <w:rPr>
                <w:rFonts w:ascii="Arial" w:hAnsi="Arial" w:cs="Arial"/>
                <w:b/>
                <w:bCs/>
                <w:sz w:val="22"/>
                <w:szCs w:val="22"/>
              </w:rPr>
              <w:t xml:space="preserve">  </w:t>
            </w:r>
            <w:r w:rsidRPr="5E388572">
              <w:rPr>
                <w:rFonts w:ascii="Arial" w:hAnsi="Arial" w:cs="Arial"/>
                <w:sz w:val="22"/>
                <w:szCs w:val="22"/>
                <w:lang w:val="cy-GB"/>
              </w:rPr>
              <w:t>Cosbau am gyflwyno’n hwyr:</w:t>
            </w:r>
            <w:r w:rsidRPr="5E388572">
              <w:rPr>
                <w:rFonts w:ascii="Arial" w:hAnsi="Arial" w:cs="Arial"/>
                <w:sz w:val="22"/>
                <w:szCs w:val="22"/>
              </w:rPr>
              <w:t xml:space="preserve"> </w:t>
            </w:r>
            <w:r w:rsidRPr="5E388572">
              <w:rPr>
                <w:rFonts w:ascii="Arial" w:hAnsi="Arial" w:cs="Arial"/>
                <w:sz w:val="22"/>
                <w:szCs w:val="22"/>
                <w:lang w:val="cy-GB"/>
              </w:rPr>
              <w:t>Hyd at wythnos yn hwyr, uchafswm marc o D.</w:t>
            </w:r>
            <w:r w:rsidRPr="5E388572">
              <w:rPr>
                <w:rFonts w:ascii="Arial" w:hAnsi="Arial" w:cs="Arial"/>
                <w:sz w:val="22"/>
                <w:szCs w:val="22"/>
              </w:rPr>
              <w:t xml:space="preserve">  </w:t>
            </w:r>
            <w:r w:rsidRPr="5E388572">
              <w:rPr>
                <w:rFonts w:ascii="Arial" w:hAnsi="Arial" w:cs="Arial"/>
                <w:sz w:val="22"/>
                <w:szCs w:val="22"/>
                <w:lang w:val="cy-GB"/>
              </w:rPr>
              <w:t>Dros wythnos yn hwyr, 0%.</w:t>
            </w:r>
            <w:r w:rsidRPr="5E388572">
              <w:rPr>
                <w:rFonts w:ascii="Arial" w:hAnsi="Arial" w:cs="Arial"/>
                <w:sz w:val="22"/>
                <w:szCs w:val="22"/>
              </w:rPr>
              <w:t xml:space="preserve">  </w:t>
            </w:r>
            <w:r w:rsidRPr="5E388572">
              <w:rPr>
                <w:rFonts w:ascii="Arial" w:hAnsi="Arial" w:cs="Arial"/>
                <w:sz w:val="22"/>
                <w:szCs w:val="22"/>
                <w:lang w:val="cy-GB"/>
              </w:rPr>
              <w:t xml:space="preserve">Y Panel Amgylchiadau Esgusodol yn unig all gymeradwyo newid dyddiadau cyflwyno. </w:t>
            </w:r>
          </w:p>
        </w:tc>
      </w:tr>
      <w:tr w:rsidR="005B6DB9" w:rsidRPr="00A406E5" w14:paraId="69DF4271" w14:textId="77777777" w:rsidTr="005B6DB9">
        <w:tc>
          <w:tcPr>
            <w:tcW w:w="2093" w:type="dxa"/>
            <w:shd w:val="clear" w:color="auto" w:fill="auto"/>
          </w:tcPr>
          <w:p w14:paraId="1DB7C6AB" w14:textId="77777777" w:rsidR="005B6DB9" w:rsidRPr="00A406E5" w:rsidRDefault="005B6DB9" w:rsidP="005B6DB9">
            <w:pPr>
              <w:spacing w:before="120" w:after="120"/>
              <w:rPr>
                <w:rFonts w:ascii="Arial" w:hAnsi="Arial" w:cs="Arial"/>
                <w:b/>
                <w:bCs/>
                <w:sz w:val="22"/>
                <w:szCs w:val="22"/>
              </w:rPr>
            </w:pPr>
            <w:r w:rsidRPr="5E388572">
              <w:rPr>
                <w:rFonts w:ascii="Arial" w:hAnsi="Arial" w:cs="Arial"/>
                <w:b/>
                <w:bCs/>
                <w:sz w:val="22"/>
                <w:szCs w:val="22"/>
                <w:lang w:val="cy-GB"/>
              </w:rPr>
              <w:t xml:space="preserve">Gonestrwydd academaidd / cyfeirnodi: </w:t>
            </w:r>
          </w:p>
        </w:tc>
        <w:tc>
          <w:tcPr>
            <w:tcW w:w="7829" w:type="dxa"/>
            <w:gridSpan w:val="3"/>
            <w:shd w:val="clear" w:color="auto" w:fill="auto"/>
          </w:tcPr>
          <w:p w14:paraId="2E4D6317" w14:textId="77777777" w:rsidR="005B6DB9" w:rsidRPr="00A406E5" w:rsidRDefault="005B6DB9" w:rsidP="005B6DB9">
            <w:pPr>
              <w:spacing w:before="120" w:after="120"/>
              <w:jc w:val="both"/>
              <w:rPr>
                <w:rFonts w:ascii="Arial" w:hAnsi="Arial" w:cs="Arial"/>
                <w:sz w:val="22"/>
                <w:szCs w:val="22"/>
              </w:rPr>
            </w:pPr>
            <w:r w:rsidRPr="5E388572">
              <w:rPr>
                <w:rFonts w:ascii="Arial" w:hAnsi="Arial" w:cs="Arial"/>
                <w:sz w:val="22"/>
                <w:szCs w:val="22"/>
                <w:lang w:val="cy-GB"/>
              </w:rPr>
              <w:t xml:space="preserve">Mae gonestrwydd academaidd yn ofynnol. </w:t>
            </w:r>
            <w:r w:rsidRPr="5E388572">
              <w:rPr>
                <w:rFonts w:ascii="Arial" w:hAnsi="Arial" w:cs="Arial"/>
                <w:sz w:val="22"/>
                <w:szCs w:val="22"/>
              </w:rPr>
              <w:t xml:space="preserve"> </w:t>
            </w:r>
            <w:r w:rsidRPr="5E388572">
              <w:rPr>
                <w:rFonts w:ascii="Arial" w:hAnsi="Arial" w:cs="Arial"/>
                <w:sz w:val="22"/>
                <w:szCs w:val="22"/>
                <w:lang w:val="cy-GB"/>
              </w:rPr>
              <w:t>Ym mhrif ran eich cyflwyniad rhaid i chi gydnabod awduron y mae’ch gwaith wedi’i seilio ar eu hymchwil a’u syniadau.</w:t>
            </w:r>
            <w:r w:rsidRPr="5E388572">
              <w:rPr>
                <w:rFonts w:ascii="Arial" w:hAnsi="Arial" w:cs="Arial"/>
                <w:sz w:val="22"/>
                <w:szCs w:val="22"/>
              </w:rPr>
              <w:t xml:space="preserve"> </w:t>
            </w:r>
            <w:r w:rsidRPr="5E388572">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5E388572">
              <w:rPr>
                <w:rFonts w:ascii="Arial" w:hAnsi="Arial" w:cs="Arial"/>
                <w:sz w:val="22"/>
                <w:szCs w:val="22"/>
              </w:rPr>
              <w:t xml:space="preserve">  </w:t>
            </w:r>
          </w:p>
        </w:tc>
      </w:tr>
    </w:tbl>
    <w:p w14:paraId="0C14307D" w14:textId="586FF991" w:rsidR="005B6DB9" w:rsidRDefault="005B6DB9" w:rsidP="001457C3">
      <w:pPr>
        <w:spacing w:line="276" w:lineRule="auto"/>
        <w:rPr>
          <w:rFonts w:asciiTheme="minorHAnsi" w:eastAsiaTheme="minorHAnsi" w:hAnsiTheme="minorHAnsi" w:cstheme="minorHAnsi"/>
          <w:lang w:val="cy-GB"/>
        </w:rPr>
      </w:pPr>
      <w:bookmarkStart w:id="0" w:name="_GoBack"/>
      <w:bookmarkEnd w:id="0"/>
    </w:p>
    <w:tbl>
      <w:tblPr>
        <w:tblpPr w:leftFromText="180" w:rightFromText="180" w:vertAnchor="text" w:horzAnchor="margin" w:tblpY="16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5B6DB9" w:rsidRPr="00A406E5" w14:paraId="37FF289B" w14:textId="77777777" w:rsidTr="005B6DB9">
        <w:tc>
          <w:tcPr>
            <w:tcW w:w="8618" w:type="dxa"/>
            <w:shd w:val="clear" w:color="auto" w:fill="C0C0C0"/>
          </w:tcPr>
          <w:p w14:paraId="29839530" w14:textId="77777777" w:rsidR="005B6DB9" w:rsidRPr="00A406E5" w:rsidRDefault="005B6DB9" w:rsidP="005B6DB9">
            <w:pPr>
              <w:pStyle w:val="Heading4"/>
              <w:rPr>
                <w:rFonts w:ascii="Arial" w:hAnsi="Arial" w:cs="Arial"/>
                <w:b/>
                <w:bCs/>
              </w:rPr>
            </w:pPr>
            <w:r w:rsidRPr="5E388572">
              <w:rPr>
                <w:rFonts w:ascii="Arial" w:hAnsi="Arial" w:cs="Arial"/>
                <w:b/>
                <w:bCs/>
                <w:lang w:val="cy-GB"/>
              </w:rPr>
              <w:t>MANYLEB ASESU LEFEL 7</w:t>
            </w:r>
            <w:r w:rsidRPr="5E388572">
              <w:rPr>
                <w:rFonts w:ascii="Arial" w:hAnsi="Arial" w:cs="Arial"/>
                <w:b/>
                <w:bCs/>
              </w:rPr>
              <w:t xml:space="preserve"> </w:t>
            </w:r>
          </w:p>
        </w:tc>
      </w:tr>
    </w:tbl>
    <w:p w14:paraId="2BF38DA1" w14:textId="4187FA2D" w:rsidR="005B6DB9" w:rsidRPr="00A85BFE" w:rsidRDefault="005B6DB9" w:rsidP="005B6DB9">
      <w:pPr>
        <w:pStyle w:val="Header"/>
        <w:tabs>
          <w:tab w:val="clear" w:pos="4153"/>
          <w:tab w:val="clear" w:pos="8306"/>
        </w:tabs>
        <w:jc w:val="right"/>
        <w:rPr>
          <w:rFonts w:ascii="Arial" w:hAnsi="Arial" w:cs="Arial"/>
          <w:b/>
          <w:bCs/>
          <w:sz w:val="28"/>
          <w:szCs w:val="28"/>
        </w:rPr>
      </w:pPr>
      <w:r>
        <w:rPr>
          <w:rFonts w:ascii="Arial" w:hAnsi="Arial" w:cs="Arial"/>
        </w:rPr>
        <w:t xml:space="preserve"> </w:t>
      </w:r>
      <w:r>
        <w:rPr>
          <w:rFonts w:ascii="Arial" w:hAnsi="Arial" w:cs="Arial"/>
        </w:rPr>
        <w:br w:type="textWrapping" w:clear="all"/>
      </w:r>
      <w:r w:rsidRPr="5E388572">
        <w:rPr>
          <w:rFonts w:ascii="Arial" w:hAnsi="Arial" w:cs="Arial"/>
          <w:b/>
          <w:bCs/>
          <w:sz w:val="28"/>
          <w:szCs w:val="28"/>
          <w:lang w:val="cy-GB"/>
        </w:rPr>
        <w:t>ATODIAD GA36d</w:t>
      </w:r>
    </w:p>
    <w:p w14:paraId="398D24F1" w14:textId="77777777" w:rsidR="005B6DB9" w:rsidRPr="00A406E5" w:rsidRDefault="005B6DB9" w:rsidP="005B6DB9">
      <w:pPr>
        <w:rPr>
          <w:rFonts w:ascii="Arial" w:hAnsi="Arial" w:cs="Arial"/>
        </w:rPr>
      </w:pPr>
    </w:p>
    <w:p w14:paraId="0B08B563" w14:textId="77777777" w:rsidR="005B6DB9" w:rsidRPr="00A406E5" w:rsidRDefault="005B6DB9" w:rsidP="005B6DB9">
      <w:pPr>
        <w:jc w:val="center"/>
        <w:rPr>
          <w:rFonts w:ascii="Arial" w:hAnsi="Arial" w:cs="Arial"/>
          <w:b/>
          <w:i/>
          <w:sz w:val="32"/>
        </w:rPr>
      </w:pPr>
    </w:p>
    <w:p w14:paraId="509ADED4" w14:textId="77777777" w:rsidR="005B6DB9" w:rsidRDefault="005B6DB9" w:rsidP="005B6DB9">
      <w:pPr>
        <w:rPr>
          <w:rFonts w:ascii="Arial" w:hAnsi="Arial" w:cs="Arial"/>
          <w:sz w:val="32"/>
        </w:rPr>
      </w:pPr>
    </w:p>
    <w:p w14:paraId="5B669674" w14:textId="77777777" w:rsidR="005B6DB9" w:rsidRDefault="005B6DB9" w:rsidP="005B6DB9">
      <w:pPr>
        <w:rPr>
          <w:rFonts w:ascii="Arial" w:hAnsi="Arial" w:cs="Arial"/>
          <w:sz w:val="32"/>
        </w:rPr>
      </w:pPr>
    </w:p>
    <w:p w14:paraId="5E338D18" w14:textId="77777777" w:rsidR="005B6DB9" w:rsidRDefault="005B6DB9" w:rsidP="005B6DB9">
      <w:pPr>
        <w:rPr>
          <w:rFonts w:ascii="Arial" w:hAnsi="Arial" w:cs="Arial"/>
          <w:sz w:val="32"/>
        </w:rPr>
      </w:pPr>
    </w:p>
    <w:p w14:paraId="2517D375" w14:textId="09A6C72C" w:rsidR="00872CAF" w:rsidRPr="005B6DB9" w:rsidRDefault="001457C3" w:rsidP="005B6DB9">
      <w:pPr>
        <w:ind w:firstLine="720"/>
        <w:rPr>
          <w:rFonts w:ascii="Arial" w:hAnsi="Arial" w:cs="Arial"/>
          <w:sz w:val="32"/>
        </w:rPr>
      </w:pPr>
      <w:r w:rsidRPr="00A97F45">
        <w:rPr>
          <w:rFonts w:asciiTheme="minorHAnsi" w:eastAsiaTheme="minorHAnsi" w:hAnsiTheme="minorHAnsi" w:cstheme="minorHAnsi"/>
          <w:lang w:val="cy-GB"/>
        </w:rPr>
        <w:lastRenderedPageBreak/>
        <w:t>Trafodaf yn yr adroddiad yma'r pwrpas o wahaniaethu a beth mae’r Cynllun Gwella’r Ysgol a’r Cynllun Gwella’r Adran ynglŷn â gwahaniaethu, a pham mae gwahaniaethu yn un o flaenoriaethau'r ysgol. Bydd yr adroddiad yma yn sôn am sut mae’r ysgol yn gweithio gyda’r adran Addysg Grefyddol, felly byddaf yn sôn am beth mae Ysgol X yn cyflawni ar hyn y bryd. Yna, wrth edrych ar beth mae Ysgol X yn gwneud ar y cyfan, byddaf yn gwneud  awgrymiadau o dechnegau a strategaethau arall wrth edrych ar wahanol lenyddiaeth, er mwyn helpu’r dysgwyr cyflawni fwy o gynnydd na beth maen nhw yn barod.</w:t>
      </w:r>
    </w:p>
    <w:p w14:paraId="31FD2273" w14:textId="77777777" w:rsidR="00872CAF" w:rsidRPr="00A97F45" w:rsidRDefault="0052314F" w:rsidP="00872CAF">
      <w:pPr>
        <w:spacing w:line="276" w:lineRule="auto"/>
        <w:ind w:firstLine="720"/>
        <w:rPr>
          <w:rFonts w:asciiTheme="minorHAnsi" w:hAnsiTheme="minorHAnsi" w:cstheme="minorHAnsi"/>
          <w:lang w:val="cy-GB"/>
        </w:rPr>
      </w:pPr>
      <w:r w:rsidRPr="00A97F45">
        <w:rPr>
          <w:rFonts w:asciiTheme="minorHAnsi" w:hAnsiTheme="minorHAnsi" w:cstheme="minorHAnsi"/>
          <w:lang w:val="cy-GB"/>
        </w:rPr>
        <w:t>Mae Ysgol X yn ysgol gyfrwng Gymraeg sy’n darparu addysg i ddisgyblion rhwng 11 ac 18 oed. Lleolir yr ysgol yng ngogledd Abertawe ac fe’i cynhelir gan awdurdod lleol Abertawe. Mae 19.6% o ddisgyblion yn byw mewn 20% o’r ardaloedd mwyaf difreintiedig yng Nghymru (Estyn, 2013). Yn Ysgol X mae 746 o ddisgyblion ar y gofrestr gan gynnwys 129 yn y chweched dosbarth. Mae yna tua 12% o ddisgyblion gyda’r hawl i brydau ysgol am ddim (PYD), sy’n is na’r canran cenedlaethol o 17.4%. Mae 18% o ddisgyblion ar y gofrestr o anghenion dysgu ychwanegol (ADY), ac mae gan 2% ddatganiad o anghenion addysgol arbennig. Mae’r ffigyrau yma o Ysgol X yn is na’r ffigurau cenedlaethol. Yn Ysgol X mae 22% o ddysgwyr yn dod o gartrefi lle maent yn siarad Cymraeg, ac mae 99% yn rhugl yn y Gymraeg (Estyn, 2013). Mae gan Ysgol X ddarpariaeth ‘trochi’ (immersion) ar gyfer grŵp ym mlwyddyn 7 sydd wedi trosglwyddo o ysgolion cynradd cyfrwng Saesneg, i’w galluogi eu haddysg trwy gyfrwng y Gymraeg yn y brif ffrwd.</w:t>
      </w:r>
    </w:p>
    <w:p w14:paraId="752FBF8F" w14:textId="5CD56A67" w:rsidR="00872CAF"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Ar ôl arsylwad Estyn diweddaraf ym 2013, cafodd Ysgol X ei hystyried fel ysgol ragorol. Er hyn, mae ychydig o argymhellion ac mae'r rhain yn cael ei weld yn Gynllun Gwella’r Ysgol (CGY) a Chynllun Gwella’r Adran (CGA). Y ffocws allweddol sydd yn cael ei weld yn y ddau CGY a CGA yw lleihau’r </w:t>
      </w:r>
      <w:r w:rsidR="00EC1D24">
        <w:rPr>
          <w:rFonts w:asciiTheme="minorHAnsi" w:eastAsiaTheme="minorHAnsi" w:hAnsiTheme="minorHAnsi" w:cstheme="minorHAnsi"/>
          <w:lang w:val="cy-GB"/>
        </w:rPr>
        <w:t>bwlch</w:t>
      </w:r>
      <w:r w:rsidRPr="00A97F45">
        <w:rPr>
          <w:rFonts w:asciiTheme="minorHAnsi" w:eastAsiaTheme="minorHAnsi" w:hAnsiTheme="minorHAnsi" w:cstheme="minorHAnsi"/>
          <w:lang w:val="cy-GB"/>
        </w:rPr>
        <w:t xml:space="preserve"> rhwng perfformiad bechgyn a merched; cryfhau perfformiad yn Gyfnod Allweddol 3; a lledaenu arferion rhagorol wrth gynllunio ar gyfer gwelliant. Am fwy o wybodaeth amdano argymhellion eraill mae’r Ysgol yn gwneud gweler CGA a CGY yn yr atodiad. Un peth mae Ysgol X yn gwthio yn ddiweddar yn ei CGY a CGA yw cryfhau lefel yr her ar draws yr ysgol gan wahaniaethu ar gyfer y dysgwyr ADY ac y rhai MAT, ac mae hwnna’n cysylltu gyda’r ail argymell o gryfhau perfformiad yn Gyfnod Allweddol 3 (Estyn, 2013). Mae hwn yn ganolbwynt yr ysgol, oherwydd yn ôl Dyfodol Llwyddiannus (2015), mae rhaid anelu’n uchel, ac mae Ysgol X yn cymryd hwn o ddifrif wrth godi lefel yr her a gwahaniaethu ar draws yr ysgol ers lles y dysgwyr, yn enwedig ar gyfer y disgyblion MAT a ADY. Felly, achos mae lefel yr her ond o safbwynt gwahaniaethu yn prif ffocws yn y CGY a CGA, dyma beth yw prif ffocws y papur yma. Byddaf yn edrych ar: beth mae’r ysgol yn gwneud?; sut maent yn gwneud?; a ble mae’r ysgol yn mynd nesaf.</w:t>
      </w:r>
    </w:p>
    <w:p w14:paraId="1070D30A" w14:textId="1AE52611" w:rsidR="001B35E2" w:rsidRPr="00A97F45" w:rsidRDefault="001457C3" w:rsidP="001457C3">
      <w:pPr>
        <w:pStyle w:val="NormalWeb"/>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Yn ôl Fidler (2002), mae yna dau strwythur gwahanol sef CDY a CDA. Mae ‘bottom up’ neu ‘top down’. Yn ystod ysgolion mawr, efallai bydd adran gryf o fewn yr ysgol sy’n teimlo bod ganddynt hunaniaeth ac mai’r uned ar gyfer gweithredu ar lefel ganolradd, islaw lefel yr ysgol gyfan (Fidler, 2002). Fodd bynnag, bydd rhaid i’r adrannau hyn ddylunio eu cynlluniau ar y cyd  â’r ysgol gyfan os yw’r broses gyfan i weithredu (Fidler, 2002). Y prif fater gyda’r dull ‘bottom up’ yw bod tueddiad mawr i adrannau fethu â chydnabod pwysigrwydd gwasanaethau canolog a blaenoriaethau ysgol gyfan (Fidler, 2002). Fel arfer, </w:t>
      </w:r>
      <w:r w:rsidRPr="00A97F45">
        <w:rPr>
          <w:rFonts w:asciiTheme="minorHAnsi" w:eastAsiaTheme="minorHAnsi" w:hAnsiTheme="minorHAnsi" w:cstheme="minorHAnsi"/>
          <w:lang w:val="cy-GB"/>
        </w:rPr>
        <w:lastRenderedPageBreak/>
        <w:t>mae ysgolion yn mabwysiadu strategaeth ‘top down’. Fel mae’r term yn golygu, mae ‘top down’ yn gweithio i’r gwrthwyneb i’r ‘bottom up’ gyda’r blaenoriaethau gosod ysgol gyfan, ac mae adrannau yn seilio ar eu strategaethau bach ar y blaenoriaethau hyn i sicrhau ymagwedd unffurf at welliannau.</w:t>
      </w:r>
    </w:p>
    <w:p w14:paraId="55E07411" w14:textId="57E17D40" w:rsidR="001C1AD4"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Mae Ysgol X yn defnyddio strategaeth ‘top down’ ar gyfer ei CDA. Wrth edrych ar y CDA, y prif flaenoriaethau sydd o fewn yr ysgol ar hyn y bryd yw codi safonau ar draws yr ysgol gyfan, dysgu ac addysgu, iechyd a lles ac arweinyddiaeth. Ar gyfer pob un o’r blaenoriaethau, mae yna gamau gweithredu ac mae'r rhain yn cael ei weld o fewn y CDY (Gweler atodiad).</w:t>
      </w:r>
    </w:p>
    <w:p w14:paraId="18BEE336" w14:textId="5928931E" w:rsidR="0052314F"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Wrth edrych ar y CDY, un o’r prif blaenoriaethu sydd yn cael ei weld trwy gydol y CDY yw'r datganiad Tom Sherrington (2017) o ‘teaching to the top’. Dyma un o’r prif flaenoriaethau a strategaethau sydd yn cael ei weld yn yr ysgol. Un o’r pethau mae’r ysgol wedi rhoi fel ei gamau gweithredu yw cynyddu lefel yr her yn wersi, ond i sicrhau mae yna wahaniaethu o ansawdd ar gyfer yr unigolion penodol. Wrth edrych ar Gynllun Gwella’r Adran (gweler atodiad), un o’r blaenoriaethau'r cynllun yw Dysgu ac Addysgu, ac mae’r adran Addysg Grefyddol yn mynd i barhau i gefnogi'r disgyblion MAT drwy gynyddu cysondeb lefelau'r her ar gyfer pob dysgwr ym mhob gwers. Hefyd, bydd yr adran yn parhau i ddatblygu eu hadnoddau gwahaniaethol ar gyfer dysgwyr MAT trwy ddefnyddio strategaethau pellach i dargedu a chynorthwyo dysgwyr sydd ddim yn cyrraedd eu targed, enwedig y dysgwyr MAT. Mae rhaid iddynt gyflawni Meini Prawf Llwyddiant yn seiliedig ar safonau'r adran yw cael y dysgwyr MAT i gyrraedd y lefelau/ graddau uwch.</w:t>
      </w:r>
    </w:p>
    <w:p w14:paraId="6B599CE7" w14:textId="1E5057E4" w:rsidR="0052314F"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Pwrpas Cynllun strategol yn addysg yw’r broses sy'n ymgorffori'r cyfarwyddiadau arweiniol ar sut i redeg system addysg o fewn persbectif datblygu cenedlaethol, sy'n esblygu yn ôl natur, ac yn aml yn golygu cyfyngiadau (Chang, 2006). Er mwyn i’r strategaeth i weithio, yn ôl Pisel (2008) mae rhaid i chi dangos eich dealltwriaeth, rhagweld yr holl strategaeth, ac os mae unrhyw anawsterau, bod yn barod i ddatrys ac adnabod y problemau gall neu yn mynd i godi (Pisel, 2008). Felly, mae cynllunio strategol yn cynnig cyfle sefydliad (au) addysg i nodi sut y bydd yn ymrwymo adnoddau dros y tymor hir er mwyn cyflawni ei genhadaeth.</w:t>
      </w:r>
    </w:p>
    <w:p w14:paraId="09947C8C" w14:textId="2AA5795E" w:rsidR="00442F98"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Yn ôl y Llywodraeth Cymru (2010), er mwyn i gynllunio datblygu ysgolion fod yn fwyaf effeithiol, dylai gynnwys pob partner ysgol a rhanddeiliad. Mae hyn yn hanfodol wrth sicrhau bod gan bawb ymrwymiad i agenda gwella'r ysgol. Mae rhai ysgolion yn gwasanaethu ardal lawer ehangach na'r ardal lle mae'r ysgol wedi'i lleoli, er enghraifft ysgolion cyfrwng Cymraeg, ysgolion ffydd ac ysgolion anghenion arbennig. Mae rhaid i'r corff llywodraethu sicrhau eu bod yn gweithio gyda'r gymuned ehangach y mae'r ysgol yn ei gwasanaethu (Llywodraeth Cymru, 2010). Bydd pob ysgol yn penderfynu sut y bydd hyn yn cael ei wneud, ond mae hyn yn rhan hollbwysig o broses cynllunio datblygu'r ysgol a bydd yn helpu i hyrwyddo ymdeimlad o berchnogaeth a chydweithio tuag at welliant.</w:t>
      </w:r>
    </w:p>
    <w:p w14:paraId="391894D1" w14:textId="1528F0EF" w:rsidR="0052314F"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Er hyn, yn ôl Billingham (2012), cynllunio strategol yw’r broses o osod nodau ac amcanion, penderfynu ar gamau weithredu i gyflawni’r nodau ac amcanion, ac yna creu neu </w:t>
      </w:r>
      <w:r w:rsidRPr="00A97F45">
        <w:rPr>
          <w:rFonts w:asciiTheme="minorHAnsi" w:eastAsiaTheme="minorHAnsi" w:hAnsiTheme="minorHAnsi" w:cstheme="minorHAnsi"/>
          <w:lang w:val="cy-GB"/>
        </w:rPr>
        <w:lastRenderedPageBreak/>
        <w:t>addasu’r adnoddai sydd eu hangen i gymryd y camau gweithredu hynny. Mae’r cynllun strategol yn disgrifio sut i gyflawni’r nodau ac amcanion trwy ddefnyddio’r adnoddau perthnasol. Mae ardaloedd ysgol o bob maint yn defnyddio cynllunio strategol i gyflawni’r nodau ac amcanion er mwyn gwella canlyniadau’r myfyrwyr, ac yn ymateb i ddemograffeg newidiol wrth aros i mewn i’r cyllid (funding) sydd yn cael ei rhoi iddynt. Mae natur y nodau a'r cyfyngiadau hyn yn awgrymu bod cynllunio strategol mewn addysg, ac mae'n rhaid iddo fod, yn wahanol i'r broses a ddefnyddir yn y sector busnes. Yn y sector busnes y nod yw cael mwy o gwsmeriaid neu wneud mwy o arian. Gan gydnabod y gwahaniaethau hyn, daeth addysgwyr yn fabwysiadau cynnar o gynllunio strategol cyfuno gyda gweithgareddau sydd yn ymgysylltu â'r gymuned.</w:t>
      </w:r>
    </w:p>
    <w:p w14:paraId="05E58D7C" w14:textId="33249C29" w:rsidR="0052314F"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Nid yw pawb yn credu bod cynllunion strategol yn y ffordd draddodiadol yn gweithio.</w:t>
      </w:r>
      <w:r w:rsidR="00EC1D24">
        <w:rPr>
          <w:rFonts w:asciiTheme="minorHAnsi" w:hAnsiTheme="minorHAnsi" w:cstheme="minorHAnsi"/>
          <w:lang w:val="cy-GB"/>
        </w:rPr>
        <w:t xml:space="preserve"> </w:t>
      </w:r>
      <w:r w:rsidRPr="00A97F45">
        <w:rPr>
          <w:rFonts w:asciiTheme="minorHAnsi" w:eastAsiaTheme="minorHAnsi" w:hAnsiTheme="minorHAnsi" w:cstheme="minorHAnsi"/>
          <w:lang w:val="cy-GB"/>
        </w:rPr>
        <w:t>Yn ôl Tom Peters (1980), sy’n disgrifio cynllunio strategol fel marwolaeth fesul mil o fentrau, i gymharu â Henry Mintzberg (1994) sy’n awgrymu bod y dystiolaeth yn dangos yn glir mai esgidiau arwain a melinau gwaith papur oedd canlyniad arferol o gynllunio’n strategol. Yn ogystal â hynny, darganfyddodd Mintzberg (1994) nifer o enghreifftiau o sefydliadau a fu’n llwyddiannus mewn cynllunio’n strategol. Mae Mintzberg yn nodi bod y sefydliadau hyn yn ymdrin â chynllunio strategol mewn ffordd lai strwythuredig a chadarn. Mae hwn yn debyg iawn fel yr ydym wedi arsylwi o fewn gwahanol ardaloedd ysgol.</w:t>
      </w:r>
    </w:p>
    <w:p w14:paraId="2258AE09" w14:textId="20A30BB8" w:rsidR="007B7CD7"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Wrth i addysgwyr wireddu gwerth safbwyntiau amrywiol a chefnogaeth gymunedol megis, rhieni, gweithwyr, myfyrwyr ac addysg eraill i lywio eu cynllunio strategol. Mae'r sectorau addysg a datblygu cymunedol wedi croesawu'r syniad bod cynllunio strategol yn cael ei gyflawni orau gyda chynnwys y gymuned. Mae technoleg wedi galluogi hyn. Heb "amgylchedd" cysylltiedig â hygyrch fel y rhyngrwyd, ni fyddai ymgysylltiad cymunedol gwirioneddol a fforddiadwy mewn cynllunio strategol yn ymarferol. Mae ein hamgylchedd cysylltiedig, hollgynhwysedd e-bost a thechnoleg sy'n hawdd ei ddefnyddio wedi newid, a bydd yn parhau i newid, y broses cynllunio strategol. Yn ôl Satell (date) “strategy is not a starting point, it’s a process and a collaborative one at that.  It is not written in stone, nor is it ever truly complete. It evolves over time, becomes stronger as it adapts to new challenges even as it remains true to its core principles. Good strategy is never being, it is always becoming”. Nid yw cynllunio strategol yn mynd unrhyw le, gan ei fod yn newid; yn esblygu ac yn dod yn fwy cymunedol o bwrpas sydd yn debyg iawn i ein haddysg heddiw.</w:t>
      </w:r>
    </w:p>
    <w:p w14:paraId="58B7E9BB" w14:textId="5CBBA6E9" w:rsidR="003B0E3E" w:rsidRPr="00A97F45" w:rsidRDefault="003B0E3E" w:rsidP="00872CAF">
      <w:pPr>
        <w:spacing w:line="276" w:lineRule="auto"/>
        <w:ind w:firstLine="720"/>
        <w:rPr>
          <w:rFonts w:asciiTheme="minorHAnsi" w:hAnsiTheme="minorHAnsi" w:cstheme="minorHAnsi"/>
          <w:lang w:val="cy-GB"/>
        </w:rPr>
      </w:pPr>
      <w:r w:rsidRPr="00A97F45">
        <w:rPr>
          <w:rFonts w:asciiTheme="minorHAnsi" w:hAnsiTheme="minorHAnsi" w:cstheme="minorHAnsi"/>
          <w:lang w:val="cy-GB"/>
        </w:rPr>
        <w:t>Dylai'r lleoliadau / ysgolion ddefnyddio'r datganiad 'Cynnwys pob dysgwr' i edrych ar eu trefniadau presennol a nodi ymarfer da, tra hefyd yn tynnu sylw at unrhyw ffyrdd o weithio a allai greu rhwystrau amgylcheddol neu gymdeithasol i gymryd rhan ac ymgysylltu. Rhaid i leoliadau / ysgolion weithio i ddarparu cwricwlwm cynhwysol sy'n cynnig cyfleoedd i bob dysgwr gyflawni a chyfrannu at y Gymru aml-ethnig heddiw (A Curriculum for All Learners, 2010).</w:t>
      </w:r>
    </w:p>
    <w:p w14:paraId="2A0A5CF2" w14:textId="13C10D8F" w:rsidR="00680655" w:rsidRPr="00A97F45" w:rsidRDefault="00680655" w:rsidP="00872CAF">
      <w:pPr>
        <w:spacing w:line="276" w:lineRule="auto"/>
        <w:ind w:firstLine="720"/>
        <w:rPr>
          <w:rFonts w:asciiTheme="minorHAnsi" w:hAnsiTheme="minorHAnsi" w:cstheme="minorHAnsi"/>
          <w:lang w:val="cy-GB"/>
        </w:rPr>
      </w:pPr>
      <w:r w:rsidRPr="00A97F45">
        <w:rPr>
          <w:rFonts w:asciiTheme="minorHAnsi" w:hAnsiTheme="minorHAnsi" w:cstheme="minorHAnsi"/>
          <w:lang w:val="cy-GB"/>
        </w:rPr>
        <w:t xml:space="preserve">Yn ôl Tomlinson 2014, mae gwahaniaethu yn gallu cael ei ddeall fel ymagwedd gyfrannol sydd yn seiliedig ar egwyddorion at ddysgu ac addysgu mewn lleoliadau heterogenaidd, ac mae rhaid i athrawon cynllunio’n rhyngweithiol ar gyfer gwahaniaethu o flaen llaw ar gyfer y dysgwyr. I gysylltu â hyn, mae athrawon i fod i gynllunio gwahaniaethu </w:t>
      </w:r>
      <w:r w:rsidRPr="00A97F45">
        <w:rPr>
          <w:rFonts w:asciiTheme="minorHAnsi" w:hAnsiTheme="minorHAnsi" w:cstheme="minorHAnsi"/>
          <w:lang w:val="cy-GB"/>
        </w:rPr>
        <w:lastRenderedPageBreak/>
        <w:t>ar sail gwybodaeth a sgiliau cyfredol, diddordeb sy’n ymwneud a chynnwys, a dewisiadau ar gyfer ymgysylltu a’r cwricwlwm (Tomlinson, 2014). O ran addysg, oherwydd yr Adroddiad Donaldson ‘Dyfodol Llwyddiannus’ (2015), mae gwahaniaethu yn hanfodol yn yr ystafell dosbarth ac mae hyn yn cael ei wneud trwy scaffoldio ac Asesu ar Gyfer Dysgu, a bydd mwy o wybodaeth ar sut mae scaffoldio ac Asesu ar Gyfer Dysgu yn cysylltu â gwahaniaethu yn nes ymlaen yn y papur. Mae wedi’i gofnodi bod llawer o athrawon yn cael trafferth i gofleidio a gweithredu yn ymarferol gyda gwahaniaethu yn effeithiol yn eu cyd-destunau gwaith (Hertberg-Davis; Brighton, 2016). Mae hwn yn heriol i rai athrawon, ac yn cynnwys newid enfawr mewn rhai lleoliadau, oherwydd does dim digon o adnoddau a chyfleoedd dysgu proffesiynol (Mills et al, 2014).</w:t>
      </w:r>
    </w:p>
    <w:p w14:paraId="6A9C71D9" w14:textId="5030838A" w:rsidR="00680655" w:rsidRPr="00A97F45" w:rsidRDefault="001457C3" w:rsidP="00872CAF">
      <w:pPr>
        <w:spacing w:line="276" w:lineRule="auto"/>
        <w:ind w:firstLine="720"/>
        <w:jc w:val="both"/>
        <w:rPr>
          <w:rFonts w:asciiTheme="minorHAnsi" w:hAnsiTheme="minorHAnsi" w:cstheme="minorHAnsi"/>
          <w:lang w:val="cy-GB"/>
        </w:rPr>
      </w:pPr>
      <w:r w:rsidRPr="00A97F45">
        <w:rPr>
          <w:rFonts w:asciiTheme="minorHAnsi" w:eastAsiaTheme="minorHAnsi" w:hAnsiTheme="minorHAnsi" w:cstheme="minorHAnsi"/>
          <w:lang w:val="cy-GB"/>
        </w:rPr>
        <w:t>Mae ymchwilwyr megis Tomlinson a McTighe (2006), yn nodi mai’r prif nod o wahaniaethu yw sicrhau bod athrawon yn canolbwyntio ar brosesau a gweithdrefnau sy’n darparu cyfleoedd dysgu effeithiol i bob unigolyn. Er enghraifft, yn Ysgol X maent yn darparu gwaith gwahanol i ddysgwyr sydd a ADY yn wahanol i ddysgwyr MAT sy’n cael eu herio o fewn wersi. Er hyn, erbyn diwedd y wers maent yn cyrraedd yr un amcan dysgu. Yn syml, mae Tomlinson (1999) yn dadlau mae cyfarwyddyd gwahaniaethol yn ddull sy’n galluogi athrawon i gynllunio’n strategol i gyrraedd anghenion pob dysgwr, wrth weithredu o fewn fframwaith cwricwlwm cyffredin. Dyma ddatganiad Tomlinson a Jarvis (2009) am wahaniaethu:</w:t>
      </w:r>
    </w:p>
    <w:p w14:paraId="0EC88C0B" w14:textId="4D2D844A" w:rsidR="00680655" w:rsidRPr="00A97F45" w:rsidRDefault="00680655" w:rsidP="00872CAF">
      <w:pPr>
        <w:ind w:left="720"/>
        <w:rPr>
          <w:rFonts w:asciiTheme="minorHAnsi" w:hAnsiTheme="minorHAnsi" w:cstheme="minorHAnsi"/>
          <w:lang w:val="cy-GB"/>
        </w:rPr>
      </w:pPr>
      <w:r w:rsidRPr="00A97F45">
        <w:rPr>
          <w:rFonts w:asciiTheme="minorHAnsi" w:hAnsiTheme="minorHAnsi" w:cstheme="minorHAnsi"/>
          <w:lang w:val="cy-GB"/>
        </w:rPr>
        <w:t>“Differentiation is an approach to curriculum and instruction that systematically takes student differences into account in designing opportunities for each student to engage with information and ideas and to develop essential skills. Differentiation provides a framework for responding to differences in students’ current and developing levels of readiness, their learning profiles, and their interests, to optimize the match between students and learning opportunities. These three dimensions of student difference can be addressed through adjustments to the content, process, products, and environments of student learning”. (Tomlinson</w:t>
      </w:r>
      <w:r w:rsidR="00CB4864" w:rsidRPr="00A97F45">
        <w:rPr>
          <w:rFonts w:asciiTheme="minorHAnsi" w:hAnsiTheme="minorHAnsi" w:cstheme="minorHAnsi"/>
          <w:lang w:val="cy-GB"/>
        </w:rPr>
        <w:t>;</w:t>
      </w:r>
      <w:r w:rsidRPr="00A97F45">
        <w:rPr>
          <w:rFonts w:asciiTheme="minorHAnsi" w:hAnsiTheme="minorHAnsi" w:cstheme="minorHAnsi"/>
          <w:lang w:val="cy-GB"/>
        </w:rPr>
        <w:t xml:space="preserve"> Jarvis, 2009, p. 599). </w:t>
      </w:r>
    </w:p>
    <w:p w14:paraId="3EB13F4A" w14:textId="77777777" w:rsidR="00680655" w:rsidRPr="00A97F45" w:rsidRDefault="00680655" w:rsidP="00872CAF">
      <w:pPr>
        <w:spacing w:line="276" w:lineRule="auto"/>
        <w:ind w:left="720"/>
        <w:rPr>
          <w:rFonts w:asciiTheme="minorHAnsi" w:hAnsiTheme="minorHAnsi" w:cstheme="minorHAnsi"/>
          <w:lang w:val="cy-GB"/>
        </w:rPr>
      </w:pPr>
    </w:p>
    <w:p w14:paraId="562023CD" w14:textId="108B7ACB" w:rsidR="00680655"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Mae Sadler (2013) yn pwysleisio bod yr athro yn diffinio’r bwlch rhwng yr hyn gall y dysgwyr ei gyflawni heb unrhyw fath o gymorth er mwyn iddynt wybod beth y gellir ei gyflawni gyda chymorth addas yn cael ei hystyried fel gwahaniaethu gan eich bod yn gwybod ble mae’r dysgwyr ar y dechrau a ble mae rhaid iddynt gyrraedd. Mae hwn yn cael ei ystyried fel techneg a strategaeth o wahaniaethu. Mae hwn yn cysylltu gyda syniad Vygotsky (1986) o </w:t>
      </w:r>
      <w:r w:rsidRPr="00A97F45">
        <w:rPr>
          <w:rFonts w:asciiTheme="minorHAnsi" w:eastAsiaTheme="minorHAnsi" w:hAnsiTheme="minorHAnsi" w:cstheme="minorHAnsi"/>
          <w:i/>
          <w:iCs/>
          <w:lang w:val="cy-GB"/>
        </w:rPr>
        <w:t>Barth Datblygiad Procsimol</w:t>
      </w:r>
      <w:r w:rsidRPr="00A97F45">
        <w:rPr>
          <w:rFonts w:asciiTheme="minorHAnsi" w:eastAsiaTheme="minorHAnsi" w:hAnsiTheme="minorHAnsi" w:cstheme="minorHAnsi"/>
          <w:lang w:val="cy-GB"/>
        </w:rPr>
        <w:t xml:space="preserve"> (PDP), a bydd mwy o wybodaeth am hyn yn cael ei drafod yn nad ymlaen. I gysylltu â hwnna, mae’r defnydd o syniad Wood et al (1976) o syniad Vygotsky o scaffoldio, oherwydd i rai dysgwyr efallai bydd rhaid iddynt gael cymorth ychwanegol er mwyn iddynt gyrraedd yr un man a’r dysgwyr eraill. Felly, trwy wahaniaethu wrth ddefnyddio scaffoldio; bydd pawb yn cyrraedd yr un nodau ac amcanion yn y pendraw. Er hyn, y ffordd mae ysgol heigion yn diffinio’r strategaeth y Parth Datblygiad Procsimol yn amrywio. Er enghraifft mae Chaiklin (2005), yn nodi i Vygotsky mae rhaid diffinio’r parth er mwyn cynllunio datblygiad. Diffinnir y camau datblygu gwahanol hyn fel dilyniant o strwythurau cydlynol ar gyfer rhyngweithio â swyddogaethau deallusol. Er hyn, </w:t>
      </w:r>
      <w:r w:rsidRPr="00A97F45">
        <w:rPr>
          <w:rFonts w:asciiTheme="minorHAnsi" w:eastAsiaTheme="minorHAnsi" w:hAnsiTheme="minorHAnsi" w:cstheme="minorHAnsi"/>
          <w:lang w:val="cy-GB"/>
        </w:rPr>
        <w:lastRenderedPageBreak/>
        <w:t>ar gyfer y dysgwyr ADY, efallai bydd rhaid iddynt gael fwy o gamau yn eu lle er mwyn cyrraedd yr un man a dysgwyr MATh.</w:t>
      </w:r>
    </w:p>
    <w:p w14:paraId="5AAA8445" w14:textId="3352A614" w:rsidR="00EB0A49"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Y cwestiwn mae’r Llywodraeth yn codi wrth sôn amdano wahaniaethu yw: ‘Ydy gwahaniaethu yn capio’r cynnydd mae’r dysgwyr yn gallu gwneud?’. Daeth Simpson a Ure (1994) yn eu hastudiaeth o wahaniaethu, i'r casgliad, os na fydd athrawon yn ymateb i anghenion unigol dysgwyr neu ddim yn gwybod sut i greu'r amodau sy'n caniatáu iddynt wneud hynny, ni fydd unrhyw strategaeth wahaniaethu yn effeithiol iawn. Maent yn pwysleisio yn A Curriculum for All Learners (2010), bod bob dysgwr anghenion ac sy'n gysylltiedig â rhain:</w:t>
      </w:r>
    </w:p>
    <w:p w14:paraId="7F93D618" w14:textId="5DFF2BCD" w:rsidR="00EB0A49" w:rsidRPr="00A97F45" w:rsidRDefault="00EB0A49" w:rsidP="00872CAF">
      <w:pPr>
        <w:spacing w:line="276" w:lineRule="auto"/>
        <w:rPr>
          <w:rFonts w:asciiTheme="minorHAnsi" w:hAnsiTheme="minorHAnsi" w:cstheme="minorHAnsi"/>
          <w:lang w:val="cy-GB"/>
        </w:rPr>
      </w:pPr>
      <w:r w:rsidRPr="00A97F45">
        <w:rPr>
          <w:rFonts w:asciiTheme="minorHAnsi" w:hAnsiTheme="minorHAnsi" w:cstheme="minorHAnsi"/>
          <w:b/>
          <w:lang w:val="cy-GB"/>
        </w:rPr>
        <w:t>y cwricwlwm</w:t>
      </w:r>
      <w:r w:rsidRPr="00A97F45">
        <w:rPr>
          <w:rFonts w:asciiTheme="minorHAnsi" w:hAnsiTheme="minorHAnsi" w:cstheme="minorHAnsi"/>
          <w:lang w:val="cy-GB"/>
        </w:rPr>
        <w:t xml:space="preserve">: yr angen i gael lefelau gwaith priodol; i wybod am yr hyn sydd i'w ddysgu; i osod targedau tymor byr realistig; i gael cefnogaeth wrth gaffael sgiliau cydran neu ragofynion. </w:t>
      </w:r>
    </w:p>
    <w:p w14:paraId="2140306A" w14:textId="52EE0264" w:rsidR="00EB0A49" w:rsidRPr="00A97F45" w:rsidRDefault="001457C3" w:rsidP="001457C3">
      <w:pPr>
        <w:spacing w:line="276" w:lineRule="auto"/>
        <w:rPr>
          <w:rFonts w:asciiTheme="minorHAnsi" w:hAnsiTheme="minorHAnsi" w:cstheme="minorHAnsi"/>
          <w:lang w:val="cy-GB"/>
        </w:rPr>
      </w:pPr>
      <w:r w:rsidRPr="00A97F45">
        <w:rPr>
          <w:rFonts w:asciiTheme="minorHAnsi" w:eastAsiaTheme="minorHAnsi" w:hAnsiTheme="minorHAnsi" w:cstheme="minorHAnsi"/>
          <w:b/>
          <w:bCs/>
          <w:lang w:val="cy-GB"/>
        </w:rPr>
        <w:t>gwybyddiaeth</w:t>
      </w:r>
      <w:r w:rsidRPr="00A97F45">
        <w:rPr>
          <w:rFonts w:asciiTheme="minorHAnsi" w:eastAsiaTheme="minorHAnsi" w:hAnsiTheme="minorHAnsi" w:cstheme="minorHAnsi"/>
          <w:lang w:val="cy-GB"/>
        </w:rPr>
        <w:t>: yr angen i gael esboniadau sy'n ddealladwy; bod camddealltwriaeth a chamdybiaethau wedi'u nodi a'u cywiro; i gael 'sgaffaldiau cysyniadol' a fydd yn galluogi trefnu manylion neu ymhelaethi o gysyniadau haniaethol; i gael strategaethau sydd ar gael megis mapio cysyniad i gynorthwyo i ddatblygu dealltwriaeth.</w:t>
      </w:r>
    </w:p>
    <w:p w14:paraId="317A822A" w14:textId="77F9A93F" w:rsidR="00EB0A49" w:rsidRPr="00A97F45" w:rsidRDefault="00EB0A49" w:rsidP="00872CAF">
      <w:pPr>
        <w:spacing w:line="276" w:lineRule="auto"/>
        <w:rPr>
          <w:rFonts w:asciiTheme="minorHAnsi" w:hAnsiTheme="minorHAnsi" w:cstheme="minorHAnsi"/>
          <w:lang w:val="cy-GB"/>
        </w:rPr>
      </w:pPr>
      <w:r w:rsidRPr="00A97F45">
        <w:rPr>
          <w:rFonts w:asciiTheme="minorHAnsi" w:hAnsiTheme="minorHAnsi" w:cstheme="minorHAnsi"/>
          <w:b/>
          <w:lang w:val="cy-GB"/>
        </w:rPr>
        <w:t>rheolaeth dysgu</w:t>
      </w:r>
      <w:r w:rsidRPr="00A97F45">
        <w:rPr>
          <w:rFonts w:asciiTheme="minorHAnsi" w:hAnsiTheme="minorHAnsi" w:cstheme="minorHAnsi"/>
          <w:lang w:val="cy-GB"/>
        </w:rPr>
        <w:t xml:space="preserve">: yr angen i gael cefnogaeth i hunan-pacio a rheoli gwaith; i gael cymorth i ddeall sut i weithio'n broffidiol mewn grwpiau; gallu nodi strategaethau ar gyfer datrys problemau / mynd i'r afael â chwestiynau arholiad / cymryd nodiadau / tynnu sylw at bwyntiau allweddol / diwygio, ac ati; i ddatblygu strategaeth ar gyfer gofyn am help gyda phroblemau. </w:t>
      </w:r>
    </w:p>
    <w:p w14:paraId="138664E6" w14:textId="5E98AA37" w:rsidR="007B7CD7"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Y cwestiwn sydd yn codi yn aml yn Ysgol X yw oes rhaid creu gwahanol dasgau megis taflenni gwaith i ddangos ei fod yn gwahaniaethu? Yr ateb you na. Yn ôl Mcnamara a Moreton (1997), mae pwrpas i wahaniaethu achos un peth mae rhaid i athrawon i’w gofio yw bod pob dysgwr yn dysgu mewn gwahanol ffordd. Mae ymchwil yn dangos mai gwahaniaethu yn aml yn cael ei hystyried fel strategaeth dysgu negyddol, felly dyle athrawon meddwl i ddysgu ac addysgu yn y ffordd mae’r dysgwyr yn dysgu’n orau. I Mcnamara a Moreton (2016), y ffriodd orau i wahaniaethu yw trwy gyfathrebu, cydweithrediad a chyngor. Yn Ysgol X, dyma yn union un o’r prif strategaethau maent yn defnyddio i wahaniaethu yn ystod eu gwersi.</w:t>
      </w:r>
    </w:p>
    <w:p w14:paraId="56212920" w14:textId="5EED07A8" w:rsidR="009A12F4"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Wrth edrych ar wahaniaethu, mae yna dau ochr i wahaniaethu sef yr ymagweddau blaengar a dulliau traddodiadol. Mae yna gwahanol ddulliau traddodiadol megis grwpio’r dysgwyr yn ôl gallu, gwahaniaethu trwy dasgau sydd yn golygu byddent yn creu tasgau penodol ar gyfer gwahanol unigolion; ac yn olaf mae athrawon yn barod wedi rhoi’r dysgwyr i mewn i grwpiau sydd â galluoedd tebyg (Mcnamara a Moreton, 2016). Yn ogystal â hyn, i Radice (2015), mae rhaid trin y dysgwyr yr un peth ac yn gyfartal, ni ddylid gwneud lwfansau. Mae disgwyliadau clir ar gyfer y dysgwyr i gyd. Dydy Ysgol X ddim yn defnyddio’r dulliau traddodiadol, yn hytrach maent yn defnyddio’r ymagweddau blaengar (progressive approaches). Yn Ysgol X, maent yn cael dosbarthiadau gallu cymysg, gwahaniaethu yn ôl nodau ac amcanion y wers, ac yn olaf gwahaniaethu yn ôl adnoddau. Y canlyniad o ddefnyddio’r ymagweddau blaengar yma yn un cadarnhaol yn Ysgol X. Er enghraifft, mae’r </w:t>
      </w:r>
      <w:r w:rsidRPr="00A97F45">
        <w:rPr>
          <w:rFonts w:asciiTheme="minorHAnsi" w:eastAsiaTheme="minorHAnsi" w:hAnsiTheme="minorHAnsi" w:cstheme="minorHAnsi"/>
          <w:lang w:val="cy-GB"/>
        </w:rPr>
        <w:lastRenderedPageBreak/>
        <w:t>dysgwyr yn eistedd mewn grwpiau gallu cymysg, ac maent yn rhoi cymorth i’w gilydd, ac mae hwn yn agwedd cadarnhaol oherwydd mae’r dysgwyr mwy uchel ei gallu yn defnyddio eu dealltwriaeth i helpu’r dysgwyr is ei gallu, ac wrth i’r dysgwyr ADY eistedd ar bwys dysgwyr MAT, mae’r dysgwyr ADY eisiau cyrraedd yr un safon a gweddill y dysgwyr ac yna mae’r athrawon yn herio’r dysgwyr MAT yn fwy. Er hyn, mae Convery a Coyle (1999) yn dweud does dim ffordd benodol i wahaniaethu, does dim strategaeth yn gweithio’n well na’r llall, cyn belled mae ymdrech yn cael ei wneud i gyfateb ag anghenion y dysgwyr. Mae Convery a Coyle (1996) yn awgrymu mae gwahanol fathau o wahaniaethu yn gallu cael ei wneud trwy gael testunau gwahanol, gwahanol mathau o dasgau, ac fel mae Mcnamara (2016) yn dweud wrth nodau ac amcanion. Mae strategaethau eraill yn cynnwys o ran y gwahanol fath o gymorth sydd yn cael ei rhoi i’r dysgwyr, ei allu ac yn olaf trwy ei wahanol ddiddordebau.</w:t>
      </w:r>
    </w:p>
    <w:p w14:paraId="1087AE9E" w14:textId="2F7FE93A" w:rsidR="00E94465"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Yn ogystal â hynny, mae gwahaniaethu yn cynnwys gwthio lefel yr her, sef un o flaenoriaethau'r ysgol. Mae Ysgol X yn defnyddio dylanwad Tom Sherrington (2017), achos i Sherrington (2017), mae dysgu i’r uchaf wedi bod yn egwyddor hir sefydlog o addysgu effeithiol, ond y ffordd mae’r strategaeth yn cael ei wneud wedi cael ei addasu. Dydy hwnna ddim dim ond yn golygu eich bod yn gwthio’r rhai MAT, ond yr ydych yn rhoi camau yn ei le er mwyn i bob dysgwyr cyrraedd yr un lefel yn y pendraw. I Sherrington (2017), mae gormod o ddysgwyr ddim yn cael eu herio’n ddigon, felly os yr ydych yn datrys hwn, bydd y bar yn cael ei godi i bawb. Ar hyn y bryd yn Ysgol X, maent yn cyflwyno’r wers trwy dasgau carwsél. Nid yn unig ydynt yn defnyddio nhw fel ffordd o adolygu megis mae’r arbenigedd pynciol yn arwain y thema. Mae yna ffocws ar herio’r dysgwyr sydd yn y ‘grŵp canol’. I gytuno ar beth mae’r ysgol yn gwthio fel blaenoriaeth mae Allison a Tharby (2015) yn dweud mai’r dysgwyr yn hoffi cael eu herio, ond i gofio nid yw’r flaenoriaeth ar y dysgwyr MAT. I Allison a Tharby (2015), mae cael disgwyliadau uchel trwy’r amser yn cael dylanwad  positif ar y dysgwyr, ac mae’n dda i’r dysgwyr cael eu gwthio tu allan i’w parth cysur, achos wrth gael eu gwthio dyna pryd mae’r dysgwyr yn fwy tebygol o ddysgu’r mwyaf oherwydd na fyddent yn diflasu. Mae’r strategaeth yma yn cael ei weld yn Ysgol X. Ym mhob dosbarth mae yna gornel her, ac wrth i’r athrawon gweld y dysgwyr yn diflasu neu maen nhw wedi cwblhau eu gwaith, mae’r athro/ awes yn gofyn i’r dysgwr i ddewis tasg o’r cornel her er mwyn iddynt gwblhau i gael nhw nol ar y trywydd cywir.</w:t>
      </w:r>
    </w:p>
    <w:p w14:paraId="7978F020" w14:textId="39CBD244" w:rsidR="00E94465" w:rsidRPr="00A97F45" w:rsidRDefault="001457C3" w:rsidP="001457C3">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 xml:space="preserve">Mae ffocws enfawr ar feddylfryd twf ar draws ysgolion ar hyn y bryd gan ei fod yn un o’r egwyddorion sydd yn cael ei drafod yn Ddyfodol Llwyddiannus (2015). I gytuno a hwn mae Dweck (2012), sydd yn sôn os maent yn cael y dysgwyr i fabwysiadu meddylfryd twf, yna mae’r dysgwyr yn fwy tebygol o weithio'n galed, i herio eu hunain a byddant yn mwynhau'r frwydr gyda'r dasg oherwydd eu bod yn parhau i weld cynnydd wrth wthio eu hunan. Er hyn ar y llaw arall, os oes gan ddysgwyr feddylfryd sefydlog, byddant yn gweld her fel canfyddiad negyddol am nad ydynt yn gweld y manteision wrth wthio eu hunain hyd yn oed os ydynt yn ymdrechu â hi ar y dechrau. Dyma pryd mae’r Ysgol ar Adran yn creu adnoddau gwahaniaethu er mwn rhoi’r cymorth ychwanegol i’r dysgwyr sydd eu hangen er </w:t>
      </w:r>
      <w:r w:rsidRPr="00A97F45">
        <w:rPr>
          <w:rFonts w:asciiTheme="minorHAnsi" w:eastAsiaTheme="minorHAnsi" w:hAnsiTheme="minorHAnsi" w:cstheme="minorHAnsi"/>
          <w:lang w:val="cy-GB"/>
        </w:rPr>
        <w:lastRenderedPageBreak/>
        <w:t>mwyn iddynt gyrraedd yr un lle a’r dysgwyr eraill, ac mae hwn yn cael ei weld yn yr CDY a CDA.</w:t>
      </w:r>
    </w:p>
    <w:p w14:paraId="2A445F4D" w14:textId="2A16CC59" w:rsidR="009A43E3"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Mae Ysgol X yn barod yn gwahaniaethu o fewn grwpiau sydd yn strategaeth o Gunnill (2015).  Maent yn grwpio’r dysgwyr yn ôl eu potensial. Er mwyn i hyn i weithio, mae rhaid cael grwpiau cymysg (Gunnill, 2015), oherwydd wrth gael dysgwyr ADY a rhai MAT yn yr un grŵp, maent yn rhoi cymorth i'w gilydd. Mae'r defnydd o'r strategaeth gydweithio hon fel offeryn dysgu ac addysgu yn galluogi’r dysgwyr o allu tebyg i herio a chefnogi ei gilydd. Drwy weithredu fel ffrindiau dysgu, gallant wirio gwaith ei gilydd.</w:t>
      </w:r>
    </w:p>
    <w:p w14:paraId="6582214B" w14:textId="012D741D" w:rsidR="00B673A4" w:rsidRPr="00A97F45" w:rsidRDefault="001457C3" w:rsidP="00872CAF">
      <w:pPr>
        <w:spacing w:line="276" w:lineRule="auto"/>
        <w:ind w:firstLine="720"/>
        <w:rPr>
          <w:rFonts w:asciiTheme="minorHAnsi" w:hAnsiTheme="minorHAnsi" w:cstheme="minorHAnsi"/>
          <w:lang w:val="cy-GB"/>
        </w:rPr>
      </w:pPr>
      <w:r w:rsidRPr="00A97F45">
        <w:rPr>
          <w:rFonts w:asciiTheme="minorHAnsi" w:eastAsiaTheme="minorHAnsi" w:hAnsiTheme="minorHAnsi" w:cstheme="minorHAnsi"/>
          <w:lang w:val="cy-GB"/>
        </w:rPr>
        <w:t>Wrth edrych ar y ffordd ymlaen ynglŷn â chyflawni’r blaenoriaethau’r ysgol a’r adran yn gyflawn, mae rhaid edrych ar wahanol strategaethau gall Ysgol X cynnwys yn yr ysgol. Mae’r ysgol yn llwyddiannus ynglŷn â chyflawni’r flaenoriaeth o wahaniaethu, ond mae ychydig o strategaethau ychwanegol gallent gynnwys i sicrhau mae gwahaniaethau yn cael ei wneud i’r safon uchaf yn yr ysgol. Yna, trwy gyflawni’r flaenoriaeth o wahaniaethu bydd cynnydd y dysgwyr yn gwella, ac yn y pendraw bydd canlyniadau'r ysgol yn codi a bydd y dysgwyr yn cael y cymorth gorau posib gall yr ysgol a’r adran rhoi i’r dysgwyr.</w:t>
      </w:r>
    </w:p>
    <w:p w14:paraId="483E657E" w14:textId="77777777" w:rsidR="005B6DB9" w:rsidRDefault="001457C3" w:rsidP="005B6DB9">
      <w:pPr>
        <w:spacing w:line="276" w:lineRule="auto"/>
        <w:rPr>
          <w:rFonts w:asciiTheme="minorHAnsi" w:hAnsiTheme="minorHAnsi" w:cstheme="minorHAnsi"/>
          <w:lang w:val="cy-GB"/>
        </w:rPr>
      </w:pPr>
      <w:r w:rsidRPr="00A97F45">
        <w:rPr>
          <w:rFonts w:asciiTheme="minorHAnsi" w:eastAsiaTheme="minorHAnsi" w:hAnsiTheme="minorHAnsi" w:cstheme="minorHAnsi"/>
          <w:lang w:val="cy-GB"/>
        </w:rPr>
        <w:tab/>
        <w:t>Yn gyntaf, hyd yn oed mae’r gwahanol o gwestiynu yn gyfyngedig (Anderson, 2007), mae ymchwil cadarn yn dweud mai’r gwahanol fathau o gwestiynu yn gallu bod yn sylfaen i wahaniaethu. Yn ôl Cox (2008) sy’n dweud, mae addasu cyfarwyddyd i dynnu ar ddiddordebau myfyrwyr yn debygol o ail-ymgysylltu â mwy o fyfyrwyr, lefelau cymhelliant cynhenid, cynhyrchedd myfyriwr uwch, mwy o annibyniaeth myfyrwyr, cyrhaeddiad mewnol, ac ymdeimlad o hunan-gym</w:t>
      </w:r>
      <w:r w:rsidR="00A97F45" w:rsidRPr="00A97F45">
        <w:rPr>
          <w:rFonts w:asciiTheme="minorHAnsi" w:eastAsiaTheme="minorHAnsi" w:hAnsiTheme="minorHAnsi" w:cstheme="minorHAnsi"/>
          <w:lang w:val="cy-GB"/>
        </w:rPr>
        <w:t xml:space="preserve">hwysedd. Mae’r strategaeth yma </w:t>
      </w:r>
      <w:r w:rsidRPr="00A97F45">
        <w:rPr>
          <w:rFonts w:asciiTheme="minorHAnsi" w:eastAsiaTheme="minorHAnsi" w:hAnsiTheme="minorHAnsi" w:cstheme="minorHAnsi"/>
          <w:lang w:val="cy-GB"/>
        </w:rPr>
        <w:t>yn cynnwys rheolaeth dosbarth, hyrwyddo ymgysylltiad y dysgwyr, bod yn barod i ddefnyddio gwahanol strategaethau dysgu ac addysg, ac yn olaf bod yn barod i ddysgu’r dysgwyr lan at eu Parth Datblygiad Procsimol (Allan a Tomlinson, 2000). Ar draws llenyddiaeth, mae arbenigwyr (Anderson, 2007; Rock, Gregg, Ellis, a Gable, 2008; Tomlinson, 2000) yn awgrymu egwyddorion arweiniol i gefnogi arferion ystafell ddosbarth gwahaniaethol. Yn gyntaf i ganolbwyntio ar syniadau a sgiliau hanfodol yr ardal gynnwys, gan ddileu tasgau a gweithgareddau atodol os oes angen. Felly, os mae’r athrawon yn gallu gweld mae rhai dysgwyr neu ddosbarth angen fwy o wahaniaethu, dyle dileu tasgau i gadarnhau mae’r dysgwyr yn deall beth maent wedi dysgu yn flaenorol i’r pethau ychwanegol. Mae hwnna’n cysylltu gydag ymateb i wahaniaethu ar gyfer dysgwyr unigol ADY, megis arddull dysgu, gwybodaeth flaenorol, diddordebau a lefel ymgysylltu.</w:t>
      </w:r>
    </w:p>
    <w:p w14:paraId="113309E0" w14:textId="1B02748F" w:rsidR="0052314F" w:rsidRPr="00A97F45" w:rsidRDefault="001457C3" w:rsidP="005B6DB9">
      <w:pPr>
        <w:spacing w:line="276" w:lineRule="auto"/>
        <w:ind w:firstLine="360"/>
        <w:rPr>
          <w:rFonts w:asciiTheme="minorHAnsi" w:hAnsiTheme="minorHAnsi" w:cstheme="minorHAnsi"/>
          <w:lang w:val="cy-GB"/>
        </w:rPr>
      </w:pPr>
      <w:r w:rsidRPr="00A97F45">
        <w:rPr>
          <w:rFonts w:asciiTheme="minorHAnsi" w:eastAsiaTheme="minorHAnsi" w:hAnsiTheme="minorHAnsi" w:cstheme="minorHAnsi"/>
          <w:lang w:val="cy-GB"/>
        </w:rPr>
        <w:t xml:space="preserve">Yn ogystal â hynny, dylai athrawon integreiddio asesiadau parhaus ac ystyrlon gyda chyfarwyddyd gan asesu yn barhaus; adlewyrchu; ac addasu cynnwys, proses, a chynnyrch i ddiwallu anghenion myfyrwyr. Gall athrawon asesu barhaus trwy asesu ffurfiannol sydd yn un o egwyddorion Asesu ar Gyfer Dysgu, sydd hefyd yn un o egwyddorion Dyfodol Llwyddiannus (2015). Mae Ysgol X yn defnyddio strategaethau Asesu ar Gyfer Dysgu, ond wrth ymchwilio i mewn i wahanol lenyddiaeth ac ysgol heigion, megis Black a Wiliam (1998). Wrth asesu yn ffurfiannol, gall yr athrawon gweld beth yw cynnydd y dysgwyr trwy gydol y wers, a thrwy hyn, byddant yn gallu gweld os mae rhaid gwahaniaethu mwy neu lai, achos </w:t>
      </w:r>
      <w:r w:rsidRPr="00A97F45">
        <w:rPr>
          <w:rFonts w:asciiTheme="minorHAnsi" w:eastAsiaTheme="minorHAnsi" w:hAnsiTheme="minorHAnsi" w:cstheme="minorHAnsi"/>
          <w:lang w:val="cy-GB"/>
        </w:rPr>
        <w:lastRenderedPageBreak/>
        <w:t>mae rhaid bod ymwybodol o wthio’r dysgwyr i mewn i’r ‘struggle zone’ (Allison; Tharby, 2015).</w:t>
      </w:r>
    </w:p>
    <w:p w14:paraId="31122818" w14:textId="5FFFF25B" w:rsidR="007B7CD7" w:rsidRPr="00A97F45" w:rsidRDefault="001457C3" w:rsidP="001457C3">
      <w:pPr>
        <w:spacing w:line="276" w:lineRule="auto"/>
        <w:ind w:firstLine="360"/>
        <w:rPr>
          <w:rFonts w:asciiTheme="minorHAnsi" w:hAnsiTheme="minorHAnsi" w:cstheme="minorHAnsi"/>
          <w:lang w:val="cy-GB"/>
        </w:rPr>
      </w:pPr>
      <w:r w:rsidRPr="00A97F45">
        <w:rPr>
          <w:rFonts w:asciiTheme="minorHAnsi" w:eastAsiaTheme="minorHAnsi" w:hAnsiTheme="minorHAnsi" w:cstheme="minorHAnsi"/>
          <w:lang w:val="cy-GB"/>
        </w:rPr>
        <w:t xml:space="preserve">Fel drafodwn yn gynharach, mae Ysgol X yn defnyddio dechneg o Vygotsky (1978) o PDP, a scaffoldio, ond gall Ysgol X cael fwy o gysondeb ynglyn a’r strategaeth. Yr ydym yn ymwybodol bod PDP yn cael ei ddiffinio fel y gwahaniaeth rhwng yr hyn y gall y dysgwyr eu gwneud heb unrhyw fath o gymorth, a beth gall y dysgwyr eu cyflawni gyda chanllawiau ac anogaeth gan yr athro. Awgrym gall Ysgol X ei wneud i sicrhau mae’r strategaeth yn cael ei ddefnyddio gyda phwrpas llawn yw cael dasg i’r dysgwyr i gyflawni er mwyn i’r athro dosbarth gwybod ble mae’r dysgwyr ar hyn y bryd a ble mae rhaid iddynt gyrraedd, ac wrth ddefnyddio strategaeth o Sherrington (2017) o ‘teaching to the top’, bydd yr athrawon gallu scaffoldio beth sydd angen ar y dysgwyr er mwyn cyrraedd yr un amcan a phob dysgwr arall. Er enghraifft, i Sherrington (1999), mae dosbarth gwahaniaethu yn cynnwys gwahanol fathau o gwestiynau gan ddefnyddio Tacsonomy Bloom (2001). Gallent ddefnyddio Bloom ar gyfer gwahaniaethu rhwng y ADY a MAT trwy ofyn gwahanol gwestiynau a chael e rhan o dasg yn ystod y wers. Wrth gyflwyno’r gwahanol fathau o gwestiynau yn rheolaidd, bydd y dysgwyr yn dod yn gyfaredd a’r dechneg a dros amser wrth herio'r rhai MAT wrth ddefnyddio’r cwestiynau anoddach, bydd y </w:t>
      </w:r>
      <w:r w:rsidR="00EC1D24">
        <w:rPr>
          <w:rFonts w:asciiTheme="minorHAnsi" w:eastAsiaTheme="minorHAnsi" w:hAnsiTheme="minorHAnsi" w:cstheme="minorHAnsi"/>
          <w:lang w:val="cy-GB"/>
        </w:rPr>
        <w:t xml:space="preserve">bwlch </w:t>
      </w:r>
      <w:r w:rsidRPr="00A97F45">
        <w:rPr>
          <w:rFonts w:asciiTheme="minorHAnsi" w:eastAsiaTheme="minorHAnsi" w:hAnsiTheme="minorHAnsi" w:cstheme="minorHAnsi"/>
          <w:lang w:val="cy-GB"/>
        </w:rPr>
        <w:t>rhwng y ADY a MAT yn lleihau wrth ymarfer y cwestiynau yn gyson. Yn ogystal â hynny, wrth asesu ffurfiannol, ac amryw o wahanol strategaethau dysgu ac addysgu megis cael y dysgwyr i ddewis pa dasg maent yn cyflawni, i gadarnhau mae’r dysgwyr yn y canol o addysg eu hun (Sherrington, 1999). Wrth gael y dysgwyr i ddewis pa dasg maent yn cyflawni, mae rhaid i’r athro dosbarth sicrhau maent yn gwybod gallu'r dysgwyr. Wrth wybod gallu'r dysgwyr, bydd yr athro gallu gweld os mae’r dysgwyr yn dewis tasg synhwyrol neu beidio ag arwain y dysgwyr i’r cyfeiriad cywir i gyflawni’r gwaith i’r safon gorau i allu'r dysgwyr.</w:t>
      </w:r>
    </w:p>
    <w:p w14:paraId="57387B53" w14:textId="05ADDD51" w:rsidR="009A2E01" w:rsidRPr="00A97F45" w:rsidRDefault="001457C3" w:rsidP="001457C3">
      <w:pPr>
        <w:spacing w:line="276" w:lineRule="auto"/>
        <w:ind w:firstLine="360"/>
        <w:rPr>
          <w:rFonts w:asciiTheme="minorHAnsi" w:hAnsiTheme="minorHAnsi" w:cstheme="minorHAnsi"/>
          <w:lang w:val="cy-GB"/>
        </w:rPr>
      </w:pPr>
      <w:r w:rsidRPr="00A97F45">
        <w:rPr>
          <w:rFonts w:asciiTheme="minorHAnsi" w:eastAsiaTheme="minorHAnsi" w:hAnsiTheme="minorHAnsi" w:cstheme="minorHAnsi"/>
          <w:lang w:val="cy-GB"/>
        </w:rPr>
        <w:t>Wrth ddod at gasgliad, gallwn weld mae Ysgol X yn gweithio tuag un o flaenoriaethau’r ysgol ac yr adran o wahaniaethu ar gyfer y dysgwyr ADY ac y rhai MAT i safon uchel. Ar y cyfan, mae’r dysgwyr yn cyflawni nifer o wahanol strategaethau i gynorthwyo’r dysgwyr. Er hyn, yn yr adroddiad yma mae ychydig o awgrymiadau i sicrhau mae’r flaenoriaeth sydd o fewn y CDY a CDA yn cael ei ddatrys, er mwyn i Ysgol X symud ymlaen gyda blaenoriaeth newydd i sicrhau mae Ysgol X yn cadw lan at ei ddisgwyliadau uchel a safonau uchel o fewn yr ysgol. Yn bennaf, mae rhaid i’r ysgol sicrhau mae yna gysondeb rhwng yr adran a’r ysgol, ac ar hyn y bryd mae yna gyfathrebu rhwng y ddau, ond wrth gadw at y cyfathrebu a thrwy ymrwymo mwy o’r strategaethau dysgu ac addysgu i mewn i’r ysgol a’r adran, bydd y flaenoriaeth o wahaniaethu wedi cael ei gyflawni. Felly, wrth ddod at ddiwedd yr adroddiad yma, rydym yn gwybod ble mae Ysgol X ar hyn y bryd gyda’i blaenoriaethau o’r CDY a CDA, beth maent yn gwneud amdano fe, a beth yw ei gamau gweithredu i’r dyfodol. Bydd y camau gweithredu yn cymryd amser, ond wrth gael cysondeb bydd yr ysgol yn lleihau’r cap rhwng y dysgwyr ADY a'r dysgwyr MAT, a dros amser byddent yn gallu tynnu yn ôl o scaffoldio y dysgwyr ADY yn y diwedd ac efallai bydd cynorthwyo’r dysgwyr yn ddigon iddynt.</w:t>
      </w:r>
    </w:p>
    <w:p w14:paraId="337F7ADF" w14:textId="3C999979" w:rsidR="004057F9" w:rsidRPr="00A97F45" w:rsidRDefault="004057F9" w:rsidP="00872CAF">
      <w:pPr>
        <w:spacing w:line="276" w:lineRule="auto"/>
        <w:ind w:firstLine="360"/>
        <w:rPr>
          <w:rFonts w:asciiTheme="minorHAnsi" w:hAnsiTheme="minorHAnsi" w:cstheme="minorHAnsi"/>
          <w:lang w:val="cy-GB"/>
        </w:rPr>
      </w:pPr>
    </w:p>
    <w:p w14:paraId="069961C4" w14:textId="45484377" w:rsidR="004057F9" w:rsidRPr="00A97F45" w:rsidRDefault="004057F9" w:rsidP="00872CAF">
      <w:pPr>
        <w:spacing w:line="276" w:lineRule="auto"/>
        <w:ind w:firstLine="360"/>
        <w:rPr>
          <w:rFonts w:asciiTheme="minorHAnsi" w:hAnsiTheme="minorHAnsi" w:cstheme="minorHAnsi"/>
          <w:lang w:val="cy-GB"/>
        </w:rPr>
      </w:pPr>
    </w:p>
    <w:p w14:paraId="00510CF8" w14:textId="60122FF0" w:rsidR="004057F9" w:rsidRPr="00A97F45" w:rsidRDefault="004057F9" w:rsidP="00872CAF">
      <w:pPr>
        <w:spacing w:line="276" w:lineRule="auto"/>
        <w:ind w:firstLine="360"/>
        <w:rPr>
          <w:rFonts w:asciiTheme="minorHAnsi" w:hAnsiTheme="minorHAnsi" w:cstheme="minorHAnsi"/>
          <w:u w:val="single"/>
          <w:lang w:val="cy-GB"/>
        </w:rPr>
      </w:pPr>
      <w:r w:rsidRPr="00A97F45">
        <w:rPr>
          <w:rFonts w:asciiTheme="minorHAnsi" w:hAnsiTheme="minorHAnsi" w:cstheme="minorHAnsi"/>
          <w:u w:val="single"/>
          <w:lang w:val="cy-GB"/>
        </w:rPr>
        <w:t>Cyfeirnodau:</w:t>
      </w:r>
    </w:p>
    <w:p w14:paraId="34C5FA35" w14:textId="2A1C8BF0" w:rsidR="004057F9" w:rsidRPr="00A97F45" w:rsidRDefault="004057F9" w:rsidP="00872CAF">
      <w:pPr>
        <w:spacing w:line="276" w:lineRule="auto"/>
        <w:ind w:firstLine="360"/>
        <w:rPr>
          <w:rFonts w:asciiTheme="minorHAnsi" w:hAnsiTheme="minorHAnsi" w:cstheme="minorHAnsi"/>
          <w:lang w:val="cy-GB"/>
        </w:rPr>
      </w:pPr>
    </w:p>
    <w:p w14:paraId="48D440D1" w14:textId="28CEE347" w:rsidR="004057F9" w:rsidRPr="00A97F45" w:rsidRDefault="004057F9" w:rsidP="00727D8F">
      <w:pPr>
        <w:spacing w:line="276" w:lineRule="auto"/>
        <w:rPr>
          <w:rFonts w:asciiTheme="minorHAnsi" w:hAnsiTheme="minorHAnsi" w:cstheme="minorHAnsi"/>
          <w:lang w:val="cy-GB"/>
        </w:rPr>
      </w:pPr>
      <w:r w:rsidRPr="00A97F45">
        <w:rPr>
          <w:rFonts w:asciiTheme="minorHAnsi" w:hAnsiTheme="minorHAnsi" w:cstheme="minorHAnsi"/>
          <w:lang w:val="cy-GB"/>
        </w:rPr>
        <w:t>Jamie Billingham. (2012). </w:t>
      </w:r>
      <w:r w:rsidRPr="00A97F45">
        <w:rPr>
          <w:rFonts w:asciiTheme="minorHAnsi" w:hAnsiTheme="minorHAnsi" w:cstheme="minorHAnsi"/>
          <w:i/>
          <w:iCs/>
          <w:lang w:val="cy-GB"/>
        </w:rPr>
        <w:t>Strategic Planning in Education – 3 Keys to Success.</w:t>
      </w:r>
      <w:r w:rsidRPr="00A97F45">
        <w:rPr>
          <w:rFonts w:asciiTheme="minorHAnsi" w:hAnsiTheme="minorHAnsi" w:cstheme="minorHAnsi"/>
          <w:lang w:val="cy-GB"/>
        </w:rPr>
        <w:t> Available: https://www.thoughtexchange.com/strategic-planning-in-education-3-keys-to-success/. Last accessed 22/01/2019.</w:t>
      </w:r>
    </w:p>
    <w:p w14:paraId="23F1D22B" w14:textId="0F187804" w:rsidR="004057F9" w:rsidRPr="00A97F45" w:rsidRDefault="004057F9" w:rsidP="00727D8F">
      <w:pPr>
        <w:spacing w:line="276" w:lineRule="auto"/>
        <w:rPr>
          <w:rFonts w:asciiTheme="minorHAnsi" w:hAnsiTheme="minorHAnsi" w:cstheme="minorHAnsi"/>
          <w:lang w:val="cy-GB"/>
        </w:rPr>
      </w:pPr>
    </w:p>
    <w:p w14:paraId="6F903716" w14:textId="4DDA3A2D" w:rsidR="004057F9" w:rsidRPr="00A97F45" w:rsidRDefault="004057F9" w:rsidP="00727D8F">
      <w:pPr>
        <w:spacing w:line="276" w:lineRule="auto"/>
        <w:rPr>
          <w:rFonts w:asciiTheme="minorHAnsi" w:hAnsiTheme="minorHAnsi" w:cstheme="minorHAnsi"/>
          <w:lang w:val="cy-GB"/>
        </w:rPr>
      </w:pPr>
      <w:r w:rsidRPr="00A97F45">
        <w:rPr>
          <w:rFonts w:asciiTheme="minorHAnsi" w:hAnsiTheme="minorHAnsi" w:cstheme="minorHAnsi"/>
          <w:lang w:val="cy-GB"/>
        </w:rPr>
        <w:t>Mary Forehand (2011). </w:t>
      </w:r>
      <w:r w:rsidRPr="00A97F45">
        <w:rPr>
          <w:rFonts w:asciiTheme="minorHAnsi" w:hAnsiTheme="minorHAnsi" w:cstheme="minorHAnsi"/>
          <w:i/>
          <w:iCs/>
          <w:lang w:val="cy-GB"/>
        </w:rPr>
        <w:t>Emerging Perspectives on Learning, Teaching and Technology</w:t>
      </w:r>
      <w:r w:rsidRPr="00A97F45">
        <w:rPr>
          <w:rFonts w:asciiTheme="minorHAnsi" w:hAnsiTheme="minorHAnsi" w:cstheme="minorHAnsi"/>
          <w:lang w:val="cy-GB"/>
        </w:rPr>
        <w:t>. Georgia: 2011. 1-10.</w:t>
      </w:r>
    </w:p>
    <w:p w14:paraId="4C1604AD" w14:textId="5C21A87A" w:rsidR="004057F9" w:rsidRPr="00A97F45" w:rsidRDefault="004057F9" w:rsidP="00727D8F">
      <w:pPr>
        <w:spacing w:before="100" w:beforeAutospacing="1" w:after="100" w:afterAutospacing="1" w:line="276" w:lineRule="auto"/>
        <w:rPr>
          <w:rFonts w:asciiTheme="minorHAnsi" w:hAnsiTheme="minorHAnsi" w:cstheme="minorHAnsi"/>
          <w:lang w:val="cy-GB"/>
        </w:rPr>
      </w:pPr>
      <w:r w:rsidRPr="00A97F45">
        <w:rPr>
          <w:rFonts w:asciiTheme="minorHAnsi" w:hAnsiTheme="minorHAnsi" w:cstheme="minorHAnsi"/>
          <w:lang w:val="cy-GB"/>
        </w:rPr>
        <w:t>Saul McLeod. (2018). </w:t>
      </w:r>
      <w:r w:rsidRPr="00A97F45">
        <w:rPr>
          <w:rFonts w:asciiTheme="minorHAnsi" w:hAnsiTheme="minorHAnsi" w:cstheme="minorHAnsi"/>
          <w:i/>
          <w:iCs/>
          <w:lang w:val="cy-GB"/>
        </w:rPr>
        <w:t>The Zone of Proximal Development and Scaffolding.</w:t>
      </w:r>
      <w:r w:rsidRPr="00A97F45">
        <w:rPr>
          <w:rFonts w:asciiTheme="minorHAnsi" w:hAnsiTheme="minorHAnsi" w:cstheme="minorHAnsi"/>
          <w:lang w:val="cy-GB"/>
        </w:rPr>
        <w:t xml:space="preserve"> Available: </w:t>
      </w:r>
      <w:hyperlink r:id="rId7" w:history="1">
        <w:r w:rsidRPr="00A97F45">
          <w:rPr>
            <w:rStyle w:val="Hyperlink"/>
            <w:rFonts w:asciiTheme="minorHAnsi" w:hAnsiTheme="minorHAnsi" w:cstheme="minorHAnsi"/>
            <w:color w:val="auto"/>
            <w:lang w:val="cy-GB"/>
          </w:rPr>
          <w:t>https://www.simplypsychology.org/Zone-of-Proximal-Development.html. Last accessed 22/01/2019</w:t>
        </w:r>
      </w:hyperlink>
      <w:r w:rsidRPr="00A97F45">
        <w:rPr>
          <w:rFonts w:asciiTheme="minorHAnsi" w:hAnsiTheme="minorHAnsi" w:cstheme="minorHAnsi"/>
          <w:lang w:val="cy-GB"/>
        </w:rPr>
        <w:t>.</w:t>
      </w:r>
    </w:p>
    <w:p w14:paraId="388CB3E9" w14:textId="7FC958D7" w:rsidR="00727D8F" w:rsidRPr="00A97F45" w:rsidRDefault="00727D8F" w:rsidP="00727D8F">
      <w:pPr>
        <w:rPr>
          <w:rFonts w:asciiTheme="minorHAnsi" w:hAnsiTheme="minorHAnsi" w:cstheme="minorHAnsi"/>
          <w:lang w:val="cy-GB"/>
        </w:rPr>
      </w:pPr>
      <w:r w:rsidRPr="00A97F45">
        <w:rPr>
          <w:rFonts w:asciiTheme="minorHAnsi" w:hAnsiTheme="minorHAnsi" w:cstheme="minorHAnsi"/>
          <w:lang w:val="cy-GB"/>
        </w:rPr>
        <w:t xml:space="preserve">Welsh Government, (2014) School Development Plans, [online] Available from: </w:t>
      </w:r>
      <w:hyperlink r:id="rId8" w:tgtFrame="_blank" w:history="1">
        <w:r w:rsidRPr="00A97F45">
          <w:rPr>
            <w:rStyle w:val="Hyperlink"/>
            <w:rFonts w:asciiTheme="minorHAnsi" w:hAnsiTheme="minorHAnsi" w:cstheme="minorHAnsi"/>
            <w:color w:val="auto"/>
            <w:u w:val="none"/>
            <w:lang w:val="cy-GB"/>
          </w:rPr>
          <w:t>http://gov.wales/docs/dcells/publications/141023-school-development-plans.pdf</w:t>
        </w:r>
      </w:hyperlink>
      <w:r w:rsidRPr="00A97F45">
        <w:rPr>
          <w:rFonts w:asciiTheme="minorHAnsi" w:hAnsiTheme="minorHAnsi" w:cstheme="minorHAnsi"/>
          <w:lang w:val="cy-GB"/>
        </w:rPr>
        <w:t xml:space="preserve"> (Mynediad ddiwethaf: 20/01 2019) </w:t>
      </w:r>
    </w:p>
    <w:p w14:paraId="6736B9F3" w14:textId="77777777" w:rsidR="00727D8F" w:rsidRPr="00A97F45" w:rsidRDefault="00727D8F" w:rsidP="00727D8F">
      <w:pPr>
        <w:spacing w:line="276" w:lineRule="auto"/>
        <w:rPr>
          <w:rFonts w:asciiTheme="minorHAnsi" w:hAnsiTheme="minorHAnsi" w:cstheme="minorHAnsi"/>
          <w:lang w:val="cy-GB"/>
        </w:rPr>
      </w:pPr>
    </w:p>
    <w:p w14:paraId="3131D0B8" w14:textId="08DED24E"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Gwang-Chol Chang (2006). </w:t>
      </w:r>
      <w:r w:rsidRPr="00A97F45">
        <w:rPr>
          <w:rFonts w:asciiTheme="minorHAnsi" w:hAnsiTheme="minorHAnsi" w:cstheme="minorHAnsi"/>
          <w:i/>
          <w:iCs/>
          <w:lang w:val="cy-GB"/>
        </w:rPr>
        <w:t>ED/EPS/2006/PI/11 October 2006 Strategic Planning in Education: Some Concepts and Steps</w:t>
      </w:r>
      <w:r w:rsidRPr="00A97F45">
        <w:rPr>
          <w:rFonts w:asciiTheme="minorHAnsi" w:hAnsiTheme="minorHAnsi" w:cstheme="minorHAnsi"/>
          <w:lang w:val="cy-GB"/>
        </w:rPr>
        <w:t>. Paris: United Nations Educational, Scientific and Cultural Organization.</w:t>
      </w:r>
    </w:p>
    <w:p w14:paraId="230498E2" w14:textId="0269C9F5" w:rsidR="00294753" w:rsidRPr="00A97F45" w:rsidRDefault="00294753" w:rsidP="00727D8F">
      <w:pPr>
        <w:spacing w:line="276" w:lineRule="auto"/>
        <w:rPr>
          <w:rFonts w:asciiTheme="minorHAnsi" w:hAnsiTheme="minorHAnsi" w:cstheme="minorHAnsi"/>
          <w:lang w:val="cy-GB"/>
        </w:rPr>
      </w:pPr>
    </w:p>
    <w:p w14:paraId="1A030972" w14:textId="018E23C6"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Maiyo Kiprop Julius; Ndiku Judah. (2014). Strategic Organizational, Planning and Management: An Introduction. </w:t>
      </w:r>
      <w:r w:rsidRPr="00A97F45">
        <w:rPr>
          <w:rFonts w:asciiTheme="minorHAnsi" w:hAnsiTheme="minorHAnsi" w:cstheme="minorHAnsi"/>
          <w:i/>
          <w:iCs/>
          <w:lang w:val="cy-GB"/>
        </w:rPr>
        <w:t>Research Signpost</w:t>
      </w:r>
      <w:r w:rsidRPr="00A97F45">
        <w:rPr>
          <w:rFonts w:asciiTheme="minorHAnsi" w:hAnsiTheme="minorHAnsi" w:cstheme="minorHAnsi"/>
          <w:lang w:val="cy-GB"/>
        </w:rPr>
        <w:t>. 37 (2), 34-47.</w:t>
      </w:r>
    </w:p>
    <w:p w14:paraId="44FF0FBD" w14:textId="080B90F8" w:rsidR="00294753" w:rsidRPr="00A97F45" w:rsidRDefault="00294753" w:rsidP="00727D8F">
      <w:pPr>
        <w:spacing w:line="276" w:lineRule="auto"/>
        <w:rPr>
          <w:rFonts w:asciiTheme="minorHAnsi" w:hAnsiTheme="minorHAnsi" w:cstheme="minorHAnsi"/>
          <w:lang w:val="cy-GB"/>
        </w:rPr>
      </w:pPr>
    </w:p>
    <w:p w14:paraId="632F7A3D" w14:textId="77777777"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Gill Gunnill. (2015). </w:t>
      </w:r>
      <w:r w:rsidRPr="00A97F45">
        <w:rPr>
          <w:rFonts w:asciiTheme="minorHAnsi" w:hAnsiTheme="minorHAnsi" w:cstheme="minorHAnsi"/>
          <w:i/>
          <w:iCs/>
          <w:lang w:val="cy-GB"/>
        </w:rPr>
        <w:t>How collaborative learning can be used as a strategy to support differentiation in the classroom.</w:t>
      </w:r>
      <w:r w:rsidRPr="00A97F45">
        <w:rPr>
          <w:rFonts w:asciiTheme="minorHAnsi" w:hAnsiTheme="minorHAnsi" w:cstheme="minorHAnsi"/>
          <w:lang w:val="cy-GB"/>
        </w:rPr>
        <w:t> Available: https://www.stem.org.uk/news-and-views/opinions/how-collaborative-learning-can-be-used-strategy-support-differentiation. Last accessed 22/01/2019.</w:t>
      </w:r>
    </w:p>
    <w:p w14:paraId="3EC527BA" w14:textId="2F716116" w:rsidR="00294753" w:rsidRPr="00A97F45" w:rsidRDefault="00294753" w:rsidP="00727D8F">
      <w:pPr>
        <w:spacing w:line="276" w:lineRule="auto"/>
        <w:rPr>
          <w:rFonts w:asciiTheme="minorHAnsi" w:hAnsiTheme="minorHAnsi" w:cstheme="minorHAnsi"/>
          <w:lang w:val="cy-GB"/>
        </w:rPr>
      </w:pPr>
    </w:p>
    <w:p w14:paraId="0FE1BFE0" w14:textId="7FB48111"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Tom Sherrington. (2013). </w:t>
      </w:r>
      <w:r w:rsidRPr="00A97F45">
        <w:rPr>
          <w:rFonts w:asciiTheme="minorHAnsi" w:hAnsiTheme="minorHAnsi" w:cstheme="minorHAnsi"/>
          <w:i/>
          <w:iCs/>
          <w:lang w:val="cy-GB"/>
        </w:rPr>
        <w:t>Raising The Bar.</w:t>
      </w:r>
      <w:r w:rsidRPr="00A97F45">
        <w:rPr>
          <w:rFonts w:asciiTheme="minorHAnsi" w:hAnsiTheme="minorHAnsi" w:cstheme="minorHAnsi"/>
          <w:lang w:val="cy-GB"/>
        </w:rPr>
        <w:t> Available: https://teacherhead.com/2013/05/12/raising-the-bar/. Last accessed 23/01/2019.</w:t>
      </w:r>
    </w:p>
    <w:p w14:paraId="4AC8603D" w14:textId="0420CFC4" w:rsidR="00294753" w:rsidRPr="00A97F45" w:rsidRDefault="00294753" w:rsidP="00727D8F">
      <w:pPr>
        <w:spacing w:line="276" w:lineRule="auto"/>
        <w:rPr>
          <w:rFonts w:asciiTheme="minorHAnsi" w:hAnsiTheme="minorHAnsi" w:cstheme="minorHAnsi"/>
          <w:lang w:val="cy-GB"/>
        </w:rPr>
      </w:pPr>
    </w:p>
    <w:p w14:paraId="2622E363" w14:textId="5654F267" w:rsidR="00294753" w:rsidRPr="00A97F45" w:rsidRDefault="00294753" w:rsidP="00727D8F">
      <w:pPr>
        <w:spacing w:line="276" w:lineRule="auto"/>
        <w:rPr>
          <w:rFonts w:asciiTheme="minorHAnsi" w:hAnsiTheme="minorHAnsi" w:cstheme="minorHAnsi"/>
          <w:lang w:val="cy-GB"/>
        </w:rPr>
      </w:pPr>
      <w:r w:rsidRPr="00A97F45">
        <w:rPr>
          <w:rFonts w:asciiTheme="minorHAnsi" w:hAnsiTheme="minorHAnsi" w:cstheme="minorHAnsi"/>
          <w:lang w:val="cy-GB"/>
        </w:rPr>
        <w:t>Tom Sherrington. (2017). </w:t>
      </w:r>
      <w:r w:rsidRPr="00A97F45">
        <w:rPr>
          <w:rFonts w:asciiTheme="minorHAnsi" w:hAnsiTheme="minorHAnsi" w:cstheme="minorHAnsi"/>
          <w:i/>
          <w:iCs/>
          <w:lang w:val="cy-GB"/>
        </w:rPr>
        <w:t>Teaching to the Top: Attitudes and strategies for delivering real challenge.</w:t>
      </w:r>
      <w:r w:rsidR="000E63D3" w:rsidRPr="00A97F45">
        <w:rPr>
          <w:rFonts w:asciiTheme="minorHAnsi" w:hAnsiTheme="minorHAnsi" w:cstheme="minorHAnsi"/>
          <w:i/>
          <w:iCs/>
          <w:lang w:val="cy-GB"/>
        </w:rPr>
        <w:t xml:space="preserve"> </w:t>
      </w:r>
      <w:r w:rsidRPr="00A97F45">
        <w:rPr>
          <w:rFonts w:asciiTheme="minorHAnsi" w:hAnsiTheme="minorHAnsi" w:cstheme="minorHAnsi"/>
          <w:lang w:val="cy-GB"/>
        </w:rPr>
        <w:t>Available: https://teacherhead.com/2013/05/12/raising-the-bar/. Last accessed 23/01/2019.</w:t>
      </w:r>
    </w:p>
    <w:p w14:paraId="2B5C684C" w14:textId="659B1D9D" w:rsidR="000E63D3" w:rsidRPr="00A97F45" w:rsidRDefault="00294753" w:rsidP="00727D8F">
      <w:pPr>
        <w:pStyle w:val="NormalWeb"/>
        <w:spacing w:line="276" w:lineRule="auto"/>
        <w:rPr>
          <w:rFonts w:asciiTheme="minorHAnsi" w:hAnsiTheme="minorHAnsi" w:cstheme="minorHAnsi"/>
          <w:lang w:val="cy-GB"/>
        </w:rPr>
      </w:pPr>
      <w:r w:rsidRPr="00A97F45">
        <w:rPr>
          <w:rFonts w:asciiTheme="minorHAnsi" w:hAnsiTheme="minorHAnsi" w:cstheme="minorHAnsi"/>
          <w:lang w:val="cy-GB"/>
        </w:rPr>
        <w:t xml:space="preserve">Llywodraeth Cymru (2007). A Curriculum for All Learners. </w:t>
      </w:r>
    </w:p>
    <w:p w14:paraId="4887E479" w14:textId="57044C31"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David Didau. (2018).</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Differentiation: to do or not to do?.</w:t>
      </w:r>
      <w:r w:rsidRPr="00A97F45">
        <w:rPr>
          <w:rStyle w:val="apple-converted-space"/>
          <w:rFonts w:asciiTheme="minorHAnsi" w:hAnsiTheme="minorHAnsi" w:cstheme="minorHAnsi"/>
          <w:lang w:val="cy-GB"/>
        </w:rPr>
        <w:t> </w:t>
      </w:r>
      <w:r w:rsidRPr="00A97F45">
        <w:rPr>
          <w:rFonts w:asciiTheme="minorHAnsi" w:hAnsiTheme="minorHAnsi" w:cstheme="minorHAnsi"/>
          <w:lang w:val="cy-GB"/>
        </w:rPr>
        <w:t>Available: https://learningspy.co.uk/assessment/differentiation-to-do-or-not-to-do/. Last accessed 23/01/2019.</w:t>
      </w:r>
    </w:p>
    <w:p w14:paraId="5AEBD5F5" w14:textId="77777777" w:rsidR="000E63D3" w:rsidRPr="00A97F45" w:rsidRDefault="000E63D3" w:rsidP="00727D8F">
      <w:pPr>
        <w:spacing w:line="276" w:lineRule="auto"/>
        <w:rPr>
          <w:rFonts w:asciiTheme="minorHAnsi" w:hAnsiTheme="minorHAnsi" w:cstheme="minorHAnsi"/>
          <w:lang w:val="cy-GB"/>
        </w:rPr>
      </w:pPr>
    </w:p>
    <w:p w14:paraId="5EAB493B" w14:textId="247BEFE6"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Linda K. Lemasters. (2009). Educational Planning.</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The Journal of the International Society for Educational Planning</w:t>
      </w:r>
      <w:r w:rsidRPr="00A97F45">
        <w:rPr>
          <w:rFonts w:asciiTheme="minorHAnsi" w:hAnsiTheme="minorHAnsi" w:cstheme="minorHAnsi"/>
          <w:lang w:val="cy-GB"/>
        </w:rPr>
        <w:t>. 1 (1).</w:t>
      </w:r>
    </w:p>
    <w:p w14:paraId="41AF0081" w14:textId="4B949BB8" w:rsidR="000E63D3" w:rsidRPr="00A97F45" w:rsidRDefault="000E63D3" w:rsidP="00727D8F">
      <w:pPr>
        <w:spacing w:line="276" w:lineRule="auto"/>
        <w:rPr>
          <w:rFonts w:asciiTheme="minorHAnsi" w:hAnsiTheme="minorHAnsi" w:cstheme="minorHAnsi"/>
          <w:lang w:val="cy-GB"/>
        </w:rPr>
      </w:pPr>
    </w:p>
    <w:p w14:paraId="72F7107F" w14:textId="3237CBBA"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 xml:space="preserve"> Estyn </w:t>
      </w:r>
      <w:r w:rsidR="005B6DB9">
        <w:rPr>
          <w:rFonts w:asciiTheme="minorHAnsi" w:hAnsiTheme="minorHAnsi" w:cstheme="minorHAnsi"/>
          <w:lang w:val="cy-GB"/>
        </w:rPr>
        <w:t xml:space="preserve">(2013), Ysgol X. </w:t>
      </w:r>
    </w:p>
    <w:p w14:paraId="1A0135B7" w14:textId="3B766334" w:rsidR="000E63D3" w:rsidRPr="00A97F45" w:rsidRDefault="000E63D3" w:rsidP="00727D8F">
      <w:pPr>
        <w:spacing w:line="276" w:lineRule="auto"/>
        <w:rPr>
          <w:rFonts w:asciiTheme="minorHAnsi" w:hAnsiTheme="minorHAnsi" w:cstheme="minorHAnsi"/>
          <w:lang w:val="cy-GB"/>
        </w:rPr>
      </w:pPr>
    </w:p>
    <w:p w14:paraId="4C80A0AD" w14:textId="22990A46" w:rsidR="000E63D3" w:rsidRPr="00A97F45" w:rsidRDefault="000E63D3" w:rsidP="00727D8F">
      <w:pPr>
        <w:spacing w:line="276" w:lineRule="auto"/>
        <w:rPr>
          <w:rFonts w:asciiTheme="minorHAnsi" w:hAnsiTheme="minorHAnsi" w:cstheme="minorHAnsi"/>
          <w:lang w:val="cy-GB"/>
        </w:rPr>
      </w:pPr>
      <w:r w:rsidRPr="00A97F45">
        <w:rPr>
          <w:rFonts w:asciiTheme="minorHAnsi" w:hAnsiTheme="minorHAnsi" w:cstheme="minorHAnsi"/>
          <w:lang w:val="cy-GB"/>
        </w:rPr>
        <w:t>Carol Ann Tomlinson (1999).</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The Differentiated Classroom</w:t>
      </w:r>
      <w:r w:rsidRPr="00A97F45">
        <w:rPr>
          <w:rFonts w:asciiTheme="minorHAnsi" w:hAnsiTheme="minorHAnsi" w:cstheme="minorHAnsi"/>
          <w:lang w:val="cy-GB"/>
        </w:rPr>
        <w:t>. America: ASCD.</w:t>
      </w:r>
    </w:p>
    <w:p w14:paraId="47C8A4CC" w14:textId="2069574B" w:rsidR="000E63D3" w:rsidRPr="00A97F45" w:rsidRDefault="000E63D3" w:rsidP="00727D8F">
      <w:pPr>
        <w:spacing w:line="276" w:lineRule="auto"/>
        <w:rPr>
          <w:rFonts w:asciiTheme="minorHAnsi" w:hAnsiTheme="minorHAnsi" w:cstheme="minorHAnsi"/>
          <w:lang w:val="cy-GB"/>
        </w:rPr>
      </w:pPr>
    </w:p>
    <w:p w14:paraId="624419E1" w14:textId="0334DC96"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Anne Convery; Do Coyle (1999).</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Differentiation and Individual Learners</w:t>
      </w:r>
      <w:r w:rsidRPr="00A97F45">
        <w:rPr>
          <w:rFonts w:asciiTheme="minorHAnsi" w:hAnsiTheme="minorHAnsi" w:cstheme="minorHAnsi"/>
          <w:lang w:val="cy-GB"/>
        </w:rPr>
        <w:t xml:space="preserve">. London: CILT. </w:t>
      </w:r>
    </w:p>
    <w:p w14:paraId="1DFF285B" w14:textId="60BBF7F0" w:rsidR="00727D8F" w:rsidRPr="00A97F45" w:rsidRDefault="00727D8F" w:rsidP="00727D8F">
      <w:pPr>
        <w:spacing w:line="276" w:lineRule="auto"/>
        <w:rPr>
          <w:rFonts w:asciiTheme="minorHAnsi" w:hAnsiTheme="minorHAnsi" w:cstheme="minorHAnsi"/>
          <w:lang w:val="cy-GB"/>
        </w:rPr>
      </w:pPr>
    </w:p>
    <w:p w14:paraId="66708BE2" w14:textId="2040F1F8"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Sylvia McNamara; Gill Moreton (1997).</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Understanding Differentiation</w:t>
      </w:r>
      <w:r w:rsidRPr="00A97F45">
        <w:rPr>
          <w:rFonts w:asciiTheme="minorHAnsi" w:hAnsiTheme="minorHAnsi" w:cstheme="minorHAnsi"/>
          <w:lang w:val="cy-GB"/>
        </w:rPr>
        <w:t>. London: David Fulton Publishers.</w:t>
      </w:r>
    </w:p>
    <w:p w14:paraId="768F83BE" w14:textId="7ABE0941" w:rsidR="00727D8F" w:rsidRPr="00A97F45" w:rsidRDefault="00727D8F" w:rsidP="00727D8F">
      <w:pPr>
        <w:spacing w:line="276" w:lineRule="auto"/>
        <w:rPr>
          <w:rFonts w:asciiTheme="minorHAnsi" w:hAnsiTheme="minorHAnsi" w:cstheme="minorHAnsi"/>
          <w:lang w:val="cy-GB"/>
        </w:rPr>
      </w:pPr>
    </w:p>
    <w:p w14:paraId="61B0A34A" w14:textId="17B0BB28"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Chris Dickinson; Julie Wright (1993).</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Differentiation: A Practical Handbook of Classroom Strategies</w:t>
      </w:r>
      <w:r w:rsidRPr="00A97F45">
        <w:rPr>
          <w:rFonts w:asciiTheme="minorHAnsi" w:hAnsiTheme="minorHAnsi" w:cstheme="minorHAnsi"/>
          <w:lang w:val="cy-GB"/>
        </w:rPr>
        <w:t>. Coventry: NCET</w:t>
      </w:r>
      <w:r w:rsidR="0018440C" w:rsidRPr="00A97F45">
        <w:rPr>
          <w:rFonts w:asciiTheme="minorHAnsi" w:hAnsiTheme="minorHAnsi" w:cstheme="minorHAnsi"/>
          <w:lang w:val="cy-GB"/>
        </w:rPr>
        <w:t xml:space="preserve">. </w:t>
      </w:r>
    </w:p>
    <w:p w14:paraId="6775FEEB" w14:textId="507541CC" w:rsidR="00727D8F" w:rsidRPr="00A97F45" w:rsidRDefault="00727D8F" w:rsidP="00727D8F">
      <w:pPr>
        <w:spacing w:line="276" w:lineRule="auto"/>
        <w:rPr>
          <w:rFonts w:asciiTheme="minorHAnsi" w:hAnsiTheme="minorHAnsi" w:cstheme="minorHAnsi"/>
          <w:lang w:val="cy-GB"/>
        </w:rPr>
      </w:pPr>
    </w:p>
    <w:p w14:paraId="219D97D3" w14:textId="76658773" w:rsidR="00727D8F" w:rsidRPr="00A97F45" w:rsidRDefault="00727D8F" w:rsidP="00727D8F">
      <w:pPr>
        <w:spacing w:line="276" w:lineRule="auto"/>
        <w:rPr>
          <w:rFonts w:asciiTheme="minorHAnsi" w:hAnsiTheme="minorHAnsi" w:cstheme="minorHAnsi"/>
          <w:lang w:val="cy-GB"/>
        </w:rPr>
      </w:pPr>
      <w:r w:rsidRPr="00A97F45">
        <w:rPr>
          <w:rFonts w:asciiTheme="minorHAnsi" w:hAnsiTheme="minorHAnsi" w:cstheme="minorHAnsi"/>
          <w:lang w:val="cy-GB"/>
        </w:rPr>
        <w:t>Paul Ginnis (2002).</w:t>
      </w:r>
      <w:r w:rsidRPr="00A97F45">
        <w:rPr>
          <w:rStyle w:val="apple-converted-space"/>
          <w:rFonts w:asciiTheme="minorHAnsi" w:hAnsiTheme="minorHAnsi" w:cstheme="minorHAnsi"/>
          <w:lang w:val="cy-GB"/>
        </w:rPr>
        <w:t> </w:t>
      </w:r>
      <w:r w:rsidRPr="00A97F45">
        <w:rPr>
          <w:rFonts w:asciiTheme="minorHAnsi" w:hAnsiTheme="minorHAnsi" w:cstheme="minorHAnsi"/>
          <w:i/>
          <w:iCs/>
          <w:lang w:val="cy-GB"/>
        </w:rPr>
        <w:t>The Teacher's Toolkit</w:t>
      </w:r>
      <w:r w:rsidRPr="00A97F45">
        <w:rPr>
          <w:rFonts w:asciiTheme="minorHAnsi" w:hAnsiTheme="minorHAnsi" w:cstheme="minorHAnsi"/>
          <w:lang w:val="cy-GB"/>
        </w:rPr>
        <w:t>. Carmarthen: Crown House Publishing Ltd.</w:t>
      </w:r>
    </w:p>
    <w:p w14:paraId="3D6A08E0" w14:textId="77777777" w:rsidR="00727D8F" w:rsidRPr="00A97F45" w:rsidRDefault="00727D8F" w:rsidP="00727D8F">
      <w:pPr>
        <w:rPr>
          <w:rFonts w:asciiTheme="minorHAnsi" w:hAnsiTheme="minorHAnsi" w:cstheme="minorHAnsi"/>
          <w:lang w:val="cy-GB"/>
        </w:rPr>
      </w:pPr>
    </w:p>
    <w:p w14:paraId="26238A9B" w14:textId="77777777" w:rsidR="00727D8F" w:rsidRPr="00A97F45" w:rsidRDefault="00727D8F" w:rsidP="00727D8F">
      <w:pPr>
        <w:rPr>
          <w:rFonts w:asciiTheme="minorHAnsi" w:hAnsiTheme="minorHAnsi" w:cstheme="minorHAnsi"/>
          <w:lang w:val="cy-GB"/>
        </w:rPr>
      </w:pPr>
    </w:p>
    <w:p w14:paraId="04469983" w14:textId="77777777" w:rsidR="00727D8F" w:rsidRPr="00A97F45" w:rsidRDefault="00727D8F" w:rsidP="000E63D3">
      <w:pPr>
        <w:rPr>
          <w:rFonts w:asciiTheme="minorHAnsi" w:hAnsiTheme="minorHAnsi" w:cstheme="minorHAnsi"/>
          <w:sz w:val="20"/>
          <w:szCs w:val="20"/>
          <w:lang w:val="cy-GB"/>
        </w:rPr>
      </w:pPr>
    </w:p>
    <w:p w14:paraId="0ACC0B85" w14:textId="77777777" w:rsidR="000E63D3" w:rsidRPr="00A97F45" w:rsidRDefault="000E63D3" w:rsidP="00294753">
      <w:pPr>
        <w:pStyle w:val="NormalWeb"/>
        <w:rPr>
          <w:rFonts w:asciiTheme="minorHAnsi" w:hAnsiTheme="minorHAnsi" w:cstheme="minorHAnsi"/>
          <w:lang w:val="cy-GB"/>
        </w:rPr>
      </w:pPr>
    </w:p>
    <w:p w14:paraId="43CBF698" w14:textId="77777777" w:rsidR="00294753" w:rsidRPr="00A97F45" w:rsidRDefault="00294753" w:rsidP="00294753">
      <w:pPr>
        <w:rPr>
          <w:rFonts w:asciiTheme="minorHAnsi" w:hAnsiTheme="minorHAnsi" w:cstheme="minorHAnsi"/>
          <w:lang w:val="cy-GB"/>
        </w:rPr>
      </w:pPr>
    </w:p>
    <w:p w14:paraId="2BA64430" w14:textId="77777777" w:rsidR="00294753" w:rsidRPr="00A97F45" w:rsidRDefault="00294753" w:rsidP="00294753">
      <w:pPr>
        <w:rPr>
          <w:rFonts w:asciiTheme="minorHAnsi" w:hAnsiTheme="minorHAnsi" w:cstheme="minorHAnsi"/>
          <w:lang w:val="cy-GB"/>
        </w:rPr>
      </w:pPr>
    </w:p>
    <w:p w14:paraId="2F7563CB" w14:textId="77777777" w:rsidR="00294753" w:rsidRPr="00A97F45" w:rsidRDefault="00294753" w:rsidP="00294753">
      <w:pPr>
        <w:rPr>
          <w:rFonts w:asciiTheme="minorHAnsi" w:hAnsiTheme="minorHAnsi" w:cstheme="minorHAnsi"/>
          <w:lang w:val="cy-GB"/>
        </w:rPr>
      </w:pPr>
    </w:p>
    <w:p w14:paraId="2E31C214" w14:textId="77777777" w:rsidR="00294753" w:rsidRPr="00A97F45" w:rsidRDefault="00294753" w:rsidP="004057F9">
      <w:pPr>
        <w:pStyle w:val="NormalWeb"/>
        <w:rPr>
          <w:rFonts w:asciiTheme="minorHAnsi" w:hAnsiTheme="minorHAnsi" w:cstheme="minorHAnsi"/>
          <w:lang w:val="cy-GB"/>
        </w:rPr>
      </w:pPr>
    </w:p>
    <w:p w14:paraId="1E6B6B71" w14:textId="1B907828" w:rsidR="004057F9" w:rsidRPr="00A97F45" w:rsidRDefault="004057F9" w:rsidP="004057F9">
      <w:pPr>
        <w:spacing w:before="100" w:beforeAutospacing="1" w:after="100" w:afterAutospacing="1"/>
        <w:rPr>
          <w:rFonts w:asciiTheme="minorHAnsi" w:hAnsiTheme="minorHAnsi" w:cstheme="minorHAnsi"/>
          <w:sz w:val="20"/>
          <w:szCs w:val="20"/>
          <w:lang w:val="cy-GB"/>
        </w:rPr>
      </w:pPr>
    </w:p>
    <w:p w14:paraId="03BE378B" w14:textId="77777777" w:rsidR="004057F9" w:rsidRPr="00A97F45" w:rsidRDefault="004057F9" w:rsidP="004057F9">
      <w:pPr>
        <w:rPr>
          <w:rFonts w:asciiTheme="minorHAnsi" w:hAnsiTheme="minorHAnsi" w:cstheme="minorHAnsi"/>
          <w:lang w:val="cy-GB"/>
        </w:rPr>
      </w:pPr>
    </w:p>
    <w:p w14:paraId="5FB1C52A" w14:textId="77777777" w:rsidR="004057F9" w:rsidRPr="00A97F45" w:rsidRDefault="004057F9" w:rsidP="004057F9">
      <w:pPr>
        <w:rPr>
          <w:rFonts w:asciiTheme="minorHAnsi" w:hAnsiTheme="minorHAnsi" w:cstheme="minorHAnsi"/>
          <w:lang w:val="cy-GB"/>
        </w:rPr>
      </w:pPr>
    </w:p>
    <w:p w14:paraId="24313102" w14:textId="77777777" w:rsidR="004057F9" w:rsidRPr="00A97F45" w:rsidRDefault="004057F9" w:rsidP="00872CAF">
      <w:pPr>
        <w:spacing w:line="276" w:lineRule="auto"/>
        <w:ind w:firstLine="360"/>
        <w:rPr>
          <w:rFonts w:asciiTheme="minorHAnsi" w:hAnsiTheme="minorHAnsi" w:cstheme="minorHAnsi"/>
          <w:lang w:val="cy-GB"/>
        </w:rPr>
      </w:pPr>
    </w:p>
    <w:sectPr w:rsidR="004057F9" w:rsidRPr="00A97F45" w:rsidSect="006A3C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C66F0"/>
    <w:multiLevelType w:val="hybridMultilevel"/>
    <w:tmpl w:val="AB2E8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4A0255"/>
    <w:multiLevelType w:val="hybridMultilevel"/>
    <w:tmpl w:val="6E5A0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CD7"/>
    <w:rsid w:val="00041D32"/>
    <w:rsid w:val="00042FED"/>
    <w:rsid w:val="00077D0C"/>
    <w:rsid w:val="000E63D3"/>
    <w:rsid w:val="001457C3"/>
    <w:rsid w:val="001552B1"/>
    <w:rsid w:val="00155DF8"/>
    <w:rsid w:val="0018440C"/>
    <w:rsid w:val="001B35E2"/>
    <w:rsid w:val="001C1AD4"/>
    <w:rsid w:val="00294753"/>
    <w:rsid w:val="002A572E"/>
    <w:rsid w:val="002B2E8D"/>
    <w:rsid w:val="002D0A21"/>
    <w:rsid w:val="00304690"/>
    <w:rsid w:val="003357D7"/>
    <w:rsid w:val="003B0E3E"/>
    <w:rsid w:val="004057F9"/>
    <w:rsid w:val="0043251B"/>
    <w:rsid w:val="00442F98"/>
    <w:rsid w:val="004D036E"/>
    <w:rsid w:val="004E2954"/>
    <w:rsid w:val="0052314F"/>
    <w:rsid w:val="005379FB"/>
    <w:rsid w:val="005B6DB9"/>
    <w:rsid w:val="005C372A"/>
    <w:rsid w:val="005C64C1"/>
    <w:rsid w:val="00674894"/>
    <w:rsid w:val="00680655"/>
    <w:rsid w:val="006A3C45"/>
    <w:rsid w:val="00706B35"/>
    <w:rsid w:val="00727D8F"/>
    <w:rsid w:val="00784EDA"/>
    <w:rsid w:val="007A4B6A"/>
    <w:rsid w:val="007B7CD7"/>
    <w:rsid w:val="00816690"/>
    <w:rsid w:val="00872CAF"/>
    <w:rsid w:val="00882DB0"/>
    <w:rsid w:val="008E143B"/>
    <w:rsid w:val="00952088"/>
    <w:rsid w:val="009A12F4"/>
    <w:rsid w:val="009A2E01"/>
    <w:rsid w:val="009A43E3"/>
    <w:rsid w:val="00A70597"/>
    <w:rsid w:val="00A80B7D"/>
    <w:rsid w:val="00A97F45"/>
    <w:rsid w:val="00AE4DCD"/>
    <w:rsid w:val="00AE57DD"/>
    <w:rsid w:val="00B61F06"/>
    <w:rsid w:val="00B673A4"/>
    <w:rsid w:val="00B8557D"/>
    <w:rsid w:val="00BF261C"/>
    <w:rsid w:val="00CB4864"/>
    <w:rsid w:val="00CC5673"/>
    <w:rsid w:val="00D84522"/>
    <w:rsid w:val="00DE318D"/>
    <w:rsid w:val="00E30734"/>
    <w:rsid w:val="00E94465"/>
    <w:rsid w:val="00EB0A49"/>
    <w:rsid w:val="00EC1D24"/>
    <w:rsid w:val="00EC76B3"/>
    <w:rsid w:val="00EE1EE1"/>
    <w:rsid w:val="00EE7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591C7"/>
  <w15:chartTrackingRefBased/>
  <w15:docId w15:val="{54D1E5D6-9B5C-CE41-99B9-445555722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3D3"/>
    <w:rPr>
      <w:rFonts w:ascii="Times New Roman" w:eastAsia="Times New Roman" w:hAnsi="Times New Roman" w:cs="Times New Roman"/>
    </w:rPr>
  </w:style>
  <w:style w:type="paragraph" w:styleId="Heading2">
    <w:name w:val="heading 2"/>
    <w:basedOn w:val="Normal"/>
    <w:next w:val="Normal"/>
    <w:link w:val="Heading2Char"/>
    <w:qFormat/>
    <w:rsid w:val="005B6DB9"/>
    <w:pPr>
      <w:keepNext/>
      <w:jc w:val="both"/>
      <w:outlineLvl w:val="1"/>
    </w:pPr>
    <w:rPr>
      <w:b/>
      <w:szCs w:val="20"/>
      <w:lang w:eastAsia="en-GB"/>
    </w:rPr>
  </w:style>
  <w:style w:type="paragraph" w:styleId="Heading4">
    <w:name w:val="heading 4"/>
    <w:basedOn w:val="Normal"/>
    <w:next w:val="Normal"/>
    <w:link w:val="Heading4Char"/>
    <w:qFormat/>
    <w:rsid w:val="005B6DB9"/>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314F"/>
    <w:pPr>
      <w:spacing w:before="100" w:beforeAutospacing="1" w:after="100" w:afterAutospacing="1"/>
    </w:pPr>
  </w:style>
  <w:style w:type="paragraph" w:styleId="ListParagraph">
    <w:name w:val="List Paragraph"/>
    <w:basedOn w:val="Normal"/>
    <w:uiPriority w:val="34"/>
    <w:qFormat/>
    <w:rsid w:val="00952088"/>
    <w:pPr>
      <w:ind w:left="720"/>
      <w:contextualSpacing/>
    </w:pPr>
    <w:rPr>
      <w:rFonts w:asciiTheme="minorHAnsi" w:eastAsiaTheme="minorHAnsi" w:hAnsiTheme="minorHAnsi" w:cstheme="minorBidi"/>
      <w:lang w:val="cy-GB"/>
    </w:rPr>
  </w:style>
  <w:style w:type="character" w:styleId="CommentReference">
    <w:name w:val="annotation reference"/>
    <w:basedOn w:val="DefaultParagraphFont"/>
    <w:uiPriority w:val="99"/>
    <w:semiHidden/>
    <w:unhideWhenUsed/>
    <w:rsid w:val="00EE7136"/>
    <w:rPr>
      <w:sz w:val="16"/>
      <w:szCs w:val="16"/>
    </w:rPr>
  </w:style>
  <w:style w:type="paragraph" w:styleId="CommentText">
    <w:name w:val="annotation text"/>
    <w:basedOn w:val="Normal"/>
    <w:link w:val="CommentTextChar"/>
    <w:uiPriority w:val="99"/>
    <w:semiHidden/>
    <w:unhideWhenUsed/>
    <w:rsid w:val="00EE7136"/>
    <w:rPr>
      <w:rFonts w:asciiTheme="minorHAnsi" w:eastAsiaTheme="minorHAnsi" w:hAnsiTheme="minorHAnsi" w:cstheme="minorBidi"/>
      <w:sz w:val="20"/>
      <w:szCs w:val="20"/>
      <w:lang w:val="cy-GB"/>
    </w:rPr>
  </w:style>
  <w:style w:type="character" w:customStyle="1" w:styleId="CommentTextChar">
    <w:name w:val="Comment Text Char"/>
    <w:basedOn w:val="DefaultParagraphFont"/>
    <w:link w:val="CommentText"/>
    <w:uiPriority w:val="99"/>
    <w:semiHidden/>
    <w:rsid w:val="00EE7136"/>
    <w:rPr>
      <w:sz w:val="20"/>
      <w:szCs w:val="20"/>
      <w:lang w:val="cy-GB"/>
    </w:rPr>
  </w:style>
  <w:style w:type="paragraph" w:styleId="CommentSubject">
    <w:name w:val="annotation subject"/>
    <w:basedOn w:val="CommentText"/>
    <w:next w:val="CommentText"/>
    <w:link w:val="CommentSubjectChar"/>
    <w:uiPriority w:val="99"/>
    <w:semiHidden/>
    <w:unhideWhenUsed/>
    <w:rsid w:val="00EE7136"/>
    <w:rPr>
      <w:b/>
      <w:bCs/>
    </w:rPr>
  </w:style>
  <w:style w:type="character" w:customStyle="1" w:styleId="CommentSubjectChar">
    <w:name w:val="Comment Subject Char"/>
    <w:basedOn w:val="CommentTextChar"/>
    <w:link w:val="CommentSubject"/>
    <w:uiPriority w:val="99"/>
    <w:semiHidden/>
    <w:rsid w:val="00EE7136"/>
    <w:rPr>
      <w:b/>
      <w:bCs/>
      <w:sz w:val="20"/>
      <w:szCs w:val="20"/>
      <w:lang w:val="cy-GB"/>
    </w:rPr>
  </w:style>
  <w:style w:type="paragraph" w:styleId="BalloonText">
    <w:name w:val="Balloon Text"/>
    <w:basedOn w:val="Normal"/>
    <w:link w:val="BalloonTextChar"/>
    <w:uiPriority w:val="99"/>
    <w:semiHidden/>
    <w:unhideWhenUsed/>
    <w:rsid w:val="00EE7136"/>
    <w:rPr>
      <w:rFonts w:eastAsiaTheme="minorHAnsi"/>
      <w:sz w:val="18"/>
      <w:szCs w:val="18"/>
      <w:lang w:val="cy-GB"/>
    </w:rPr>
  </w:style>
  <w:style w:type="character" w:customStyle="1" w:styleId="BalloonTextChar">
    <w:name w:val="Balloon Text Char"/>
    <w:basedOn w:val="DefaultParagraphFont"/>
    <w:link w:val="BalloonText"/>
    <w:uiPriority w:val="99"/>
    <w:semiHidden/>
    <w:rsid w:val="00EE7136"/>
    <w:rPr>
      <w:rFonts w:ascii="Times New Roman" w:hAnsi="Times New Roman" w:cs="Times New Roman"/>
      <w:sz w:val="18"/>
      <w:szCs w:val="18"/>
      <w:lang w:val="cy-GB"/>
    </w:rPr>
  </w:style>
  <w:style w:type="character" w:styleId="SubtleEmphasis">
    <w:name w:val="Subtle Emphasis"/>
    <w:basedOn w:val="DefaultParagraphFont"/>
    <w:uiPriority w:val="19"/>
    <w:qFormat/>
    <w:rsid w:val="00B673A4"/>
    <w:rPr>
      <w:i/>
      <w:iCs/>
      <w:color w:val="404040" w:themeColor="text1" w:themeTint="BF"/>
    </w:rPr>
  </w:style>
  <w:style w:type="character" w:customStyle="1" w:styleId="apple-converted-space">
    <w:name w:val="apple-converted-space"/>
    <w:basedOn w:val="DefaultParagraphFont"/>
    <w:rsid w:val="004057F9"/>
  </w:style>
  <w:style w:type="character" w:styleId="Hyperlink">
    <w:name w:val="Hyperlink"/>
    <w:basedOn w:val="DefaultParagraphFont"/>
    <w:uiPriority w:val="99"/>
    <w:unhideWhenUsed/>
    <w:rsid w:val="004057F9"/>
    <w:rPr>
      <w:color w:val="0563C1" w:themeColor="hyperlink"/>
      <w:u w:val="single"/>
    </w:rPr>
  </w:style>
  <w:style w:type="character" w:customStyle="1" w:styleId="UnresolvedMention1">
    <w:name w:val="Unresolved Mention1"/>
    <w:basedOn w:val="DefaultParagraphFont"/>
    <w:uiPriority w:val="99"/>
    <w:semiHidden/>
    <w:unhideWhenUsed/>
    <w:rsid w:val="004057F9"/>
    <w:rPr>
      <w:color w:val="605E5C"/>
      <w:shd w:val="clear" w:color="auto" w:fill="E1DFDD"/>
    </w:rPr>
  </w:style>
  <w:style w:type="character" w:customStyle="1" w:styleId="Heading2Char">
    <w:name w:val="Heading 2 Char"/>
    <w:basedOn w:val="DefaultParagraphFont"/>
    <w:link w:val="Heading2"/>
    <w:rsid w:val="005B6DB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5B6DB9"/>
    <w:rPr>
      <w:rFonts w:ascii="Times New Roman" w:eastAsia="Times New Roman" w:hAnsi="Times New Roman" w:cs="Times New Roman"/>
      <w:sz w:val="40"/>
      <w:szCs w:val="20"/>
      <w:lang w:eastAsia="en-GB"/>
    </w:rPr>
  </w:style>
  <w:style w:type="paragraph" w:styleId="Header">
    <w:name w:val="header"/>
    <w:basedOn w:val="Normal"/>
    <w:link w:val="HeaderChar"/>
    <w:rsid w:val="005B6DB9"/>
    <w:pPr>
      <w:tabs>
        <w:tab w:val="center" w:pos="4153"/>
        <w:tab w:val="right" w:pos="8306"/>
      </w:tabs>
    </w:pPr>
    <w:rPr>
      <w:sz w:val="20"/>
      <w:szCs w:val="20"/>
      <w:lang w:eastAsia="en-GB"/>
    </w:rPr>
  </w:style>
  <w:style w:type="character" w:customStyle="1" w:styleId="HeaderChar">
    <w:name w:val="Header Char"/>
    <w:basedOn w:val="DefaultParagraphFont"/>
    <w:link w:val="Header"/>
    <w:rsid w:val="005B6DB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8034">
      <w:bodyDiv w:val="1"/>
      <w:marLeft w:val="0"/>
      <w:marRight w:val="0"/>
      <w:marTop w:val="0"/>
      <w:marBottom w:val="0"/>
      <w:divBdr>
        <w:top w:val="none" w:sz="0" w:space="0" w:color="auto"/>
        <w:left w:val="none" w:sz="0" w:space="0" w:color="auto"/>
        <w:bottom w:val="none" w:sz="0" w:space="0" w:color="auto"/>
        <w:right w:val="none" w:sz="0" w:space="0" w:color="auto"/>
      </w:divBdr>
    </w:div>
    <w:div w:id="100956173">
      <w:bodyDiv w:val="1"/>
      <w:marLeft w:val="0"/>
      <w:marRight w:val="0"/>
      <w:marTop w:val="0"/>
      <w:marBottom w:val="0"/>
      <w:divBdr>
        <w:top w:val="none" w:sz="0" w:space="0" w:color="auto"/>
        <w:left w:val="none" w:sz="0" w:space="0" w:color="auto"/>
        <w:bottom w:val="none" w:sz="0" w:space="0" w:color="auto"/>
        <w:right w:val="none" w:sz="0" w:space="0" w:color="auto"/>
      </w:divBdr>
    </w:div>
    <w:div w:id="220096818">
      <w:bodyDiv w:val="1"/>
      <w:marLeft w:val="0"/>
      <w:marRight w:val="0"/>
      <w:marTop w:val="0"/>
      <w:marBottom w:val="0"/>
      <w:divBdr>
        <w:top w:val="none" w:sz="0" w:space="0" w:color="auto"/>
        <w:left w:val="none" w:sz="0" w:space="0" w:color="auto"/>
        <w:bottom w:val="none" w:sz="0" w:space="0" w:color="auto"/>
        <w:right w:val="none" w:sz="0" w:space="0" w:color="auto"/>
      </w:divBdr>
    </w:div>
    <w:div w:id="220484251">
      <w:bodyDiv w:val="1"/>
      <w:marLeft w:val="0"/>
      <w:marRight w:val="0"/>
      <w:marTop w:val="0"/>
      <w:marBottom w:val="0"/>
      <w:divBdr>
        <w:top w:val="none" w:sz="0" w:space="0" w:color="auto"/>
        <w:left w:val="none" w:sz="0" w:space="0" w:color="auto"/>
        <w:bottom w:val="none" w:sz="0" w:space="0" w:color="auto"/>
        <w:right w:val="none" w:sz="0" w:space="0" w:color="auto"/>
      </w:divBdr>
    </w:div>
    <w:div w:id="419907059">
      <w:bodyDiv w:val="1"/>
      <w:marLeft w:val="0"/>
      <w:marRight w:val="0"/>
      <w:marTop w:val="0"/>
      <w:marBottom w:val="0"/>
      <w:divBdr>
        <w:top w:val="none" w:sz="0" w:space="0" w:color="auto"/>
        <w:left w:val="none" w:sz="0" w:space="0" w:color="auto"/>
        <w:bottom w:val="none" w:sz="0" w:space="0" w:color="auto"/>
        <w:right w:val="none" w:sz="0" w:space="0" w:color="auto"/>
      </w:divBdr>
    </w:div>
    <w:div w:id="473570798">
      <w:bodyDiv w:val="1"/>
      <w:marLeft w:val="0"/>
      <w:marRight w:val="0"/>
      <w:marTop w:val="0"/>
      <w:marBottom w:val="0"/>
      <w:divBdr>
        <w:top w:val="none" w:sz="0" w:space="0" w:color="auto"/>
        <w:left w:val="none" w:sz="0" w:space="0" w:color="auto"/>
        <w:bottom w:val="none" w:sz="0" w:space="0" w:color="auto"/>
        <w:right w:val="none" w:sz="0" w:space="0" w:color="auto"/>
      </w:divBdr>
    </w:div>
    <w:div w:id="557401790">
      <w:bodyDiv w:val="1"/>
      <w:marLeft w:val="0"/>
      <w:marRight w:val="0"/>
      <w:marTop w:val="0"/>
      <w:marBottom w:val="0"/>
      <w:divBdr>
        <w:top w:val="none" w:sz="0" w:space="0" w:color="auto"/>
        <w:left w:val="none" w:sz="0" w:space="0" w:color="auto"/>
        <w:bottom w:val="none" w:sz="0" w:space="0" w:color="auto"/>
        <w:right w:val="none" w:sz="0" w:space="0" w:color="auto"/>
      </w:divBdr>
    </w:div>
    <w:div w:id="610094104">
      <w:bodyDiv w:val="1"/>
      <w:marLeft w:val="0"/>
      <w:marRight w:val="0"/>
      <w:marTop w:val="0"/>
      <w:marBottom w:val="0"/>
      <w:divBdr>
        <w:top w:val="none" w:sz="0" w:space="0" w:color="auto"/>
        <w:left w:val="none" w:sz="0" w:space="0" w:color="auto"/>
        <w:bottom w:val="none" w:sz="0" w:space="0" w:color="auto"/>
        <w:right w:val="none" w:sz="0" w:space="0" w:color="auto"/>
      </w:divBdr>
    </w:div>
    <w:div w:id="619999407">
      <w:bodyDiv w:val="1"/>
      <w:marLeft w:val="0"/>
      <w:marRight w:val="0"/>
      <w:marTop w:val="0"/>
      <w:marBottom w:val="0"/>
      <w:divBdr>
        <w:top w:val="none" w:sz="0" w:space="0" w:color="auto"/>
        <w:left w:val="none" w:sz="0" w:space="0" w:color="auto"/>
        <w:bottom w:val="none" w:sz="0" w:space="0" w:color="auto"/>
        <w:right w:val="none" w:sz="0" w:space="0" w:color="auto"/>
      </w:divBdr>
    </w:div>
    <w:div w:id="702679133">
      <w:bodyDiv w:val="1"/>
      <w:marLeft w:val="0"/>
      <w:marRight w:val="0"/>
      <w:marTop w:val="0"/>
      <w:marBottom w:val="0"/>
      <w:divBdr>
        <w:top w:val="none" w:sz="0" w:space="0" w:color="auto"/>
        <w:left w:val="none" w:sz="0" w:space="0" w:color="auto"/>
        <w:bottom w:val="none" w:sz="0" w:space="0" w:color="auto"/>
        <w:right w:val="none" w:sz="0" w:space="0" w:color="auto"/>
      </w:divBdr>
    </w:div>
    <w:div w:id="1024094046">
      <w:bodyDiv w:val="1"/>
      <w:marLeft w:val="0"/>
      <w:marRight w:val="0"/>
      <w:marTop w:val="0"/>
      <w:marBottom w:val="0"/>
      <w:divBdr>
        <w:top w:val="none" w:sz="0" w:space="0" w:color="auto"/>
        <w:left w:val="none" w:sz="0" w:space="0" w:color="auto"/>
        <w:bottom w:val="none" w:sz="0" w:space="0" w:color="auto"/>
        <w:right w:val="none" w:sz="0" w:space="0" w:color="auto"/>
      </w:divBdr>
    </w:div>
    <w:div w:id="1220483439">
      <w:bodyDiv w:val="1"/>
      <w:marLeft w:val="0"/>
      <w:marRight w:val="0"/>
      <w:marTop w:val="0"/>
      <w:marBottom w:val="0"/>
      <w:divBdr>
        <w:top w:val="none" w:sz="0" w:space="0" w:color="auto"/>
        <w:left w:val="none" w:sz="0" w:space="0" w:color="auto"/>
        <w:bottom w:val="none" w:sz="0" w:space="0" w:color="auto"/>
        <w:right w:val="none" w:sz="0" w:space="0" w:color="auto"/>
      </w:divBdr>
      <w:divsChild>
        <w:div w:id="461311215">
          <w:marLeft w:val="0"/>
          <w:marRight w:val="0"/>
          <w:marTop w:val="0"/>
          <w:marBottom w:val="0"/>
          <w:divBdr>
            <w:top w:val="none" w:sz="0" w:space="0" w:color="auto"/>
            <w:left w:val="none" w:sz="0" w:space="0" w:color="auto"/>
            <w:bottom w:val="none" w:sz="0" w:space="0" w:color="auto"/>
            <w:right w:val="none" w:sz="0" w:space="0" w:color="auto"/>
          </w:divBdr>
          <w:divsChild>
            <w:div w:id="1132752137">
              <w:marLeft w:val="0"/>
              <w:marRight w:val="0"/>
              <w:marTop w:val="0"/>
              <w:marBottom w:val="0"/>
              <w:divBdr>
                <w:top w:val="none" w:sz="0" w:space="0" w:color="auto"/>
                <w:left w:val="none" w:sz="0" w:space="0" w:color="auto"/>
                <w:bottom w:val="none" w:sz="0" w:space="0" w:color="auto"/>
                <w:right w:val="none" w:sz="0" w:space="0" w:color="auto"/>
              </w:divBdr>
              <w:divsChild>
                <w:div w:id="194491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348768">
      <w:bodyDiv w:val="1"/>
      <w:marLeft w:val="0"/>
      <w:marRight w:val="0"/>
      <w:marTop w:val="0"/>
      <w:marBottom w:val="0"/>
      <w:divBdr>
        <w:top w:val="none" w:sz="0" w:space="0" w:color="auto"/>
        <w:left w:val="none" w:sz="0" w:space="0" w:color="auto"/>
        <w:bottom w:val="none" w:sz="0" w:space="0" w:color="auto"/>
        <w:right w:val="none" w:sz="0" w:space="0" w:color="auto"/>
      </w:divBdr>
    </w:div>
    <w:div w:id="1514494742">
      <w:bodyDiv w:val="1"/>
      <w:marLeft w:val="0"/>
      <w:marRight w:val="0"/>
      <w:marTop w:val="0"/>
      <w:marBottom w:val="0"/>
      <w:divBdr>
        <w:top w:val="none" w:sz="0" w:space="0" w:color="auto"/>
        <w:left w:val="none" w:sz="0" w:space="0" w:color="auto"/>
        <w:bottom w:val="none" w:sz="0" w:space="0" w:color="auto"/>
        <w:right w:val="none" w:sz="0" w:space="0" w:color="auto"/>
      </w:divBdr>
    </w:div>
    <w:div w:id="1650284797">
      <w:bodyDiv w:val="1"/>
      <w:marLeft w:val="0"/>
      <w:marRight w:val="0"/>
      <w:marTop w:val="0"/>
      <w:marBottom w:val="0"/>
      <w:divBdr>
        <w:top w:val="none" w:sz="0" w:space="0" w:color="auto"/>
        <w:left w:val="none" w:sz="0" w:space="0" w:color="auto"/>
        <w:bottom w:val="none" w:sz="0" w:space="0" w:color="auto"/>
        <w:right w:val="none" w:sz="0" w:space="0" w:color="auto"/>
      </w:divBdr>
    </w:div>
    <w:div w:id="1733773313">
      <w:bodyDiv w:val="1"/>
      <w:marLeft w:val="0"/>
      <w:marRight w:val="0"/>
      <w:marTop w:val="0"/>
      <w:marBottom w:val="0"/>
      <w:divBdr>
        <w:top w:val="none" w:sz="0" w:space="0" w:color="auto"/>
        <w:left w:val="none" w:sz="0" w:space="0" w:color="auto"/>
        <w:bottom w:val="none" w:sz="0" w:space="0" w:color="auto"/>
        <w:right w:val="none" w:sz="0" w:space="0" w:color="auto"/>
      </w:divBdr>
    </w:div>
    <w:div w:id="1787963662">
      <w:bodyDiv w:val="1"/>
      <w:marLeft w:val="0"/>
      <w:marRight w:val="0"/>
      <w:marTop w:val="0"/>
      <w:marBottom w:val="0"/>
      <w:divBdr>
        <w:top w:val="none" w:sz="0" w:space="0" w:color="auto"/>
        <w:left w:val="none" w:sz="0" w:space="0" w:color="auto"/>
        <w:bottom w:val="none" w:sz="0" w:space="0" w:color="auto"/>
        <w:right w:val="none" w:sz="0" w:space="0" w:color="auto"/>
      </w:divBdr>
    </w:div>
    <w:div w:id="1857427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41023-school-development-plans.pdf?fbclid=IwAR1Y24w_AIW2lKrwmnbJfZUXu8QYcbX9SeuwcBu-YIJOxN-CqnDAxRbjy0s" TargetMode="External"/><Relationship Id="rId3" Type="http://schemas.openxmlformats.org/officeDocument/2006/relationships/settings" Target="settings.xml"/><Relationship Id="rId7" Type="http://schemas.openxmlformats.org/officeDocument/2006/relationships/hyperlink" Target="https://www.simplypsychology.org/Zone-of-Proximal-Development.html.%20Last%20accessed%2022/01/2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4616</Words>
  <Characters>26312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Smith (1500151)</dc:creator>
  <cp:keywords/>
  <dc:description/>
  <cp:lastModifiedBy>Eleri Smith (1500151)</cp:lastModifiedBy>
  <cp:revision>2</cp:revision>
  <dcterms:created xsi:type="dcterms:W3CDTF">2019-01-27T18:25:00Z</dcterms:created>
  <dcterms:modified xsi:type="dcterms:W3CDTF">2019-01-27T18:25:00Z</dcterms:modified>
</cp:coreProperties>
</file>