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jc w:val="center"/>
        <w:rPr>
          <w:sz w:val="40"/>
          <w:szCs w:val="40"/>
        </w:rPr>
      </w:pPr>
      <w:r>
        <w:rPr>
          <w:sz w:val="40"/>
          <w:szCs w:val="40"/>
          <w:rtl w:val="0"/>
          <w:lang w:val="en-US"/>
        </w:rPr>
        <w:t xml:space="preserve">New Historicism in Action: Meaning, Use and Function of the Concept of History in Jane Austen's </w:t>
      </w:r>
      <w:r>
        <w:rPr>
          <w:rFonts w:ascii="Calibri" w:cs="Calibri" w:hAnsi="Calibri" w:eastAsia="Calibri"/>
          <w:i w:val="1"/>
          <w:iCs w:val="1"/>
          <w:sz w:val="40"/>
          <w:szCs w:val="40"/>
          <w:rtl w:val="0"/>
          <w:lang w:val="en-US"/>
        </w:rPr>
        <w:t>Northanger Abbey</w:t>
      </w:r>
      <w:r>
        <w:rPr>
          <w:sz w:val="40"/>
          <w:szCs w:val="40"/>
          <w:rtl w:val="0"/>
          <w:lang w:val="en-US"/>
        </w:rPr>
        <w:t xml:space="preserve"> and Margaret Atwood's</w:t>
      </w:r>
      <w:r>
        <w:rPr>
          <w:rFonts w:ascii="Calibri" w:cs="Calibri" w:hAnsi="Calibri" w:eastAsia="Calibri"/>
          <w:i w:val="1"/>
          <w:iCs w:val="1"/>
          <w:sz w:val="40"/>
          <w:szCs w:val="40"/>
          <w:rtl w:val="0"/>
          <w:lang w:val="en-US"/>
        </w:rPr>
        <w:t xml:space="preserve"> The</w:t>
      </w:r>
      <w:r>
        <w:rPr>
          <w:sz w:val="40"/>
          <w:szCs w:val="40"/>
          <w:rtl w:val="0"/>
          <w:lang w:val="en-US"/>
        </w:rPr>
        <w:t xml:space="preserve"> </w:t>
      </w:r>
      <w:r>
        <w:rPr>
          <w:rFonts w:ascii="Calibri" w:cs="Calibri" w:hAnsi="Calibri" w:eastAsia="Calibri"/>
          <w:i w:val="1"/>
          <w:iCs w:val="1"/>
          <w:sz w:val="40"/>
          <w:szCs w:val="40"/>
          <w:rtl w:val="0"/>
          <w:lang w:val="en-US"/>
        </w:rPr>
        <w:t>Handmaid's Tale</w:t>
      </w:r>
    </w:p>
    <w:p>
      <w:pPr>
        <w:pStyle w:val="Normal.0"/>
        <w:jc w:val="center"/>
        <w:rPr>
          <w:rFonts w:ascii="Helvetica" w:cs="Helvetica" w:hAnsi="Helvetica" w:eastAsia="Helvetica"/>
          <w:sz w:val="40"/>
          <w:szCs w:val="40"/>
        </w:rPr>
      </w:pPr>
    </w:p>
    <w:p>
      <w:pPr>
        <w:pStyle w:val="Normal.0"/>
        <w:rPr>
          <w:sz w:val="36"/>
          <w:szCs w:val="36"/>
        </w:rPr>
      </w:pPr>
      <w:r>
        <w:rPr>
          <w:sz w:val="36"/>
          <w:szCs w:val="36"/>
          <w:rtl w:val="0"/>
          <w:lang w:val="en-US"/>
        </w:rPr>
        <w:t>Besides its connections to both Historicism and New Criticism that might be ascertained from its name, New Historicism can also trace some of its origins to Deconstruction and the Works of Derrida. In his writings, Derrida examined the idea of the writing process as a means of communication. As a part of this he introduced the idea of absence. One example he used was "the absence of the addressee". By this he meant that one writes in order to communicate something to those who are absent. This viewpoint le</w:t>
      </w:r>
      <w:r>
        <w:rPr>
          <w:sz w:val="36"/>
          <w:szCs w:val="36"/>
          <w:rtl w:val="0"/>
          <w:lang w:val="en-US"/>
        </w:rPr>
        <w:t>d</w:t>
      </w:r>
      <w:r>
        <w:rPr>
          <w:sz w:val="36"/>
          <w:szCs w:val="36"/>
          <w:rtl w:val="0"/>
          <w:lang w:val="en-US"/>
        </w:rPr>
        <w:t xml:space="preserve"> to some disagreement between Derrida and Condillac - another Deconstructionist critic - about whether writing indicates presence or absence. It could be read either way. Deconstruction is also concerned with the absence or presence of meaning. In its links to Semiology it emphasises the absence, in the sense that a sign - one of the major motifs of Semiology - can be read as being a trace of something absent. Thus the works of Derrida strongly criticise the very notions of the presence and intentions of the author. This viewpoint comprises the main foundations of Reader Reception Theory, the contrasting viewpoint to which is Author Intention Theory. Derrida also argues that "there are only contexts without any centre of absolute anchoring".</w:t>
      </w:r>
      <w:r>
        <w:rPr>
          <w:rFonts w:ascii="Calibri" w:cs="Calibri" w:hAnsi="Calibri" w:eastAsia="Calibri"/>
          <w:b w:val="0"/>
          <w:bCs w:val="0"/>
          <w:i w:val="0"/>
          <w:iCs w:val="0"/>
          <w:sz w:val="36"/>
          <w:szCs w:val="36"/>
          <w:vertAlign w:val="superscript"/>
        </w:rPr>
        <w:footnoteReference w:id="1"/>
      </w:r>
      <w:r>
        <w:rPr>
          <w:sz w:val="36"/>
          <w:szCs w:val="36"/>
          <w:rtl w:val="0"/>
          <w:lang w:val="en-US"/>
        </w:rPr>
        <w:t xml:space="preserve">  It could be argued that this viewpoint was a precursor to the resurgence of interest in history that was to occur in academic literary critical theory in the 1980's. This manifested itself as Historical Materialism. Historical Materialism is the term that Marx himself used for Marxism, before the theory came to be known by its founder's name. The term has since become an umbrella heading for a number of history-based theories, including fittingly, Marxism itself, as well as New Historicism - the focus of this essay - and Cultural Materialism among others. Critics from all these areas could therefore all be considered to be Historical Materialists. Marxism, specifically Marxist Cultural Theory in its literary critical form is chronologically the earliest, while the other two are fairly contemporaneous with one another. Despite this though, Cultural Materialism is in some ways a critique of New Historicism. This gives some idea of the speed at which essays could be published and responded to from the 1980's onwards. Cultural Materialism is the largely British counterpart of the predominantly American critical theory and practice of New Historicism. The two theories have much in common in terms of their assumptions and positions. Along with the quintessentially and archetypally British author, Jane Austen, I have chosen to focus this essay on Margaret Atwood, who is Canadian. Canada is geographically closer to America and traditionally regarded as culturally closer to Britain, due to its history of being under British rule. The two closely connected theories would view culture as being something ideological. My chosen Margaret Atwood text </w:t>
      </w:r>
      <w:r>
        <w:rPr>
          <w:rFonts w:ascii="Calibri" w:cs="Calibri" w:hAnsi="Calibri" w:eastAsia="Calibri"/>
          <w:i w:val="1"/>
          <w:iCs w:val="1"/>
          <w:sz w:val="36"/>
          <w:szCs w:val="36"/>
          <w:rtl w:val="0"/>
          <w:lang w:val="en-US"/>
        </w:rPr>
        <w:t>The</w:t>
      </w:r>
      <w:r>
        <w:rPr>
          <w:sz w:val="36"/>
          <w:szCs w:val="36"/>
          <w:rtl w:val="0"/>
          <w:lang w:val="en-US"/>
        </w:rPr>
        <w:t xml:space="preserve"> </w:t>
      </w:r>
      <w:r>
        <w:rPr>
          <w:rFonts w:ascii="Calibri" w:cs="Calibri" w:hAnsi="Calibri" w:eastAsia="Calibri"/>
          <w:i w:val="1"/>
          <w:iCs w:val="1"/>
          <w:sz w:val="36"/>
          <w:szCs w:val="36"/>
          <w:rtl w:val="0"/>
          <w:lang w:val="en-US"/>
        </w:rPr>
        <w:t>Handmaid's Tale</w:t>
      </w:r>
      <w:r>
        <w:rPr>
          <w:sz w:val="36"/>
          <w:szCs w:val="36"/>
          <w:rtl w:val="0"/>
          <w:lang w:val="en-US"/>
        </w:rPr>
        <w:t xml:space="preserve"> was published in 1985, during the height of New Historicism.  Aside from the book's afterward, set about two hundred years after the main bulk of the text, the book is set in around 1990, about five years after its own time. It is therefore technically an example of alternative history and is a much closer future imperfect story than other comparative dystopian texts. A classic example is George Orwell's </w:t>
      </w:r>
      <w:r>
        <w:rPr>
          <w:rFonts w:ascii="Calibri" w:cs="Calibri" w:hAnsi="Calibri" w:eastAsia="Calibri"/>
          <w:i w:val="1"/>
          <w:iCs w:val="1"/>
          <w:sz w:val="36"/>
          <w:szCs w:val="36"/>
          <w:rtl w:val="0"/>
          <w:lang w:val="en-US"/>
        </w:rPr>
        <w:t>1984</w:t>
      </w:r>
      <w:r>
        <w:rPr>
          <w:sz w:val="36"/>
          <w:szCs w:val="36"/>
          <w:rtl w:val="0"/>
          <w:lang w:val="en-US"/>
        </w:rPr>
        <w:t>, which was set in the year of the title and published in 1949, the majority of it having been written in 1948. Besides being set almost forty years in its own future, there was the neat effect of the numbers in the dates being rearranged. Margaret Atwood was thus writing in a world of alternative histories in which the past had a strong influence on the present.</w:t>
      </w:r>
    </w:p>
    <w:p>
      <w:pPr>
        <w:pStyle w:val="Normal.0"/>
        <w:rPr>
          <w:rFonts w:ascii="Helvetica" w:cs="Helvetica" w:hAnsi="Helvetica" w:eastAsia="Helvetica"/>
          <w:sz w:val="36"/>
          <w:szCs w:val="36"/>
        </w:rPr>
      </w:pPr>
    </w:p>
    <w:p>
      <w:pPr>
        <w:pStyle w:val="Normal.0"/>
        <w:rPr>
          <w:sz w:val="36"/>
          <w:szCs w:val="36"/>
        </w:rPr>
      </w:pPr>
      <w:r>
        <w:rPr>
          <w:sz w:val="36"/>
          <w:szCs w:val="36"/>
          <w:rtl w:val="0"/>
          <w:lang w:val="en-US"/>
        </w:rPr>
        <w:t xml:space="preserve">Although the study of the history of ideas indicates that the idea of theorists working in a vacuum and formulating concepts independent of outside influences is mostly mythical, New Historicism is credited to a specific founder: the American lecturer Stephen Greenblatt. Certainly he was the first to use the term, coining it in 1982 in his Introduction to </w:t>
      </w:r>
      <w:r>
        <w:rPr>
          <w:rFonts w:ascii="Calibri" w:cs="Calibri" w:hAnsi="Calibri" w:eastAsia="Calibri"/>
          <w:i w:val="1"/>
          <w:iCs w:val="1"/>
          <w:sz w:val="36"/>
          <w:szCs w:val="36"/>
          <w:rtl w:val="0"/>
          <w:lang w:val="en-US"/>
        </w:rPr>
        <w:t>The Power of Forms in the English Renaissance</w:t>
      </w:r>
      <w:r>
        <w:rPr>
          <w:sz w:val="36"/>
          <w:szCs w:val="36"/>
          <w:rtl w:val="0"/>
          <w:lang w:val="en-US"/>
        </w:rPr>
        <w:t xml:space="preserve">. Naturally though, there were others involved in its early conception. Another contributor to it was Raymond Williams (1921-1988), who came from the Marches; the border land between England and Wales. Originally from a working class background, he attended Cambridge at both undergraduate and postgraduate levels. Afterwards he worked for the University of Oxford in Adult Education, in which he lectured on the textuality of history. Hitherto this period, history had mainly been viewed as a traditional linear narrative. It was the Historical Materialism theories that changed how it was viewed. History after all, is a matter of writing down events in a certain order. The writing of it always requires some interpretation, especially as much of the primary source material used comes from written documents. Raymond Williams was influenced by both the Works of Karl Marx and Walter Benjamin who wrote about the Philosophy of History.They both had an effect on the content of his lectures. The aforementioned American lecturer Stephen Greenblatt attended the lectures of Raymond Williams and seems to have been much struck by both his eloquence and his approach to history. This ultimately was a contributing factor to him formulating the concept of New Historicism. As mentioned he first used this term in his Introduction to a book in 1982. This book had multiple contributors and was entitled </w:t>
      </w:r>
      <w:r>
        <w:rPr>
          <w:rFonts w:ascii="Calibri" w:cs="Calibri" w:hAnsi="Calibri" w:eastAsia="Calibri"/>
          <w:i w:val="1"/>
          <w:iCs w:val="1"/>
          <w:sz w:val="36"/>
          <w:szCs w:val="36"/>
          <w:rtl w:val="0"/>
          <w:lang w:val="en-US"/>
        </w:rPr>
        <w:t>The Power of Forms in the English Renaissance</w:t>
      </w:r>
      <w:r>
        <w:rPr>
          <w:sz w:val="36"/>
          <w:szCs w:val="36"/>
          <w:rtl w:val="0"/>
          <w:lang w:val="en-US"/>
        </w:rPr>
        <w:t>. Greenblatt used New Historicism as a heading to encompass the articles featured in it. As indicated by the title, these articles contained material pertaining to the English Renaissance, which is Stephen Greenblatt</w:t>
      </w:r>
      <w:r>
        <w:rPr>
          <w:sz w:val="36"/>
          <w:szCs w:val="36"/>
          <w:rtl w:val="0"/>
          <w:lang w:val="en-US"/>
        </w:rPr>
        <w:t>’</w:t>
      </w:r>
      <w:r>
        <w:rPr>
          <w:sz w:val="36"/>
          <w:szCs w:val="36"/>
          <w:rtl w:val="0"/>
          <w:lang w:val="en-US"/>
        </w:rPr>
        <w:t xml:space="preserve">s own period of expertise as his published writings indicate. This origin story highlights one of the problems of New Historicism; the fact that the heading was applied retrospectively to articles that had already been written, without being conscious examples of the theory at the time of composition. This is one reason why the theory is so notoriously difficult to define. There is also the fact that it seemed to only apply to the English Renaissance as these were the only texts initially written about as examples of the theory; both by Stephen Greenblatt and by the contributors to the book that he wrote the Introduction for. Subsequent New Historicist critics though applied the theory to other periods, which thus allowed it to branch out. One example is Catherine Gallagher, who co-wrote and published a book with Stephen Greenblatt in 2000, entitled </w:t>
      </w:r>
      <w:r>
        <w:rPr>
          <w:rFonts w:ascii="Calibri" w:cs="Calibri" w:hAnsi="Calibri" w:eastAsia="Calibri"/>
          <w:i w:val="1"/>
          <w:iCs w:val="1"/>
          <w:sz w:val="36"/>
          <w:szCs w:val="36"/>
          <w:rtl w:val="0"/>
          <w:lang w:val="en-US"/>
        </w:rPr>
        <w:t>Practicing New</w:t>
      </w:r>
      <w:r>
        <w:rPr>
          <w:sz w:val="36"/>
          <w:szCs w:val="36"/>
          <w:rtl w:val="0"/>
          <w:lang w:val="en-US"/>
        </w:rPr>
        <w:t xml:space="preserve"> </w:t>
      </w:r>
      <w:r>
        <w:rPr>
          <w:rFonts w:ascii="Calibri" w:cs="Calibri" w:hAnsi="Calibri" w:eastAsia="Calibri"/>
          <w:i w:val="1"/>
          <w:iCs w:val="1"/>
          <w:sz w:val="36"/>
          <w:szCs w:val="36"/>
          <w:rtl w:val="0"/>
          <w:lang w:val="en-US"/>
        </w:rPr>
        <w:t>Historicism</w:t>
      </w:r>
      <w:r>
        <w:rPr>
          <w:sz w:val="36"/>
          <w:szCs w:val="36"/>
          <w:rtl w:val="0"/>
          <w:lang w:val="en-US"/>
        </w:rPr>
        <w:t>. In Greenblatt</w:t>
      </w:r>
      <w:r>
        <w:rPr>
          <w:sz w:val="36"/>
          <w:szCs w:val="36"/>
          <w:rtl w:val="0"/>
          <w:lang w:val="en-US"/>
        </w:rPr>
        <w:t>’</w:t>
      </w:r>
      <w:r>
        <w:rPr>
          <w:sz w:val="36"/>
          <w:szCs w:val="36"/>
          <w:rtl w:val="0"/>
          <w:lang w:val="en-US"/>
        </w:rPr>
        <w:t xml:space="preserve">s case, one early example of a key text would be </w:t>
      </w:r>
      <w:r>
        <w:rPr>
          <w:rFonts w:ascii="Calibri" w:cs="Calibri" w:hAnsi="Calibri" w:eastAsia="Calibri"/>
          <w:i w:val="1"/>
          <w:iCs w:val="1"/>
          <w:sz w:val="36"/>
          <w:szCs w:val="36"/>
          <w:rtl w:val="0"/>
          <w:lang w:val="en-US"/>
        </w:rPr>
        <w:t xml:space="preserve">Renaissance Self-Fashioning From More to Shakespeare </w:t>
      </w:r>
      <w:r>
        <w:rPr>
          <w:sz w:val="36"/>
          <w:szCs w:val="36"/>
          <w:rtl w:val="0"/>
          <w:lang w:val="en-US"/>
        </w:rPr>
        <w:t xml:space="preserve">(1980) This book contains an </w:t>
      </w:r>
      <w:r>
        <w:rPr>
          <w:rFonts w:ascii="Calibri" w:cs="Calibri" w:hAnsi="Calibri" w:eastAsia="Calibri"/>
          <w:i w:val="1"/>
          <w:iCs w:val="1"/>
          <w:sz w:val="36"/>
          <w:szCs w:val="36"/>
          <w:rtl w:val="0"/>
          <w:lang w:val="en-US"/>
        </w:rPr>
        <w:t>Othello</w:t>
      </w:r>
      <w:r>
        <w:rPr>
          <w:sz w:val="36"/>
          <w:szCs w:val="36"/>
          <w:rtl w:val="0"/>
          <w:lang w:val="en-US"/>
        </w:rPr>
        <w:t xml:space="preserve"> essay in which Greenblatt uses History to illuminate the text of </w:t>
      </w:r>
      <w:r>
        <w:rPr>
          <w:rFonts w:ascii="Calibri" w:cs="Calibri" w:hAnsi="Calibri" w:eastAsia="Calibri"/>
          <w:i w:val="1"/>
          <w:iCs w:val="1"/>
          <w:sz w:val="36"/>
          <w:szCs w:val="36"/>
          <w:rtl w:val="0"/>
          <w:lang w:val="en-US"/>
        </w:rPr>
        <w:t>Othello</w:t>
      </w:r>
      <w:r>
        <w:rPr>
          <w:sz w:val="36"/>
          <w:szCs w:val="36"/>
          <w:rtl w:val="0"/>
          <w:lang w:val="en-US"/>
        </w:rPr>
        <w:t xml:space="preserve">, in terms of which material is retained and which is extracted from History as it is written. The expression </w:t>
      </w:r>
      <w:r>
        <w:rPr>
          <w:sz w:val="36"/>
          <w:szCs w:val="36"/>
          <w:rtl w:val="0"/>
          <w:lang w:val="en-US"/>
        </w:rPr>
        <w:t>‘</w:t>
      </w:r>
      <w:r>
        <w:rPr>
          <w:sz w:val="36"/>
          <w:szCs w:val="36"/>
          <w:rtl w:val="0"/>
          <w:lang w:val="en-US"/>
        </w:rPr>
        <w:t>History is written by the winners</w:t>
      </w:r>
      <w:r>
        <w:rPr>
          <w:sz w:val="36"/>
          <w:szCs w:val="36"/>
          <w:rtl w:val="0"/>
          <w:lang w:val="en-US"/>
        </w:rPr>
        <w:t xml:space="preserve">’ </w:t>
      </w:r>
      <w:r>
        <w:rPr>
          <w:sz w:val="36"/>
          <w:szCs w:val="36"/>
          <w:rtl w:val="0"/>
          <w:lang w:val="en-US"/>
        </w:rPr>
        <w:t>is extremely well known and as true as any other applied to History as a whole. Greenblatt</w:t>
      </w:r>
      <w:r>
        <w:rPr>
          <w:sz w:val="36"/>
          <w:szCs w:val="36"/>
          <w:rtl w:val="0"/>
          <w:lang w:val="en-US"/>
        </w:rPr>
        <w:t>’</w:t>
      </w:r>
      <w:r>
        <w:rPr>
          <w:sz w:val="36"/>
          <w:szCs w:val="36"/>
          <w:rtl w:val="0"/>
          <w:lang w:val="en-US"/>
        </w:rPr>
        <w:t xml:space="preserve">s </w:t>
      </w:r>
      <w:r>
        <w:rPr>
          <w:rFonts w:ascii="Calibri" w:cs="Calibri" w:hAnsi="Calibri" w:eastAsia="Calibri"/>
          <w:i w:val="1"/>
          <w:iCs w:val="1"/>
          <w:sz w:val="36"/>
          <w:szCs w:val="36"/>
          <w:rtl w:val="0"/>
          <w:lang w:val="en-US"/>
        </w:rPr>
        <w:t xml:space="preserve">Othello </w:t>
      </w:r>
      <w:r>
        <w:rPr>
          <w:sz w:val="36"/>
          <w:szCs w:val="36"/>
          <w:rtl w:val="0"/>
          <w:lang w:val="en-US"/>
        </w:rPr>
        <w:t>essay is connected to that, as well as to the sub-discipline of Black History which has been around for almost a century; its earliest precursors dating back to 1926.</w:t>
      </w:r>
    </w:p>
    <w:p>
      <w:pPr>
        <w:pStyle w:val="Normal.0"/>
        <w:rPr>
          <w:sz w:val="36"/>
          <w:szCs w:val="36"/>
        </w:rPr>
      </w:pPr>
      <w:r>
        <w:rPr>
          <w:sz w:val="36"/>
          <w:szCs w:val="36"/>
          <w:rtl w:val="0"/>
          <w:lang w:val="en-US"/>
        </w:rPr>
        <w:t>Black History is also certainly relevant to the study of</w:t>
      </w:r>
      <w:r>
        <w:rPr>
          <w:rFonts w:ascii="Calibri" w:cs="Calibri" w:hAnsi="Calibri" w:eastAsia="Calibri"/>
          <w:i w:val="1"/>
          <w:iCs w:val="1"/>
          <w:sz w:val="36"/>
          <w:szCs w:val="36"/>
          <w:rtl w:val="0"/>
          <w:lang w:val="en-US"/>
        </w:rPr>
        <w:t xml:space="preserve"> The</w:t>
      </w:r>
      <w:r>
        <w:rPr>
          <w:sz w:val="36"/>
          <w:szCs w:val="36"/>
          <w:rtl w:val="0"/>
          <w:lang w:val="en-US"/>
        </w:rPr>
        <w:t xml:space="preserve"> </w:t>
      </w:r>
      <w:r>
        <w:rPr>
          <w:rFonts w:ascii="Calibri" w:cs="Calibri" w:hAnsi="Calibri" w:eastAsia="Calibri"/>
          <w:i w:val="1"/>
          <w:iCs w:val="1"/>
          <w:sz w:val="36"/>
          <w:szCs w:val="36"/>
          <w:rtl w:val="0"/>
          <w:lang w:val="en-US"/>
        </w:rPr>
        <w:t>Handmaid</w:t>
      </w:r>
      <w:r>
        <w:rPr>
          <w:rFonts w:ascii="Calibri" w:cs="Calibri" w:hAnsi="Calibri" w:eastAsia="Calibri"/>
          <w:i w:val="1"/>
          <w:iCs w:val="1"/>
          <w:sz w:val="36"/>
          <w:szCs w:val="36"/>
          <w:rtl w:val="0"/>
          <w:lang w:val="en-US"/>
        </w:rPr>
        <w:t>’</w:t>
      </w:r>
      <w:r>
        <w:rPr>
          <w:rFonts w:ascii="Calibri" w:cs="Calibri" w:hAnsi="Calibri" w:eastAsia="Calibri"/>
          <w:i w:val="1"/>
          <w:iCs w:val="1"/>
          <w:sz w:val="36"/>
          <w:szCs w:val="36"/>
          <w:rtl w:val="0"/>
          <w:lang w:val="en-US"/>
        </w:rPr>
        <w:t>s Tale</w:t>
      </w:r>
      <w:r>
        <w:rPr>
          <w:sz w:val="36"/>
          <w:szCs w:val="36"/>
          <w:rtl w:val="0"/>
          <w:lang w:val="en-US"/>
        </w:rPr>
        <w:t xml:space="preserve">, through the racial parallels to it, which are especially emphasised in the epilogue (Historical Notes).  By this I mean the fact that the infertility issue is confirmed by the epilogue to be confined to the Caucasian race, as it refers to: </w:t>
      </w:r>
    </w:p>
    <w:p>
      <w:pPr>
        <w:pStyle w:val="Normal.0"/>
        <w:jc w:val="center"/>
        <w:rPr>
          <w:sz w:val="36"/>
          <w:szCs w:val="36"/>
        </w:rPr>
      </w:pPr>
      <w:r>
        <w:rPr>
          <w:sz w:val="36"/>
          <w:szCs w:val="36"/>
          <w:rtl w:val="0"/>
          <w:lang w:val="en-US"/>
        </w:rPr>
        <w:t>an age of plummeting Caucasian birth rates, a phenomenon observable not only in Gilead but in most northern Caucasian societies of the time.</w:t>
      </w:r>
    </w:p>
    <w:p>
      <w:pPr>
        <w:pStyle w:val="Normal.0"/>
        <w:rPr>
          <w:sz w:val="36"/>
          <w:szCs w:val="36"/>
        </w:rPr>
      </w:pPr>
      <w:r>
        <w:rPr>
          <w:sz w:val="36"/>
          <w:szCs w:val="36"/>
          <w:rtl w:val="0"/>
          <w:lang w:val="en-US"/>
        </w:rPr>
        <w:t xml:space="preserve">There is also the fact that a number of the professors in the flash forward sequence have Native American sounding names, such as </w:t>
      </w:r>
      <w:r>
        <w:rPr>
          <w:sz w:val="36"/>
          <w:szCs w:val="36"/>
          <w:rtl w:val="0"/>
          <w:lang w:val="en-US"/>
        </w:rPr>
        <w:t>‘</w:t>
      </w:r>
      <w:r>
        <w:rPr>
          <w:sz w:val="36"/>
          <w:szCs w:val="36"/>
          <w:rtl w:val="0"/>
          <w:lang w:val="en-US"/>
        </w:rPr>
        <w:t>Maryann Crescent Moon</w:t>
      </w:r>
      <w:r>
        <w:rPr>
          <w:sz w:val="36"/>
          <w:szCs w:val="36"/>
          <w:rtl w:val="0"/>
          <w:lang w:val="en-US"/>
        </w:rPr>
        <w:t xml:space="preserve">’ </w:t>
      </w:r>
      <w:r>
        <w:rPr>
          <w:sz w:val="36"/>
          <w:szCs w:val="36"/>
          <w:rtl w:val="0"/>
          <w:lang w:val="en-US"/>
        </w:rPr>
        <w:t xml:space="preserve">and </w:t>
      </w:r>
      <w:r>
        <w:rPr>
          <w:sz w:val="36"/>
          <w:szCs w:val="36"/>
          <w:rtl w:val="0"/>
          <w:lang w:val="en-US"/>
        </w:rPr>
        <w:t>‘</w:t>
      </w:r>
      <w:r>
        <w:rPr>
          <w:sz w:val="36"/>
          <w:szCs w:val="36"/>
          <w:rtl w:val="0"/>
          <w:lang w:val="en-US"/>
        </w:rPr>
        <w:t>Johnny Running Dog</w:t>
      </w:r>
      <w:r>
        <w:rPr>
          <w:sz w:val="36"/>
          <w:szCs w:val="36"/>
          <w:rtl w:val="0"/>
          <w:lang w:val="en-US"/>
        </w:rPr>
        <w:t>’</w:t>
      </w:r>
      <w:r>
        <w:rPr>
          <w:sz w:val="36"/>
          <w:szCs w:val="36"/>
          <w:rtl w:val="0"/>
          <w:lang w:val="en-US"/>
        </w:rPr>
        <w:t xml:space="preserve">, suggesting that this race has become predominant in the future. The aforementioned Professor Maryann Crescent Moon is of the </w:t>
      </w:r>
      <w:r>
        <w:rPr>
          <w:sz w:val="36"/>
          <w:szCs w:val="36"/>
          <w:rtl w:val="0"/>
          <w:lang w:val="en-US"/>
        </w:rPr>
        <w:t>“</w:t>
      </w:r>
      <w:r>
        <w:rPr>
          <w:sz w:val="36"/>
          <w:szCs w:val="36"/>
          <w:rtl w:val="0"/>
          <w:lang w:val="en-US"/>
        </w:rPr>
        <w:t>Department of Caucasian Anthropology</w:t>
      </w:r>
      <w:r>
        <w:rPr>
          <w:sz w:val="36"/>
          <w:szCs w:val="36"/>
          <w:rtl w:val="0"/>
          <w:lang w:val="en-US"/>
        </w:rPr>
        <w:t>”</w:t>
      </w:r>
      <w:r>
        <w:rPr>
          <w:sz w:val="36"/>
          <w:szCs w:val="36"/>
          <w:rtl w:val="0"/>
          <w:lang w:val="en-US"/>
        </w:rPr>
        <w:t>, which offers a speculative future parallel to the present day study of Black History. It suggests that if the Caucasian race survived at all, it is as a minority. Therefore the desperate fertility measures employed in Gilead to retain the Caucasian race as the dominant one are destined to failure.</w:t>
      </w:r>
    </w:p>
    <w:p>
      <w:pPr>
        <w:pStyle w:val="Normal.0"/>
        <w:rPr>
          <w:sz w:val="36"/>
          <w:szCs w:val="36"/>
        </w:rPr>
      </w:pPr>
    </w:p>
    <w:p>
      <w:pPr>
        <w:pStyle w:val="Normal.0"/>
        <w:rPr>
          <w:sz w:val="36"/>
          <w:szCs w:val="36"/>
        </w:rPr>
      </w:pPr>
      <w:r>
        <w:rPr>
          <w:sz w:val="36"/>
          <w:szCs w:val="36"/>
          <w:rtl w:val="0"/>
          <w:lang w:val="en-US"/>
        </w:rPr>
        <w:t>In outlining the origins and history (arc word) of New Historicism, along with its influence on literature and on later theories, I have not yet explained or even listed the key points of the theory itself. To do this, I can do no better than to allow H. Aram Veeser, the editor of</w:t>
      </w:r>
      <w:r>
        <w:rPr>
          <w:rFonts w:ascii="Calibri" w:cs="Calibri" w:hAnsi="Calibri" w:eastAsia="Calibri"/>
          <w:i w:val="1"/>
          <w:iCs w:val="1"/>
          <w:sz w:val="36"/>
          <w:szCs w:val="36"/>
          <w:rtl w:val="0"/>
          <w:lang w:val="en-US"/>
        </w:rPr>
        <w:t xml:space="preserve"> The</w:t>
      </w:r>
      <w:r>
        <w:rPr>
          <w:sz w:val="36"/>
          <w:szCs w:val="36"/>
          <w:rtl w:val="0"/>
          <w:lang w:val="en-US"/>
        </w:rPr>
        <w:t xml:space="preserve"> </w:t>
      </w:r>
      <w:r>
        <w:rPr>
          <w:rFonts w:ascii="Calibri" w:cs="Calibri" w:hAnsi="Calibri" w:eastAsia="Calibri"/>
          <w:i w:val="1"/>
          <w:iCs w:val="1"/>
          <w:sz w:val="36"/>
          <w:szCs w:val="36"/>
          <w:rtl w:val="0"/>
          <w:lang w:val="en-US"/>
        </w:rPr>
        <w:t>New Historicism</w:t>
      </w:r>
      <w:r>
        <w:rPr>
          <w:sz w:val="36"/>
          <w:szCs w:val="36"/>
          <w:rtl w:val="0"/>
          <w:lang w:val="en-US"/>
        </w:rPr>
        <w:t xml:space="preserve"> (1989), to speak for himself as he does in his Introduction to the book:</w:t>
      </w:r>
    </w:p>
    <w:p>
      <w:pPr>
        <w:pStyle w:val="Normal.0"/>
        <w:rPr>
          <w:sz w:val="36"/>
          <w:szCs w:val="36"/>
        </w:rPr>
      </w:pPr>
    </w:p>
    <w:p>
      <w:pPr>
        <w:pStyle w:val="Normal.0"/>
        <w:jc w:val="center"/>
        <w:rPr>
          <w:sz w:val="36"/>
          <w:szCs w:val="36"/>
        </w:rPr>
      </w:pPr>
      <w:r>
        <w:rPr>
          <w:sz w:val="36"/>
          <w:szCs w:val="36"/>
          <w:rtl w:val="0"/>
          <w:lang w:val="en-US"/>
        </w:rPr>
        <w:t>A newcomer to New Historicism might feel reassured that, for all its heterogeneity, key assumptions continually reappear and bind together the avowed practitioners and even some of their critics: these assumptions are as follows:</w:t>
      </w:r>
    </w:p>
    <w:p>
      <w:pPr>
        <w:pStyle w:val="Normal.0"/>
        <w:numPr>
          <w:ilvl w:val="0"/>
          <w:numId w:val="2"/>
        </w:numPr>
        <w:bidi w:val="0"/>
        <w:ind w:right="0"/>
        <w:jc w:val="center"/>
        <w:rPr>
          <w:sz w:val="36"/>
          <w:szCs w:val="36"/>
          <w:rtl w:val="0"/>
          <w:lang w:val="en-US"/>
        </w:rPr>
      </w:pPr>
      <w:r>
        <w:rPr>
          <w:sz w:val="36"/>
          <w:szCs w:val="36"/>
          <w:rtl w:val="0"/>
          <w:lang w:val="en-US"/>
        </w:rPr>
        <w:t xml:space="preserve"> that every expressive act is embedded in a network of material practices;</w:t>
      </w:r>
    </w:p>
    <w:p>
      <w:pPr>
        <w:pStyle w:val="Normal.0"/>
        <w:numPr>
          <w:ilvl w:val="0"/>
          <w:numId w:val="2"/>
        </w:numPr>
        <w:bidi w:val="0"/>
        <w:ind w:right="0"/>
        <w:jc w:val="center"/>
        <w:rPr>
          <w:sz w:val="36"/>
          <w:szCs w:val="36"/>
          <w:rtl w:val="0"/>
          <w:lang w:val="en-US"/>
        </w:rPr>
      </w:pPr>
      <w:r>
        <w:rPr>
          <w:sz w:val="36"/>
          <w:szCs w:val="36"/>
          <w:rtl w:val="0"/>
          <w:lang w:val="en-US"/>
        </w:rPr>
        <w:t xml:space="preserve"> that every act of unmasking, critique, and opposition uses the tools it condemns and risks falling prey to the practice it exposes;</w:t>
      </w:r>
    </w:p>
    <w:p>
      <w:pPr>
        <w:pStyle w:val="Normal.0"/>
        <w:numPr>
          <w:ilvl w:val="0"/>
          <w:numId w:val="2"/>
        </w:numPr>
        <w:bidi w:val="0"/>
        <w:ind w:right="0"/>
        <w:jc w:val="center"/>
        <w:rPr>
          <w:sz w:val="36"/>
          <w:szCs w:val="36"/>
          <w:rtl w:val="0"/>
          <w:lang w:val="en-US"/>
        </w:rPr>
      </w:pPr>
      <w:r>
        <w:rPr>
          <w:sz w:val="36"/>
          <w:szCs w:val="36"/>
          <w:rtl w:val="0"/>
          <w:lang w:val="en-US"/>
        </w:rPr>
        <w:t xml:space="preserve"> that literary and non-literary </w:t>
      </w:r>
      <w:r>
        <w:rPr>
          <w:sz w:val="36"/>
          <w:szCs w:val="36"/>
          <w:rtl w:val="0"/>
          <w:lang w:val="en-US"/>
        </w:rPr>
        <w:t>“</w:t>
      </w:r>
      <w:r>
        <w:rPr>
          <w:sz w:val="36"/>
          <w:szCs w:val="36"/>
          <w:rtl w:val="0"/>
          <w:lang w:val="en-US"/>
        </w:rPr>
        <w:t>texts</w:t>
      </w:r>
      <w:r>
        <w:rPr>
          <w:sz w:val="36"/>
          <w:szCs w:val="36"/>
          <w:rtl w:val="0"/>
          <w:lang w:val="en-US"/>
        </w:rPr>
        <w:t xml:space="preserve">” </w:t>
      </w:r>
      <w:r>
        <w:rPr>
          <w:sz w:val="36"/>
          <w:szCs w:val="36"/>
          <w:rtl w:val="0"/>
          <w:lang w:val="en-US"/>
        </w:rPr>
        <w:t>circulate inseparably;</w:t>
      </w:r>
    </w:p>
    <w:p>
      <w:pPr>
        <w:pStyle w:val="Normal.0"/>
        <w:numPr>
          <w:ilvl w:val="0"/>
          <w:numId w:val="2"/>
        </w:numPr>
        <w:bidi w:val="0"/>
        <w:ind w:right="0"/>
        <w:jc w:val="center"/>
        <w:rPr>
          <w:sz w:val="36"/>
          <w:szCs w:val="36"/>
          <w:rtl w:val="0"/>
          <w:lang w:val="en-US"/>
        </w:rPr>
      </w:pPr>
      <w:r>
        <w:rPr>
          <w:sz w:val="36"/>
          <w:szCs w:val="36"/>
          <w:rtl w:val="0"/>
          <w:lang w:val="en-US"/>
        </w:rPr>
        <w:t xml:space="preserve"> that no discourse, imaginative or archival, gives access to unchanging truths nor expresses inalterable human nature;</w:t>
      </w:r>
    </w:p>
    <w:p>
      <w:pPr>
        <w:pStyle w:val="Normal.0"/>
        <w:numPr>
          <w:ilvl w:val="0"/>
          <w:numId w:val="2"/>
        </w:numPr>
        <w:bidi w:val="0"/>
        <w:ind w:right="0"/>
        <w:jc w:val="center"/>
        <w:rPr>
          <w:sz w:val="36"/>
          <w:szCs w:val="36"/>
          <w:rtl w:val="0"/>
          <w:lang w:val="en-US"/>
        </w:rPr>
      </w:pPr>
      <w:r>
        <w:rPr>
          <w:sz w:val="36"/>
          <w:szCs w:val="36"/>
          <w:rtl w:val="0"/>
          <w:lang w:val="en-US"/>
        </w:rPr>
        <w:t xml:space="preserve"> finally, as emerges powerfully in this volume, that a critical method and a language adequate to describe culture under capitalism participate in the economy they describe.</w:t>
      </w:r>
    </w:p>
    <w:p>
      <w:pPr>
        <w:pStyle w:val="Normal.0"/>
        <w:ind w:left="232" w:firstLine="0"/>
        <w:rPr>
          <w:sz w:val="36"/>
          <w:szCs w:val="36"/>
        </w:rPr>
      </w:pPr>
    </w:p>
    <w:p>
      <w:pPr>
        <w:pStyle w:val="Normal.0"/>
        <w:ind w:left="232" w:firstLine="0"/>
        <w:rPr>
          <w:sz w:val="36"/>
          <w:szCs w:val="36"/>
        </w:rPr>
      </w:pPr>
      <w:r>
        <w:rPr>
          <w:sz w:val="36"/>
          <w:szCs w:val="36"/>
          <w:rtl w:val="0"/>
          <w:lang w:val="en-US"/>
        </w:rPr>
        <w:t xml:space="preserve">New Historicism led to Cultural Materialism, which was simultaneously a contemporary and a critique of it. Cultural Materialism, in turn, was much influenced by the Works of Michel Foucault (1926-1984), the French philosopher and literary critic who also influenced Marxist Cultural Theory. Marxist Cultural Theory associated the novel with the idea of History. This notion is both supported and illustrated by the fact that many early novels have the word </w:t>
      </w:r>
      <w:r>
        <w:rPr>
          <w:sz w:val="36"/>
          <w:szCs w:val="36"/>
          <w:rtl w:val="0"/>
          <w:lang w:val="en-US"/>
        </w:rPr>
        <w:t>‘</w:t>
      </w:r>
      <w:r>
        <w:rPr>
          <w:sz w:val="36"/>
          <w:szCs w:val="36"/>
          <w:rtl w:val="0"/>
          <w:lang w:val="en-US"/>
        </w:rPr>
        <w:t>History</w:t>
      </w:r>
      <w:r>
        <w:rPr>
          <w:sz w:val="36"/>
          <w:szCs w:val="36"/>
          <w:rtl w:val="0"/>
          <w:lang w:val="en-US"/>
        </w:rPr>
        <w:t xml:space="preserve">’ </w:t>
      </w:r>
      <w:r>
        <w:rPr>
          <w:sz w:val="36"/>
          <w:szCs w:val="36"/>
          <w:rtl w:val="0"/>
          <w:lang w:val="en-US"/>
        </w:rPr>
        <w:t>in the title.</w:t>
      </w:r>
    </w:p>
    <w:p>
      <w:pPr>
        <w:pStyle w:val="Normal.0"/>
        <w:rPr>
          <w:sz w:val="36"/>
          <w:szCs w:val="36"/>
        </w:rPr>
      </w:pPr>
    </w:p>
    <w:p>
      <w:pPr>
        <w:pStyle w:val="Normal.0"/>
        <w:rPr>
          <w:sz w:val="36"/>
          <w:szCs w:val="36"/>
        </w:rPr>
      </w:pPr>
      <w:r>
        <w:rPr>
          <w:sz w:val="36"/>
          <w:szCs w:val="36"/>
          <w:rtl w:val="0"/>
          <w:lang w:val="en-US"/>
        </w:rPr>
        <w:t xml:space="preserve">There is some academic confusion over the matter of the differences between Historicism and New Historicism. Paul Hamilton considers these differences in his 1996 book </w:t>
      </w:r>
      <w:r>
        <w:rPr>
          <w:rFonts w:ascii="Calibri" w:cs="Calibri" w:hAnsi="Calibri" w:eastAsia="Calibri"/>
          <w:i w:val="1"/>
          <w:iCs w:val="1"/>
          <w:sz w:val="36"/>
          <w:szCs w:val="36"/>
          <w:rtl w:val="0"/>
          <w:lang w:val="en-US"/>
        </w:rPr>
        <w:t>Historicism</w:t>
      </w:r>
      <w:r>
        <w:rPr>
          <w:sz w:val="36"/>
          <w:szCs w:val="36"/>
          <w:rtl w:val="0"/>
          <w:lang w:val="en-US"/>
        </w:rPr>
        <w:t xml:space="preserve">. Essentially though, New Historicism is concerned with the plurality of historical contexts. </w:t>
      </w:r>
      <w:r>
        <w:rPr>
          <w:sz w:val="36"/>
          <w:szCs w:val="36"/>
          <w:rtl w:val="0"/>
          <w:lang w:val="en-US"/>
        </w:rPr>
        <w:t>‘</w:t>
      </w:r>
      <w:r>
        <w:rPr>
          <w:sz w:val="36"/>
          <w:szCs w:val="36"/>
          <w:rtl w:val="0"/>
          <w:lang w:val="en-US"/>
        </w:rPr>
        <w:t>Context is key</w:t>
      </w:r>
      <w:r>
        <w:rPr>
          <w:sz w:val="36"/>
          <w:szCs w:val="36"/>
          <w:rtl w:val="0"/>
          <w:lang w:val="en-US"/>
        </w:rPr>
        <w:t xml:space="preserve">’ </w:t>
      </w:r>
      <w:r>
        <w:rPr>
          <w:sz w:val="36"/>
          <w:szCs w:val="36"/>
          <w:rtl w:val="0"/>
          <w:lang w:val="en-US"/>
        </w:rPr>
        <w:t xml:space="preserve">is rather like </w:t>
      </w:r>
      <w:r>
        <w:rPr>
          <w:sz w:val="36"/>
          <w:szCs w:val="36"/>
          <w:rtl w:val="0"/>
          <w:lang w:val="en-US"/>
        </w:rPr>
        <w:t>‘</w:t>
      </w:r>
      <w:r>
        <w:rPr>
          <w:sz w:val="36"/>
          <w:szCs w:val="36"/>
          <w:rtl w:val="0"/>
          <w:lang w:val="en-US"/>
        </w:rPr>
        <w:t>History is written by the winners</w:t>
      </w:r>
      <w:r>
        <w:rPr>
          <w:sz w:val="36"/>
          <w:szCs w:val="36"/>
          <w:rtl w:val="0"/>
          <w:lang w:val="en-US"/>
        </w:rPr>
        <w:t xml:space="preserve">’ </w:t>
      </w:r>
      <w:r>
        <w:rPr>
          <w:sz w:val="36"/>
          <w:szCs w:val="36"/>
          <w:rtl w:val="0"/>
          <w:lang w:val="en-US"/>
        </w:rPr>
        <w:t xml:space="preserve">in terms of its universal fame and truth. This could be considered as one of the foundation points for the theory of New Historicism. It argues that texts both literary and non-literary are among other things historical documents and deeply embedded in their own historical and cultural contexts. Equally important though are the historical and cultural contexts in which the texts are read.Therefore the plurality emerges and becomes central because every historical age however loosely or arbitrarily defined, would view a particular text differently through their own framework. H. Aram Veeser in his 1989 book, </w:t>
      </w:r>
      <w:r>
        <w:rPr>
          <w:rFonts w:ascii="Calibri" w:cs="Calibri" w:hAnsi="Calibri" w:eastAsia="Calibri"/>
          <w:i w:val="1"/>
          <w:iCs w:val="1"/>
          <w:sz w:val="36"/>
          <w:szCs w:val="36"/>
          <w:rtl w:val="0"/>
          <w:lang w:val="en-US"/>
        </w:rPr>
        <w:t>The New</w:t>
      </w:r>
      <w:r>
        <w:rPr>
          <w:sz w:val="36"/>
          <w:szCs w:val="36"/>
          <w:rtl w:val="0"/>
          <w:lang w:val="en-US"/>
        </w:rPr>
        <w:t xml:space="preserve"> </w:t>
      </w:r>
      <w:r>
        <w:rPr>
          <w:rFonts w:ascii="Calibri" w:cs="Calibri" w:hAnsi="Calibri" w:eastAsia="Calibri"/>
          <w:i w:val="1"/>
          <w:iCs w:val="1"/>
          <w:sz w:val="36"/>
          <w:szCs w:val="36"/>
          <w:rtl w:val="0"/>
          <w:lang w:val="en-US"/>
        </w:rPr>
        <w:t>Historicism</w:t>
      </w:r>
      <w:r>
        <w:rPr>
          <w:sz w:val="36"/>
          <w:szCs w:val="36"/>
          <w:rtl w:val="0"/>
          <w:lang w:val="en-US"/>
        </w:rPr>
        <w:t xml:space="preserve"> fittingly uses a Stephen Greenblatt quotation to open his Introduction: </w:t>
      </w:r>
      <w:r>
        <w:rPr>
          <w:sz w:val="36"/>
          <w:szCs w:val="36"/>
          <w:rtl w:val="0"/>
          <w:lang w:val="en-US"/>
        </w:rPr>
        <w:t>“</w:t>
      </w:r>
      <w:r>
        <w:rPr>
          <w:sz w:val="36"/>
          <w:szCs w:val="36"/>
          <w:rtl w:val="0"/>
          <w:lang w:val="en-US"/>
        </w:rPr>
        <w:t>I began with the desire to speak with the dead</w:t>
      </w:r>
      <w:r>
        <w:rPr>
          <w:sz w:val="36"/>
          <w:szCs w:val="36"/>
          <w:rtl w:val="0"/>
          <w:lang w:val="en-US"/>
        </w:rPr>
        <w:t>”</w:t>
      </w:r>
      <w:r>
        <w:rPr>
          <w:sz w:val="36"/>
          <w:szCs w:val="36"/>
          <w:rtl w:val="0"/>
          <w:lang w:val="en-US"/>
        </w:rPr>
        <w:t>.</w:t>
      </w:r>
    </w:p>
    <w:p>
      <w:pPr>
        <w:pStyle w:val="Normal.0"/>
        <w:rPr>
          <w:sz w:val="36"/>
          <w:szCs w:val="36"/>
        </w:rPr>
      </w:pPr>
      <w:r>
        <w:rPr>
          <w:sz w:val="36"/>
          <w:szCs w:val="36"/>
          <w:rtl w:val="0"/>
          <w:lang w:val="en-US"/>
        </w:rPr>
        <w:t xml:space="preserve">This gives some idea of the importance of reconstructing the past in New Historicism and extracting the voices from it to the extent of reviving the dead for purposes of conversation with them. This idea is used in the epilogue (Historical Notes) of </w:t>
      </w:r>
      <w:r>
        <w:rPr>
          <w:rFonts w:ascii="Calibri" w:cs="Calibri" w:hAnsi="Calibri" w:eastAsia="Calibri"/>
          <w:i w:val="1"/>
          <w:iCs w:val="1"/>
          <w:sz w:val="36"/>
          <w:szCs w:val="36"/>
          <w:rtl w:val="0"/>
          <w:lang w:val="en-US"/>
        </w:rPr>
        <w:t>The Handmaid</w:t>
      </w:r>
      <w:r>
        <w:rPr>
          <w:rFonts w:ascii="Calibri" w:cs="Calibri" w:hAnsi="Calibri" w:eastAsia="Calibri"/>
          <w:i w:val="1"/>
          <w:iCs w:val="1"/>
          <w:sz w:val="36"/>
          <w:szCs w:val="36"/>
          <w:rtl w:val="0"/>
          <w:lang w:val="en-US"/>
        </w:rPr>
        <w:t>’</w:t>
      </w:r>
      <w:r>
        <w:rPr>
          <w:rFonts w:ascii="Calibri" w:cs="Calibri" w:hAnsi="Calibri" w:eastAsia="Calibri"/>
          <w:i w:val="1"/>
          <w:iCs w:val="1"/>
          <w:sz w:val="36"/>
          <w:szCs w:val="36"/>
          <w:rtl w:val="0"/>
          <w:lang w:val="en-US"/>
        </w:rPr>
        <w:t>s Tale</w:t>
      </w:r>
      <w:r>
        <w:rPr>
          <w:sz w:val="36"/>
          <w:szCs w:val="36"/>
          <w:rtl w:val="0"/>
          <w:lang w:val="en-US"/>
        </w:rPr>
        <w:t>. To illustrate this, I can quote the closing lines of the novel:</w:t>
      </w:r>
    </w:p>
    <w:p>
      <w:pPr>
        <w:pStyle w:val="Normal.0"/>
        <w:jc w:val="center"/>
        <w:rPr>
          <w:sz w:val="36"/>
          <w:szCs w:val="36"/>
        </w:rPr>
      </w:pPr>
    </w:p>
    <w:p>
      <w:pPr>
        <w:pStyle w:val="Normal.0"/>
        <w:jc w:val="center"/>
        <w:rPr>
          <w:sz w:val="36"/>
          <w:szCs w:val="36"/>
        </w:rPr>
      </w:pPr>
      <w:r>
        <w:rPr>
          <w:sz w:val="36"/>
          <w:szCs w:val="36"/>
          <w:rtl w:val="0"/>
          <w:lang w:val="en-US"/>
        </w:rPr>
        <w:t>We may call Eurydice forth from the world of the dead, but we cannot make her answer; and when we turn to look at her we glimpse her only for a moment, before she slips from our grasp and flees. As all historians know, the past is a great darkness, and filled with echoes. Voices may reach us from it; but what they say to us is imbued with the obscurity of the matrix out of which they come; and, try as we may, we cannot always decipher them precisely in the clearer light of our own day.</w:t>
      </w:r>
    </w:p>
    <w:p>
      <w:pPr>
        <w:pStyle w:val="Normal.0"/>
        <w:jc w:val="center"/>
        <w:rPr>
          <w:sz w:val="36"/>
          <w:szCs w:val="36"/>
        </w:rPr>
      </w:pPr>
      <w:r>
        <w:rPr>
          <w:sz w:val="36"/>
          <w:szCs w:val="36"/>
          <w:rtl w:val="0"/>
          <w:lang w:val="en-US"/>
        </w:rPr>
        <w:t>Applause.</w:t>
      </w:r>
    </w:p>
    <w:p>
      <w:pPr>
        <w:pStyle w:val="Normal.0"/>
        <w:jc w:val="center"/>
        <w:rPr>
          <w:sz w:val="36"/>
          <w:szCs w:val="36"/>
        </w:rPr>
      </w:pPr>
      <w:r>
        <w:rPr>
          <w:sz w:val="36"/>
          <w:szCs w:val="36"/>
          <w:rtl w:val="0"/>
          <w:lang w:val="en-US"/>
        </w:rPr>
        <w:t>Are there any questions?</w:t>
      </w:r>
    </w:p>
    <w:p>
      <w:pPr>
        <w:pStyle w:val="Normal.0"/>
        <w:rPr>
          <w:sz w:val="36"/>
          <w:szCs w:val="36"/>
        </w:rPr>
      </w:pPr>
    </w:p>
    <w:p>
      <w:pPr>
        <w:pStyle w:val="Normal.0"/>
        <w:rPr>
          <w:sz w:val="36"/>
          <w:szCs w:val="36"/>
        </w:rPr>
      </w:pPr>
    </w:p>
    <w:p>
      <w:pPr>
        <w:pStyle w:val="Normal.0"/>
        <w:rPr>
          <w:sz w:val="36"/>
          <w:szCs w:val="36"/>
        </w:rPr>
      </w:pPr>
      <w:r>
        <w:rPr>
          <w:sz w:val="36"/>
          <w:szCs w:val="36"/>
          <w:rtl w:val="0"/>
          <w:lang w:val="en-US"/>
        </w:rPr>
        <w:t>New Historicism is very interested in such concepts as historiography, which could be defined as the History of History, both in terms of the past itself and the way in which it was written. It was in this period (the 1980</w:t>
      </w:r>
      <w:r>
        <w:rPr>
          <w:sz w:val="36"/>
          <w:szCs w:val="36"/>
          <w:rtl w:val="0"/>
          <w:lang w:val="en-US"/>
        </w:rPr>
        <w:t>’</w:t>
      </w:r>
      <w:r>
        <w:rPr>
          <w:sz w:val="36"/>
          <w:szCs w:val="36"/>
          <w:rtl w:val="0"/>
          <w:lang w:val="en-US"/>
        </w:rPr>
        <w:t>s, New Historicism</w:t>
      </w:r>
      <w:r>
        <w:rPr>
          <w:sz w:val="36"/>
          <w:szCs w:val="36"/>
          <w:rtl w:val="0"/>
          <w:lang w:val="en-US"/>
        </w:rPr>
        <w:t>’</w:t>
      </w:r>
      <w:r>
        <w:rPr>
          <w:sz w:val="36"/>
          <w:szCs w:val="36"/>
          <w:rtl w:val="0"/>
          <w:lang w:val="en-US"/>
        </w:rPr>
        <w:t>s height) that the very idea of History became contested, leading to arguments about what exactly it comprised. Part of this debate was the schism between Political and Social History. Political History could encompass the most traditional and mainstream elements of History studied, including such areas as warfare, monarchy, revolutions and diseases. Social History meanwhile could be considered smaller scale in terms of being more connected to the lives of the common people and also encompass such special interest topics as Women</w:t>
      </w:r>
      <w:r>
        <w:rPr>
          <w:sz w:val="36"/>
          <w:szCs w:val="36"/>
          <w:rtl w:val="0"/>
          <w:lang w:val="en-US"/>
        </w:rPr>
        <w:t>’</w:t>
      </w:r>
      <w:r>
        <w:rPr>
          <w:sz w:val="36"/>
          <w:szCs w:val="36"/>
          <w:rtl w:val="0"/>
          <w:lang w:val="en-US"/>
        </w:rPr>
        <w:t>s History and the aforementioned Black History. It is this that brings the discussion to Jane Austen</w:t>
      </w:r>
      <w:r>
        <w:rPr>
          <w:sz w:val="36"/>
          <w:szCs w:val="36"/>
          <w:rtl w:val="0"/>
          <w:lang w:val="en-US"/>
        </w:rPr>
        <w:t>’</w:t>
      </w:r>
      <w:r>
        <w:rPr>
          <w:sz w:val="36"/>
          <w:szCs w:val="36"/>
          <w:rtl w:val="0"/>
          <w:lang w:val="en-US"/>
        </w:rPr>
        <w:t xml:space="preserve">s </w:t>
      </w:r>
      <w:r>
        <w:rPr>
          <w:rFonts w:ascii="Calibri" w:cs="Calibri" w:hAnsi="Calibri" w:eastAsia="Calibri"/>
          <w:i w:val="1"/>
          <w:iCs w:val="1"/>
          <w:sz w:val="36"/>
          <w:szCs w:val="36"/>
          <w:rtl w:val="0"/>
          <w:lang w:val="en-US"/>
        </w:rPr>
        <w:t>Northanger Abbey</w:t>
      </w:r>
      <w:r>
        <w:rPr>
          <w:sz w:val="36"/>
          <w:szCs w:val="36"/>
          <w:rtl w:val="0"/>
          <w:lang w:val="en-US"/>
        </w:rPr>
        <w:t>.</w:t>
      </w:r>
    </w:p>
    <w:p>
      <w:pPr>
        <w:pStyle w:val="Normal.0"/>
        <w:rPr>
          <w:sz w:val="36"/>
          <w:szCs w:val="36"/>
        </w:rPr>
      </w:pPr>
    </w:p>
    <w:p>
      <w:pPr>
        <w:pStyle w:val="Normal.0"/>
        <w:rPr>
          <w:sz w:val="36"/>
          <w:szCs w:val="36"/>
        </w:rPr>
      </w:pPr>
      <w:r>
        <w:rPr>
          <w:rFonts w:ascii="Calibri" w:cs="Calibri" w:hAnsi="Calibri" w:eastAsia="Calibri"/>
          <w:i w:val="1"/>
          <w:iCs w:val="1"/>
          <w:sz w:val="36"/>
          <w:szCs w:val="36"/>
          <w:rtl w:val="0"/>
          <w:lang w:val="en-US"/>
        </w:rPr>
        <w:t>Northanger Abbey</w:t>
      </w:r>
      <w:r>
        <w:rPr>
          <w:sz w:val="36"/>
          <w:szCs w:val="36"/>
          <w:rtl w:val="0"/>
          <w:lang w:val="en-US"/>
        </w:rPr>
        <w:t xml:space="preserve"> is in many ways an unusual Jane Austen book. The first novel written, the last one published and posthumously at that, and unquestionably the most self-consciously literary among them all, in terms of the sheer space devoted in it to the subject of novels and novel reading, it is in rather a class by itself. The discussion of History in Chapter Fourteen is much quoted and considered, almost as much as the notorious authorial aside in Chapter Five. In this, Austen gives her polemic on novels, novel writing and reading and the contemporary disdain for it, especially as regarding lady novelists. This is certainly of interest in itself to New Historicism, as it records an attitude towards novels that is very different from the present day, which has much enthusiasm for them and for Austen</w:t>
      </w:r>
      <w:r>
        <w:rPr>
          <w:sz w:val="36"/>
          <w:szCs w:val="36"/>
          <w:rtl w:val="0"/>
          <w:lang w:val="en-US"/>
        </w:rPr>
        <w:t>’</w:t>
      </w:r>
      <w:r>
        <w:rPr>
          <w:sz w:val="36"/>
          <w:szCs w:val="36"/>
          <w:rtl w:val="0"/>
          <w:lang w:val="en-US"/>
        </w:rPr>
        <w:t xml:space="preserve">s in particular, judging from the sheer number of dramatised adaptations made of her work among other evidence. But the discussion of History is of yet more interest to the theory, as the topic is of more direct relevance. </w:t>
      </w:r>
    </w:p>
    <w:p>
      <w:pPr>
        <w:pStyle w:val="Normal.0"/>
        <w:rPr>
          <w:sz w:val="36"/>
          <w:szCs w:val="36"/>
        </w:rPr>
      </w:pPr>
    </w:p>
    <w:p>
      <w:pPr>
        <w:pStyle w:val="Normal.0"/>
        <w:rPr>
          <w:sz w:val="36"/>
          <w:szCs w:val="36"/>
        </w:rPr>
      </w:pPr>
      <w:r>
        <w:rPr>
          <w:sz w:val="36"/>
          <w:szCs w:val="36"/>
          <w:rtl w:val="0"/>
          <w:lang w:val="en-US"/>
        </w:rPr>
        <w:t>The scene takes place on a walk through the Bath countryside. The players involved are the novel</w:t>
      </w:r>
      <w:r>
        <w:rPr>
          <w:sz w:val="36"/>
          <w:szCs w:val="36"/>
          <w:rtl w:val="0"/>
          <w:lang w:val="en-US"/>
        </w:rPr>
        <w:t>’</w:t>
      </w:r>
      <w:r>
        <w:rPr>
          <w:sz w:val="36"/>
          <w:szCs w:val="36"/>
          <w:rtl w:val="0"/>
          <w:lang w:val="en-US"/>
        </w:rPr>
        <w:t>s heroine - as she is often proclaimed to be in the narration- Catherine Morland and Henry and Eleanor Tilney. The discussion between them is mostly literary, and with the specific intention to find another "kind of reading</w:t>
      </w:r>
      <w:r>
        <w:rPr>
          <w:sz w:val="36"/>
          <w:szCs w:val="36"/>
          <w:rtl w:val="0"/>
          <w:lang w:val="en-US"/>
        </w:rPr>
        <w:t xml:space="preserve">” </w:t>
      </w:r>
      <w:r>
        <w:rPr>
          <w:sz w:val="36"/>
          <w:szCs w:val="36"/>
          <w:rtl w:val="0"/>
          <w:lang w:val="en-US"/>
        </w:rPr>
        <w:t xml:space="preserve">that might be comparable with Gothic Literature, and specifically the Works of </w:t>
      </w:r>
      <w:r>
        <w:rPr>
          <w:sz w:val="36"/>
          <w:szCs w:val="36"/>
          <w:rtl w:val="0"/>
          <w:lang w:val="en-US"/>
        </w:rPr>
        <w:t>“</w:t>
      </w:r>
      <w:r>
        <w:rPr>
          <w:sz w:val="36"/>
          <w:szCs w:val="36"/>
          <w:rtl w:val="0"/>
          <w:lang w:val="en-US"/>
        </w:rPr>
        <w:t>Mrs Radcliffe</w:t>
      </w:r>
      <w:r>
        <w:rPr>
          <w:sz w:val="36"/>
          <w:szCs w:val="36"/>
          <w:rtl w:val="0"/>
          <w:lang w:val="en-US"/>
        </w:rPr>
        <w:t xml:space="preserve">” </w:t>
      </w:r>
      <w:r>
        <w:rPr>
          <w:sz w:val="36"/>
          <w:szCs w:val="36"/>
          <w:rtl w:val="0"/>
          <w:lang w:val="en-US"/>
        </w:rPr>
        <w:t>in terms of Catherine</w:t>
      </w:r>
      <w:r>
        <w:rPr>
          <w:sz w:val="36"/>
          <w:szCs w:val="36"/>
          <w:rtl w:val="0"/>
          <w:lang w:val="en-US"/>
        </w:rPr>
        <w:t>’</w:t>
      </w:r>
      <w:r>
        <w:rPr>
          <w:sz w:val="36"/>
          <w:szCs w:val="36"/>
          <w:rtl w:val="0"/>
          <w:lang w:val="en-US"/>
        </w:rPr>
        <w:t>s enthusiasm for it. However this is admittedly rather futile, as Catherine</w:t>
      </w:r>
      <w:r>
        <w:rPr>
          <w:sz w:val="36"/>
          <w:szCs w:val="36"/>
          <w:rtl w:val="0"/>
          <w:lang w:val="en-US"/>
        </w:rPr>
        <w:t>’</w:t>
      </w:r>
      <w:r>
        <w:rPr>
          <w:sz w:val="36"/>
          <w:szCs w:val="36"/>
          <w:rtl w:val="0"/>
          <w:lang w:val="en-US"/>
        </w:rPr>
        <w:t xml:space="preserve">s assertion is </w:t>
      </w:r>
      <w:r>
        <w:rPr>
          <w:sz w:val="36"/>
          <w:szCs w:val="36"/>
          <w:rtl w:val="0"/>
          <w:lang w:val="en-US"/>
        </w:rPr>
        <w:t>“</w:t>
      </w:r>
      <w:r>
        <w:rPr>
          <w:sz w:val="36"/>
          <w:szCs w:val="36"/>
          <w:rtl w:val="0"/>
          <w:lang w:val="en-US"/>
        </w:rPr>
        <w:t>I do not much like any other</w:t>
      </w:r>
      <w:r>
        <w:rPr>
          <w:sz w:val="36"/>
          <w:szCs w:val="36"/>
          <w:rtl w:val="0"/>
          <w:lang w:val="en-US"/>
        </w:rPr>
        <w:t xml:space="preserve">” </w:t>
      </w:r>
      <w:r>
        <w:rPr>
          <w:sz w:val="36"/>
          <w:szCs w:val="36"/>
          <w:rtl w:val="0"/>
          <w:lang w:val="en-US"/>
        </w:rPr>
        <w:t xml:space="preserve">regarding 'kinds of reading'. History she specifically mentions negatively, which leads to a discussion of both its nature and value and the matter of the writing of it. The discussion is surprisingly extensive, considering the apparent initial dismissal of the discipline. In short, for someone who claims a dislike of History, Catherine seems to have given it a tremendous amount of thought. For all that though, it is why she dislikes it and what her concept of History is that is of most interest to New Historicism. She declares that </w:t>
      </w:r>
      <w:r>
        <w:rPr>
          <w:sz w:val="36"/>
          <w:szCs w:val="36"/>
          <w:rtl w:val="0"/>
          <w:lang w:val="en-US"/>
        </w:rPr>
        <w:t>“</w:t>
      </w:r>
      <w:r>
        <w:rPr>
          <w:sz w:val="36"/>
          <w:szCs w:val="36"/>
          <w:rtl w:val="0"/>
          <w:lang w:val="en-US"/>
        </w:rPr>
        <w:t>history, real solemn history, I cannot be interested in.</w:t>
      </w:r>
      <w:r>
        <w:rPr>
          <w:sz w:val="36"/>
          <w:szCs w:val="36"/>
          <w:rtl w:val="0"/>
          <w:lang w:val="en-US"/>
        </w:rPr>
        <w:t xml:space="preserve">” </w:t>
      </w:r>
    </w:p>
    <w:p>
      <w:pPr>
        <w:pStyle w:val="Normal.0"/>
        <w:rPr>
          <w:sz w:val="36"/>
          <w:szCs w:val="36"/>
        </w:rPr>
      </w:pPr>
      <w:r>
        <w:rPr>
          <w:sz w:val="36"/>
          <w:szCs w:val="36"/>
          <w:rtl w:val="0"/>
          <w:lang w:val="en-US"/>
        </w:rPr>
        <w:t>She goes on to characterise it as:</w:t>
      </w:r>
    </w:p>
    <w:p>
      <w:pPr>
        <w:pStyle w:val="Normal.0"/>
        <w:jc w:val="center"/>
        <w:rPr>
          <w:sz w:val="36"/>
          <w:szCs w:val="36"/>
        </w:rPr>
      </w:pPr>
      <w:r>
        <w:rPr>
          <w:sz w:val="36"/>
          <w:szCs w:val="36"/>
          <w:rtl w:val="0"/>
          <w:lang w:val="en-US"/>
        </w:rPr>
        <w:t>The quarrels of popes and kings, with wars or pestilences, in every page; the men all so good for nothing, and hardly any women at all - it is very tiresome:</w:t>
      </w:r>
    </w:p>
    <w:p>
      <w:pPr>
        <w:pStyle w:val="Normal.0"/>
        <w:rPr>
          <w:sz w:val="36"/>
          <w:szCs w:val="36"/>
        </w:rPr>
      </w:pPr>
      <w:r>
        <w:rPr>
          <w:sz w:val="36"/>
          <w:szCs w:val="36"/>
          <w:rtl w:val="0"/>
          <w:lang w:val="en-US"/>
        </w:rPr>
        <w:t xml:space="preserve"> </w:t>
      </w:r>
    </w:p>
    <w:p>
      <w:pPr>
        <w:pStyle w:val="Normal.0"/>
        <w:rPr>
          <w:sz w:val="36"/>
          <w:szCs w:val="36"/>
        </w:rPr>
      </w:pPr>
    </w:p>
    <w:p>
      <w:pPr>
        <w:pStyle w:val="Normal.0"/>
        <w:rPr>
          <w:sz w:val="36"/>
          <w:szCs w:val="36"/>
        </w:rPr>
      </w:pPr>
      <w:r>
        <w:rPr>
          <w:sz w:val="36"/>
          <w:szCs w:val="36"/>
          <w:rtl w:val="0"/>
          <w:lang w:val="en-US"/>
        </w:rPr>
        <w:t>Thus she sums up and dismisses Political History, while indirectly wishing for Women</w:t>
      </w:r>
      <w:r>
        <w:rPr>
          <w:sz w:val="36"/>
          <w:szCs w:val="36"/>
          <w:rtl w:val="0"/>
          <w:lang w:val="en-US"/>
        </w:rPr>
        <w:t>’</w:t>
      </w:r>
      <w:r>
        <w:rPr>
          <w:sz w:val="36"/>
          <w:szCs w:val="36"/>
          <w:rtl w:val="0"/>
          <w:lang w:val="en-US"/>
        </w:rPr>
        <w:t xml:space="preserve">s History, before it was popularised. This </w:t>
      </w:r>
      <w:r>
        <w:rPr>
          <w:sz w:val="36"/>
          <w:szCs w:val="36"/>
          <w:rtl w:val="0"/>
          <w:lang w:val="en-US"/>
        </w:rPr>
        <w:t xml:space="preserve">popularisation occurred </w:t>
      </w:r>
      <w:r>
        <w:rPr>
          <w:sz w:val="36"/>
          <w:szCs w:val="36"/>
          <w:rtl w:val="0"/>
          <w:lang w:val="en-US"/>
        </w:rPr>
        <w:t>around the time of the rise of Women</w:t>
      </w:r>
      <w:r>
        <w:rPr>
          <w:sz w:val="36"/>
          <w:szCs w:val="36"/>
          <w:rtl w:val="0"/>
          <w:lang w:val="en-US"/>
        </w:rPr>
        <w:t>’</w:t>
      </w:r>
      <w:r>
        <w:rPr>
          <w:sz w:val="36"/>
          <w:szCs w:val="36"/>
          <w:rtl w:val="0"/>
          <w:lang w:val="en-US"/>
        </w:rPr>
        <w:t xml:space="preserve">s Studies as an academic discipline, which began in the 1970's and has been growing ever since. It is therefore fairly close in time to the emergence of New Historicism. What is interesting though is that if her allusion to quarrels between kings and popes was a reference to Henry VIII, which seems likely, as it is the most major event of the kind in British History, then there certainly were women involved, specifically his first two wives. One might think that since they were both Queens of England who were instrumental in changing the course of History, and one of them was a namesake of hers that this would be of interest to her. The fact that she does not mention this part or show interest, gives some indication of the type of </w:t>
      </w:r>
      <w:r>
        <w:rPr>
          <w:sz w:val="36"/>
          <w:szCs w:val="36"/>
          <w:rtl w:val="0"/>
          <w:lang w:val="en-US"/>
        </w:rPr>
        <w:t>History</w:t>
      </w:r>
      <w:r>
        <w:rPr>
          <w:sz w:val="36"/>
          <w:szCs w:val="36"/>
          <w:rtl w:val="0"/>
          <w:lang w:val="en-US"/>
        </w:rPr>
        <w:t xml:space="preserve"> she has been taught and in what manner. Her preference for Gothic Literature, especially that written by women thus becomes more understandable, as much of that is from the women</w:t>
      </w:r>
      <w:r>
        <w:rPr>
          <w:sz w:val="36"/>
          <w:szCs w:val="36"/>
          <w:rtl w:val="0"/>
          <w:lang w:val="en-US"/>
        </w:rPr>
        <w:t>’</w:t>
      </w:r>
      <w:r>
        <w:rPr>
          <w:sz w:val="36"/>
          <w:szCs w:val="36"/>
          <w:rtl w:val="0"/>
          <w:lang w:val="en-US"/>
        </w:rPr>
        <w:t>s point of view. My specific thesis for this novel though with regards to New Historicism is that a thread of history runs through the text and the heroine is far more interested in it than she claims to be in this scene, and generally more inclined towards it than she gives herself credit for. This is of course, entirely on her own terms, which are very much in opposition to the type of traditional History she has been taught, in both content and manner. For one thing, there is the fact that Anne Radcliffe</w:t>
      </w:r>
      <w:r>
        <w:rPr>
          <w:sz w:val="36"/>
          <w:szCs w:val="36"/>
          <w:rtl w:val="0"/>
          <w:lang w:val="en-US"/>
        </w:rPr>
        <w:t>’</w:t>
      </w:r>
      <w:r>
        <w:rPr>
          <w:sz w:val="36"/>
          <w:szCs w:val="36"/>
          <w:rtl w:val="0"/>
          <w:lang w:val="en-US"/>
        </w:rPr>
        <w:t xml:space="preserve">s </w:t>
      </w:r>
      <w:r>
        <w:rPr>
          <w:rFonts w:ascii="Calibri" w:cs="Calibri" w:hAnsi="Calibri" w:eastAsia="Calibri"/>
          <w:i w:val="1"/>
          <w:iCs w:val="1"/>
          <w:sz w:val="36"/>
          <w:szCs w:val="36"/>
          <w:rtl w:val="0"/>
          <w:lang w:val="en-US"/>
        </w:rPr>
        <w:t>Mysteries of Udolpho</w:t>
      </w:r>
      <w:r>
        <w:rPr>
          <w:sz w:val="36"/>
          <w:szCs w:val="36"/>
          <w:rtl w:val="0"/>
          <w:lang w:val="en-US"/>
        </w:rPr>
        <w:t>, Catherine</w:t>
      </w:r>
      <w:r>
        <w:rPr>
          <w:sz w:val="36"/>
          <w:szCs w:val="36"/>
          <w:rtl w:val="0"/>
          <w:lang w:val="en-US"/>
        </w:rPr>
        <w:t>’</w:t>
      </w:r>
      <w:r>
        <w:rPr>
          <w:sz w:val="36"/>
          <w:szCs w:val="36"/>
          <w:rtl w:val="0"/>
          <w:lang w:val="en-US"/>
        </w:rPr>
        <w:t xml:space="preserve">s favourite book and referenced extensively throughout </w:t>
      </w:r>
      <w:r>
        <w:rPr>
          <w:rFonts w:ascii="Calibri" w:cs="Calibri" w:hAnsi="Calibri" w:eastAsia="Calibri"/>
          <w:i w:val="1"/>
          <w:iCs w:val="1"/>
          <w:sz w:val="36"/>
          <w:szCs w:val="36"/>
          <w:rtl w:val="0"/>
          <w:lang w:val="en-US"/>
        </w:rPr>
        <w:t>Northanger</w:t>
      </w:r>
      <w:r>
        <w:rPr>
          <w:sz w:val="36"/>
          <w:szCs w:val="36"/>
          <w:rtl w:val="0"/>
          <w:lang w:val="en-US"/>
        </w:rPr>
        <w:t xml:space="preserve"> </w:t>
      </w:r>
      <w:r>
        <w:rPr>
          <w:rFonts w:ascii="Calibri" w:cs="Calibri" w:hAnsi="Calibri" w:eastAsia="Calibri"/>
          <w:i w:val="1"/>
          <w:iCs w:val="1"/>
          <w:sz w:val="36"/>
          <w:szCs w:val="36"/>
          <w:rtl w:val="0"/>
          <w:lang w:val="en-US"/>
        </w:rPr>
        <w:t>Abbey,</w:t>
      </w:r>
      <w:r>
        <w:rPr>
          <w:sz w:val="36"/>
          <w:szCs w:val="36"/>
          <w:rtl w:val="0"/>
          <w:lang w:val="en-US"/>
        </w:rPr>
        <w:t xml:space="preserve"> is ostensibly set in 1584 - relatively near to the period Catherine raises and dismisses in her review on History - for all of its social commentary on its own time, not unlike Austen</w:t>
      </w:r>
      <w:r>
        <w:rPr>
          <w:sz w:val="36"/>
          <w:szCs w:val="36"/>
          <w:rtl w:val="0"/>
          <w:lang w:val="en-US"/>
        </w:rPr>
        <w:t>’</w:t>
      </w:r>
      <w:r>
        <w:rPr>
          <w:sz w:val="36"/>
          <w:szCs w:val="36"/>
          <w:rtl w:val="0"/>
          <w:lang w:val="en-US"/>
        </w:rPr>
        <w:t xml:space="preserve">s use of this in fact. Indeed many Gothic novels, including some of those mentioned in </w:t>
      </w:r>
      <w:r>
        <w:rPr>
          <w:rFonts w:ascii="Calibri" w:cs="Calibri" w:hAnsi="Calibri" w:eastAsia="Calibri"/>
          <w:i w:val="1"/>
          <w:iCs w:val="1"/>
          <w:sz w:val="36"/>
          <w:szCs w:val="36"/>
          <w:rtl w:val="0"/>
          <w:lang w:val="en-US"/>
        </w:rPr>
        <w:t xml:space="preserve">Northanger Abbey </w:t>
      </w:r>
      <w:r>
        <w:rPr>
          <w:sz w:val="36"/>
          <w:szCs w:val="36"/>
          <w:rtl w:val="0"/>
          <w:lang w:val="en-US"/>
        </w:rPr>
        <w:t xml:space="preserve">are set in some remote period, further back in history than they were written, and thus use history for their own purposes to build atmosphere, as well as for a distancing effect. Catherine is an enthusiast for these books and for the world they provide. Arguably this is as much the world of history as that of fiction. There is also the matter of the proposed and ultimately thwarted trip to </w:t>
      </w:r>
      <w:r>
        <w:rPr>
          <w:sz w:val="36"/>
          <w:szCs w:val="36"/>
          <w:rtl w:val="0"/>
          <w:lang w:val="en-US"/>
        </w:rPr>
        <w:t>‘</w:t>
      </w:r>
      <w:r>
        <w:rPr>
          <w:sz w:val="36"/>
          <w:szCs w:val="36"/>
          <w:rtl w:val="0"/>
          <w:lang w:val="en-US"/>
        </w:rPr>
        <w:t>Blaize Castle</w:t>
      </w:r>
      <w:r>
        <w:rPr>
          <w:sz w:val="36"/>
          <w:szCs w:val="36"/>
          <w:rtl w:val="0"/>
          <w:lang w:val="en-US"/>
        </w:rPr>
        <w:t>’</w:t>
      </w:r>
      <w:r>
        <w:rPr>
          <w:sz w:val="36"/>
          <w:szCs w:val="36"/>
          <w:rtl w:val="0"/>
          <w:lang w:val="en-US"/>
        </w:rPr>
        <w:t xml:space="preserve">. This is the most major grounds for tempting Catherine to abandon her walk with the Tilneys in favour of the company of the Thorpes and her own brother James, and only then when she considers the Tilneys to have gone elsewhere. The quotation that illustrates her attitude the best is: </w:t>
      </w:r>
    </w:p>
    <w:p>
      <w:pPr>
        <w:pStyle w:val="Normal.0"/>
        <w:jc w:val="center"/>
        <w:rPr>
          <w:sz w:val="36"/>
          <w:szCs w:val="36"/>
        </w:rPr>
      </w:pPr>
      <w:r>
        <w:rPr>
          <w:sz w:val="36"/>
          <w:szCs w:val="36"/>
          <w:rtl w:val="0"/>
          <w:lang w:val="en-US"/>
        </w:rPr>
        <w:t>Her passion for ancient edifices was next in degree to her passion for Henry Tilney - and castles and abbies made usually the charm of those reveries which his image did not fill. To see and explore either the ramparts and keep of the one, or the cloisters of the other, had been for many weeks a darling wish, though to be more than the visitor of an hour, had seemed too nearly impossible for desire. And yet this was to happen.</w:t>
      </w:r>
    </w:p>
    <w:p>
      <w:pPr>
        <w:pStyle w:val="Normal.0"/>
        <w:rPr>
          <w:sz w:val="36"/>
          <w:szCs w:val="36"/>
        </w:rPr>
      </w:pPr>
    </w:p>
    <w:p>
      <w:pPr>
        <w:pStyle w:val="Normal.0"/>
        <w:rPr>
          <w:sz w:val="36"/>
          <w:szCs w:val="36"/>
        </w:rPr>
      </w:pPr>
      <w:r>
        <w:rPr>
          <w:sz w:val="36"/>
          <w:szCs w:val="36"/>
          <w:rtl w:val="0"/>
          <w:lang w:val="en-US"/>
        </w:rPr>
        <w:t xml:space="preserve"> Considering that Henry Tilney is her principal love interest in the novel and she is destined to end it by marrying him, this says a great deal. There is also her eagerness to </w:t>
      </w:r>
      <w:r>
        <w:rPr>
          <w:sz w:val="36"/>
          <w:szCs w:val="36"/>
          <w:rtl w:val="0"/>
          <w:lang w:val="en-US"/>
        </w:rPr>
        <w:t>“</w:t>
      </w:r>
      <w:r>
        <w:rPr>
          <w:sz w:val="36"/>
          <w:szCs w:val="36"/>
          <w:rtl w:val="0"/>
          <w:lang w:val="en-US"/>
        </w:rPr>
        <w:t>go all over it</w:t>
      </w:r>
      <w:r>
        <w:rPr>
          <w:sz w:val="36"/>
          <w:szCs w:val="36"/>
          <w:rtl w:val="0"/>
          <w:lang w:val="en-US"/>
        </w:rPr>
        <w:t>”</w:t>
      </w:r>
      <w:r>
        <w:rPr>
          <w:sz w:val="36"/>
          <w:szCs w:val="36"/>
          <w:rtl w:val="0"/>
          <w:lang w:val="en-US"/>
        </w:rPr>
        <w:t>, which shows her enthusiasm in action, so to speak, to experience the building in its entirety. She also feels this about the title building, Northanger Abbey, on her arrival there. Indeed in this case the effect is multiplied, as there are some false starts and incomplete tours that occur, finally culminating in the (anti)climax of her visit to Mrs Tilney</w:t>
      </w:r>
      <w:r>
        <w:rPr>
          <w:sz w:val="36"/>
          <w:szCs w:val="36"/>
          <w:rtl w:val="0"/>
          <w:lang w:val="en-US"/>
        </w:rPr>
        <w:t>’</w:t>
      </w:r>
      <w:r>
        <w:rPr>
          <w:sz w:val="36"/>
          <w:szCs w:val="36"/>
          <w:rtl w:val="0"/>
          <w:lang w:val="en-US"/>
        </w:rPr>
        <w:t xml:space="preserve">s chambers. For all that she is so influenced by her Gothic novels and seeks out their recurring motifs all over the Abbey, she is also interested in the real history of it and the family history that accompanies it; whether real or imagined. Her eagerness to hear this from her hosts is comparable with her eagerness for the tour. As Maggie Lane  observes in </w:t>
      </w:r>
      <w:r>
        <w:rPr>
          <w:rFonts w:ascii="Calibri" w:cs="Calibri" w:hAnsi="Calibri" w:eastAsia="Calibri"/>
          <w:i w:val="1"/>
          <w:iCs w:val="1"/>
          <w:sz w:val="36"/>
          <w:szCs w:val="36"/>
          <w:rtl w:val="0"/>
          <w:lang w:val="en-US"/>
        </w:rPr>
        <w:t xml:space="preserve">Jane Austen and Names </w:t>
      </w:r>
      <w:r>
        <w:rPr>
          <w:sz w:val="36"/>
          <w:szCs w:val="36"/>
          <w:rtl w:val="0"/>
          <w:lang w:val="en-US"/>
        </w:rPr>
        <w:t xml:space="preserve">(2002), "the Tilneys have desirably medieval names to go with their style of abode". Indeed, like </w:t>
      </w:r>
      <w:r>
        <w:rPr>
          <w:sz w:val="36"/>
          <w:szCs w:val="36"/>
          <w:rtl w:val="0"/>
          <w:lang w:val="en-US"/>
        </w:rPr>
        <w:t>‘</w:t>
      </w:r>
      <w:r>
        <w:rPr>
          <w:sz w:val="36"/>
          <w:szCs w:val="36"/>
          <w:rtl w:val="0"/>
          <w:lang w:val="en-US"/>
        </w:rPr>
        <w:t>Catherine</w:t>
      </w:r>
      <w:r>
        <w:rPr>
          <w:sz w:val="36"/>
          <w:szCs w:val="36"/>
          <w:rtl w:val="0"/>
          <w:lang w:val="en-US"/>
        </w:rPr>
        <w:t>’</w:t>
      </w:r>
      <w:r>
        <w:rPr>
          <w:sz w:val="36"/>
          <w:szCs w:val="36"/>
          <w:rtl w:val="0"/>
          <w:lang w:val="en-US"/>
        </w:rPr>
        <w:t xml:space="preserve">, </w:t>
      </w:r>
      <w:r>
        <w:rPr>
          <w:sz w:val="36"/>
          <w:szCs w:val="36"/>
          <w:rtl w:val="0"/>
          <w:lang w:val="en-US"/>
        </w:rPr>
        <w:t>‘</w:t>
      </w:r>
      <w:r>
        <w:rPr>
          <w:sz w:val="36"/>
          <w:szCs w:val="36"/>
          <w:rtl w:val="0"/>
          <w:lang w:val="en-US"/>
        </w:rPr>
        <w:t>Eleanor</w:t>
      </w:r>
      <w:r>
        <w:rPr>
          <w:sz w:val="36"/>
          <w:szCs w:val="36"/>
          <w:rtl w:val="0"/>
          <w:lang w:val="en-US"/>
        </w:rPr>
        <w:t xml:space="preserve">’ </w:t>
      </w:r>
      <w:r>
        <w:rPr>
          <w:sz w:val="36"/>
          <w:szCs w:val="36"/>
          <w:rtl w:val="0"/>
          <w:lang w:val="en-US"/>
        </w:rPr>
        <w:t xml:space="preserve">was the name of more than one Queen Consort of England, while </w:t>
      </w:r>
      <w:r>
        <w:rPr>
          <w:sz w:val="36"/>
          <w:szCs w:val="36"/>
          <w:rtl w:val="0"/>
          <w:lang w:val="en-US"/>
        </w:rPr>
        <w:t>‘</w:t>
      </w:r>
      <w:r>
        <w:rPr>
          <w:sz w:val="36"/>
          <w:szCs w:val="36"/>
          <w:rtl w:val="0"/>
          <w:lang w:val="en-US"/>
        </w:rPr>
        <w:t>Henry</w:t>
      </w:r>
      <w:r>
        <w:rPr>
          <w:sz w:val="36"/>
          <w:szCs w:val="36"/>
          <w:rtl w:val="0"/>
          <w:lang w:val="en-US"/>
        </w:rPr>
        <w:t>’</w:t>
      </w:r>
      <w:r>
        <w:rPr>
          <w:sz w:val="36"/>
          <w:szCs w:val="36"/>
          <w:rtl w:val="0"/>
          <w:lang w:val="en-US"/>
        </w:rPr>
        <w:t xml:space="preserve">, of course, was the name of eight kings, the last and most famous of which has been briefly considered. All three were names that Austen was destined to reuse with subsequent characters. The most notable perhaps is </w:t>
      </w:r>
      <w:r>
        <w:rPr>
          <w:sz w:val="36"/>
          <w:szCs w:val="36"/>
          <w:rtl w:val="0"/>
          <w:lang w:val="en-US"/>
        </w:rPr>
        <w:t>‘</w:t>
      </w:r>
      <w:r>
        <w:rPr>
          <w:sz w:val="36"/>
          <w:szCs w:val="36"/>
          <w:rtl w:val="0"/>
          <w:lang w:val="en-US"/>
        </w:rPr>
        <w:t>Eleanor</w:t>
      </w:r>
      <w:r>
        <w:rPr>
          <w:sz w:val="36"/>
          <w:szCs w:val="36"/>
          <w:rtl w:val="0"/>
          <w:lang w:val="en-US"/>
        </w:rPr>
        <w:t>’</w:t>
      </w:r>
      <w:r>
        <w:rPr>
          <w:sz w:val="36"/>
          <w:szCs w:val="36"/>
          <w:rtl w:val="0"/>
          <w:lang w:val="en-US"/>
        </w:rPr>
        <w:t xml:space="preserve">, one of the two heroines of </w:t>
      </w:r>
      <w:r>
        <w:rPr>
          <w:rFonts w:ascii="Calibri" w:cs="Calibri" w:hAnsi="Calibri" w:eastAsia="Calibri"/>
          <w:i w:val="1"/>
          <w:iCs w:val="1"/>
          <w:sz w:val="36"/>
          <w:szCs w:val="36"/>
          <w:rtl w:val="0"/>
          <w:lang w:val="en-US"/>
        </w:rPr>
        <w:t>Sense and Sensibility</w:t>
      </w:r>
      <w:r>
        <w:rPr>
          <w:sz w:val="36"/>
          <w:szCs w:val="36"/>
          <w:rtl w:val="0"/>
          <w:lang w:val="en-US"/>
        </w:rPr>
        <w:t xml:space="preserve">, a book originally titled </w:t>
      </w:r>
      <w:r>
        <w:rPr>
          <w:rFonts w:ascii="Calibri" w:cs="Calibri" w:hAnsi="Calibri" w:eastAsia="Calibri"/>
          <w:i w:val="1"/>
          <w:iCs w:val="1"/>
          <w:sz w:val="36"/>
          <w:szCs w:val="36"/>
          <w:rtl w:val="0"/>
          <w:lang w:val="en-US"/>
        </w:rPr>
        <w:t>Elinor and Marianne</w:t>
      </w:r>
      <w:r>
        <w:rPr>
          <w:sz w:val="36"/>
          <w:szCs w:val="36"/>
          <w:rtl w:val="0"/>
          <w:lang w:val="en-US"/>
        </w:rPr>
        <w:t xml:space="preserve">. Austen used a different spelling in her second use of the name, but it is pronounced the same. Incidentally, it is also worth mentioning that </w:t>
      </w:r>
      <w:r>
        <w:rPr>
          <w:rFonts w:ascii="Calibri" w:cs="Calibri" w:hAnsi="Calibri" w:eastAsia="Calibri"/>
          <w:i w:val="1"/>
          <w:iCs w:val="1"/>
          <w:sz w:val="36"/>
          <w:szCs w:val="36"/>
          <w:rtl w:val="0"/>
          <w:lang w:val="en-US"/>
        </w:rPr>
        <w:t>Northanger Abbey</w:t>
      </w:r>
      <w:r>
        <w:rPr>
          <w:sz w:val="36"/>
          <w:szCs w:val="36"/>
          <w:rtl w:val="0"/>
          <w:lang w:val="en-US"/>
        </w:rPr>
        <w:t xml:space="preserve"> had been first called </w:t>
      </w:r>
      <w:r>
        <w:rPr>
          <w:rFonts w:ascii="Calibri" w:cs="Calibri" w:hAnsi="Calibri" w:eastAsia="Calibri"/>
          <w:i w:val="1"/>
          <w:iCs w:val="1"/>
          <w:sz w:val="36"/>
          <w:szCs w:val="36"/>
          <w:rtl w:val="0"/>
          <w:lang w:val="en-US"/>
        </w:rPr>
        <w:t>Susan</w:t>
      </w:r>
      <w:r>
        <w:rPr>
          <w:sz w:val="36"/>
          <w:szCs w:val="36"/>
          <w:rtl w:val="0"/>
          <w:lang w:val="en-US"/>
        </w:rPr>
        <w:t xml:space="preserve"> - the original name of the heroine - then </w:t>
      </w:r>
      <w:r>
        <w:rPr>
          <w:rFonts w:ascii="Calibri" w:cs="Calibri" w:hAnsi="Calibri" w:eastAsia="Calibri"/>
          <w:i w:val="1"/>
          <w:iCs w:val="1"/>
          <w:sz w:val="36"/>
          <w:szCs w:val="36"/>
          <w:rtl w:val="0"/>
          <w:lang w:val="en-US"/>
        </w:rPr>
        <w:t>Catherine</w:t>
      </w:r>
      <w:r>
        <w:rPr>
          <w:sz w:val="36"/>
          <w:szCs w:val="36"/>
          <w:rtl w:val="0"/>
          <w:lang w:val="en-US"/>
        </w:rPr>
        <w:t xml:space="preserve">, before its eventual posthumous publication under the final title </w:t>
      </w:r>
      <w:r>
        <w:rPr>
          <w:rFonts w:ascii="Calibri" w:cs="Calibri" w:hAnsi="Calibri" w:eastAsia="Calibri"/>
          <w:i w:val="1"/>
          <w:iCs w:val="1"/>
          <w:sz w:val="36"/>
          <w:szCs w:val="36"/>
          <w:rtl w:val="0"/>
          <w:lang w:val="en-US"/>
        </w:rPr>
        <w:t>Northanger Abbey</w:t>
      </w:r>
      <w:r>
        <w:rPr>
          <w:sz w:val="36"/>
          <w:szCs w:val="36"/>
          <w:rtl w:val="0"/>
          <w:lang w:val="en-US"/>
        </w:rPr>
        <w:t>. It seems that Jane Austen had originally intended for her novel to have a girl</w:t>
      </w:r>
      <w:r>
        <w:rPr>
          <w:sz w:val="36"/>
          <w:szCs w:val="36"/>
          <w:rtl w:val="0"/>
          <w:lang w:val="en-US"/>
        </w:rPr>
        <w:t>’</w:t>
      </w:r>
      <w:r>
        <w:rPr>
          <w:sz w:val="36"/>
          <w:szCs w:val="36"/>
          <w:rtl w:val="0"/>
          <w:lang w:val="en-US"/>
        </w:rPr>
        <w:t xml:space="preserve">s name for the title, and thus line it up with a fashionable convention of the period, such as Richardson's </w:t>
      </w:r>
      <w:r>
        <w:rPr>
          <w:rFonts w:ascii="Calibri" w:cs="Calibri" w:hAnsi="Calibri" w:eastAsia="Calibri"/>
          <w:i w:val="1"/>
          <w:iCs w:val="1"/>
          <w:sz w:val="36"/>
          <w:szCs w:val="36"/>
          <w:rtl w:val="0"/>
          <w:lang w:val="en-US"/>
        </w:rPr>
        <w:t>Pamela</w:t>
      </w:r>
      <w:r>
        <w:rPr>
          <w:sz w:val="36"/>
          <w:szCs w:val="36"/>
          <w:rtl w:val="0"/>
          <w:lang w:val="en-US"/>
        </w:rPr>
        <w:t xml:space="preserve"> and </w:t>
      </w:r>
      <w:r>
        <w:rPr>
          <w:rFonts w:ascii="Calibri" w:cs="Calibri" w:hAnsi="Calibri" w:eastAsia="Calibri"/>
          <w:i w:val="1"/>
          <w:iCs w:val="1"/>
          <w:sz w:val="36"/>
          <w:szCs w:val="36"/>
          <w:rtl w:val="0"/>
          <w:lang w:val="en-US"/>
        </w:rPr>
        <w:t>Clarissa</w:t>
      </w:r>
      <w:r>
        <w:rPr>
          <w:sz w:val="36"/>
          <w:szCs w:val="36"/>
          <w:rtl w:val="0"/>
          <w:lang w:val="en-US"/>
        </w:rPr>
        <w:t xml:space="preserve">, as referenced in the aforementioned Authorial Aside: </w:t>
      </w:r>
      <w:r>
        <w:rPr>
          <w:sz w:val="36"/>
          <w:szCs w:val="36"/>
          <w:rtl w:val="0"/>
          <w:lang w:val="en-US"/>
        </w:rPr>
        <w:t>“ ‘</w:t>
      </w:r>
      <w:r>
        <w:rPr>
          <w:sz w:val="36"/>
          <w:szCs w:val="36"/>
          <w:rtl w:val="0"/>
          <w:lang w:val="en-US"/>
        </w:rPr>
        <w:t>Oh! it is only a novel! It is only Cecilia, or</w:t>
      </w:r>
      <w:r>
        <w:rPr>
          <w:sz w:val="36"/>
          <w:szCs w:val="36"/>
          <w:rtl w:val="0"/>
          <w:lang w:val="en-US"/>
        </w:rPr>
        <w:t xml:space="preserve"> </w:t>
      </w:r>
      <w:r>
        <w:rPr>
          <w:sz w:val="36"/>
          <w:szCs w:val="36"/>
          <w:rtl w:val="0"/>
          <w:lang w:val="en-US"/>
        </w:rPr>
        <w:t>Camilla, or Belinda</w:t>
      </w:r>
      <w:r>
        <w:rPr>
          <w:sz w:val="36"/>
          <w:szCs w:val="36"/>
          <w:rtl w:val="0"/>
          <w:lang w:val="en-US"/>
        </w:rPr>
        <w:t>’ ”</w:t>
      </w:r>
      <w:r>
        <w:rPr>
          <w:sz w:val="36"/>
          <w:szCs w:val="36"/>
          <w:rtl w:val="0"/>
          <w:lang w:val="en-US"/>
        </w:rPr>
        <w:t xml:space="preserve">.  </w:t>
      </w:r>
    </w:p>
    <w:p>
      <w:pPr>
        <w:pStyle w:val="Normal.0"/>
        <w:rPr>
          <w:sz w:val="36"/>
          <w:szCs w:val="36"/>
        </w:rPr>
      </w:pPr>
      <w:r>
        <w:rPr>
          <w:sz w:val="36"/>
          <w:szCs w:val="36"/>
          <w:rtl w:val="0"/>
          <w:lang w:val="en-US"/>
        </w:rPr>
        <w:t xml:space="preserve">Austen thus references two books by Fanny Burney (a contemporary that </w:t>
      </w:r>
      <w:r>
        <w:rPr>
          <w:rFonts w:ascii="Calibri" w:cs="Calibri" w:hAnsi="Calibri" w:eastAsia="Calibri"/>
          <w:i w:val="1"/>
          <w:iCs w:val="1"/>
          <w:sz w:val="36"/>
          <w:szCs w:val="36"/>
          <w:rtl w:val="0"/>
          <w:lang w:val="en-US"/>
        </w:rPr>
        <w:t xml:space="preserve">The Cambridge Companion to Jane Austen </w:t>
      </w:r>
      <w:r>
        <w:rPr>
          <w:sz w:val="36"/>
          <w:szCs w:val="36"/>
          <w:rtl w:val="0"/>
          <w:lang w:val="en-US"/>
        </w:rPr>
        <w:t xml:space="preserve"> names as being more commercially successful than her in her own lifetime, among other examples) and one by Maria Edgeworth. Austen also puts the convention idea into the mouth of her hero, when Henry Tilney is talking of his own novel reading, and boasts to Catherine: </w:t>
      </w:r>
      <w:r>
        <w:rPr>
          <w:sz w:val="36"/>
          <w:szCs w:val="36"/>
          <w:rtl w:val="0"/>
          <w:lang w:val="en-US"/>
        </w:rPr>
        <w:t>“</w:t>
      </w:r>
      <w:r>
        <w:rPr>
          <w:sz w:val="36"/>
          <w:szCs w:val="36"/>
          <w:rtl w:val="0"/>
          <w:lang w:val="en-US"/>
        </w:rPr>
        <w:t>Do not imagine that you can cope with me in a knowledge of Julias and Louisas.</w:t>
      </w:r>
      <w:r>
        <w:rPr>
          <w:sz w:val="36"/>
          <w:szCs w:val="36"/>
          <w:rtl w:val="0"/>
          <w:lang w:val="en-US"/>
        </w:rPr>
        <w:t>”</w:t>
      </w:r>
    </w:p>
    <w:p>
      <w:pPr>
        <w:pStyle w:val="Normal.0"/>
        <w:rPr>
          <w:sz w:val="36"/>
          <w:szCs w:val="36"/>
        </w:rPr>
      </w:pPr>
      <w:r>
        <w:rPr>
          <w:sz w:val="36"/>
          <w:szCs w:val="36"/>
          <w:rtl w:val="0"/>
          <w:lang w:val="en-US"/>
        </w:rPr>
        <w:t xml:space="preserve">Incidentally these were two more names that Austen was to use in later books. Arguably these fancy names were bestowed on characters who were less than admirable - certainly less so than characters in the same books with simpler names. But being named for a specific and romantic sounding location, such as Northanger Abbey, was also part of a literary tradition, in this case that of the Gothic novels the book satirises, which often had words like </w:t>
      </w:r>
      <w:r>
        <w:rPr>
          <w:sz w:val="36"/>
          <w:szCs w:val="36"/>
          <w:rtl w:val="0"/>
          <w:lang w:val="en-US"/>
        </w:rPr>
        <w:t>‘</w:t>
      </w:r>
      <w:r>
        <w:rPr>
          <w:sz w:val="36"/>
          <w:szCs w:val="36"/>
          <w:rtl w:val="0"/>
          <w:lang w:val="en-US"/>
        </w:rPr>
        <w:t>Castle</w:t>
      </w:r>
      <w:r>
        <w:rPr>
          <w:sz w:val="36"/>
          <w:szCs w:val="36"/>
          <w:rtl w:val="0"/>
          <w:lang w:val="en-US"/>
        </w:rPr>
        <w:t xml:space="preserve">’ </w:t>
      </w:r>
      <w:r>
        <w:rPr>
          <w:sz w:val="36"/>
          <w:szCs w:val="36"/>
          <w:rtl w:val="0"/>
          <w:lang w:val="en-US"/>
        </w:rPr>
        <w:t xml:space="preserve">or </w:t>
      </w:r>
      <w:r>
        <w:rPr>
          <w:sz w:val="36"/>
          <w:szCs w:val="36"/>
          <w:rtl w:val="0"/>
          <w:lang w:val="en-US"/>
        </w:rPr>
        <w:t>‘</w:t>
      </w:r>
      <w:r>
        <w:rPr>
          <w:sz w:val="36"/>
          <w:szCs w:val="36"/>
          <w:rtl w:val="0"/>
          <w:lang w:val="en-US"/>
        </w:rPr>
        <w:t>Forest</w:t>
      </w:r>
      <w:r>
        <w:rPr>
          <w:sz w:val="36"/>
          <w:szCs w:val="36"/>
          <w:rtl w:val="0"/>
          <w:lang w:val="en-US"/>
        </w:rPr>
        <w:t xml:space="preserve">’ </w:t>
      </w:r>
      <w:r>
        <w:rPr>
          <w:sz w:val="36"/>
          <w:szCs w:val="36"/>
          <w:rtl w:val="0"/>
          <w:lang w:val="en-US"/>
        </w:rPr>
        <w:t>in the title. Certainly this rule would apply to the books</w:t>
      </w:r>
      <w:r>
        <w:rPr>
          <w:sz w:val="36"/>
          <w:szCs w:val="36"/>
          <w:rtl w:val="0"/>
          <w:lang w:val="en-US"/>
        </w:rPr>
        <w:t xml:space="preserve"> that </w:t>
      </w:r>
      <w:r>
        <w:rPr>
          <w:sz w:val="36"/>
          <w:szCs w:val="36"/>
          <w:rtl w:val="0"/>
          <w:lang w:val="en-US"/>
        </w:rPr>
        <w:t>Isabella</w:t>
      </w:r>
      <w:r>
        <w:rPr>
          <w:sz w:val="36"/>
          <w:szCs w:val="36"/>
          <w:rtl w:val="0"/>
          <w:lang w:val="en-US"/>
        </w:rPr>
        <w:t xml:space="preserve"> </w:t>
      </w:r>
      <w:r>
        <w:rPr>
          <w:sz w:val="36"/>
          <w:szCs w:val="36"/>
          <w:rtl w:val="0"/>
          <w:lang w:val="en-US"/>
        </w:rPr>
        <w:t xml:space="preserve">names to Catherine, which have subsequently become known as the </w:t>
      </w:r>
      <w:r>
        <w:rPr>
          <w:sz w:val="36"/>
          <w:szCs w:val="36"/>
          <w:rtl w:val="0"/>
          <w:lang w:val="en-US"/>
        </w:rPr>
        <w:t>‘</w:t>
      </w:r>
      <w:r>
        <w:rPr>
          <w:sz w:val="36"/>
          <w:szCs w:val="36"/>
          <w:rtl w:val="0"/>
          <w:lang w:val="en-US"/>
        </w:rPr>
        <w:t>Northanger Abbey Horrid Novels</w:t>
      </w:r>
      <w:r>
        <w:rPr>
          <w:sz w:val="36"/>
          <w:szCs w:val="36"/>
          <w:rtl w:val="0"/>
          <w:lang w:val="en-US"/>
        </w:rPr>
        <w:t>’</w:t>
      </w:r>
      <w:r>
        <w:rPr>
          <w:sz w:val="36"/>
          <w:szCs w:val="36"/>
          <w:rtl w:val="0"/>
          <w:lang w:val="en-US"/>
        </w:rPr>
        <w:t>, or the 'Northanger Canon'.The title change was therefore an effective one and more in keeping with the book</w:t>
      </w:r>
      <w:r>
        <w:rPr>
          <w:sz w:val="36"/>
          <w:szCs w:val="36"/>
          <w:rtl w:val="0"/>
          <w:lang w:val="en-US"/>
        </w:rPr>
        <w:t>’</w:t>
      </w:r>
      <w:r>
        <w:rPr>
          <w:sz w:val="36"/>
          <w:szCs w:val="36"/>
          <w:rtl w:val="0"/>
          <w:lang w:val="en-US"/>
        </w:rPr>
        <w:t xml:space="preserve">s overall themes. </w:t>
      </w:r>
    </w:p>
    <w:p>
      <w:pPr>
        <w:pStyle w:val="Normal.0"/>
        <w:rPr>
          <w:sz w:val="36"/>
          <w:szCs w:val="36"/>
        </w:rPr>
      </w:pPr>
    </w:p>
    <w:p>
      <w:pPr>
        <w:pStyle w:val="Normal.0"/>
        <w:rPr>
          <w:sz w:val="36"/>
          <w:szCs w:val="36"/>
        </w:rPr>
      </w:pPr>
      <w:r>
        <w:rPr>
          <w:sz w:val="36"/>
          <w:szCs w:val="36"/>
          <w:rtl w:val="0"/>
          <w:lang w:val="en-US"/>
        </w:rPr>
        <w:t xml:space="preserve">In conclusion, to use a quotation from a Carolly Erickson novel: </w:t>
      </w:r>
      <w:r>
        <w:rPr>
          <w:sz w:val="36"/>
          <w:szCs w:val="36"/>
          <w:rtl w:val="0"/>
          <w:lang w:val="en-US"/>
        </w:rPr>
        <w:t>“</w:t>
      </w:r>
      <w:r>
        <w:rPr>
          <w:sz w:val="36"/>
          <w:szCs w:val="36"/>
          <w:rtl w:val="0"/>
          <w:lang w:val="en-US"/>
        </w:rPr>
        <w:t>Everything can be understood if considered in terms of history.</w:t>
      </w:r>
      <w:r>
        <w:rPr>
          <w:sz w:val="36"/>
          <w:szCs w:val="36"/>
          <w:rtl w:val="0"/>
          <w:lang w:val="en-US"/>
        </w:rPr>
        <w:t xml:space="preserve">” </w:t>
      </w:r>
      <w:r>
        <w:rPr>
          <w:sz w:val="36"/>
          <w:szCs w:val="36"/>
          <w:rtl w:val="0"/>
          <w:lang w:val="en-US"/>
        </w:rPr>
        <w:t>(</w:t>
      </w:r>
      <w:r>
        <w:rPr>
          <w:rFonts w:ascii="Calibri" w:cs="Calibri" w:hAnsi="Calibri" w:eastAsia="Calibri"/>
          <w:i w:val="1"/>
          <w:iCs w:val="1"/>
          <w:sz w:val="36"/>
          <w:szCs w:val="36"/>
          <w:rtl w:val="0"/>
          <w:lang w:val="en-US"/>
        </w:rPr>
        <w:t>The Tsarina</w:t>
      </w:r>
      <w:r>
        <w:rPr>
          <w:rFonts w:ascii="Calibri" w:cs="Calibri" w:hAnsi="Calibri" w:eastAsia="Calibri"/>
          <w:i w:val="1"/>
          <w:iCs w:val="1"/>
          <w:sz w:val="36"/>
          <w:szCs w:val="36"/>
          <w:rtl w:val="0"/>
          <w:lang w:val="en-US"/>
        </w:rPr>
        <w:t>’</w:t>
      </w:r>
      <w:r>
        <w:rPr>
          <w:rFonts w:ascii="Calibri" w:cs="Calibri" w:hAnsi="Calibri" w:eastAsia="Calibri"/>
          <w:i w:val="1"/>
          <w:iCs w:val="1"/>
          <w:sz w:val="36"/>
          <w:szCs w:val="36"/>
          <w:rtl w:val="0"/>
          <w:lang w:val="en-US"/>
        </w:rPr>
        <w:t>s Daughter</w:t>
      </w:r>
      <w:r>
        <w:rPr>
          <w:sz w:val="36"/>
          <w:szCs w:val="36"/>
          <w:rtl w:val="0"/>
          <w:lang w:val="en-US"/>
        </w:rPr>
        <w:t>, 2008)</w:t>
      </w:r>
    </w:p>
    <w:p>
      <w:pPr>
        <w:pStyle w:val="Normal.0"/>
        <w:rPr>
          <w:sz w:val="36"/>
          <w:szCs w:val="36"/>
        </w:rPr>
      </w:pPr>
      <w:r>
        <w:rPr>
          <w:sz w:val="36"/>
          <w:szCs w:val="36"/>
          <w:rtl w:val="0"/>
          <w:lang w:val="en-US"/>
        </w:rPr>
        <w:t>Given the subject matter of the book quoted, one might more readily expect the quotation to be applied to Marxism, or specifically to Marxist Cultural Theory. However, I think the material covered in this essay goes to show that it also applies fairly well to New Historicism. After all they are both history-based theories that come under the umbrella heading of Historical Materialism. New Historicism can be applied to both texts that pre-date the conception of the theory and those that post-date it. By considering the texts in terms of history and the plurality of historical contexts, as well as the use of history within the text itself, a wealth of meanings emerge from it that can be explored and analysed. Although New Historicism can sound like a contradiction in terms, and the origins of the theory have le</w:t>
      </w:r>
      <w:r>
        <w:rPr>
          <w:sz w:val="36"/>
          <w:szCs w:val="36"/>
          <w:rtl w:val="0"/>
          <w:lang w:val="en-US"/>
        </w:rPr>
        <w:t>d</w:t>
      </w:r>
      <w:r>
        <w:rPr>
          <w:sz w:val="36"/>
          <w:szCs w:val="36"/>
          <w:rtl w:val="0"/>
          <w:lang w:val="en-US"/>
        </w:rPr>
        <w:t xml:space="preserve"> to some problems with defining it, in truth by redefining the use and function of history it adds a new dimension of meaning to a text that ultimately illuminates more than it obscures.</w:t>
      </w:r>
    </w:p>
    <w:p>
      <w:pPr>
        <w:pStyle w:val="Normal.0"/>
        <w:rPr>
          <w:sz w:val="36"/>
          <w:szCs w:val="36"/>
        </w:rPr>
      </w:pPr>
    </w:p>
    <w:p>
      <w:pPr>
        <w:pStyle w:val="Normal.0"/>
        <w:rPr>
          <w:sz w:val="36"/>
          <w:szCs w:val="36"/>
        </w:rPr>
      </w:pPr>
    </w:p>
    <w:p>
      <w:pPr>
        <w:pStyle w:val="Normal.0"/>
        <w:rPr>
          <w:sz w:val="36"/>
          <w:szCs w:val="36"/>
        </w:rPr>
      </w:pPr>
    </w:p>
    <w:p>
      <w:pPr>
        <w:pStyle w:val="Normal.0"/>
        <w:jc w:val="center"/>
        <w:rPr>
          <w:sz w:val="36"/>
          <w:szCs w:val="36"/>
        </w:rPr>
      </w:pPr>
      <w:r>
        <w:rPr>
          <w:sz w:val="36"/>
          <w:szCs w:val="36"/>
          <w:rtl w:val="0"/>
          <w:lang w:val="en-US"/>
        </w:rPr>
        <w:t xml:space="preserve">Bibliography </w:t>
      </w:r>
    </w:p>
    <w:p>
      <w:pPr>
        <w:pStyle w:val="Normal.0"/>
        <w:jc w:val="center"/>
        <w:rPr>
          <w:sz w:val="36"/>
          <w:szCs w:val="36"/>
        </w:rPr>
      </w:pPr>
    </w:p>
    <w:p>
      <w:pPr>
        <w:pStyle w:val="Normal.0"/>
        <w:rPr>
          <w:sz w:val="36"/>
          <w:szCs w:val="36"/>
        </w:rPr>
      </w:pPr>
      <w:r>
        <w:rPr>
          <w:sz w:val="36"/>
          <w:szCs w:val="36"/>
          <w:rtl w:val="0"/>
          <w:lang w:val="en-US"/>
        </w:rPr>
        <w:t xml:space="preserve">Armstrong, N., </w:t>
      </w:r>
      <w:r>
        <w:rPr>
          <w:i w:val="1"/>
          <w:iCs w:val="1"/>
          <w:sz w:val="36"/>
          <w:szCs w:val="36"/>
          <w:rtl w:val="0"/>
          <w:lang w:val="en-US"/>
        </w:rPr>
        <w:t>Desire and Domestic Fiction</w:t>
      </w:r>
      <w:r>
        <w:rPr>
          <w:sz w:val="36"/>
          <w:szCs w:val="36"/>
          <w:rtl w:val="0"/>
          <w:lang w:val="en-US"/>
        </w:rPr>
        <w:t>, (Oxford: Oxford University Press, 1987, kindle edition)</w:t>
      </w:r>
    </w:p>
    <w:p>
      <w:pPr>
        <w:pStyle w:val="Normal.0"/>
        <w:rPr>
          <w:sz w:val="36"/>
          <w:szCs w:val="36"/>
        </w:rPr>
      </w:pPr>
      <w:r>
        <w:rPr>
          <w:sz w:val="36"/>
          <w:szCs w:val="36"/>
          <w:rtl w:val="0"/>
          <w:lang w:val="en-US"/>
        </w:rPr>
        <w:t xml:space="preserve">Arnold, J.H., </w:t>
      </w:r>
      <w:r>
        <w:rPr>
          <w:i w:val="1"/>
          <w:iCs w:val="1"/>
          <w:sz w:val="36"/>
          <w:szCs w:val="36"/>
          <w:rtl w:val="0"/>
          <w:lang w:val="en-US"/>
        </w:rPr>
        <w:t>History: A Very Short Introduction</w:t>
      </w:r>
      <w:r>
        <w:rPr>
          <w:sz w:val="36"/>
          <w:szCs w:val="36"/>
          <w:rtl w:val="0"/>
          <w:lang w:val="en-US"/>
        </w:rPr>
        <w:t>, (Oxford: Oxford University Press, 2000, kindle edition)</w:t>
      </w:r>
    </w:p>
    <w:p>
      <w:pPr>
        <w:pStyle w:val="Normal.0"/>
        <w:rPr>
          <w:sz w:val="36"/>
          <w:szCs w:val="36"/>
        </w:rPr>
      </w:pPr>
      <w:r>
        <w:rPr>
          <w:sz w:val="36"/>
          <w:szCs w:val="36"/>
          <w:rtl w:val="0"/>
          <w:lang w:val="en-US"/>
        </w:rPr>
        <w:t xml:space="preserve">Atwood, M., </w:t>
      </w:r>
      <w:r>
        <w:rPr>
          <w:i w:val="1"/>
          <w:iCs w:val="1"/>
          <w:sz w:val="36"/>
          <w:szCs w:val="36"/>
          <w:rtl w:val="0"/>
          <w:lang w:val="en-US"/>
        </w:rPr>
        <w:t>The Handmaid</w:t>
      </w:r>
      <w:r>
        <w:rPr>
          <w:i w:val="1"/>
          <w:iCs w:val="1"/>
          <w:sz w:val="36"/>
          <w:szCs w:val="36"/>
          <w:rtl w:val="0"/>
          <w:lang w:val="en-US"/>
        </w:rPr>
        <w:t>’</w:t>
      </w:r>
      <w:r>
        <w:rPr>
          <w:i w:val="1"/>
          <w:iCs w:val="1"/>
          <w:sz w:val="36"/>
          <w:szCs w:val="36"/>
          <w:rtl w:val="0"/>
          <w:lang w:val="en-US"/>
        </w:rPr>
        <w:t>s Tale</w:t>
      </w:r>
      <w:r>
        <w:rPr>
          <w:sz w:val="36"/>
          <w:szCs w:val="36"/>
          <w:rtl w:val="0"/>
          <w:lang w:val="en-US"/>
        </w:rPr>
        <w:t>, (London: Penguin Random House, 1985, kindle edition)</w:t>
      </w:r>
    </w:p>
    <w:p>
      <w:pPr>
        <w:pStyle w:val="Normal.0"/>
        <w:rPr>
          <w:sz w:val="36"/>
          <w:szCs w:val="36"/>
        </w:rPr>
      </w:pPr>
      <w:r>
        <w:rPr>
          <w:sz w:val="36"/>
          <w:szCs w:val="36"/>
          <w:rtl w:val="0"/>
          <w:lang w:val="en-US"/>
        </w:rPr>
        <w:t xml:space="preserve">Austen, J., </w:t>
      </w:r>
      <w:r>
        <w:rPr>
          <w:i w:val="1"/>
          <w:iCs w:val="1"/>
          <w:sz w:val="36"/>
          <w:szCs w:val="36"/>
          <w:rtl w:val="0"/>
          <w:lang w:val="en-US"/>
        </w:rPr>
        <w:t xml:space="preserve">Northanger Abbey, </w:t>
      </w:r>
      <w:r>
        <w:rPr>
          <w:sz w:val="36"/>
          <w:szCs w:val="36"/>
          <w:rtl w:val="0"/>
          <w:lang w:val="en-US"/>
        </w:rPr>
        <w:t>(G Books, 1818, kindle edition)</w:t>
      </w:r>
    </w:p>
    <w:p>
      <w:pPr>
        <w:pStyle w:val="Normal.0"/>
        <w:rPr>
          <w:sz w:val="36"/>
          <w:szCs w:val="36"/>
        </w:rPr>
      </w:pPr>
      <w:r>
        <w:rPr>
          <w:sz w:val="36"/>
          <w:szCs w:val="36"/>
          <w:rtl w:val="0"/>
          <w:lang w:val="en-US"/>
        </w:rPr>
        <w:t xml:space="preserve">Bate, J., </w:t>
      </w:r>
      <w:r>
        <w:rPr>
          <w:i w:val="1"/>
          <w:iCs w:val="1"/>
          <w:sz w:val="36"/>
          <w:szCs w:val="36"/>
          <w:rtl w:val="0"/>
          <w:lang w:val="en-US"/>
        </w:rPr>
        <w:t>English Literature: A Very Short Introduction</w:t>
      </w:r>
      <w:r>
        <w:rPr>
          <w:sz w:val="36"/>
          <w:szCs w:val="36"/>
          <w:rtl w:val="0"/>
          <w:lang w:val="en-US"/>
        </w:rPr>
        <w:t>, (Oxford: Oxford University Press, 2010, kindle edition)</w:t>
      </w:r>
    </w:p>
    <w:p>
      <w:pPr>
        <w:pStyle w:val="Normal.0"/>
        <w:rPr>
          <w:sz w:val="36"/>
          <w:szCs w:val="36"/>
        </w:rPr>
      </w:pPr>
      <w:r>
        <w:rPr>
          <w:sz w:val="36"/>
          <w:szCs w:val="36"/>
          <w:rtl w:val="0"/>
          <w:lang w:val="en-US"/>
        </w:rPr>
        <w:t xml:space="preserve">Bertens, H., </w:t>
      </w:r>
      <w:r>
        <w:rPr>
          <w:i w:val="1"/>
          <w:iCs w:val="1"/>
          <w:sz w:val="36"/>
          <w:szCs w:val="36"/>
          <w:rtl w:val="0"/>
          <w:lang w:val="en-US"/>
        </w:rPr>
        <w:t xml:space="preserve">Literary Theory: The Basics </w:t>
      </w:r>
      <w:r>
        <w:rPr>
          <w:sz w:val="36"/>
          <w:szCs w:val="36"/>
          <w:rtl w:val="0"/>
          <w:lang w:val="en-US"/>
        </w:rPr>
        <w:t>Third Edition (Abingdon: Routledge, 2014, kindle edition)</w:t>
      </w:r>
    </w:p>
    <w:p>
      <w:pPr>
        <w:pStyle w:val="Normal.0"/>
        <w:rPr>
          <w:sz w:val="36"/>
          <w:szCs w:val="36"/>
        </w:rPr>
      </w:pPr>
      <w:r>
        <w:rPr>
          <w:sz w:val="36"/>
          <w:szCs w:val="36"/>
          <w:rtl w:val="0"/>
          <w:lang w:val="en-US"/>
        </w:rPr>
        <w:t xml:space="preserve">Botting, F., </w:t>
      </w:r>
      <w:r>
        <w:rPr>
          <w:i w:val="1"/>
          <w:iCs w:val="1"/>
          <w:sz w:val="36"/>
          <w:szCs w:val="36"/>
          <w:rtl w:val="0"/>
          <w:lang w:val="en-US"/>
        </w:rPr>
        <w:t xml:space="preserve">Gothic: the New Critical Idiom </w:t>
      </w:r>
      <w:r>
        <w:rPr>
          <w:sz w:val="36"/>
          <w:szCs w:val="36"/>
          <w:rtl w:val="0"/>
          <w:lang w:val="en-US"/>
        </w:rPr>
        <w:t>Second Edition (Abingdon: Routledge, 2014, kindle edition)</w:t>
      </w:r>
    </w:p>
    <w:p>
      <w:pPr>
        <w:pStyle w:val="Normal.0"/>
        <w:rPr>
          <w:sz w:val="36"/>
          <w:szCs w:val="36"/>
        </w:rPr>
      </w:pPr>
      <w:r>
        <w:rPr>
          <w:sz w:val="36"/>
          <w:szCs w:val="36"/>
          <w:rtl w:val="0"/>
          <w:lang w:val="en-US"/>
        </w:rPr>
        <w:t xml:space="preserve">Bronner, S.E., </w:t>
      </w:r>
      <w:r>
        <w:rPr>
          <w:i w:val="1"/>
          <w:iCs w:val="1"/>
          <w:sz w:val="36"/>
          <w:szCs w:val="36"/>
          <w:rtl w:val="0"/>
          <w:lang w:val="en-US"/>
        </w:rPr>
        <w:t xml:space="preserve">Critical Theory: A Very Short Introduction </w:t>
      </w:r>
      <w:r>
        <w:rPr>
          <w:sz w:val="36"/>
          <w:szCs w:val="36"/>
          <w:rtl w:val="0"/>
          <w:lang w:val="en-US"/>
        </w:rPr>
        <w:t>(Oxford: Oxford University Press, 2011, kindle edition)</w:t>
      </w:r>
    </w:p>
    <w:p>
      <w:pPr>
        <w:pStyle w:val="Normal.0"/>
        <w:rPr>
          <w:sz w:val="36"/>
          <w:szCs w:val="36"/>
        </w:rPr>
      </w:pPr>
      <w:r>
        <w:rPr>
          <w:sz w:val="36"/>
          <w:szCs w:val="36"/>
          <w:rtl w:val="0"/>
          <w:lang w:val="en-US"/>
        </w:rPr>
        <w:t xml:space="preserve">Butler, C., </w:t>
      </w:r>
      <w:r>
        <w:rPr>
          <w:i w:val="1"/>
          <w:iCs w:val="1"/>
          <w:sz w:val="36"/>
          <w:szCs w:val="36"/>
          <w:rtl w:val="0"/>
          <w:lang w:val="en-US"/>
        </w:rPr>
        <w:t xml:space="preserve">Postmodernism: A Very Short Introduction </w:t>
      </w:r>
      <w:r>
        <w:rPr>
          <w:sz w:val="36"/>
          <w:szCs w:val="36"/>
          <w:rtl w:val="0"/>
          <w:lang w:val="en-US"/>
        </w:rPr>
        <w:t>(Oxford: Oxford University Press, 2002, kindle edition)</w:t>
      </w:r>
    </w:p>
    <w:p>
      <w:pPr>
        <w:pStyle w:val="Normal.0"/>
        <w:rPr>
          <w:sz w:val="36"/>
          <w:szCs w:val="36"/>
        </w:rPr>
      </w:pPr>
      <w:r>
        <w:rPr>
          <w:sz w:val="36"/>
          <w:szCs w:val="36"/>
          <w:rtl w:val="0"/>
          <w:lang w:val="en-US"/>
        </w:rPr>
        <w:t xml:space="preserve">Chandler, D., </w:t>
      </w:r>
      <w:r>
        <w:rPr>
          <w:i w:val="1"/>
          <w:iCs w:val="1"/>
          <w:sz w:val="36"/>
          <w:szCs w:val="36"/>
          <w:rtl w:val="0"/>
          <w:lang w:val="en-US"/>
        </w:rPr>
        <w:t xml:space="preserve">Semiotics: The Basics </w:t>
      </w:r>
      <w:r>
        <w:rPr>
          <w:sz w:val="36"/>
          <w:szCs w:val="36"/>
          <w:rtl w:val="0"/>
          <w:lang w:val="en-US"/>
        </w:rPr>
        <w:t>Third Edition (Abingdon: Routledge, 2017, kindle edition)</w:t>
      </w:r>
    </w:p>
    <w:p>
      <w:pPr>
        <w:pStyle w:val="Normal.0"/>
        <w:rPr>
          <w:sz w:val="36"/>
          <w:szCs w:val="36"/>
        </w:rPr>
      </w:pPr>
      <w:r>
        <w:rPr>
          <w:sz w:val="36"/>
          <w:szCs w:val="36"/>
          <w:rtl w:val="0"/>
          <w:lang w:val="en-US"/>
        </w:rPr>
        <w:t xml:space="preserve">Chaplin, S., </w:t>
      </w:r>
      <w:r>
        <w:rPr>
          <w:i w:val="1"/>
          <w:iCs w:val="1"/>
          <w:sz w:val="36"/>
          <w:szCs w:val="36"/>
          <w:rtl w:val="0"/>
          <w:lang w:val="en-US"/>
        </w:rPr>
        <w:t xml:space="preserve">Gothic Literature: Texts, Contexts, Connections </w:t>
      </w:r>
      <w:r>
        <w:rPr>
          <w:sz w:val="36"/>
          <w:szCs w:val="36"/>
          <w:rtl w:val="0"/>
          <w:lang w:val="en-US"/>
        </w:rPr>
        <w:t>(London: York Press, 2011, kindle edition)</w:t>
      </w:r>
    </w:p>
    <w:p>
      <w:pPr>
        <w:pStyle w:val="Normal.0"/>
        <w:rPr>
          <w:sz w:val="36"/>
          <w:szCs w:val="36"/>
        </w:rPr>
      </w:pPr>
      <w:r>
        <w:rPr>
          <w:sz w:val="36"/>
          <w:szCs w:val="36"/>
          <w:rtl w:val="0"/>
          <w:lang w:val="en-US"/>
        </w:rPr>
        <w:t xml:space="preserve">Copeland, E., and J. McMaster eds., </w:t>
      </w:r>
      <w:r>
        <w:rPr>
          <w:i w:val="1"/>
          <w:iCs w:val="1"/>
          <w:sz w:val="36"/>
          <w:szCs w:val="36"/>
          <w:rtl w:val="0"/>
          <w:lang w:val="en-US"/>
        </w:rPr>
        <w:t xml:space="preserve">The Cambridge Companion to Jane Austen </w:t>
      </w:r>
      <w:r>
        <w:rPr>
          <w:sz w:val="36"/>
          <w:szCs w:val="36"/>
          <w:rtl w:val="0"/>
          <w:lang w:val="en-US"/>
        </w:rPr>
        <w:t>Second Edition (Cambridge: Cambridge University Press, 2011, kindle edition)</w:t>
      </w:r>
    </w:p>
    <w:p>
      <w:pPr>
        <w:pStyle w:val="Normal.0"/>
        <w:rPr>
          <w:sz w:val="36"/>
          <w:szCs w:val="36"/>
        </w:rPr>
      </w:pPr>
      <w:r>
        <w:rPr>
          <w:sz w:val="36"/>
          <w:szCs w:val="36"/>
          <w:rtl w:val="0"/>
          <w:lang w:val="en-US"/>
        </w:rPr>
        <w:t xml:space="preserve">Davidson, J., </w:t>
      </w:r>
      <w:r>
        <w:rPr>
          <w:i w:val="1"/>
          <w:iCs w:val="1"/>
          <w:sz w:val="36"/>
          <w:szCs w:val="36"/>
          <w:rtl w:val="0"/>
          <w:lang w:val="en-US"/>
        </w:rPr>
        <w:t xml:space="preserve">Reading Jane Austen </w:t>
      </w:r>
      <w:r>
        <w:rPr>
          <w:sz w:val="36"/>
          <w:szCs w:val="36"/>
          <w:rtl w:val="0"/>
          <w:lang w:val="en-US"/>
        </w:rPr>
        <w:t>(Cambridge: Cambridge University Press, 2017, kindle edition)</w:t>
      </w:r>
    </w:p>
    <w:p>
      <w:pPr>
        <w:pStyle w:val="Normal.0"/>
        <w:rPr>
          <w:sz w:val="36"/>
          <w:szCs w:val="36"/>
        </w:rPr>
      </w:pPr>
      <w:r>
        <w:rPr>
          <w:sz w:val="36"/>
          <w:szCs w:val="36"/>
          <w:rtl w:val="0"/>
          <w:lang w:val="en-US"/>
        </w:rPr>
        <w:t xml:space="preserve">Erickson, C., </w:t>
      </w:r>
      <w:r>
        <w:rPr>
          <w:i w:val="1"/>
          <w:iCs w:val="1"/>
          <w:sz w:val="36"/>
          <w:szCs w:val="36"/>
          <w:rtl w:val="0"/>
          <w:lang w:val="en-US"/>
        </w:rPr>
        <w:t>The Tsarina</w:t>
      </w:r>
      <w:r>
        <w:rPr>
          <w:i w:val="1"/>
          <w:iCs w:val="1"/>
          <w:sz w:val="36"/>
          <w:szCs w:val="36"/>
          <w:rtl w:val="0"/>
          <w:lang w:val="en-US"/>
        </w:rPr>
        <w:t>’</w:t>
      </w:r>
      <w:r>
        <w:rPr>
          <w:i w:val="1"/>
          <w:iCs w:val="1"/>
          <w:sz w:val="36"/>
          <w:szCs w:val="36"/>
          <w:rtl w:val="0"/>
          <w:lang w:val="en-US"/>
        </w:rPr>
        <w:t xml:space="preserve">s Daughter </w:t>
      </w:r>
      <w:r>
        <w:rPr>
          <w:sz w:val="36"/>
          <w:szCs w:val="36"/>
          <w:rtl w:val="0"/>
          <w:lang w:val="en-US"/>
        </w:rPr>
        <w:t>(2008)</w:t>
      </w:r>
    </w:p>
    <w:p>
      <w:pPr>
        <w:pStyle w:val="Normal.0"/>
        <w:rPr>
          <w:sz w:val="36"/>
          <w:szCs w:val="36"/>
        </w:rPr>
      </w:pPr>
      <w:r>
        <w:rPr>
          <w:sz w:val="36"/>
          <w:szCs w:val="36"/>
          <w:rtl w:val="0"/>
          <w:lang w:val="en-US"/>
        </w:rPr>
        <w:t xml:space="preserve">Gallagher, C. &amp; S. Greenblatt, </w:t>
      </w:r>
      <w:r>
        <w:rPr>
          <w:i w:val="1"/>
          <w:iCs w:val="1"/>
          <w:sz w:val="36"/>
          <w:szCs w:val="36"/>
          <w:rtl w:val="0"/>
          <w:lang w:val="en-US"/>
        </w:rPr>
        <w:t xml:space="preserve">Practicing New Historicism </w:t>
      </w:r>
      <w:r>
        <w:rPr>
          <w:sz w:val="36"/>
          <w:szCs w:val="36"/>
          <w:rtl w:val="0"/>
          <w:lang w:val="en-US"/>
        </w:rPr>
        <w:t>(Chicago: University of Chicago Press, 2000)</w:t>
      </w:r>
    </w:p>
    <w:p>
      <w:pPr>
        <w:pStyle w:val="Normal.0"/>
        <w:rPr>
          <w:sz w:val="36"/>
          <w:szCs w:val="36"/>
        </w:rPr>
      </w:pPr>
      <w:r>
        <w:rPr>
          <w:sz w:val="36"/>
          <w:szCs w:val="36"/>
          <w:rtl w:val="0"/>
          <w:lang w:val="en-US"/>
        </w:rPr>
        <w:t xml:space="preserve">Grace, M., </w:t>
      </w:r>
      <w:r>
        <w:rPr>
          <w:i w:val="1"/>
          <w:iCs w:val="1"/>
          <w:sz w:val="36"/>
          <w:szCs w:val="36"/>
          <w:rtl w:val="0"/>
          <w:lang w:val="en-US"/>
        </w:rPr>
        <w:t>Courtship &amp; Marriage in Jane Austen</w:t>
      </w:r>
      <w:r>
        <w:rPr>
          <w:i w:val="1"/>
          <w:iCs w:val="1"/>
          <w:sz w:val="36"/>
          <w:szCs w:val="36"/>
          <w:rtl w:val="0"/>
          <w:lang w:val="en-US"/>
        </w:rPr>
        <w:t>’</w:t>
      </w:r>
      <w:r>
        <w:rPr>
          <w:i w:val="1"/>
          <w:iCs w:val="1"/>
          <w:sz w:val="36"/>
          <w:szCs w:val="36"/>
          <w:rtl w:val="0"/>
          <w:lang w:val="en-US"/>
        </w:rPr>
        <w:t xml:space="preserve">s World </w:t>
      </w:r>
      <w:r>
        <w:rPr>
          <w:sz w:val="36"/>
          <w:szCs w:val="36"/>
          <w:rtl w:val="0"/>
          <w:lang w:val="en-US"/>
        </w:rPr>
        <w:t>(White Soup Press, 2016, kindle edition)</w:t>
      </w:r>
    </w:p>
    <w:p>
      <w:pPr>
        <w:pStyle w:val="Normal.0"/>
        <w:rPr>
          <w:sz w:val="36"/>
          <w:szCs w:val="36"/>
        </w:rPr>
      </w:pPr>
      <w:r>
        <w:rPr>
          <w:sz w:val="36"/>
          <w:szCs w:val="36"/>
          <w:rtl w:val="0"/>
          <w:lang w:val="en-US"/>
        </w:rPr>
        <w:t xml:space="preserve">Greenblatt, S., </w:t>
      </w:r>
      <w:r>
        <w:rPr>
          <w:i w:val="1"/>
          <w:iCs w:val="1"/>
          <w:sz w:val="36"/>
          <w:szCs w:val="36"/>
          <w:rtl w:val="0"/>
          <w:lang w:val="en-US"/>
        </w:rPr>
        <w:t xml:space="preserve">Learning to Curse </w:t>
      </w:r>
      <w:r>
        <w:rPr>
          <w:sz w:val="36"/>
          <w:szCs w:val="36"/>
          <w:rtl w:val="0"/>
          <w:lang w:val="en-US"/>
        </w:rPr>
        <w:t>(Abingdon: Routledge, 1990, kindle edition)</w:t>
      </w:r>
    </w:p>
    <w:p>
      <w:pPr>
        <w:pStyle w:val="Normal.0"/>
        <w:numPr>
          <w:ilvl w:val="0"/>
          <w:numId w:val="4"/>
        </w:numPr>
        <w:rPr>
          <w:sz w:val="36"/>
          <w:szCs w:val="36"/>
          <w:lang w:val="en-US"/>
        </w:rPr>
      </w:pPr>
      <w:r>
        <w:rPr>
          <w:i w:val="1"/>
          <w:iCs w:val="1"/>
          <w:sz w:val="36"/>
          <w:szCs w:val="36"/>
          <w:rtl w:val="0"/>
          <w:lang w:val="en-US"/>
        </w:rPr>
        <w:t xml:space="preserve">Marvellous Possessions: The Wonder of the New World </w:t>
      </w:r>
      <w:r>
        <w:rPr>
          <w:sz w:val="36"/>
          <w:szCs w:val="36"/>
          <w:rtl w:val="0"/>
          <w:lang w:val="en-US"/>
        </w:rPr>
        <w:t>(Oxford: Oxford University Press, 1991, kindle edition)</w:t>
      </w:r>
    </w:p>
    <w:p>
      <w:pPr>
        <w:pStyle w:val="Normal.0"/>
        <w:numPr>
          <w:ilvl w:val="0"/>
          <w:numId w:val="5"/>
        </w:numPr>
        <w:rPr>
          <w:i w:val="1"/>
          <w:iCs w:val="1"/>
          <w:sz w:val="36"/>
          <w:szCs w:val="36"/>
          <w:lang w:val="en-US"/>
        </w:rPr>
      </w:pPr>
      <w:r>
        <w:rPr>
          <w:i w:val="1"/>
          <w:iCs w:val="1"/>
          <w:sz w:val="36"/>
          <w:szCs w:val="36"/>
          <w:rtl w:val="0"/>
          <w:lang w:val="en-US"/>
        </w:rPr>
        <w:t xml:space="preserve">Renaissance Self-Fashioning From More to Shakespeare </w:t>
      </w:r>
      <w:r>
        <w:rPr>
          <w:i w:val="0"/>
          <w:iCs w:val="0"/>
          <w:sz w:val="36"/>
          <w:szCs w:val="36"/>
          <w:rtl w:val="0"/>
          <w:lang w:val="en-US"/>
        </w:rPr>
        <w:t>(Chicago: University of Chicago Press, 1980, kindle edition)</w:t>
      </w:r>
    </w:p>
    <w:p>
      <w:pPr>
        <w:pStyle w:val="Normal.0"/>
        <w:numPr>
          <w:ilvl w:val="0"/>
          <w:numId w:val="5"/>
        </w:numPr>
        <w:rPr>
          <w:i w:val="1"/>
          <w:iCs w:val="1"/>
          <w:sz w:val="36"/>
          <w:szCs w:val="36"/>
          <w:lang w:val="en-US"/>
        </w:rPr>
      </w:pPr>
      <w:r>
        <w:rPr>
          <w:i w:val="1"/>
          <w:iCs w:val="1"/>
          <w:sz w:val="36"/>
          <w:szCs w:val="36"/>
          <w:rtl w:val="0"/>
          <w:lang w:val="en-US"/>
        </w:rPr>
        <w:t>Shakespeare</w:t>
      </w:r>
      <w:r>
        <w:rPr>
          <w:i w:val="1"/>
          <w:iCs w:val="1"/>
          <w:sz w:val="36"/>
          <w:szCs w:val="36"/>
          <w:rtl w:val="0"/>
          <w:lang w:val="en-US"/>
        </w:rPr>
        <w:t>’</w:t>
      </w:r>
      <w:r>
        <w:rPr>
          <w:i w:val="1"/>
          <w:iCs w:val="1"/>
          <w:sz w:val="36"/>
          <w:szCs w:val="36"/>
          <w:rtl w:val="0"/>
          <w:lang w:val="en-US"/>
        </w:rPr>
        <w:t xml:space="preserve">s Freedom </w:t>
      </w:r>
      <w:r>
        <w:rPr>
          <w:i w:val="0"/>
          <w:iCs w:val="0"/>
          <w:sz w:val="36"/>
          <w:szCs w:val="36"/>
          <w:rtl w:val="0"/>
          <w:lang w:val="en-US"/>
        </w:rPr>
        <w:t>(Chicago: University of Chicago Press, 2010, kindle edition)</w:t>
      </w:r>
    </w:p>
    <w:p>
      <w:pPr>
        <w:pStyle w:val="Normal.0"/>
        <w:numPr>
          <w:ilvl w:val="0"/>
          <w:numId w:val="5"/>
        </w:numPr>
        <w:rPr>
          <w:i w:val="1"/>
          <w:iCs w:val="1"/>
          <w:sz w:val="36"/>
          <w:szCs w:val="36"/>
          <w:lang w:val="en-US"/>
        </w:rPr>
      </w:pPr>
      <w:r>
        <w:rPr>
          <w:i w:val="1"/>
          <w:iCs w:val="1"/>
          <w:sz w:val="36"/>
          <w:szCs w:val="36"/>
          <w:rtl w:val="0"/>
          <w:lang w:val="en-US"/>
        </w:rPr>
        <w:t xml:space="preserve">The Swerve: How the Renaissance Began </w:t>
      </w:r>
      <w:r>
        <w:rPr>
          <w:i w:val="0"/>
          <w:iCs w:val="0"/>
          <w:sz w:val="36"/>
          <w:szCs w:val="36"/>
          <w:rtl w:val="0"/>
          <w:lang w:val="en-US"/>
        </w:rPr>
        <w:t>(London: The Bodley Head, 2011, kindle edition)</w:t>
      </w:r>
    </w:p>
    <w:p>
      <w:pPr>
        <w:pStyle w:val="Normal.0"/>
        <w:numPr>
          <w:ilvl w:val="0"/>
          <w:numId w:val="5"/>
        </w:numPr>
        <w:rPr>
          <w:i w:val="1"/>
          <w:iCs w:val="1"/>
          <w:sz w:val="36"/>
          <w:szCs w:val="36"/>
          <w:lang w:val="en-US"/>
        </w:rPr>
      </w:pPr>
      <w:r>
        <w:rPr>
          <w:i w:val="1"/>
          <w:iCs w:val="1"/>
          <w:sz w:val="36"/>
          <w:szCs w:val="36"/>
          <w:rtl w:val="0"/>
          <w:lang w:val="en-US"/>
        </w:rPr>
        <w:t xml:space="preserve">Tyrant: Shakespeare on Power </w:t>
      </w:r>
      <w:r>
        <w:rPr>
          <w:i w:val="0"/>
          <w:iCs w:val="0"/>
          <w:sz w:val="36"/>
          <w:szCs w:val="36"/>
          <w:rtl w:val="0"/>
          <w:lang w:val="en-US"/>
        </w:rPr>
        <w:t>(London: The Bodley Head, 2012, kindle edition)</w:t>
      </w:r>
    </w:p>
    <w:p>
      <w:pPr>
        <w:pStyle w:val="Normal.0"/>
        <w:rPr>
          <w:i w:val="0"/>
          <w:iCs w:val="0"/>
          <w:sz w:val="36"/>
          <w:szCs w:val="36"/>
        </w:rPr>
      </w:pPr>
    </w:p>
    <w:p>
      <w:pPr>
        <w:pStyle w:val="Normal.0"/>
        <w:rPr>
          <w:i w:val="0"/>
          <w:iCs w:val="0"/>
          <w:sz w:val="36"/>
          <w:szCs w:val="36"/>
        </w:rPr>
      </w:pPr>
      <w:r>
        <w:rPr>
          <w:i w:val="0"/>
          <w:iCs w:val="0"/>
          <w:sz w:val="36"/>
          <w:szCs w:val="36"/>
          <w:rtl w:val="0"/>
          <w:lang w:val="en-US"/>
        </w:rPr>
        <w:t xml:space="preserve">Groom, N., </w:t>
      </w:r>
      <w:r>
        <w:rPr>
          <w:i w:val="1"/>
          <w:iCs w:val="1"/>
          <w:sz w:val="36"/>
          <w:szCs w:val="36"/>
          <w:rtl w:val="0"/>
          <w:lang w:val="en-US"/>
        </w:rPr>
        <w:t xml:space="preserve">The Gothic: A Very Short Introduction </w:t>
      </w:r>
      <w:r>
        <w:rPr>
          <w:i w:val="0"/>
          <w:iCs w:val="0"/>
          <w:sz w:val="36"/>
          <w:szCs w:val="36"/>
          <w:rtl w:val="0"/>
          <w:lang w:val="en-US"/>
        </w:rPr>
        <w:t>(Oxford: Oxford University Press, 2012, kindle edition)</w:t>
      </w:r>
    </w:p>
    <w:p>
      <w:pPr>
        <w:pStyle w:val="Normal.0"/>
        <w:rPr>
          <w:i w:val="0"/>
          <w:iCs w:val="0"/>
          <w:sz w:val="36"/>
          <w:szCs w:val="36"/>
        </w:rPr>
      </w:pPr>
      <w:r>
        <w:rPr>
          <w:i w:val="0"/>
          <w:iCs w:val="0"/>
          <w:sz w:val="36"/>
          <w:szCs w:val="36"/>
          <w:rtl w:val="0"/>
          <w:lang w:val="en-US"/>
        </w:rPr>
        <w:t xml:space="preserve">Gutting, G., </w:t>
      </w:r>
      <w:r>
        <w:rPr>
          <w:i w:val="1"/>
          <w:iCs w:val="1"/>
          <w:sz w:val="36"/>
          <w:szCs w:val="36"/>
          <w:rtl w:val="0"/>
          <w:lang w:val="en-US"/>
        </w:rPr>
        <w:t xml:space="preserve">Foucault: A Very Short Introduction </w:t>
      </w:r>
      <w:r>
        <w:rPr>
          <w:i w:val="0"/>
          <w:iCs w:val="0"/>
          <w:sz w:val="36"/>
          <w:szCs w:val="36"/>
          <w:rtl w:val="0"/>
          <w:lang w:val="en-US"/>
        </w:rPr>
        <w:t>(Oxford: Oxford University Press, 2005, kindle edition)</w:t>
      </w:r>
    </w:p>
    <w:p>
      <w:pPr>
        <w:pStyle w:val="Normal.0"/>
        <w:rPr>
          <w:i w:val="0"/>
          <w:iCs w:val="0"/>
          <w:sz w:val="36"/>
          <w:szCs w:val="36"/>
        </w:rPr>
      </w:pPr>
      <w:r>
        <w:rPr>
          <w:i w:val="0"/>
          <w:iCs w:val="0"/>
          <w:sz w:val="36"/>
          <w:szCs w:val="36"/>
          <w:rtl w:val="0"/>
          <w:lang w:val="en-US"/>
        </w:rPr>
        <w:t xml:space="preserve">Hamilton, P., </w:t>
      </w:r>
      <w:r>
        <w:rPr>
          <w:i w:val="1"/>
          <w:iCs w:val="1"/>
          <w:sz w:val="36"/>
          <w:szCs w:val="36"/>
          <w:rtl w:val="0"/>
          <w:lang w:val="en-US"/>
        </w:rPr>
        <w:t xml:space="preserve">Historicism </w:t>
      </w:r>
      <w:r>
        <w:rPr>
          <w:i w:val="0"/>
          <w:iCs w:val="0"/>
          <w:sz w:val="36"/>
          <w:szCs w:val="36"/>
          <w:rtl w:val="0"/>
          <w:lang w:val="en-US"/>
        </w:rPr>
        <w:t>(London: Routledge, 1996, kindle edition)</w:t>
      </w:r>
    </w:p>
    <w:p>
      <w:pPr>
        <w:pStyle w:val="Normal.0"/>
        <w:rPr>
          <w:i w:val="0"/>
          <w:iCs w:val="0"/>
          <w:sz w:val="36"/>
          <w:szCs w:val="36"/>
        </w:rPr>
      </w:pPr>
      <w:r>
        <w:rPr>
          <w:i w:val="0"/>
          <w:iCs w:val="0"/>
          <w:sz w:val="36"/>
          <w:szCs w:val="36"/>
          <w:rtl w:val="0"/>
          <w:lang w:val="en-US"/>
        </w:rPr>
        <w:t xml:space="preserve">Hogle, J.E. ed., </w:t>
      </w:r>
      <w:r>
        <w:rPr>
          <w:i w:val="1"/>
          <w:iCs w:val="1"/>
          <w:sz w:val="36"/>
          <w:szCs w:val="36"/>
          <w:rtl w:val="0"/>
          <w:lang w:val="en-US"/>
        </w:rPr>
        <w:t xml:space="preserve">The Cambridge Companion to the Modern Gothic </w:t>
      </w:r>
      <w:r>
        <w:rPr>
          <w:i w:val="0"/>
          <w:iCs w:val="0"/>
          <w:sz w:val="36"/>
          <w:szCs w:val="36"/>
          <w:rtl w:val="0"/>
          <w:lang w:val="en-US"/>
        </w:rPr>
        <w:t>(Cambridge: Cambridge University Press, 2014,kindle edition)</w:t>
      </w:r>
    </w:p>
    <w:p>
      <w:pPr>
        <w:pStyle w:val="Normal.0"/>
        <w:rPr>
          <w:i w:val="0"/>
          <w:iCs w:val="0"/>
          <w:sz w:val="36"/>
          <w:szCs w:val="36"/>
        </w:rPr>
      </w:pPr>
      <w:r>
        <w:rPr>
          <w:i w:val="0"/>
          <w:iCs w:val="0"/>
          <w:sz w:val="36"/>
          <w:szCs w:val="36"/>
          <w:rtl w:val="0"/>
          <w:lang w:val="en-US"/>
        </w:rPr>
        <w:t xml:space="preserve">- </w:t>
      </w:r>
      <w:r>
        <w:rPr>
          <w:i w:val="1"/>
          <w:iCs w:val="1"/>
          <w:sz w:val="36"/>
          <w:szCs w:val="36"/>
          <w:rtl w:val="0"/>
          <w:lang w:val="en-US"/>
        </w:rPr>
        <w:t xml:space="preserve">The Cambridge Companion to Gothic Fiction </w:t>
      </w:r>
      <w:r>
        <w:rPr>
          <w:i w:val="0"/>
          <w:iCs w:val="0"/>
          <w:sz w:val="36"/>
          <w:szCs w:val="36"/>
          <w:rtl w:val="0"/>
          <w:lang w:val="en-US"/>
        </w:rPr>
        <w:t>(Cambridge: Cambridge University Press, 2002, kindle edition)</w:t>
      </w:r>
    </w:p>
    <w:p>
      <w:pPr>
        <w:pStyle w:val="Normal.0"/>
        <w:rPr>
          <w:i w:val="0"/>
          <w:iCs w:val="0"/>
          <w:sz w:val="36"/>
          <w:szCs w:val="36"/>
        </w:rPr>
      </w:pPr>
      <w:r>
        <w:rPr>
          <w:i w:val="0"/>
          <w:iCs w:val="0"/>
          <w:sz w:val="36"/>
          <w:szCs w:val="36"/>
          <w:rtl w:val="0"/>
          <w:lang w:val="en-US"/>
        </w:rPr>
        <w:t xml:space="preserve">Howells, C.A., </w:t>
      </w:r>
      <w:r>
        <w:rPr>
          <w:i w:val="1"/>
          <w:iCs w:val="1"/>
          <w:sz w:val="36"/>
          <w:szCs w:val="36"/>
          <w:rtl w:val="0"/>
          <w:lang w:val="en-US"/>
        </w:rPr>
        <w:t xml:space="preserve">The Cambridge Companion to Margaret Atwood </w:t>
      </w:r>
      <w:r>
        <w:rPr>
          <w:i w:val="0"/>
          <w:iCs w:val="0"/>
          <w:sz w:val="36"/>
          <w:szCs w:val="36"/>
          <w:rtl w:val="0"/>
          <w:lang w:val="en-US"/>
        </w:rPr>
        <w:t>(Cambridge: Cambridge University Press, 2006, kindle edition)</w:t>
      </w:r>
    </w:p>
    <w:p>
      <w:pPr>
        <w:pStyle w:val="Normal.0"/>
        <w:rPr>
          <w:i w:val="0"/>
          <w:iCs w:val="0"/>
          <w:sz w:val="36"/>
          <w:szCs w:val="36"/>
        </w:rPr>
      </w:pPr>
      <w:r>
        <w:rPr>
          <w:i w:val="0"/>
          <w:iCs w:val="0"/>
          <w:sz w:val="36"/>
          <w:szCs w:val="36"/>
          <w:rtl w:val="0"/>
          <w:lang w:val="en-US"/>
        </w:rPr>
        <w:t xml:space="preserve">Jay, G.S. and D.L Miller, </w:t>
      </w:r>
      <w:r>
        <w:rPr>
          <w:i w:val="1"/>
          <w:iCs w:val="1"/>
          <w:sz w:val="36"/>
          <w:szCs w:val="36"/>
          <w:rtl w:val="0"/>
          <w:lang w:val="en-US"/>
        </w:rPr>
        <w:t xml:space="preserve">After Strange Texts: The Role of Theory in the Study of Literature </w:t>
      </w:r>
      <w:r>
        <w:rPr>
          <w:i w:val="0"/>
          <w:iCs w:val="0"/>
          <w:sz w:val="36"/>
          <w:szCs w:val="36"/>
          <w:rtl w:val="0"/>
          <w:lang w:val="en-US"/>
        </w:rPr>
        <w:t>(Alabama: University of Alabama Press, 1985, kindle edition)</w:t>
      </w:r>
    </w:p>
    <w:p>
      <w:pPr>
        <w:pStyle w:val="Normal.0"/>
        <w:rPr>
          <w:i w:val="0"/>
          <w:iCs w:val="0"/>
          <w:sz w:val="36"/>
          <w:szCs w:val="36"/>
        </w:rPr>
      </w:pPr>
      <w:r>
        <w:rPr>
          <w:i w:val="0"/>
          <w:iCs w:val="0"/>
          <w:sz w:val="36"/>
          <w:szCs w:val="36"/>
          <w:rtl w:val="0"/>
          <w:lang w:val="en-US"/>
        </w:rPr>
        <w:t xml:space="preserve">Jenkins, K., </w:t>
      </w:r>
      <w:r>
        <w:rPr>
          <w:i w:val="1"/>
          <w:iCs w:val="1"/>
          <w:sz w:val="36"/>
          <w:szCs w:val="36"/>
          <w:rtl w:val="0"/>
          <w:lang w:val="en-US"/>
        </w:rPr>
        <w:t xml:space="preserve">Refiguring History: New Thoughts on an old Discipline </w:t>
      </w:r>
      <w:r>
        <w:rPr>
          <w:i w:val="0"/>
          <w:iCs w:val="0"/>
          <w:sz w:val="36"/>
          <w:szCs w:val="36"/>
          <w:rtl w:val="0"/>
          <w:lang w:val="en-US"/>
        </w:rPr>
        <w:t>(London: Routledge, 2003, kindle edition)</w:t>
      </w:r>
    </w:p>
    <w:p>
      <w:pPr>
        <w:pStyle w:val="Normal.0"/>
        <w:rPr>
          <w:i w:val="0"/>
          <w:iCs w:val="0"/>
          <w:sz w:val="36"/>
          <w:szCs w:val="36"/>
        </w:rPr>
      </w:pPr>
      <w:r>
        <w:rPr>
          <w:i w:val="0"/>
          <w:iCs w:val="0"/>
          <w:sz w:val="36"/>
          <w:szCs w:val="36"/>
          <w:rtl w:val="0"/>
          <w:lang w:val="en-US"/>
        </w:rPr>
        <w:t xml:space="preserve">Johnson, C.L., </w:t>
      </w:r>
      <w:r>
        <w:rPr>
          <w:i w:val="1"/>
          <w:iCs w:val="1"/>
          <w:sz w:val="36"/>
          <w:szCs w:val="36"/>
          <w:rtl w:val="0"/>
          <w:lang w:val="en-US"/>
        </w:rPr>
        <w:t>Jane Austen</w:t>
      </w:r>
      <w:r>
        <w:rPr>
          <w:i w:val="1"/>
          <w:iCs w:val="1"/>
          <w:sz w:val="36"/>
          <w:szCs w:val="36"/>
          <w:rtl w:val="0"/>
          <w:lang w:val="en-US"/>
        </w:rPr>
        <w:t>’</w:t>
      </w:r>
      <w:r>
        <w:rPr>
          <w:i w:val="1"/>
          <w:iCs w:val="1"/>
          <w:sz w:val="36"/>
          <w:szCs w:val="36"/>
          <w:rtl w:val="0"/>
          <w:lang w:val="en-US"/>
        </w:rPr>
        <w:t xml:space="preserve">s Cults and Cultures </w:t>
      </w:r>
      <w:r>
        <w:rPr>
          <w:i w:val="0"/>
          <w:iCs w:val="0"/>
          <w:sz w:val="36"/>
          <w:szCs w:val="36"/>
          <w:rtl w:val="0"/>
          <w:lang w:val="en-US"/>
        </w:rPr>
        <w:t>(Chicago: University of Chicago Press, 2012, kindle edition)</w:t>
      </w:r>
    </w:p>
    <w:p>
      <w:pPr>
        <w:pStyle w:val="Normal.0"/>
        <w:rPr>
          <w:i w:val="0"/>
          <w:iCs w:val="0"/>
          <w:sz w:val="36"/>
          <w:szCs w:val="36"/>
        </w:rPr>
      </w:pPr>
      <w:r>
        <w:rPr>
          <w:i w:val="0"/>
          <w:iCs w:val="0"/>
          <w:sz w:val="36"/>
          <w:szCs w:val="36"/>
          <w:rtl w:val="0"/>
          <w:lang w:val="en-US"/>
        </w:rPr>
        <w:t xml:space="preserve">Lane, M., </w:t>
      </w:r>
      <w:r>
        <w:rPr>
          <w:i w:val="1"/>
          <w:iCs w:val="1"/>
          <w:sz w:val="36"/>
          <w:szCs w:val="36"/>
          <w:rtl w:val="0"/>
          <w:lang w:val="en-US"/>
        </w:rPr>
        <w:t xml:space="preserve">Jane Austen and Names </w:t>
      </w:r>
      <w:r>
        <w:rPr>
          <w:i w:val="0"/>
          <w:iCs w:val="0"/>
          <w:sz w:val="36"/>
          <w:szCs w:val="36"/>
          <w:rtl w:val="0"/>
          <w:lang w:val="en-US"/>
        </w:rPr>
        <w:t>(Blaise Books, 2002, kindle edition)</w:t>
      </w:r>
    </w:p>
    <w:p>
      <w:pPr>
        <w:pStyle w:val="Normal.0"/>
        <w:rPr>
          <w:i w:val="0"/>
          <w:iCs w:val="0"/>
          <w:sz w:val="36"/>
          <w:szCs w:val="36"/>
        </w:rPr>
      </w:pPr>
      <w:r>
        <w:rPr>
          <w:i w:val="0"/>
          <w:iCs w:val="0"/>
          <w:sz w:val="36"/>
          <w:szCs w:val="36"/>
          <w:rtl w:val="0"/>
          <w:lang w:val="en-US"/>
        </w:rPr>
        <w:t xml:space="preserve">Macpherson, H.S., </w:t>
      </w:r>
      <w:r>
        <w:rPr>
          <w:i w:val="1"/>
          <w:iCs w:val="1"/>
          <w:sz w:val="36"/>
          <w:szCs w:val="36"/>
          <w:rtl w:val="0"/>
          <w:lang w:val="en-US"/>
        </w:rPr>
        <w:t xml:space="preserve">The Cambridge Introduction to Margaret Atwood </w:t>
      </w:r>
      <w:r>
        <w:rPr>
          <w:i w:val="0"/>
          <w:iCs w:val="0"/>
          <w:sz w:val="36"/>
          <w:szCs w:val="36"/>
          <w:rtl w:val="0"/>
          <w:lang w:val="en-US"/>
        </w:rPr>
        <w:t>(Cambridge: Cambridge University Press, 2010, kindle edition)</w:t>
      </w:r>
    </w:p>
    <w:p>
      <w:pPr>
        <w:pStyle w:val="Normal.0"/>
        <w:rPr>
          <w:i w:val="0"/>
          <w:iCs w:val="0"/>
          <w:sz w:val="36"/>
          <w:szCs w:val="36"/>
        </w:rPr>
      </w:pPr>
    </w:p>
    <w:p>
      <w:pPr>
        <w:pStyle w:val="Normal.0"/>
        <w:rPr>
          <w:i w:val="0"/>
          <w:iCs w:val="0"/>
          <w:sz w:val="36"/>
          <w:szCs w:val="36"/>
        </w:rPr>
      </w:pPr>
      <w:r>
        <w:rPr>
          <w:i w:val="0"/>
          <w:iCs w:val="0"/>
          <w:sz w:val="36"/>
          <w:szCs w:val="36"/>
          <w:rtl w:val="0"/>
          <w:lang w:val="en-US"/>
        </w:rPr>
        <w:t xml:space="preserve">Mitton, G.E., </w:t>
      </w:r>
      <w:r>
        <w:rPr>
          <w:i w:val="1"/>
          <w:iCs w:val="1"/>
          <w:sz w:val="36"/>
          <w:szCs w:val="36"/>
          <w:rtl w:val="0"/>
          <w:lang w:val="en-US"/>
        </w:rPr>
        <w:t xml:space="preserve">Jane Austen and her Times </w:t>
      </w:r>
      <w:r>
        <w:rPr>
          <w:i w:val="0"/>
          <w:iCs w:val="0"/>
          <w:sz w:val="36"/>
          <w:szCs w:val="36"/>
          <w:rtl w:val="0"/>
          <w:lang w:val="en-US"/>
        </w:rPr>
        <w:t>(London: Methuen &amp; Co., 1905, kindle edition)</w:t>
      </w:r>
    </w:p>
    <w:p>
      <w:pPr>
        <w:pStyle w:val="Normal.0"/>
        <w:rPr>
          <w:i w:val="0"/>
          <w:iCs w:val="0"/>
          <w:sz w:val="36"/>
          <w:szCs w:val="36"/>
        </w:rPr>
      </w:pPr>
      <w:r>
        <w:rPr>
          <w:i w:val="0"/>
          <w:iCs w:val="0"/>
          <w:sz w:val="36"/>
          <w:szCs w:val="36"/>
          <w:rtl w:val="0"/>
          <w:lang w:val="en-US"/>
        </w:rPr>
        <w:t xml:space="preserve">Parvini, N., </w:t>
      </w:r>
      <w:r>
        <w:rPr>
          <w:i w:val="1"/>
          <w:iCs w:val="1"/>
          <w:sz w:val="36"/>
          <w:szCs w:val="36"/>
          <w:rtl w:val="0"/>
          <w:lang w:val="en-US"/>
        </w:rPr>
        <w:t xml:space="preserve">Shakespeare and Contemporary Theory: New Historicism and Cultural Materialism </w:t>
      </w:r>
      <w:r>
        <w:rPr>
          <w:i w:val="0"/>
          <w:iCs w:val="0"/>
          <w:sz w:val="36"/>
          <w:szCs w:val="36"/>
          <w:rtl w:val="0"/>
          <w:lang w:val="en-US"/>
        </w:rPr>
        <w:t>(London: Bloomsbury, 2012, kindle edition)</w:t>
      </w:r>
    </w:p>
    <w:p>
      <w:pPr>
        <w:pStyle w:val="Normal.0"/>
        <w:rPr>
          <w:i w:val="0"/>
          <w:iCs w:val="0"/>
          <w:sz w:val="36"/>
          <w:szCs w:val="36"/>
        </w:rPr>
      </w:pPr>
      <w:r>
        <w:rPr>
          <w:i w:val="0"/>
          <w:iCs w:val="0"/>
          <w:sz w:val="36"/>
          <w:szCs w:val="36"/>
          <w:rtl w:val="0"/>
          <w:lang w:val="en-US"/>
        </w:rPr>
        <w:t xml:space="preserve">Pease, D.E., </w:t>
      </w:r>
      <w:r>
        <w:rPr>
          <w:i w:val="1"/>
          <w:iCs w:val="1"/>
          <w:sz w:val="36"/>
          <w:szCs w:val="36"/>
          <w:rtl w:val="0"/>
          <w:lang w:val="en-US"/>
        </w:rPr>
        <w:t xml:space="preserve">Revisionary Interventions into the Americanist Canon </w:t>
      </w:r>
      <w:r>
        <w:rPr>
          <w:i w:val="0"/>
          <w:iCs w:val="0"/>
          <w:sz w:val="36"/>
          <w:szCs w:val="36"/>
          <w:rtl w:val="0"/>
          <w:lang w:val="en-US"/>
        </w:rPr>
        <w:t>(Durham and London: Duke University Press,1994, kindle edition)</w:t>
      </w:r>
    </w:p>
    <w:p>
      <w:pPr>
        <w:pStyle w:val="Normal.0"/>
        <w:rPr>
          <w:i w:val="0"/>
          <w:iCs w:val="0"/>
          <w:sz w:val="36"/>
          <w:szCs w:val="36"/>
        </w:rPr>
      </w:pPr>
      <w:r>
        <w:rPr>
          <w:i w:val="0"/>
          <w:iCs w:val="0"/>
          <w:sz w:val="36"/>
          <w:szCs w:val="36"/>
          <w:rtl w:val="0"/>
          <w:lang w:val="en-US"/>
        </w:rPr>
        <w:t xml:space="preserve">Poplawski, P. ed., </w:t>
      </w:r>
      <w:r>
        <w:rPr>
          <w:i w:val="1"/>
          <w:iCs w:val="1"/>
          <w:sz w:val="36"/>
          <w:szCs w:val="36"/>
          <w:rtl w:val="0"/>
          <w:lang w:val="en-US"/>
        </w:rPr>
        <w:t xml:space="preserve">English Literature in Context </w:t>
      </w:r>
      <w:r>
        <w:rPr>
          <w:i w:val="0"/>
          <w:iCs w:val="0"/>
          <w:sz w:val="36"/>
          <w:szCs w:val="36"/>
          <w:rtl w:val="0"/>
          <w:lang w:val="en-US"/>
        </w:rPr>
        <w:t>Second Edition, (Cambridge: Cambridge University Press, 2017)</w:t>
      </w:r>
    </w:p>
    <w:p>
      <w:pPr>
        <w:pStyle w:val="Normal.0"/>
        <w:rPr>
          <w:i w:val="0"/>
          <w:iCs w:val="0"/>
          <w:sz w:val="36"/>
          <w:szCs w:val="36"/>
        </w:rPr>
      </w:pPr>
      <w:r>
        <w:rPr>
          <w:i w:val="0"/>
          <w:iCs w:val="0"/>
          <w:sz w:val="36"/>
          <w:szCs w:val="36"/>
          <w:rtl w:val="0"/>
          <w:lang w:val="en-US"/>
        </w:rPr>
        <w:t xml:space="preserve">Prochazka, M. Ed., </w:t>
      </w:r>
      <w:r>
        <w:rPr>
          <w:i w:val="1"/>
          <w:iCs w:val="1"/>
          <w:sz w:val="36"/>
          <w:szCs w:val="36"/>
          <w:rtl w:val="0"/>
          <w:lang w:val="en-US"/>
        </w:rPr>
        <w:t xml:space="preserve">After History </w:t>
      </w:r>
      <w:r>
        <w:rPr>
          <w:i w:val="0"/>
          <w:iCs w:val="0"/>
          <w:sz w:val="36"/>
          <w:szCs w:val="36"/>
          <w:rtl w:val="0"/>
          <w:lang w:val="en-US"/>
        </w:rPr>
        <w:t>(Littteraria Pragensia: Prague, 2006, kindle edition)</w:t>
      </w:r>
    </w:p>
    <w:p>
      <w:pPr>
        <w:pStyle w:val="Normal.0"/>
        <w:rPr>
          <w:i w:val="0"/>
          <w:iCs w:val="0"/>
          <w:sz w:val="36"/>
          <w:szCs w:val="36"/>
        </w:rPr>
      </w:pPr>
      <w:r>
        <w:rPr>
          <w:i w:val="0"/>
          <w:iCs w:val="0"/>
          <w:sz w:val="36"/>
          <w:szCs w:val="36"/>
          <w:rtl w:val="0"/>
          <w:lang w:val="en-US"/>
        </w:rPr>
        <w:t xml:space="preserve">Ryan, K., </w:t>
      </w:r>
      <w:r>
        <w:rPr>
          <w:i w:val="1"/>
          <w:iCs w:val="1"/>
          <w:sz w:val="36"/>
          <w:szCs w:val="36"/>
          <w:rtl w:val="0"/>
          <w:lang w:val="en-US"/>
        </w:rPr>
        <w:t xml:space="preserve">New Historicism and Cultural Materialism: A Reader </w:t>
      </w:r>
      <w:r>
        <w:rPr>
          <w:i w:val="0"/>
          <w:iCs w:val="0"/>
          <w:sz w:val="36"/>
          <w:szCs w:val="36"/>
          <w:rtl w:val="0"/>
          <w:lang w:val="en-US"/>
        </w:rPr>
        <w:t>(London: Hodder Headline Group, 1996)</w:t>
      </w:r>
    </w:p>
    <w:p>
      <w:pPr>
        <w:pStyle w:val="Normal.0"/>
        <w:rPr>
          <w:i w:val="0"/>
          <w:iCs w:val="0"/>
          <w:sz w:val="36"/>
          <w:szCs w:val="36"/>
        </w:rPr>
      </w:pPr>
      <w:r>
        <w:rPr>
          <w:i w:val="0"/>
          <w:iCs w:val="0"/>
          <w:sz w:val="36"/>
          <w:szCs w:val="36"/>
          <w:rtl w:val="0"/>
          <w:lang w:val="en-US"/>
        </w:rPr>
        <w:t xml:space="preserve">Todd, J., </w:t>
      </w:r>
      <w:r>
        <w:rPr>
          <w:i w:val="1"/>
          <w:iCs w:val="1"/>
          <w:sz w:val="36"/>
          <w:szCs w:val="36"/>
          <w:rtl w:val="0"/>
          <w:lang w:val="en-US"/>
        </w:rPr>
        <w:t xml:space="preserve">Jane Austen in Context </w:t>
      </w:r>
      <w:r>
        <w:rPr>
          <w:i w:val="0"/>
          <w:iCs w:val="0"/>
          <w:sz w:val="36"/>
          <w:szCs w:val="36"/>
          <w:rtl w:val="0"/>
          <w:lang w:val="en-US"/>
        </w:rPr>
        <w:t>(Cambridge: Cambridge University Press, 2005, kindle edition)</w:t>
      </w:r>
    </w:p>
    <w:p>
      <w:pPr>
        <w:pStyle w:val="Normal.0"/>
        <w:numPr>
          <w:ilvl w:val="0"/>
          <w:numId w:val="5"/>
        </w:numPr>
        <w:rPr>
          <w:i w:val="1"/>
          <w:iCs w:val="1"/>
          <w:sz w:val="36"/>
          <w:szCs w:val="36"/>
          <w:lang w:val="en-US"/>
        </w:rPr>
      </w:pPr>
      <w:r>
        <w:rPr>
          <w:i w:val="1"/>
          <w:iCs w:val="1"/>
          <w:sz w:val="36"/>
          <w:szCs w:val="36"/>
          <w:rtl w:val="0"/>
          <w:lang w:val="en-US"/>
        </w:rPr>
        <w:t xml:space="preserve">The Cambridge Introduction to Jane Austen </w:t>
      </w:r>
      <w:r>
        <w:rPr>
          <w:i w:val="0"/>
          <w:iCs w:val="0"/>
          <w:sz w:val="36"/>
          <w:szCs w:val="36"/>
          <w:rtl w:val="0"/>
          <w:lang w:val="en-US"/>
        </w:rPr>
        <w:t>Second Edition (Cambridge: Cambridge University Press, 2006, kindle edition)</w:t>
      </w:r>
    </w:p>
    <w:p>
      <w:pPr>
        <w:pStyle w:val="Normal.0"/>
        <w:rPr>
          <w:i w:val="0"/>
          <w:iCs w:val="0"/>
          <w:sz w:val="36"/>
          <w:szCs w:val="36"/>
        </w:rPr>
      </w:pPr>
    </w:p>
    <w:p>
      <w:pPr>
        <w:pStyle w:val="Normal.0"/>
        <w:rPr>
          <w:i w:val="0"/>
          <w:iCs w:val="0"/>
          <w:sz w:val="36"/>
          <w:szCs w:val="36"/>
        </w:rPr>
      </w:pPr>
      <w:r>
        <w:rPr>
          <w:i w:val="0"/>
          <w:iCs w:val="0"/>
          <w:sz w:val="36"/>
          <w:szCs w:val="36"/>
          <w:rtl w:val="0"/>
          <w:lang w:val="en-US"/>
        </w:rPr>
        <w:t xml:space="preserve">Veeser, H.A. ed., </w:t>
      </w:r>
      <w:r>
        <w:rPr>
          <w:i w:val="1"/>
          <w:iCs w:val="1"/>
          <w:sz w:val="36"/>
          <w:szCs w:val="36"/>
          <w:rtl w:val="0"/>
          <w:lang w:val="en-US"/>
        </w:rPr>
        <w:t xml:space="preserve">The New Historicism </w:t>
      </w:r>
      <w:r>
        <w:rPr>
          <w:i w:val="0"/>
          <w:iCs w:val="0"/>
          <w:sz w:val="36"/>
          <w:szCs w:val="36"/>
          <w:rtl w:val="0"/>
          <w:lang w:val="en-US"/>
        </w:rPr>
        <w:t>(London: Routledge, 1989, kindle edition)</w:t>
      </w:r>
    </w:p>
    <w:p>
      <w:pPr>
        <w:pStyle w:val="Normal.0"/>
        <w:rPr>
          <w:i w:val="0"/>
          <w:iCs w:val="0"/>
          <w:sz w:val="36"/>
          <w:szCs w:val="36"/>
        </w:rPr>
      </w:pPr>
      <w:r>
        <w:rPr>
          <w:i w:val="0"/>
          <w:iCs w:val="0"/>
          <w:sz w:val="36"/>
          <w:szCs w:val="36"/>
          <w:rtl w:val="0"/>
          <w:lang w:val="en-US"/>
        </w:rPr>
        <w:t xml:space="preserve">- </w:t>
      </w:r>
      <w:r>
        <w:rPr>
          <w:i w:val="1"/>
          <w:iCs w:val="1"/>
          <w:sz w:val="36"/>
          <w:szCs w:val="36"/>
          <w:rtl w:val="0"/>
          <w:lang w:val="en-US"/>
        </w:rPr>
        <w:t xml:space="preserve">The New Historicism Reader </w:t>
      </w:r>
      <w:r>
        <w:rPr>
          <w:i w:val="0"/>
          <w:iCs w:val="0"/>
          <w:sz w:val="36"/>
          <w:szCs w:val="36"/>
          <w:rtl w:val="0"/>
          <w:lang w:val="en-US"/>
        </w:rPr>
        <w:t>(London: Routledge, 1994)</w:t>
      </w:r>
    </w:p>
    <w:p>
      <w:pPr>
        <w:pStyle w:val="Normal.0"/>
        <w:rPr>
          <w:i w:val="0"/>
          <w:iCs w:val="0"/>
          <w:sz w:val="36"/>
          <w:szCs w:val="36"/>
        </w:rPr>
      </w:pPr>
      <w:r>
        <w:rPr>
          <w:i w:val="0"/>
          <w:iCs w:val="0"/>
          <w:sz w:val="36"/>
          <w:szCs w:val="36"/>
          <w:rtl w:val="0"/>
          <w:lang w:val="en-US"/>
        </w:rPr>
        <w:t xml:space="preserve">Wilson, R. and R. Dutton eds., </w:t>
      </w:r>
      <w:r>
        <w:rPr>
          <w:i w:val="1"/>
          <w:iCs w:val="1"/>
          <w:sz w:val="36"/>
          <w:szCs w:val="36"/>
          <w:rtl w:val="0"/>
          <w:lang w:val="en-US"/>
        </w:rPr>
        <w:t xml:space="preserve">New Historicism &amp; Renaissance Drama </w:t>
      </w:r>
      <w:r>
        <w:rPr>
          <w:i w:val="0"/>
          <w:iCs w:val="0"/>
          <w:sz w:val="36"/>
          <w:szCs w:val="36"/>
          <w:rtl w:val="0"/>
          <w:lang w:val="en-US"/>
        </w:rPr>
        <w:t>(London: Routledge, 1992, kindle edition)</w:t>
      </w:r>
    </w:p>
    <w:p>
      <w:pPr>
        <w:pStyle w:val="Normal.0"/>
        <w:rPr>
          <w:i w:val="0"/>
          <w:iCs w:val="0"/>
          <w:sz w:val="36"/>
          <w:szCs w:val="36"/>
        </w:rPr>
      </w:pPr>
    </w:p>
    <w:p>
      <w:pPr>
        <w:pStyle w:val="Normal.0"/>
        <w:rPr>
          <w:i w:val="0"/>
          <w:iCs w:val="0"/>
          <w:sz w:val="36"/>
          <w:szCs w:val="36"/>
        </w:rPr>
      </w:pPr>
    </w:p>
    <w:p>
      <w:pPr>
        <w:pStyle w:val="Normal.0"/>
        <w:rPr>
          <w:i w:val="0"/>
          <w:iCs w:val="0"/>
          <w:sz w:val="36"/>
          <w:szCs w:val="36"/>
        </w:rPr>
      </w:pPr>
    </w:p>
    <w:p>
      <w:pPr>
        <w:pStyle w:val="Normal.0"/>
        <w:rPr>
          <w:i w:val="0"/>
          <w:iCs w:val="0"/>
          <w:sz w:val="36"/>
          <w:szCs w:val="36"/>
        </w:rPr>
      </w:pPr>
    </w:p>
    <w:p>
      <w:pPr>
        <w:pStyle w:val="Normal.0"/>
        <w:rPr>
          <w:i w:val="0"/>
          <w:iCs w:val="0"/>
          <w:sz w:val="36"/>
          <w:szCs w:val="36"/>
        </w:rPr>
      </w:pPr>
    </w:p>
    <w:p>
      <w:pPr>
        <w:pStyle w:val="Normal.0"/>
        <w:rPr>
          <w:i w:val="1"/>
          <w:iCs w:val="1"/>
          <w:sz w:val="36"/>
          <w:szCs w:val="36"/>
        </w:rPr>
      </w:pPr>
    </w:p>
    <w:p>
      <w:pPr>
        <w:pStyle w:val="Normal.0"/>
        <w:rPr>
          <w:sz w:val="36"/>
          <w:szCs w:val="36"/>
        </w:rPr>
      </w:pPr>
    </w:p>
    <w:p>
      <w:pPr>
        <w:pStyle w:val="Normal.0"/>
      </w:pPr>
      <w:r>
        <w:rPr>
          <w:sz w:val="36"/>
          <w:szCs w:val="36"/>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center"/>
    </w:pPr>
    <w:r>
      <w:rPr/>
      <w:fldChar w:fldCharType="begin" w:fldLock="0"/>
    </w:r>
    <w:r>
      <w:instrText xml:space="preserve"> PAGE </w:instrText>
    </w:r>
    <w:r>
      <w:rPr/>
      <w:fldChar w:fldCharType="separate" w:fldLock="0"/>
    </w:r>
    <w:r>
      <w:t>24</w:t>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A"/>
      </w:pPr>
      <w:r>
        <w:rPr>
          <w:rFonts w:ascii="Calibri" w:cs="Calibri" w:hAnsi="Calibri" w:eastAsia="Calibri"/>
          <w:sz w:val="36"/>
          <w:szCs w:val="36"/>
          <w:vertAlign w:val="superscript"/>
        </w:rPr>
        <w:footnoteRef/>
      </w:r>
      <w:r>
        <w:rPr>
          <w:rFonts w:cs="Arial Unicode MS" w:eastAsia="Arial Unicode MS"/>
          <w:rtl w:val="0"/>
        </w:rPr>
        <w:t xml:space="preserve"> </w:t>
      </w:r>
      <w:r>
        <w:rPr>
          <w:rFonts w:cs="Arial Unicode MS" w:eastAsia="Arial Unicode MS"/>
          <w:rtl w:val="0"/>
          <w:lang w:val="en-US"/>
        </w:rPr>
        <w:t xml:space="preserve"> The quotations from Derrida are taken from the article </w:t>
      </w:r>
      <w:r>
        <w:rPr>
          <w:rFonts w:cs="Arial Unicode MS" w:eastAsia="Arial Unicode MS" w:hint="default"/>
          <w:rtl w:val="0"/>
          <w:lang w:val="en-US"/>
        </w:rPr>
        <w:t>‘</w:t>
      </w:r>
      <w:r>
        <w:rPr>
          <w:rFonts w:cs="Arial Unicode MS" w:eastAsia="Arial Unicode MS"/>
          <w:rtl w:val="0"/>
          <w:lang w:val="en-US"/>
        </w:rPr>
        <w:t>Signature Event Context</w:t>
      </w:r>
      <w:r>
        <w:rPr>
          <w:rFonts w:cs="Arial Unicode MS" w:eastAsia="Arial Unicode MS" w:hint="default"/>
          <w:rtl w:val="0"/>
          <w:lang w:val="en-US"/>
        </w:rPr>
        <w:t>’</w:t>
      </w:r>
      <w:r>
        <w:rPr>
          <w:rFonts w:cs="Arial Unicode MS" w:eastAsia="Arial Unicode MS"/>
          <w:rtl w:val="0"/>
          <w:lang w:val="en-US"/>
        </w:rPr>
        <w:t xml:space="preserve">, published in </w:t>
      </w:r>
      <w:r>
        <w:rPr>
          <w:rFonts w:cs="Arial Unicode MS" w:eastAsia="Arial Unicode MS"/>
          <w:i w:val="1"/>
          <w:iCs w:val="1"/>
          <w:rtl w:val="0"/>
          <w:lang w:val="en-US"/>
        </w:rPr>
        <w:t>Margins of Philosophy</w:t>
      </w:r>
      <w:r>
        <w:rPr>
          <w:rFonts w:cs="Arial Unicode MS" w:eastAsia="Arial Unicode MS"/>
          <w:rtl w:val="0"/>
          <w:lang w:val="en-US"/>
        </w:rPr>
        <w:t xml:space="preserve">, translated with additional notes by Alan Bass (Chicago: University of Chicago Press, 1982), pp. 307-30. </w:t>
      </w:r>
      <w:r>
        <w:rPr>
          <w:rFonts w:cs="Arial Unicode MS" w:eastAsia="Arial Unicode MS" w:hint="default"/>
          <w:rtl w:val="0"/>
          <w:lang w:val="en-US"/>
        </w:rPr>
        <w:t>‘</w:t>
      </w:r>
      <w:r>
        <w:rPr>
          <w:rFonts w:cs="Arial Unicode MS" w:eastAsia="Arial Unicode MS"/>
          <w:rtl w:val="0"/>
          <w:lang w:val="en-US"/>
        </w:rPr>
        <w:t>Signature Event Context</w:t>
      </w:r>
      <w:r>
        <w:rPr>
          <w:rFonts w:cs="Arial Unicode MS" w:eastAsia="Arial Unicode MS" w:hint="default"/>
          <w:rtl w:val="0"/>
          <w:lang w:val="en-US"/>
        </w:rPr>
        <w:t xml:space="preserve">’ </w:t>
      </w:r>
      <w:r>
        <w:rPr>
          <w:rFonts w:cs="Arial Unicode MS" w:eastAsia="Arial Unicode MS"/>
          <w:rtl w:val="0"/>
          <w:lang w:val="en-US"/>
        </w:rPr>
        <w:t xml:space="preserve">was originally a contribution to the Congres  international des Societes de philosophie de langue francaise, Montreal, in August 1971, the theme of which was </w:t>
      </w:r>
      <w:r>
        <w:rPr>
          <w:rFonts w:cs="Arial Unicode MS" w:eastAsia="Arial Unicode MS" w:hint="default"/>
          <w:rtl w:val="0"/>
          <w:lang w:val="en-US"/>
        </w:rPr>
        <w:t>‘</w:t>
      </w:r>
      <w:r>
        <w:rPr>
          <w:rFonts w:cs="Arial Unicode MS" w:eastAsia="Arial Unicode MS"/>
          <w:rtl w:val="0"/>
          <w:lang w:val="en-US"/>
        </w:rPr>
        <w:t>Communication</w:t>
      </w:r>
      <w:r>
        <w:rPr>
          <w:rFonts w:cs="Arial Unicode MS" w:eastAsia="Arial Unicode MS" w:hint="default"/>
          <w:rtl w:val="0"/>
          <w:lang w:val="en-US"/>
        </w:rPr>
        <w:t>’</w:t>
      </w:r>
      <w:r>
        <w:rPr>
          <w:rFonts w:cs="Arial Unicode MS" w:eastAsia="Arial Unicode MS"/>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jc w:val="center"/>
    </w:pPr>
    <w:r>
      <w:rPr>
        <w:rtl w:val="0"/>
        <w:lang w:val="en-US"/>
      </w:rPr>
      <w:t>Catherine Hornby</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nothing"/>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84"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84" w:hanging="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84" w:hanging="2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84" w:hanging="2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84" w:hanging="2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84" w:hanging="2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84" w:hanging="2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84" w:hanging="28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2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4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0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6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2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8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4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084" w:hanging="284"/>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ormal.0">
    <w:name w:val="Normal"/>
    <w:next w:val="Normal.0"/>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note A">
    <w:name w:val="Footnote A"/>
    <w:next w:val="Footnote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Numbered">
    <w:name w:val="Numbered"/>
    <w:pPr>
      <w:numPr>
        <w:numId w:val="1"/>
      </w:numPr>
    </w:pPr>
  </w:style>
  <w:style w:type="numbering" w:styleId="Bullets">
    <w:name w:val="Bullets"/>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