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6D0D40" w14:textId="2EEEF800" w:rsidR="00AE7A38" w:rsidRDefault="00320EAF" w:rsidP="00AE7A38">
      <w:pPr>
        <w:jc w:val="center"/>
        <w:rPr>
          <w:u w:val="single"/>
        </w:rPr>
      </w:pPr>
      <w:r w:rsidRPr="00360FCC">
        <w:rPr>
          <w:u w:val="single"/>
        </w:rPr>
        <w:t xml:space="preserve">“For a large class of cases – though not for all – in which we employ the word ‘meaning’ it can be defined thus: the meaning of a word </w:t>
      </w:r>
      <w:r w:rsidR="00496995" w:rsidRPr="00360FCC">
        <w:rPr>
          <w:u w:val="single"/>
        </w:rPr>
        <w:t>in its use in the language.” Discuss.</w:t>
      </w:r>
    </w:p>
    <w:p w14:paraId="586A2594" w14:textId="77777777" w:rsidR="0003177B" w:rsidRDefault="0003177B" w:rsidP="002B678B">
      <w:pPr>
        <w:rPr>
          <w:b/>
          <w:bCs/>
          <w:u w:val="single"/>
        </w:rPr>
      </w:pPr>
    </w:p>
    <w:p w14:paraId="5035D54B" w14:textId="3AABE4A1" w:rsidR="00EE2A60" w:rsidRPr="002B0B2B" w:rsidRDefault="00C71E13" w:rsidP="0003177B">
      <w:pPr>
        <w:ind w:firstLine="720"/>
      </w:pPr>
      <w:r w:rsidRPr="0048532C">
        <w:t xml:space="preserve">In the following, I will be </w:t>
      </w:r>
      <w:r w:rsidR="00F768E4" w:rsidRPr="0048532C">
        <w:t xml:space="preserve">discussing whether or not the quote </w:t>
      </w:r>
      <w:r w:rsidR="003644C9" w:rsidRPr="0048532C">
        <w:t>‘</w:t>
      </w:r>
      <w:r w:rsidR="00F768E4" w:rsidRPr="0048532C">
        <w:t>for a large class of cases – though not for all – in which we employ the word ‘meaning’</w:t>
      </w:r>
      <w:r w:rsidR="003644C9" w:rsidRPr="0048532C">
        <w:t xml:space="preserve"> it can be defined thus: the meaning of a word in its use in the language’</w:t>
      </w:r>
      <w:r w:rsidR="003644C9" w:rsidRPr="0048532C">
        <w:rPr>
          <w:rStyle w:val="FootnoteReference"/>
        </w:rPr>
        <w:footnoteReference w:id="1"/>
      </w:r>
      <w:r w:rsidR="002B678B" w:rsidRPr="0048532C">
        <w:t xml:space="preserve"> holds true through Wittgenstein’s work.</w:t>
      </w:r>
      <w:r w:rsidR="00F50A1F">
        <w:t xml:space="preserve"> To begin with, I look to the </w:t>
      </w:r>
      <w:proofErr w:type="spellStart"/>
      <w:r w:rsidR="0071016B">
        <w:rPr>
          <w:i/>
          <w:iCs/>
        </w:rPr>
        <w:t>Tractatus</w:t>
      </w:r>
      <w:proofErr w:type="spellEnd"/>
      <w:r w:rsidR="0071016B">
        <w:rPr>
          <w:i/>
          <w:iCs/>
        </w:rPr>
        <w:t xml:space="preserve"> </w:t>
      </w:r>
      <w:proofErr w:type="spellStart"/>
      <w:r w:rsidR="0071016B">
        <w:rPr>
          <w:i/>
          <w:iCs/>
        </w:rPr>
        <w:t>Logico-Philosophicus</w:t>
      </w:r>
      <w:proofErr w:type="spellEnd"/>
      <w:r w:rsidR="0071016B">
        <w:rPr>
          <w:rStyle w:val="FootnoteReference"/>
          <w:i/>
          <w:iCs/>
        </w:rPr>
        <w:footnoteReference w:id="2"/>
      </w:r>
      <w:r w:rsidR="00E05827">
        <w:rPr>
          <w:i/>
          <w:iCs/>
        </w:rPr>
        <w:t xml:space="preserve"> </w:t>
      </w:r>
      <w:r w:rsidR="00E05827">
        <w:t xml:space="preserve">and give an analysis of Early Wittgenstein’s </w:t>
      </w:r>
      <w:r w:rsidR="00FC55C4">
        <w:t xml:space="preserve">view with </w:t>
      </w:r>
      <w:r w:rsidR="00E05827">
        <w:t>regards to the purpose and use of language. Following this, I will give an analysis of Later Wittgenstein</w:t>
      </w:r>
      <w:r w:rsidR="00D32056">
        <w:t xml:space="preserve">’s work </w:t>
      </w:r>
      <w:r w:rsidR="00D744A3">
        <w:t xml:space="preserve">found </w:t>
      </w:r>
      <w:r w:rsidR="00D32056">
        <w:t xml:space="preserve">in </w:t>
      </w:r>
      <w:r w:rsidR="00D32056">
        <w:rPr>
          <w:i/>
          <w:iCs/>
        </w:rPr>
        <w:t>Philosophical Investigations</w:t>
      </w:r>
      <w:r w:rsidR="00D32056">
        <w:rPr>
          <w:rStyle w:val="FootnoteReference"/>
          <w:i/>
          <w:iCs/>
        </w:rPr>
        <w:footnoteReference w:id="3"/>
      </w:r>
      <w:r w:rsidR="00233CE7">
        <w:t xml:space="preserve"> </w:t>
      </w:r>
      <w:r w:rsidR="007015F2">
        <w:t xml:space="preserve">which will take </w:t>
      </w:r>
      <w:r w:rsidR="00AA4673">
        <w:t>a critical and opposing stance to E</w:t>
      </w:r>
      <w:r w:rsidR="00D744A3">
        <w:t xml:space="preserve">arly </w:t>
      </w:r>
      <w:commentRangeStart w:id="0"/>
      <w:r w:rsidR="00AA4673">
        <w:t>W</w:t>
      </w:r>
      <w:r w:rsidR="00D744A3">
        <w:t>ittgenstein</w:t>
      </w:r>
      <w:commentRangeEnd w:id="0"/>
      <w:r w:rsidR="00D861A7">
        <w:rPr>
          <w:rStyle w:val="CommentReference"/>
        </w:rPr>
        <w:commentReference w:id="0"/>
      </w:r>
      <w:r w:rsidR="00EF337D">
        <w:t xml:space="preserve">. It is at this point in my essay that the </w:t>
      </w:r>
      <w:r w:rsidR="00604AD5">
        <w:t xml:space="preserve">more in-depth </w:t>
      </w:r>
      <w:r w:rsidR="00EF337D">
        <w:t>discussion of the above quote will</w:t>
      </w:r>
      <w:r w:rsidR="00604AD5">
        <w:t xml:space="preserve"> enter, as I attempt to </w:t>
      </w:r>
      <w:r w:rsidR="00924C72">
        <w:t xml:space="preserve">show support for the view that the meaning of a word is found in its use in language. </w:t>
      </w:r>
      <w:r w:rsidR="00FE21C9">
        <w:t xml:space="preserve">To support my argument, I will </w:t>
      </w:r>
      <w:r w:rsidR="002B0B2B">
        <w:t>include</w:t>
      </w:r>
      <w:r w:rsidR="00FE21C9">
        <w:t xml:space="preserve"> </w:t>
      </w:r>
      <w:r w:rsidR="00036995">
        <w:t>the concepts of language-games and family resemblance</w:t>
      </w:r>
      <w:r w:rsidR="001F1525">
        <w:t xml:space="preserve">, </w:t>
      </w:r>
      <w:r w:rsidR="0056588B">
        <w:t xml:space="preserve">which are used by </w:t>
      </w:r>
      <w:r w:rsidR="00036995">
        <w:t>Wittgenstein</w:t>
      </w:r>
      <w:r w:rsidR="002B0B2B">
        <w:t xml:space="preserve"> to</w:t>
      </w:r>
      <w:r w:rsidR="00036995">
        <w:t xml:space="preserve"> defend his claims</w:t>
      </w:r>
      <w:r w:rsidR="001F1525">
        <w:t xml:space="preserve"> </w:t>
      </w:r>
      <w:r w:rsidR="0056588B">
        <w:t xml:space="preserve">on language. Following this, I propose a potential issue with Wittgenstein’s </w:t>
      </w:r>
      <w:r w:rsidR="002B0B2B">
        <w:t xml:space="preserve">position in </w:t>
      </w:r>
      <w:r w:rsidR="002B0B2B">
        <w:rPr>
          <w:i/>
          <w:iCs/>
        </w:rPr>
        <w:t xml:space="preserve">Philosophical Investigations </w:t>
      </w:r>
      <w:r w:rsidR="002B0B2B">
        <w:t>but will ultimately conclude that this attack does more to support Wittgenstein’s argument that it does to cause issue.</w:t>
      </w:r>
    </w:p>
    <w:p w14:paraId="02C593F3" w14:textId="03C87318" w:rsidR="00360FCC" w:rsidRPr="006B6A49" w:rsidRDefault="00C90C79" w:rsidP="006B6A49">
      <w:pPr>
        <w:ind w:firstLine="720"/>
      </w:pPr>
      <w:r>
        <w:t>One argument</w:t>
      </w:r>
      <w:r w:rsidR="00D57335">
        <w:t xml:space="preserve"> that </w:t>
      </w:r>
      <w:r w:rsidR="00E12D50">
        <w:t xml:space="preserve">refutes the position that Wittgenstein </w:t>
      </w:r>
      <w:r w:rsidR="00E130F4">
        <w:t>is proposing</w:t>
      </w:r>
      <w:r w:rsidR="00E12D50">
        <w:t xml:space="preserve"> </w:t>
      </w:r>
      <w:r w:rsidR="00F2504C">
        <w:t xml:space="preserve">in the quote </w:t>
      </w:r>
      <w:r w:rsidR="00E062F4">
        <w:t>‘…meaning can be defined thus:</w:t>
      </w:r>
      <w:r w:rsidR="004E4D1C">
        <w:t xml:space="preserve"> the meaning of a word in its use in the language</w:t>
      </w:r>
      <w:r w:rsidR="00F2504C">
        <w:t>…’</w:t>
      </w:r>
      <w:r w:rsidR="00F2504C">
        <w:rPr>
          <w:rStyle w:val="FootnoteReference"/>
        </w:rPr>
        <w:footnoteReference w:id="4"/>
      </w:r>
      <w:r w:rsidR="00765733">
        <w:t xml:space="preserve"> is Wittgenstein himself in his first book </w:t>
      </w:r>
      <w:proofErr w:type="spellStart"/>
      <w:r w:rsidR="00FC6B0A">
        <w:rPr>
          <w:i/>
          <w:iCs/>
        </w:rPr>
        <w:t>Tractatus</w:t>
      </w:r>
      <w:proofErr w:type="spellEnd"/>
      <w:r w:rsidR="00FC6B0A">
        <w:rPr>
          <w:i/>
          <w:iCs/>
        </w:rPr>
        <w:t xml:space="preserve"> </w:t>
      </w:r>
      <w:proofErr w:type="spellStart"/>
      <w:r w:rsidR="00FC6B0A">
        <w:rPr>
          <w:i/>
          <w:iCs/>
        </w:rPr>
        <w:t>Logico-Philosophicus</w:t>
      </w:r>
      <w:proofErr w:type="spellEnd"/>
      <w:r w:rsidR="004E4D1C">
        <w:rPr>
          <w:i/>
          <w:iCs/>
        </w:rPr>
        <w:t xml:space="preserve">. </w:t>
      </w:r>
      <w:r w:rsidR="00DD6436">
        <w:t>Colloquially</w:t>
      </w:r>
      <w:r w:rsidR="004E4D1C">
        <w:t xml:space="preserve"> known</w:t>
      </w:r>
      <w:r w:rsidR="00DD6436">
        <w:t xml:space="preserve"> as the </w:t>
      </w:r>
      <w:proofErr w:type="spellStart"/>
      <w:r w:rsidR="00DD6436">
        <w:rPr>
          <w:i/>
          <w:iCs/>
        </w:rPr>
        <w:t>Tractatus</w:t>
      </w:r>
      <w:proofErr w:type="spellEnd"/>
      <w:r w:rsidR="00DD6436">
        <w:rPr>
          <w:rStyle w:val="FootnoteReference"/>
          <w:i/>
          <w:iCs/>
        </w:rPr>
        <w:footnoteReference w:id="5"/>
      </w:r>
      <w:r w:rsidR="008E0210">
        <w:t>, it was Wittgenstein’s attempt at solving philosophy through logic</w:t>
      </w:r>
      <w:r w:rsidR="009F636C">
        <w:t xml:space="preserve">. His own view of the </w:t>
      </w:r>
      <w:proofErr w:type="spellStart"/>
      <w:r w:rsidR="009F636C">
        <w:rPr>
          <w:i/>
          <w:iCs/>
        </w:rPr>
        <w:t>Tracta</w:t>
      </w:r>
      <w:r w:rsidR="00580F82">
        <w:rPr>
          <w:i/>
          <w:iCs/>
        </w:rPr>
        <w:t>tus</w:t>
      </w:r>
      <w:proofErr w:type="spellEnd"/>
      <w:r w:rsidR="00580F82">
        <w:rPr>
          <w:i/>
          <w:iCs/>
        </w:rPr>
        <w:t xml:space="preserve"> </w:t>
      </w:r>
      <w:r w:rsidR="00580F82">
        <w:t>was that its subject content was all that was relevant to the realm of philosophy</w:t>
      </w:r>
      <w:r w:rsidR="00C71EA3">
        <w:t>, anything not addressed in this book could not</w:t>
      </w:r>
      <w:r w:rsidR="00A926B0">
        <w:t xml:space="preserve"> be</w:t>
      </w:r>
      <w:r w:rsidR="00C71EA3">
        <w:t xml:space="preserve"> reduced to logical </w:t>
      </w:r>
      <w:r w:rsidR="00136DF1">
        <w:t>propositions</w:t>
      </w:r>
      <w:r w:rsidR="00C71EA3">
        <w:t>, and therefore had no ground</w:t>
      </w:r>
      <w:r w:rsidR="00185946">
        <w:t>s</w:t>
      </w:r>
      <w:r w:rsidR="00C71EA3">
        <w:t xml:space="preserve"> being subjected to philosophical investigation. </w:t>
      </w:r>
      <w:r w:rsidR="00185946">
        <w:t xml:space="preserve">In this book, Wittgenstein </w:t>
      </w:r>
      <w:r w:rsidR="006A5395">
        <w:t xml:space="preserve">poses </w:t>
      </w:r>
      <w:r w:rsidR="00185946">
        <w:t xml:space="preserve">that </w:t>
      </w:r>
      <w:r w:rsidR="00FB2F43">
        <w:t xml:space="preserve">all language is composed of the same essence </w:t>
      </w:r>
      <w:r w:rsidR="00466084">
        <w:t>and its meaning is found through sense</w:t>
      </w:r>
      <w:r w:rsidR="005E73F7">
        <w:t xml:space="preserve"> provided by the world. </w:t>
      </w:r>
      <w:r w:rsidR="00A926B0">
        <w:t>That</w:t>
      </w:r>
      <w:r w:rsidR="002F05D1">
        <w:t xml:space="preserve"> </w:t>
      </w:r>
      <w:r w:rsidR="00C25352">
        <w:t xml:space="preserve">concepts have meaning that are perpetuated by their existence in the world, for example, </w:t>
      </w:r>
      <w:r w:rsidR="00D7263D">
        <w:t xml:space="preserve">when I say that </w:t>
      </w:r>
      <w:r w:rsidR="000870B3">
        <w:t>the grass is green</w:t>
      </w:r>
      <w:r w:rsidR="00D7263D">
        <w:t xml:space="preserve">. </w:t>
      </w:r>
      <w:r w:rsidR="00FE5628">
        <w:t xml:space="preserve">The </w:t>
      </w:r>
      <w:r w:rsidR="00A952FC">
        <w:t xml:space="preserve">meaning of grass and green </w:t>
      </w:r>
      <w:r w:rsidR="00F35C45">
        <w:t>as concepts have weight because these two things exist, grass is a natural plant and green is a colour</w:t>
      </w:r>
      <w:r w:rsidR="00402CEF">
        <w:t xml:space="preserve">. </w:t>
      </w:r>
      <w:r w:rsidR="00F35C45">
        <w:t xml:space="preserve">As both of these things </w:t>
      </w:r>
      <w:r w:rsidR="00664875">
        <w:t xml:space="preserve">exist in the world, they </w:t>
      </w:r>
      <w:r w:rsidR="008526D9">
        <w:t xml:space="preserve">create their meaning </w:t>
      </w:r>
      <w:r w:rsidR="006E72CB">
        <w:t xml:space="preserve">because </w:t>
      </w:r>
      <w:r w:rsidR="000645FB">
        <w:t xml:space="preserve">grass is grass and green is green. </w:t>
      </w:r>
      <w:r w:rsidR="00053BA1">
        <w:t xml:space="preserve">The </w:t>
      </w:r>
      <w:r w:rsidR="00446E74">
        <w:t>proposition</w:t>
      </w:r>
      <w:r w:rsidR="00053BA1">
        <w:t xml:space="preserve"> that grass is green </w:t>
      </w:r>
      <w:r w:rsidR="00446E74">
        <w:t xml:space="preserve">remains the same whether </w:t>
      </w:r>
      <w:r w:rsidR="0029609B">
        <w:t>written or stated verbally</w:t>
      </w:r>
      <w:r w:rsidR="00260FBB">
        <w:t xml:space="preserve"> </w:t>
      </w:r>
      <w:r w:rsidR="0044254A">
        <w:t>as the grass is green</w:t>
      </w:r>
      <w:r w:rsidR="005F143D">
        <w:t xml:space="preserve"> (English)</w:t>
      </w:r>
      <w:r w:rsidR="0044254A">
        <w:t>,</w:t>
      </w:r>
      <w:r w:rsidR="0029609B">
        <w:t xml:space="preserve"> </w:t>
      </w:r>
      <w:r w:rsidR="00382853">
        <w:t xml:space="preserve">Das Gras </w:t>
      </w:r>
      <w:proofErr w:type="spellStart"/>
      <w:proofErr w:type="gramStart"/>
      <w:r w:rsidR="00382853">
        <w:t>ist</w:t>
      </w:r>
      <w:proofErr w:type="spellEnd"/>
      <w:proofErr w:type="gramEnd"/>
      <w:r w:rsidR="00382853">
        <w:t xml:space="preserve"> </w:t>
      </w:r>
      <w:proofErr w:type="spellStart"/>
      <w:r w:rsidR="00382853">
        <w:t>gr</w:t>
      </w:r>
      <w:r w:rsidR="00382853">
        <w:rPr>
          <w:rFonts w:cstheme="minorHAnsi"/>
        </w:rPr>
        <w:t>ün</w:t>
      </w:r>
      <w:proofErr w:type="spellEnd"/>
      <w:r w:rsidR="00382853">
        <w:rPr>
          <w:rFonts w:cstheme="minorHAnsi"/>
        </w:rPr>
        <w:t xml:space="preserve"> (German)</w:t>
      </w:r>
      <w:r w:rsidR="0029609B">
        <w:rPr>
          <w:rFonts w:cstheme="minorHAnsi"/>
        </w:rPr>
        <w:t xml:space="preserve">, </w:t>
      </w:r>
      <w:proofErr w:type="spellStart"/>
      <w:r w:rsidR="00CB5F56">
        <w:rPr>
          <w:rFonts w:cstheme="minorHAnsi"/>
        </w:rPr>
        <w:t>mae’r</w:t>
      </w:r>
      <w:proofErr w:type="spellEnd"/>
      <w:r w:rsidR="00CB5F56">
        <w:rPr>
          <w:rFonts w:cstheme="minorHAnsi"/>
        </w:rPr>
        <w:t xml:space="preserve"> </w:t>
      </w:r>
      <w:proofErr w:type="spellStart"/>
      <w:r w:rsidR="00CB5F56">
        <w:rPr>
          <w:rFonts w:cstheme="minorHAnsi"/>
        </w:rPr>
        <w:t>glas</w:t>
      </w:r>
      <w:r w:rsidR="00F47CA2">
        <w:rPr>
          <w:rFonts w:cstheme="minorHAnsi"/>
        </w:rPr>
        <w:t>wellt</w:t>
      </w:r>
      <w:proofErr w:type="spellEnd"/>
      <w:r w:rsidR="00F47CA2">
        <w:rPr>
          <w:rFonts w:cstheme="minorHAnsi"/>
        </w:rPr>
        <w:t xml:space="preserve"> </w:t>
      </w:r>
      <w:proofErr w:type="spellStart"/>
      <w:r w:rsidR="00F47CA2">
        <w:rPr>
          <w:rFonts w:cstheme="minorHAnsi"/>
        </w:rPr>
        <w:t>yn</w:t>
      </w:r>
      <w:proofErr w:type="spellEnd"/>
      <w:r w:rsidR="00F47CA2">
        <w:rPr>
          <w:rFonts w:cstheme="minorHAnsi"/>
        </w:rPr>
        <w:t xml:space="preserve"> </w:t>
      </w:r>
      <w:proofErr w:type="spellStart"/>
      <w:r w:rsidR="00F47CA2">
        <w:rPr>
          <w:rFonts w:cstheme="minorHAnsi"/>
        </w:rPr>
        <w:t>wyrdd</w:t>
      </w:r>
      <w:proofErr w:type="spellEnd"/>
      <w:r w:rsidR="00F47CA2">
        <w:rPr>
          <w:rFonts w:cstheme="minorHAnsi"/>
        </w:rPr>
        <w:t xml:space="preserve"> (</w:t>
      </w:r>
      <w:commentRangeStart w:id="1"/>
      <w:r w:rsidR="00F47CA2">
        <w:rPr>
          <w:rFonts w:cstheme="minorHAnsi"/>
        </w:rPr>
        <w:t>Welsh</w:t>
      </w:r>
      <w:commentRangeEnd w:id="1"/>
      <w:r w:rsidR="000D6E00">
        <w:rPr>
          <w:rStyle w:val="CommentReference"/>
        </w:rPr>
        <w:commentReference w:id="1"/>
      </w:r>
      <w:r w:rsidR="00F47CA2">
        <w:rPr>
          <w:rFonts w:cstheme="minorHAnsi"/>
        </w:rPr>
        <w:t>)</w:t>
      </w:r>
      <w:r w:rsidR="00382853">
        <w:rPr>
          <w:rFonts w:cstheme="minorHAnsi"/>
        </w:rPr>
        <w:t xml:space="preserve"> or even non-verbally in sign-language</w:t>
      </w:r>
      <w:r w:rsidR="00260FBB">
        <w:rPr>
          <w:rFonts w:cstheme="minorHAnsi"/>
        </w:rPr>
        <w:t xml:space="preserve">. </w:t>
      </w:r>
      <w:r w:rsidR="00E84B58">
        <w:rPr>
          <w:rFonts w:cstheme="minorHAnsi"/>
        </w:rPr>
        <w:t>Providing tha</w:t>
      </w:r>
      <w:r w:rsidR="005F143D">
        <w:rPr>
          <w:rFonts w:cstheme="minorHAnsi"/>
        </w:rPr>
        <w:t xml:space="preserve">t, in the respective languages </w:t>
      </w:r>
      <w:r w:rsidR="00D855F8">
        <w:rPr>
          <w:rFonts w:cstheme="minorHAnsi"/>
        </w:rPr>
        <w:t>grass means</w:t>
      </w:r>
      <w:r w:rsidR="009F5CD1">
        <w:rPr>
          <w:rFonts w:cstheme="minorHAnsi"/>
        </w:rPr>
        <w:t xml:space="preserve"> grass</w:t>
      </w:r>
      <w:r w:rsidR="00D855F8">
        <w:rPr>
          <w:rFonts w:cstheme="minorHAnsi"/>
        </w:rPr>
        <w:t xml:space="preserve"> and green means green. </w:t>
      </w:r>
      <w:r w:rsidR="00797197">
        <w:rPr>
          <w:rFonts w:cstheme="minorHAnsi"/>
        </w:rPr>
        <w:t xml:space="preserve">Early </w:t>
      </w:r>
      <w:r w:rsidR="00D855F8">
        <w:rPr>
          <w:rFonts w:cstheme="minorHAnsi"/>
        </w:rPr>
        <w:t>Wittgenstein holds that this universal concept of language holds true, b</w:t>
      </w:r>
      <w:r w:rsidR="00293F91">
        <w:rPr>
          <w:rFonts w:cstheme="minorHAnsi"/>
        </w:rPr>
        <w:t>ecause of what he describes as elementary propositions</w:t>
      </w:r>
      <w:r w:rsidR="00B15BE6">
        <w:rPr>
          <w:rFonts w:cstheme="minorHAnsi"/>
        </w:rPr>
        <w:t>. Elementary propositions</w:t>
      </w:r>
      <w:r w:rsidR="00DC32F5">
        <w:rPr>
          <w:rFonts w:cstheme="minorHAnsi"/>
        </w:rPr>
        <w:t xml:space="preserve"> are</w:t>
      </w:r>
      <w:r w:rsidR="00B15BE6">
        <w:rPr>
          <w:rFonts w:cstheme="minorHAnsi"/>
        </w:rPr>
        <w:t xml:space="preserve"> logical constructs</w:t>
      </w:r>
      <w:r w:rsidR="008E6287">
        <w:rPr>
          <w:rFonts w:cstheme="minorHAnsi"/>
        </w:rPr>
        <w:t xml:space="preserve"> that are derived from simple names</w:t>
      </w:r>
      <w:r w:rsidR="00D83D18">
        <w:rPr>
          <w:rFonts w:cstheme="minorHAnsi"/>
        </w:rPr>
        <w:t xml:space="preserve">, and then </w:t>
      </w:r>
      <w:r w:rsidR="008E6287">
        <w:rPr>
          <w:rFonts w:cstheme="minorHAnsi"/>
        </w:rPr>
        <w:t>we further derive</w:t>
      </w:r>
      <w:r w:rsidR="00D83D18">
        <w:rPr>
          <w:rFonts w:cstheme="minorHAnsi"/>
        </w:rPr>
        <w:t xml:space="preserve"> non-elementary propositions (</w:t>
      </w:r>
      <w:r w:rsidR="008E6287">
        <w:rPr>
          <w:rFonts w:cstheme="minorHAnsi"/>
        </w:rPr>
        <w:t>more commonly what we think of as language</w:t>
      </w:r>
      <w:r w:rsidR="0006784E">
        <w:rPr>
          <w:rFonts w:cstheme="minorHAnsi"/>
        </w:rPr>
        <w:t>)</w:t>
      </w:r>
      <w:r w:rsidR="005A0112">
        <w:rPr>
          <w:rFonts w:cstheme="minorHAnsi"/>
        </w:rPr>
        <w:t xml:space="preserve"> from these elementary propositions</w:t>
      </w:r>
      <w:r w:rsidR="0006784E">
        <w:rPr>
          <w:rFonts w:cstheme="minorHAnsi"/>
        </w:rPr>
        <w:t xml:space="preserve">. </w:t>
      </w:r>
      <w:r w:rsidR="000D06F8">
        <w:rPr>
          <w:rFonts w:cstheme="minorHAnsi"/>
        </w:rPr>
        <w:t xml:space="preserve">As an </w:t>
      </w:r>
      <w:r w:rsidR="006F41DB">
        <w:rPr>
          <w:rFonts w:cstheme="minorHAnsi"/>
        </w:rPr>
        <w:t xml:space="preserve">example of this, the </w:t>
      </w:r>
      <w:r w:rsidR="00EB021C">
        <w:rPr>
          <w:rFonts w:cstheme="minorHAnsi"/>
        </w:rPr>
        <w:t>“</w:t>
      </w:r>
      <w:r w:rsidR="006F41DB">
        <w:rPr>
          <w:rFonts w:cstheme="minorHAnsi"/>
        </w:rPr>
        <w:t>statement</w:t>
      </w:r>
      <w:r w:rsidR="00EB021C">
        <w:rPr>
          <w:rFonts w:cstheme="minorHAnsi"/>
        </w:rPr>
        <w:t>”</w:t>
      </w:r>
      <w:r w:rsidR="006F41DB">
        <w:rPr>
          <w:rFonts w:cstheme="minorHAnsi"/>
        </w:rPr>
        <w:t xml:space="preserve"> that the grass is green (and </w:t>
      </w:r>
      <w:r w:rsidR="009F6DC5">
        <w:rPr>
          <w:rFonts w:cstheme="minorHAnsi"/>
        </w:rPr>
        <w:t>any</w:t>
      </w:r>
      <w:r w:rsidR="008E768B">
        <w:rPr>
          <w:rFonts w:cstheme="minorHAnsi"/>
        </w:rPr>
        <w:t xml:space="preserve"> other </w:t>
      </w:r>
      <w:r w:rsidR="00921D51">
        <w:rPr>
          <w:rFonts w:cstheme="minorHAnsi"/>
        </w:rPr>
        <w:t>ways to express</w:t>
      </w:r>
      <w:r w:rsidR="008410DF">
        <w:rPr>
          <w:rFonts w:cstheme="minorHAnsi"/>
        </w:rPr>
        <w:t xml:space="preserve"> this</w:t>
      </w:r>
      <w:r w:rsidR="003D42CE">
        <w:rPr>
          <w:rFonts w:cstheme="minorHAnsi"/>
        </w:rPr>
        <w:t>) are example of non-elementary propositions.</w:t>
      </w:r>
      <w:r w:rsidR="008410DF">
        <w:rPr>
          <w:rFonts w:cstheme="minorHAnsi"/>
        </w:rPr>
        <w:t xml:space="preserve"> </w:t>
      </w:r>
      <w:r w:rsidR="00E5581C">
        <w:rPr>
          <w:rFonts w:cstheme="minorHAnsi"/>
        </w:rPr>
        <w:t>It is easy to explicate examples</w:t>
      </w:r>
      <w:r w:rsidR="00CA7777">
        <w:rPr>
          <w:rFonts w:cstheme="minorHAnsi"/>
        </w:rPr>
        <w:t xml:space="preserve"> of</w:t>
      </w:r>
      <w:r w:rsidR="00E5581C">
        <w:rPr>
          <w:rFonts w:cstheme="minorHAnsi"/>
        </w:rPr>
        <w:t xml:space="preserve"> </w:t>
      </w:r>
      <w:r w:rsidR="009E4C14">
        <w:rPr>
          <w:rFonts w:cstheme="minorHAnsi"/>
        </w:rPr>
        <w:t xml:space="preserve">non-elementary </w:t>
      </w:r>
      <w:r w:rsidR="00897653">
        <w:rPr>
          <w:rFonts w:cstheme="minorHAnsi"/>
        </w:rPr>
        <w:t>propositions;</w:t>
      </w:r>
      <w:r w:rsidR="009E4C14">
        <w:rPr>
          <w:rFonts w:cstheme="minorHAnsi"/>
        </w:rPr>
        <w:t xml:space="preserve"> </w:t>
      </w:r>
      <w:r w:rsidR="00897653">
        <w:rPr>
          <w:rFonts w:cstheme="minorHAnsi"/>
        </w:rPr>
        <w:t>however,</w:t>
      </w:r>
      <w:r w:rsidR="00CA7777">
        <w:rPr>
          <w:rFonts w:cstheme="minorHAnsi"/>
        </w:rPr>
        <w:t xml:space="preserve"> this ease is not extended to elementary propositions. Indeed, Wittgenstein himself, does not ever provide</w:t>
      </w:r>
      <w:r w:rsidR="007176E3">
        <w:rPr>
          <w:rFonts w:cstheme="minorHAnsi"/>
        </w:rPr>
        <w:t>, nor is it even possible for one to provide</w:t>
      </w:r>
      <w:r w:rsidR="00CA7777">
        <w:rPr>
          <w:rFonts w:cstheme="minorHAnsi"/>
        </w:rPr>
        <w:t xml:space="preserve"> an </w:t>
      </w:r>
      <w:r w:rsidR="007176E3">
        <w:rPr>
          <w:rFonts w:cstheme="minorHAnsi"/>
        </w:rPr>
        <w:t xml:space="preserve">example of </w:t>
      </w:r>
      <w:r w:rsidR="00897653">
        <w:rPr>
          <w:rFonts w:cstheme="minorHAnsi"/>
        </w:rPr>
        <w:t xml:space="preserve">elementary propositions. It is not possible because elementary propositions </w:t>
      </w:r>
      <w:r w:rsidR="004C6153">
        <w:rPr>
          <w:rFonts w:cstheme="minorHAnsi"/>
        </w:rPr>
        <w:t>when formulated through language (verbal and non-verbal) rel</w:t>
      </w:r>
      <w:r w:rsidR="004A79BA">
        <w:rPr>
          <w:rFonts w:cstheme="minorHAnsi"/>
        </w:rPr>
        <w:t xml:space="preserve">y on their inherent </w:t>
      </w:r>
      <w:r w:rsidR="004A79BA">
        <w:rPr>
          <w:rFonts w:cstheme="minorHAnsi"/>
        </w:rPr>
        <w:lastRenderedPageBreak/>
        <w:t>meaning and become non-elementary propositions.</w:t>
      </w:r>
      <w:r w:rsidR="005B23FC">
        <w:rPr>
          <w:rFonts w:cstheme="minorHAnsi"/>
        </w:rPr>
        <w:t xml:space="preserve"> </w:t>
      </w:r>
      <w:r w:rsidR="00155BB7">
        <w:rPr>
          <w:rFonts w:cstheme="minorHAnsi"/>
        </w:rPr>
        <w:t xml:space="preserve">Elementary propositions are the </w:t>
      </w:r>
      <w:r w:rsidR="00155D15">
        <w:rPr>
          <w:rFonts w:cstheme="minorHAnsi"/>
        </w:rPr>
        <w:t xml:space="preserve">logical constructs that from which non-elementary propositions </w:t>
      </w:r>
      <w:r w:rsidR="007A084C">
        <w:rPr>
          <w:rFonts w:cstheme="minorHAnsi"/>
        </w:rPr>
        <w:t>can be derived in their various representations (English, German, Welsh, Sign)</w:t>
      </w:r>
      <w:r w:rsidR="00230D8B">
        <w:rPr>
          <w:rFonts w:cstheme="minorHAnsi"/>
        </w:rPr>
        <w:t xml:space="preserve">. Without context the “statement” Das Gras </w:t>
      </w:r>
      <w:proofErr w:type="spellStart"/>
      <w:r w:rsidR="00230D8B">
        <w:rPr>
          <w:rFonts w:cstheme="minorHAnsi"/>
        </w:rPr>
        <w:t>ist</w:t>
      </w:r>
      <w:proofErr w:type="spellEnd"/>
      <w:r w:rsidR="00230D8B">
        <w:rPr>
          <w:rFonts w:cstheme="minorHAnsi"/>
        </w:rPr>
        <w:t xml:space="preserve"> </w:t>
      </w:r>
      <w:proofErr w:type="spellStart"/>
      <w:r w:rsidR="00230D8B">
        <w:rPr>
          <w:rFonts w:cstheme="minorHAnsi"/>
        </w:rPr>
        <w:t>gr</w:t>
      </w:r>
      <w:r w:rsidR="00DE76B3">
        <w:rPr>
          <w:rFonts w:cstheme="minorHAnsi"/>
        </w:rPr>
        <w:t>ün</w:t>
      </w:r>
      <w:proofErr w:type="spellEnd"/>
      <w:r w:rsidR="00DE76B3">
        <w:rPr>
          <w:rFonts w:cstheme="minorHAnsi"/>
        </w:rPr>
        <w:t xml:space="preserve"> is merely a propositional sign</w:t>
      </w:r>
      <w:r w:rsidR="00203DDF">
        <w:rPr>
          <w:rStyle w:val="FootnoteReference"/>
          <w:rFonts w:cstheme="minorHAnsi"/>
        </w:rPr>
        <w:footnoteReference w:id="6"/>
      </w:r>
      <w:r w:rsidR="00DE76B3">
        <w:rPr>
          <w:rFonts w:cstheme="minorHAnsi"/>
        </w:rPr>
        <w:t xml:space="preserve"> but when added to the sense given by the world </w:t>
      </w:r>
      <w:r w:rsidR="00646B08">
        <w:rPr>
          <w:rFonts w:cstheme="minorHAnsi"/>
        </w:rPr>
        <w:t>it becomes a fully-fledged proposition with meaning and truth value</w:t>
      </w:r>
      <w:r w:rsidR="00203DDF">
        <w:rPr>
          <w:rFonts w:cstheme="minorHAnsi"/>
        </w:rPr>
        <w:t xml:space="preserve">. </w:t>
      </w:r>
      <w:r w:rsidR="002B3CCC">
        <w:rPr>
          <w:rFonts w:cstheme="minorHAnsi"/>
        </w:rPr>
        <w:t>Therefore, if the meaning of language is found through the determinate sense provided by the world</w:t>
      </w:r>
      <w:r w:rsidR="00827B8C">
        <w:rPr>
          <w:rFonts w:cstheme="minorHAnsi"/>
        </w:rPr>
        <w:t>, the meaning of words can be extrapolated from their place in the propositions they inhabit and thus, derive their meaning from the same determinate sense of the world.</w:t>
      </w:r>
      <w:r w:rsidR="003B1694">
        <w:rPr>
          <w:rFonts w:cstheme="minorHAnsi"/>
        </w:rPr>
        <w:t xml:space="preserve"> For example, </w:t>
      </w:r>
      <w:r w:rsidR="00B56AFF">
        <w:rPr>
          <w:rFonts w:cstheme="minorHAnsi"/>
        </w:rPr>
        <w:t>grass</w:t>
      </w:r>
      <w:r w:rsidR="00851A10">
        <w:rPr>
          <w:rFonts w:cstheme="minorHAnsi"/>
        </w:rPr>
        <w:t xml:space="preserve"> gets its meaning from propositions </w:t>
      </w:r>
      <w:r w:rsidR="007F7E5C">
        <w:rPr>
          <w:rFonts w:cstheme="minorHAnsi"/>
        </w:rPr>
        <w:t xml:space="preserve">it inhabits </w:t>
      </w:r>
      <w:r w:rsidR="00851A10">
        <w:rPr>
          <w:rFonts w:cstheme="minorHAnsi"/>
        </w:rPr>
        <w:t>such as the grass is green and the sense that gives that proposition meaning</w:t>
      </w:r>
      <w:r w:rsidR="00F65D01">
        <w:rPr>
          <w:rFonts w:cstheme="minorHAnsi"/>
        </w:rPr>
        <w:t>. This meaning does not depend on any use of language to fu</w:t>
      </w:r>
      <w:r w:rsidR="00B940B1">
        <w:rPr>
          <w:rFonts w:cstheme="minorHAnsi"/>
        </w:rPr>
        <w:t xml:space="preserve">lfil itself and as such it is clear to see how Wittgenstein’s earlier work attempts to give a </w:t>
      </w:r>
      <w:r w:rsidR="00856B5C">
        <w:rPr>
          <w:rFonts w:cstheme="minorHAnsi"/>
        </w:rPr>
        <w:t>persuasive</w:t>
      </w:r>
      <w:r w:rsidR="00B940B1">
        <w:rPr>
          <w:rFonts w:cstheme="minorHAnsi"/>
        </w:rPr>
        <w:t xml:space="preserve"> argument in contrast to the idea that a </w:t>
      </w:r>
      <w:r w:rsidR="00856B5C">
        <w:rPr>
          <w:rFonts w:cstheme="minorHAnsi"/>
        </w:rPr>
        <w:t>word’s meaning comes from its use.</w:t>
      </w:r>
      <w:r w:rsidR="00F65D01">
        <w:rPr>
          <w:rFonts w:cstheme="minorHAnsi"/>
        </w:rPr>
        <w:t xml:space="preserve"> </w:t>
      </w:r>
      <w:r w:rsidR="00856B5C">
        <w:rPr>
          <w:rFonts w:cstheme="minorHAnsi"/>
        </w:rPr>
        <w:t xml:space="preserve">There have been various discussions that </w:t>
      </w:r>
      <w:r w:rsidR="00A122DF">
        <w:rPr>
          <w:rFonts w:cstheme="minorHAnsi"/>
        </w:rPr>
        <w:t>present issues for this position</w:t>
      </w:r>
      <w:r w:rsidR="008003DB">
        <w:rPr>
          <w:rFonts w:cstheme="minorHAnsi"/>
        </w:rPr>
        <w:t xml:space="preserve"> but next I will instead present Wittgenstein’s own counterargument</w:t>
      </w:r>
      <w:r w:rsidR="004D56AE">
        <w:rPr>
          <w:rFonts w:cstheme="minorHAnsi"/>
        </w:rPr>
        <w:t xml:space="preserve"> in order to show how the meaning of a word is in fact derived from its </w:t>
      </w:r>
      <w:commentRangeStart w:id="2"/>
      <w:r w:rsidR="004D56AE">
        <w:rPr>
          <w:rFonts w:cstheme="minorHAnsi"/>
        </w:rPr>
        <w:t>use</w:t>
      </w:r>
      <w:commentRangeEnd w:id="2"/>
      <w:r w:rsidR="000D6E00">
        <w:rPr>
          <w:rStyle w:val="CommentReference"/>
        </w:rPr>
        <w:commentReference w:id="2"/>
      </w:r>
      <w:r w:rsidR="004D56AE">
        <w:rPr>
          <w:rFonts w:cstheme="minorHAnsi"/>
        </w:rPr>
        <w:t>.</w:t>
      </w:r>
    </w:p>
    <w:p w14:paraId="684AEE78" w14:textId="77777777" w:rsidR="005B4CD0" w:rsidRDefault="00077008" w:rsidP="00055167">
      <w:pPr>
        <w:ind w:firstLine="720"/>
      </w:pPr>
      <w:r>
        <w:t>After</w:t>
      </w:r>
      <w:r w:rsidR="008C0F16">
        <w:t xml:space="preserve"> finishing the writing of</w:t>
      </w:r>
      <w:r>
        <w:t xml:space="preserve"> the </w:t>
      </w:r>
      <w:proofErr w:type="spellStart"/>
      <w:r>
        <w:rPr>
          <w:i/>
          <w:iCs/>
        </w:rPr>
        <w:t>Tractatus</w:t>
      </w:r>
      <w:proofErr w:type="spellEnd"/>
      <w:r w:rsidR="008C0F16">
        <w:rPr>
          <w:i/>
          <w:iCs/>
        </w:rPr>
        <w:t xml:space="preserve">, </w:t>
      </w:r>
      <w:r w:rsidR="007D0520">
        <w:t>Wittgenstein retired from philosophy and took on other</w:t>
      </w:r>
      <w:r w:rsidR="00C5472C">
        <w:t xml:space="preserve"> </w:t>
      </w:r>
      <w:r w:rsidR="008C0F16">
        <w:t>pursuits</w:t>
      </w:r>
      <w:r w:rsidR="00C5472C">
        <w:t xml:space="preserve">. </w:t>
      </w:r>
      <w:r w:rsidR="00144587">
        <w:t xml:space="preserve">By 1929, he had become disillusioned with his writings in the </w:t>
      </w:r>
      <w:proofErr w:type="spellStart"/>
      <w:r w:rsidR="00144587">
        <w:rPr>
          <w:i/>
          <w:iCs/>
        </w:rPr>
        <w:t>Tractatus</w:t>
      </w:r>
      <w:proofErr w:type="spellEnd"/>
      <w:r w:rsidR="00144587">
        <w:rPr>
          <w:i/>
          <w:iCs/>
        </w:rPr>
        <w:t xml:space="preserve"> </w:t>
      </w:r>
      <w:r w:rsidR="00154E6B">
        <w:t>and</w:t>
      </w:r>
      <w:r w:rsidR="00EA1565">
        <w:t xml:space="preserve"> returned to philosophy</w:t>
      </w:r>
      <w:r w:rsidR="00757529">
        <w:t xml:space="preserve"> again, with his position now </w:t>
      </w:r>
      <w:r w:rsidR="00EA1565">
        <w:t xml:space="preserve">in opposition </w:t>
      </w:r>
      <w:r w:rsidR="00757529">
        <w:t xml:space="preserve">of that set out in the </w:t>
      </w:r>
      <w:proofErr w:type="spellStart"/>
      <w:r w:rsidR="00757529">
        <w:rPr>
          <w:i/>
          <w:iCs/>
        </w:rPr>
        <w:t>Tractatus</w:t>
      </w:r>
      <w:proofErr w:type="spellEnd"/>
      <w:r w:rsidR="00C51B98">
        <w:rPr>
          <w:i/>
          <w:iCs/>
        </w:rPr>
        <w:t xml:space="preserve">. </w:t>
      </w:r>
      <w:r w:rsidR="00C51B98">
        <w:rPr>
          <w:rStyle w:val="FootnoteReference"/>
        </w:rPr>
        <w:footnoteReference w:id="7"/>
      </w:r>
      <w:r w:rsidR="00C51B98">
        <w:rPr>
          <w:i/>
          <w:iCs/>
        </w:rPr>
        <w:t xml:space="preserve"> </w:t>
      </w:r>
      <w:r w:rsidR="00480121">
        <w:t xml:space="preserve">In </w:t>
      </w:r>
      <w:r w:rsidR="002901FA">
        <w:t xml:space="preserve">writing </w:t>
      </w:r>
      <w:r w:rsidR="002901FA">
        <w:rPr>
          <w:i/>
          <w:iCs/>
        </w:rPr>
        <w:t xml:space="preserve">Philosophical Investigations </w:t>
      </w:r>
      <w:r w:rsidR="00480121">
        <w:t xml:space="preserve">Wittgenstein proposes that the meaning of </w:t>
      </w:r>
      <w:r w:rsidR="00BA6E4F">
        <w:t xml:space="preserve">language </w:t>
      </w:r>
      <w:r w:rsidR="00677050">
        <w:t xml:space="preserve">is found in its use. </w:t>
      </w:r>
      <w:r w:rsidR="00BA6E4F">
        <w:t xml:space="preserve">Unlike in the </w:t>
      </w:r>
      <w:proofErr w:type="spellStart"/>
      <w:r w:rsidR="00BA6E4F">
        <w:rPr>
          <w:i/>
          <w:iCs/>
        </w:rPr>
        <w:t>Tractatus</w:t>
      </w:r>
      <w:proofErr w:type="spellEnd"/>
      <w:r w:rsidR="00BA6E4F">
        <w:t xml:space="preserve">, where </w:t>
      </w:r>
      <w:r w:rsidR="0037010A">
        <w:t xml:space="preserve">the meaning of language could be reduced to one shared essence, </w:t>
      </w:r>
      <w:r w:rsidR="0053281B">
        <w:t xml:space="preserve">language exists in how it is used. </w:t>
      </w:r>
      <w:r w:rsidR="009B1D51">
        <w:t xml:space="preserve">An example of this is given early </w:t>
      </w:r>
      <w:r w:rsidR="00EA2F00">
        <w:t xml:space="preserve">on by Wittgenstein in his description of builders working together </w:t>
      </w:r>
      <w:r w:rsidR="00CB206E">
        <w:t>in their job</w:t>
      </w:r>
      <w:r w:rsidR="005B4CD0">
        <w:t>:</w:t>
      </w:r>
    </w:p>
    <w:p w14:paraId="6226EA3A" w14:textId="757A4515" w:rsidR="006F035B" w:rsidRPr="00AA436E" w:rsidRDefault="00CB206E" w:rsidP="005B4CD0">
      <w:pPr>
        <w:pStyle w:val="Quote"/>
        <w:rPr>
          <w:i w:val="0"/>
          <w:iCs w:val="0"/>
        </w:rPr>
      </w:pPr>
      <w:r w:rsidRPr="00AA436E">
        <w:rPr>
          <w:i w:val="0"/>
          <w:iCs w:val="0"/>
        </w:rPr>
        <w:t xml:space="preserve"> </w:t>
      </w:r>
      <w:r w:rsidR="00D91397" w:rsidRPr="00AA436E">
        <w:rPr>
          <w:i w:val="0"/>
          <w:iCs w:val="0"/>
        </w:rPr>
        <w:t>‘</w:t>
      </w:r>
      <w:r w:rsidR="00275F01" w:rsidRPr="00AA436E">
        <w:rPr>
          <w:i w:val="0"/>
          <w:iCs w:val="0"/>
        </w:rPr>
        <w:t xml:space="preserve">A is building with building stones: there are blocks, pillars, slabs and beams. B has to pass the stones, and that in the order in which A needs them. For this purpose they use a language consisting of the words </w:t>
      </w:r>
      <w:r w:rsidR="00D73074" w:rsidRPr="00AA436E">
        <w:rPr>
          <w:i w:val="0"/>
          <w:iCs w:val="0"/>
        </w:rPr>
        <w:t xml:space="preserve">“block”, “pillar”, “slab”, “beam”. A calls them out; B brings the stone </w:t>
      </w:r>
      <w:r w:rsidR="00067454" w:rsidRPr="00AA436E">
        <w:rPr>
          <w:i w:val="0"/>
          <w:iCs w:val="0"/>
        </w:rPr>
        <w:t>which he has learnt to bring at such-</w:t>
      </w:r>
      <w:r w:rsidR="00353C0C">
        <w:rPr>
          <w:i w:val="0"/>
          <w:iCs w:val="0"/>
        </w:rPr>
        <w:t xml:space="preserve"> </w:t>
      </w:r>
      <w:r w:rsidR="00067454" w:rsidRPr="00AA436E">
        <w:rPr>
          <w:i w:val="0"/>
          <w:iCs w:val="0"/>
        </w:rPr>
        <w:t>and-such a call. – conceive this a primitive language</w:t>
      </w:r>
      <w:r w:rsidR="00857A31" w:rsidRPr="00AA436E">
        <w:rPr>
          <w:i w:val="0"/>
          <w:iCs w:val="0"/>
        </w:rPr>
        <w:t>.’</w:t>
      </w:r>
      <w:r w:rsidR="00857A31" w:rsidRPr="00AA436E">
        <w:rPr>
          <w:rStyle w:val="FootnoteReference"/>
          <w:i w:val="0"/>
          <w:iCs w:val="0"/>
        </w:rPr>
        <w:footnoteReference w:id="8"/>
      </w:r>
    </w:p>
    <w:p w14:paraId="3F2E0D7D" w14:textId="372D3CF0" w:rsidR="00251A27" w:rsidRPr="00C90A7C" w:rsidRDefault="003F0BE3" w:rsidP="00055167">
      <w:pPr>
        <w:ind w:firstLine="720"/>
      </w:pPr>
      <w:r>
        <w:t xml:space="preserve">It is clear to see from </w:t>
      </w:r>
      <w:r w:rsidR="00A873D8">
        <w:t xml:space="preserve">this quote that Wittgenstein finding meaning of the language through its use. </w:t>
      </w:r>
      <w:r w:rsidR="008D296D">
        <w:t>In the example, Wittgenstein shows how the meaning of the words</w:t>
      </w:r>
      <w:r w:rsidR="008F6663">
        <w:t>,</w:t>
      </w:r>
      <w:r w:rsidR="008D296D">
        <w:t xml:space="preserve"> </w:t>
      </w:r>
      <w:r w:rsidR="001D66E7">
        <w:t xml:space="preserve">“block”, “pillar”, “slab” and “beam” within the primitive language in the example is the way </w:t>
      </w:r>
      <w:r w:rsidR="00B35AC5">
        <w:t xml:space="preserve">they are used by the builders. If A calls out “beam” and B brings “slab” then B has not grasped the meaning of the </w:t>
      </w:r>
      <w:r w:rsidR="00BC7350">
        <w:t xml:space="preserve">word “beam” in the conversation. </w:t>
      </w:r>
      <w:r w:rsidR="00251A27">
        <w:t xml:space="preserve">Contrary to the what is argued in the </w:t>
      </w:r>
      <w:proofErr w:type="spellStart"/>
      <w:r w:rsidR="00251A27">
        <w:rPr>
          <w:i/>
          <w:iCs/>
        </w:rPr>
        <w:t>Tractatus</w:t>
      </w:r>
      <w:proofErr w:type="spellEnd"/>
      <w:r w:rsidR="00251A27">
        <w:rPr>
          <w:i/>
          <w:iCs/>
        </w:rPr>
        <w:t xml:space="preserve">, </w:t>
      </w:r>
      <w:r w:rsidR="00251A27">
        <w:t>Wittgenstein’s analysis of the language no longer rests in a determinate sense provided by the world, but instead focuses o</w:t>
      </w:r>
      <w:r w:rsidR="00693F99">
        <w:t>n</w:t>
      </w:r>
      <w:r w:rsidR="00251A27">
        <w:t xml:space="preserve"> the multiplicity of uses</w:t>
      </w:r>
      <w:r w:rsidR="00693F99">
        <w:t xml:space="preserve"> in that language has.</w:t>
      </w:r>
      <w:r w:rsidR="00C90A7C">
        <w:t xml:space="preserve"> A running motif that Wittgenstein draws on and persistently uses throughout </w:t>
      </w:r>
      <w:r w:rsidR="00C90A7C">
        <w:rPr>
          <w:i/>
          <w:iCs/>
        </w:rPr>
        <w:t xml:space="preserve">Philosophical Investigations </w:t>
      </w:r>
      <w:r w:rsidR="00C90A7C">
        <w:t xml:space="preserve">is a call for the reader not to think so hard about the meaning of the language, but rather to observe </w:t>
      </w:r>
      <w:r w:rsidR="00D30A1A">
        <w:t>how and why language is used in many situations.</w:t>
      </w:r>
      <w:r w:rsidR="00C07A88">
        <w:rPr>
          <w:rStyle w:val="FootnoteReference"/>
        </w:rPr>
        <w:footnoteReference w:id="9"/>
      </w:r>
    </w:p>
    <w:p w14:paraId="70625DA3" w14:textId="522CDF21" w:rsidR="007D3A4A" w:rsidRDefault="00BC7350" w:rsidP="007D3A4A">
      <w:pPr>
        <w:rPr>
          <w:b/>
          <w:bCs/>
        </w:rPr>
      </w:pPr>
      <w:r>
        <w:t>Wittgenstein expands on th</w:t>
      </w:r>
      <w:r w:rsidR="008F546B">
        <w:t xml:space="preserve">e </w:t>
      </w:r>
      <w:r w:rsidR="0003177B">
        <w:t xml:space="preserve">example of the builders communication </w:t>
      </w:r>
      <w:r>
        <w:t xml:space="preserve">and proposes that all language can be viewed under the same conditions, </w:t>
      </w:r>
      <w:r w:rsidR="0010755B">
        <w:t>through what he coins as language-games ‘I shall also call the whole,</w:t>
      </w:r>
      <w:r w:rsidR="00CC35F0">
        <w:t xml:space="preserve"> consisting of language and the actions into which it is woven, a “language-game”</w:t>
      </w:r>
      <w:r w:rsidR="00512C5D">
        <w:t>.’</w:t>
      </w:r>
      <w:r w:rsidR="00512C5D">
        <w:rPr>
          <w:rStyle w:val="FootnoteReference"/>
        </w:rPr>
        <w:footnoteReference w:id="10"/>
      </w:r>
      <w:r w:rsidR="00710A7B">
        <w:t xml:space="preserve"> </w:t>
      </w:r>
      <w:r w:rsidR="002273ED">
        <w:t>Language-games</w:t>
      </w:r>
      <w:r w:rsidR="0003177B">
        <w:t xml:space="preserve"> </w:t>
      </w:r>
      <w:r w:rsidR="00040B26">
        <w:t xml:space="preserve">refer to and categorize language as being an activity that we partake in to </w:t>
      </w:r>
      <w:r w:rsidR="00FD72B5">
        <w:t>fulfil a method o</w:t>
      </w:r>
      <w:r w:rsidR="00000FA1">
        <w:t>f</w:t>
      </w:r>
      <w:r w:rsidR="00FD72B5">
        <w:t xml:space="preserve"> communication. </w:t>
      </w:r>
      <w:r w:rsidR="00F013D5">
        <w:t xml:space="preserve">Language-games is also a </w:t>
      </w:r>
      <w:r w:rsidR="00293F07">
        <w:t>deft description as it</w:t>
      </w:r>
      <w:r w:rsidR="00AA658E">
        <w:t xml:space="preserve"> playfully elucidates the </w:t>
      </w:r>
      <w:r w:rsidR="00AA658E">
        <w:lastRenderedPageBreak/>
        <w:t xml:space="preserve">multitude of uses of language, </w:t>
      </w:r>
      <w:r w:rsidR="00616DD5">
        <w:t>similarly</w:t>
      </w:r>
      <w:r w:rsidR="00AA658E">
        <w:t xml:space="preserve"> to the multitude of similar but different games. T</w:t>
      </w:r>
      <w:r w:rsidR="00616DD5">
        <w:t xml:space="preserve">hroughout </w:t>
      </w:r>
      <w:r w:rsidR="00616DD5" w:rsidRPr="007D3A4A">
        <w:rPr>
          <w:i/>
          <w:iCs/>
        </w:rPr>
        <w:t xml:space="preserve">Philosophical Investigations, </w:t>
      </w:r>
      <w:r w:rsidR="00616DD5">
        <w:t xml:space="preserve">Wittgenstein makes it a point to </w:t>
      </w:r>
      <w:r w:rsidR="00FB3FA4">
        <w:t>show</w:t>
      </w:r>
      <w:r w:rsidR="00CD01EB">
        <w:t xml:space="preserve"> the multiplicity of language games most </w:t>
      </w:r>
      <w:r w:rsidR="00DE248F">
        <w:t>notably</w:t>
      </w:r>
      <w:r w:rsidR="00CD01EB">
        <w:t xml:space="preserve"> in </w:t>
      </w:r>
      <w:r w:rsidR="00DE248F">
        <w:t>PI 23</w:t>
      </w:r>
      <w:r w:rsidR="00DE248F">
        <w:rPr>
          <w:rStyle w:val="FootnoteReference"/>
        </w:rPr>
        <w:footnoteReference w:id="11"/>
      </w:r>
      <w:r w:rsidR="009C44B5">
        <w:t xml:space="preserve">. These language-games, therefore, can be as diverse as </w:t>
      </w:r>
      <w:r w:rsidR="00137A5D">
        <w:t xml:space="preserve">in-depth </w:t>
      </w:r>
      <w:r w:rsidR="00404EFC">
        <w:t>philosophical</w:t>
      </w:r>
      <w:r w:rsidR="00137A5D">
        <w:t xml:space="preserve"> discourse, a discussion between friends about dinner or even the primitive language game expressed by the builders in PI 2</w:t>
      </w:r>
      <w:r w:rsidR="00404EFC">
        <w:t>.</w:t>
      </w:r>
      <w:r w:rsidR="009450F6">
        <w:t xml:space="preserve"> </w:t>
      </w:r>
      <w:r w:rsidR="00E83FE4">
        <w:t>Clearly</w:t>
      </w:r>
      <w:r w:rsidR="00E544A5">
        <w:t xml:space="preserve"> Wittgenstein is showing that only</w:t>
      </w:r>
      <w:r w:rsidR="00E83FE4">
        <w:t xml:space="preserve"> </w:t>
      </w:r>
      <w:r w:rsidR="00E41EDD">
        <w:t>by using</w:t>
      </w:r>
      <w:r w:rsidR="00E83FE4">
        <w:t xml:space="preserve"> language as an activity </w:t>
      </w:r>
      <w:r w:rsidR="00E41EDD">
        <w:t>do words get their meaning</w:t>
      </w:r>
      <w:r w:rsidR="0067226A">
        <w:t xml:space="preserve">. </w:t>
      </w:r>
      <w:r w:rsidR="008F6663">
        <w:t xml:space="preserve">Without </w:t>
      </w:r>
      <w:r w:rsidR="00376FDA">
        <w:t xml:space="preserve">use, language does not have meaning, not even from a shared essence that he once argued for in the </w:t>
      </w:r>
      <w:proofErr w:type="spellStart"/>
      <w:r w:rsidR="00702E19" w:rsidRPr="007D3A4A">
        <w:rPr>
          <w:i/>
          <w:iCs/>
        </w:rPr>
        <w:t>Tractatus</w:t>
      </w:r>
      <w:proofErr w:type="spellEnd"/>
      <w:r w:rsidR="00702E19">
        <w:t>.</w:t>
      </w:r>
      <w:r w:rsidR="007D3A4A" w:rsidRPr="007D3A4A">
        <w:rPr>
          <w:b/>
          <w:bCs/>
        </w:rPr>
        <w:t xml:space="preserve"> </w:t>
      </w:r>
    </w:p>
    <w:p w14:paraId="7971B67A" w14:textId="6A0276EC" w:rsidR="00F013D5" w:rsidRPr="00702E19" w:rsidRDefault="00361C6D" w:rsidP="00055167">
      <w:pPr>
        <w:ind w:firstLine="720"/>
      </w:pPr>
      <w:r>
        <w:t xml:space="preserve">Wittgenstein highlights an obvious objection to </w:t>
      </w:r>
      <w:r w:rsidR="00850752">
        <w:t xml:space="preserve">his analysis of language as various language-games in the form of </w:t>
      </w:r>
      <w:r w:rsidR="008D69B6">
        <w:t>‘</w:t>
      </w:r>
      <w:r w:rsidR="005B4FBF">
        <w:t>these phenomena have no one thing in common which makes us use the same word for all, - but that they are related to one another in many different ways.’</w:t>
      </w:r>
      <w:r w:rsidR="005277F5">
        <w:rPr>
          <w:rStyle w:val="FootnoteReference"/>
        </w:rPr>
        <w:footnoteReference w:id="12"/>
      </w:r>
      <w:r w:rsidR="005277F5">
        <w:t xml:space="preserve"> He clarifies this point even further in his discussion of </w:t>
      </w:r>
      <w:r w:rsidR="001B4DB9">
        <w:t xml:space="preserve">what the definition of a game is the </w:t>
      </w:r>
      <w:r w:rsidR="00F94877">
        <w:t>subsequent section PI 66</w:t>
      </w:r>
      <w:r w:rsidR="00F94877">
        <w:rPr>
          <w:rStyle w:val="FootnoteReference"/>
        </w:rPr>
        <w:footnoteReference w:id="13"/>
      </w:r>
      <w:r w:rsidR="00F94877">
        <w:t xml:space="preserve">. </w:t>
      </w:r>
      <w:r w:rsidR="00BD72E2">
        <w:t>It is in this discussion that he proposes the read</w:t>
      </w:r>
      <w:r w:rsidR="00866B3A">
        <w:t>er</w:t>
      </w:r>
      <w:r w:rsidR="00BD72E2">
        <w:t xml:space="preserve"> to </w:t>
      </w:r>
      <w:r w:rsidR="00234D8D">
        <w:t xml:space="preserve">consider what is common to all games including ‘board games, card games, </w:t>
      </w:r>
      <w:r w:rsidR="00CA4D32">
        <w:t>ball games, Olympic games and so on.’</w:t>
      </w:r>
      <w:r w:rsidR="00CA4D32">
        <w:rPr>
          <w:rStyle w:val="FootnoteReference"/>
        </w:rPr>
        <w:footnoteReference w:id="14"/>
      </w:r>
      <w:r w:rsidR="00CA4D32">
        <w:t xml:space="preserve"> He argues that there is no one essential feature</w:t>
      </w:r>
      <w:r w:rsidR="006446FD">
        <w:t xml:space="preserve"> that they all share, but rather a cluster of similarities common to them all that allows them to fall under the umbrella category of “games</w:t>
      </w:r>
      <w:r w:rsidR="00451261">
        <w:t>”</w:t>
      </w:r>
      <w:r w:rsidR="006446FD">
        <w:t>.</w:t>
      </w:r>
      <w:r w:rsidR="00CA4D32">
        <w:t xml:space="preserve"> </w:t>
      </w:r>
      <w:r w:rsidR="00451261">
        <w:t>As such, it is clear to see how language can also</w:t>
      </w:r>
      <w:r w:rsidR="00CB1457">
        <w:t xml:space="preserve"> </w:t>
      </w:r>
      <w:r w:rsidR="00866B3A">
        <w:t>be considered</w:t>
      </w:r>
      <w:r w:rsidR="005D71A2">
        <w:t xml:space="preserve"> a family resemblance term similarly to “games” in that</w:t>
      </w:r>
      <w:r w:rsidR="00F90B6F">
        <w:t xml:space="preserve"> no two language games need share a</w:t>
      </w:r>
      <w:r w:rsidR="00866B3A">
        <w:t>n</w:t>
      </w:r>
      <w:r w:rsidR="00F90B6F">
        <w:t xml:space="preserve"> essence</w:t>
      </w:r>
      <w:r w:rsidR="00866B3A">
        <w:t xml:space="preserve"> to both be considered language. </w:t>
      </w:r>
      <w:r w:rsidR="00F530AD">
        <w:t xml:space="preserve">This can explain why some language is technical in nature, whilst others can </w:t>
      </w:r>
      <w:r w:rsidR="001512B7">
        <w:t xml:space="preserve">still accurately be used whilst being vague, as well as why some language has certain meanings in one language-game and can possess a different meaning in another. There is no </w:t>
      </w:r>
      <w:r w:rsidR="00AC3161">
        <w:t>specific essence behind the meaning of words, rather the meaning of a word is simply in its use in a language-game.</w:t>
      </w:r>
    </w:p>
    <w:p w14:paraId="1B86DA9D" w14:textId="4C3C7F03" w:rsidR="001D6F78" w:rsidRDefault="00BE69AE" w:rsidP="00055167">
      <w:pPr>
        <w:ind w:firstLine="720"/>
      </w:pPr>
      <w:r>
        <w:t>Wittgenstein’s conclusion that the meaning of words is found in their use</w:t>
      </w:r>
      <w:r w:rsidR="005E61EA">
        <w:t>,</w:t>
      </w:r>
      <w:r w:rsidR="002B21BA">
        <w:t xml:space="preserve"> finds itself susceptible to </w:t>
      </w:r>
      <w:r w:rsidR="002F6519">
        <w:t xml:space="preserve">the objection that words can be used incorrectly. </w:t>
      </w:r>
      <w:r w:rsidR="00316C3E">
        <w:t>This is an occurrence that happens all the time</w:t>
      </w:r>
      <w:r w:rsidR="00EC3568">
        <w:t>, mostly unintentionally, but sometimes with intentionality.</w:t>
      </w:r>
      <w:r w:rsidR="00017C7C">
        <w:t xml:space="preserve"> An example of incorrect word usage </w:t>
      </w:r>
      <w:r w:rsidR="007F1A3A">
        <w:t xml:space="preserve">could be, someone who </w:t>
      </w:r>
      <w:r w:rsidR="003934BD">
        <w:t>using</w:t>
      </w:r>
      <w:r w:rsidR="007F1A3A">
        <w:t xml:space="preserve"> the word </w:t>
      </w:r>
      <w:r w:rsidR="0028067E">
        <w:t>“</w:t>
      </w:r>
      <w:r w:rsidR="007F1A3A">
        <w:t>subjective</w:t>
      </w:r>
      <w:r w:rsidR="0028067E">
        <w:t>”</w:t>
      </w:r>
      <w:r w:rsidR="007F1A3A">
        <w:t xml:space="preserve"> in a casual setting takes it to have a meaning that </w:t>
      </w:r>
      <w:r w:rsidR="00F07AB3">
        <w:t xml:space="preserve">for something to be </w:t>
      </w:r>
      <w:r w:rsidR="0028067E">
        <w:t>“</w:t>
      </w:r>
      <w:r w:rsidR="00F07AB3">
        <w:t>subjective</w:t>
      </w:r>
      <w:r w:rsidR="0028067E">
        <w:t>”</w:t>
      </w:r>
      <w:r w:rsidR="00F07AB3">
        <w:t>,</w:t>
      </w:r>
      <w:r w:rsidR="007B2F2E">
        <w:t xml:space="preserve"> </w:t>
      </w:r>
      <w:r w:rsidR="0031285F">
        <w:t>it would have to be based in an opinion</w:t>
      </w:r>
      <w:r w:rsidR="001D6F78">
        <w:t xml:space="preserve">. </w:t>
      </w:r>
      <w:r w:rsidR="00F93B82">
        <w:t>For example, Fr</w:t>
      </w:r>
      <w:r w:rsidR="000410EE">
        <w:t>an</w:t>
      </w:r>
      <w:r w:rsidR="000410EE">
        <w:rPr>
          <w:rFonts w:cstheme="minorHAnsi"/>
        </w:rPr>
        <w:t>ç</w:t>
      </w:r>
      <w:r w:rsidR="000410EE">
        <w:t>ois</w:t>
      </w:r>
      <w:r w:rsidR="00F93B82">
        <w:t xml:space="preserve"> and </w:t>
      </w:r>
      <w:r w:rsidR="006F68D7">
        <w:t>Am</w:t>
      </w:r>
      <w:r w:rsidR="006F68D7">
        <w:rPr>
          <w:rFonts w:cstheme="minorHAnsi"/>
        </w:rPr>
        <w:t>é</w:t>
      </w:r>
      <w:r w:rsidR="006F68D7">
        <w:t>lie</w:t>
      </w:r>
      <w:r w:rsidR="00F93B82">
        <w:t xml:space="preserve"> are having a discussion </w:t>
      </w:r>
      <w:r w:rsidR="009A4B0F">
        <w:t>of films</w:t>
      </w:r>
      <w:r w:rsidR="00F93B82">
        <w:t xml:space="preserve">, and </w:t>
      </w:r>
      <w:r w:rsidR="000410EE">
        <w:t>Fran</w:t>
      </w:r>
      <w:r w:rsidR="000410EE">
        <w:rPr>
          <w:rFonts w:cstheme="minorHAnsi"/>
        </w:rPr>
        <w:t>ç</w:t>
      </w:r>
      <w:r w:rsidR="000410EE">
        <w:t>ois</w:t>
      </w:r>
      <w:r w:rsidR="006B7041">
        <w:t xml:space="preserve"> </w:t>
      </w:r>
      <w:r w:rsidR="003934BD">
        <w:t>says,</w:t>
      </w:r>
      <w:r w:rsidR="006B7041">
        <w:t xml:space="preserve"> “whether or not </w:t>
      </w:r>
      <w:r w:rsidR="006B7041">
        <w:rPr>
          <w:i/>
          <w:iCs/>
        </w:rPr>
        <w:t>Lost in Translation</w:t>
      </w:r>
      <w:r w:rsidR="009A4B0F">
        <w:t xml:space="preserve"> is a good film is a subjective matter.” If </w:t>
      </w:r>
      <w:r w:rsidR="000410EE">
        <w:t>Fran</w:t>
      </w:r>
      <w:r w:rsidR="000410EE">
        <w:rPr>
          <w:rFonts w:cstheme="minorHAnsi"/>
        </w:rPr>
        <w:t>ç</w:t>
      </w:r>
      <w:r w:rsidR="000410EE">
        <w:t>ois</w:t>
      </w:r>
      <w:r w:rsidR="009A4B0F">
        <w:t xml:space="preserve"> were to then enter a discussion of philosophy and use “subjective” in the same way</w:t>
      </w:r>
      <w:r w:rsidR="006559EA">
        <w:t xml:space="preserve"> he may cause confusion as subjectivity in philosophy has a distinct meaning</w:t>
      </w:r>
      <w:r w:rsidR="003934BD">
        <w:t xml:space="preserve"> in its use in philosophical discussion. </w:t>
      </w:r>
      <w:r w:rsidR="006A1579">
        <w:t xml:space="preserve">Wittgenstein’s account would be able to overcome the misuse of language in this example </w:t>
      </w:r>
      <w:r w:rsidR="008F3308">
        <w:t>simply by pointing out that the casual discussion and the philosophical discussion would be two separate language-games that have different uses for the word “subjectiv</w:t>
      </w:r>
      <w:r w:rsidR="004D0FD2">
        <w:t>e” and therefore, they have two separate legitimate meanings within the context of their language games.</w:t>
      </w:r>
    </w:p>
    <w:p w14:paraId="39E1250B" w14:textId="1A8BCFF6" w:rsidR="00455AB7" w:rsidRPr="009A4B0F" w:rsidRDefault="00C53C86" w:rsidP="00055167">
      <w:pPr>
        <w:ind w:firstLine="720"/>
      </w:pPr>
      <w:r>
        <w:t xml:space="preserve">This objection can be extended further by questioning </w:t>
      </w:r>
      <w:r w:rsidR="008D0A53">
        <w:t xml:space="preserve">the misuse of language within the same language game. </w:t>
      </w:r>
      <w:r w:rsidR="00CE0BEA">
        <w:t xml:space="preserve">Let us look again to the primitive language games used by the builders in </w:t>
      </w:r>
      <w:r w:rsidR="00136E76">
        <w:rPr>
          <w:i/>
          <w:iCs/>
        </w:rPr>
        <w:t xml:space="preserve">PI 2. </w:t>
      </w:r>
      <w:r w:rsidR="00136E76">
        <w:t xml:space="preserve">Let us imagine in this hypothetical example, that </w:t>
      </w:r>
      <w:r w:rsidR="009D3CE9">
        <w:t>there exists another set of builders</w:t>
      </w:r>
      <w:r w:rsidR="0034558E">
        <w:t>,</w:t>
      </w:r>
      <w:r w:rsidR="009D3CE9">
        <w:t xml:space="preserve"> C and D who work alongside builders A and B. However</w:t>
      </w:r>
      <w:r w:rsidR="0034558E">
        <w:t>,</w:t>
      </w:r>
      <w:r w:rsidR="009D3CE9">
        <w:t xml:space="preserve"> builders C and D </w:t>
      </w:r>
      <w:r w:rsidR="0034558E">
        <w:t xml:space="preserve">misconstrue </w:t>
      </w:r>
      <w:r w:rsidR="006F68D7">
        <w:t xml:space="preserve">the meaning of the words </w:t>
      </w:r>
      <w:r w:rsidR="000410EE">
        <w:t xml:space="preserve">“block”, “pillar”, “slab” and “beam” </w:t>
      </w:r>
      <w:r w:rsidR="007A6E9B">
        <w:t>and as such when C calls out “slab” D brings</w:t>
      </w:r>
      <w:r w:rsidR="006200AF">
        <w:t xml:space="preserve"> over</w:t>
      </w:r>
      <w:r w:rsidR="007A6E9B">
        <w:t xml:space="preserve"> “pillar”. But it is not as simple as to accuse builders C and D of being incorrect in their use of language. </w:t>
      </w:r>
      <w:r w:rsidR="006200AF">
        <w:t>For b</w:t>
      </w:r>
      <w:r w:rsidR="007A6E9B">
        <w:t>uilders C and D</w:t>
      </w:r>
      <w:r w:rsidR="006200AF">
        <w:t>, “slab” means “pillar”</w:t>
      </w:r>
      <w:r w:rsidR="00CC68B2">
        <w:t xml:space="preserve">, “pillar” – “slab” and so on accordingly. </w:t>
      </w:r>
      <w:r w:rsidR="005B0651">
        <w:t>We obviously take it, that one of the pairs of builders in misusing language, even in the same language-game</w:t>
      </w:r>
      <w:r w:rsidR="00540FB6">
        <w:t>, and th</w:t>
      </w:r>
      <w:r w:rsidR="003A7E35">
        <w:t>at</w:t>
      </w:r>
      <w:r w:rsidR="00540FB6">
        <w:t xml:space="preserve"> </w:t>
      </w:r>
      <w:r w:rsidR="003A7E35">
        <w:t xml:space="preserve">in this </w:t>
      </w:r>
      <w:r w:rsidR="00540FB6">
        <w:t xml:space="preserve">world </w:t>
      </w:r>
      <w:r w:rsidR="00540FB6">
        <w:lastRenderedPageBreak/>
        <w:t xml:space="preserve">C and D are the culprits of this language misuse. But for what reason </w:t>
      </w:r>
      <w:r w:rsidR="003A7E35">
        <w:t>could this misuse be</w:t>
      </w:r>
      <w:r w:rsidR="00540FB6">
        <w:t xml:space="preserve"> assigned this to C and D as opposed to A and B? </w:t>
      </w:r>
      <w:r w:rsidR="00BF48F0">
        <w:t xml:space="preserve">There are several possibilities as to why </w:t>
      </w:r>
      <w:r w:rsidR="003E72D5">
        <w:t xml:space="preserve">it could be, for example, A and B </w:t>
      </w:r>
      <w:r w:rsidR="00503E02">
        <w:t xml:space="preserve">used their language first, and the other builders followed suit, </w:t>
      </w:r>
      <w:r w:rsidR="00FB18B1">
        <w:t>except for C and D.</w:t>
      </w:r>
      <w:r w:rsidR="003A7E35">
        <w:t xml:space="preserve"> However, this would not be a good explanation as for when time moves forward and no one remembers which came first, the consensus for misuse would remain. The most </w:t>
      </w:r>
      <w:r w:rsidR="007F45BA">
        <w:t>common-sense</w:t>
      </w:r>
      <w:r w:rsidR="003A7E35">
        <w:t xml:space="preserve"> answer if we take Wittgenstein’s advice and look at the use of language, it would be that C and D’s use is the minority in the context of their language-game and this is the reason for their </w:t>
      </w:r>
      <w:r w:rsidR="008D24CE">
        <w:t xml:space="preserve">misuse. Does this suggest that Wittgenstein would argue for the meaning of words to be </w:t>
      </w:r>
      <w:r w:rsidR="00EE1F2F">
        <w:t>defined by the majority use</w:t>
      </w:r>
      <w:r w:rsidR="00326487">
        <w:t>? T</w:t>
      </w:r>
      <w:r w:rsidR="00EE1F2F">
        <w:t>hat obviously would be able to change over time as people use words differently as time goes on</w:t>
      </w:r>
      <w:r w:rsidR="00F92E7D">
        <w:t>.</w:t>
      </w:r>
      <w:r w:rsidR="00EE1F2F">
        <w:t xml:space="preserve"> Whilst this </w:t>
      </w:r>
      <w:r w:rsidR="00F903F2">
        <w:t xml:space="preserve">may seem problematic at first, if we look at how language is </w:t>
      </w:r>
      <w:r w:rsidR="007F45BA">
        <w:t>used</w:t>
      </w:r>
      <w:r w:rsidR="00F903F2">
        <w:t xml:space="preserve">, the </w:t>
      </w:r>
      <w:r w:rsidR="00455AB7">
        <w:t>vagueness and fluidity of language</w:t>
      </w:r>
      <w:r w:rsidR="007F45BA">
        <w:t xml:space="preserve"> in this way</w:t>
      </w:r>
      <w:r w:rsidR="00455AB7">
        <w:t xml:space="preserve"> is supportive of Wittgenstein</w:t>
      </w:r>
      <w:r w:rsidR="00BE2D32">
        <w:t xml:space="preserve">’s claims that meaning is in use of </w:t>
      </w:r>
      <w:commentRangeStart w:id="3"/>
      <w:commentRangeStart w:id="4"/>
      <w:r w:rsidR="00BE2D32">
        <w:t>language</w:t>
      </w:r>
      <w:commentRangeEnd w:id="3"/>
      <w:r w:rsidR="007F017A">
        <w:rPr>
          <w:rStyle w:val="CommentReference"/>
        </w:rPr>
        <w:commentReference w:id="3"/>
      </w:r>
      <w:commentRangeEnd w:id="4"/>
      <w:r w:rsidR="007F017A">
        <w:rPr>
          <w:rStyle w:val="CommentReference"/>
        </w:rPr>
        <w:commentReference w:id="4"/>
      </w:r>
      <w:r w:rsidR="00BE2D32">
        <w:t>. If language did have a determinate sense</w:t>
      </w:r>
      <w:r w:rsidR="001B61F1">
        <w:t xml:space="preserve"> in which all language finds its essence in, then such natural progression of etymology could not by definition exist. Yet we know from experience, that </w:t>
      </w:r>
      <w:r w:rsidR="00E27E6B">
        <w:t xml:space="preserve">words have and will continue to </w:t>
      </w:r>
      <w:r w:rsidR="00A76DB1">
        <w:t>adapt to present climate and thus meanings of words change.</w:t>
      </w:r>
      <w:r w:rsidR="007F45BA">
        <w:t xml:space="preserve"> As such, </w:t>
      </w:r>
      <w:r w:rsidR="0087036C">
        <w:t>Wittgenstein’s account that the meaning of words is in their use is the most accurate reflection of how we determine meaning in everyday language</w:t>
      </w:r>
      <w:r w:rsidR="000B5CB6">
        <w:t xml:space="preserve"> and is a stronger account than the alternative.</w:t>
      </w:r>
    </w:p>
    <w:p w14:paraId="1765E98C" w14:textId="3EEC5411" w:rsidR="00360FCC" w:rsidRPr="00991032" w:rsidRDefault="00055167" w:rsidP="00055167">
      <w:pPr>
        <w:ind w:firstLine="720"/>
      </w:pPr>
      <w:r>
        <w:t xml:space="preserve">In conclusion, the meaning of language must be found through its use. I have shown through my argument how </w:t>
      </w:r>
      <w:r w:rsidR="00F773DD">
        <w:t>it</w:t>
      </w:r>
      <w:r w:rsidR="00651DE7">
        <w:t xml:space="preserve"> is</w:t>
      </w:r>
      <w:r w:rsidR="00F773DD">
        <w:t xml:space="preserve"> unfeasible in the climate of language for </w:t>
      </w:r>
      <w:r w:rsidR="00651DE7">
        <w:t xml:space="preserve">the view that Wittgenstein presents in the </w:t>
      </w:r>
      <w:proofErr w:type="spellStart"/>
      <w:r w:rsidR="00847FE9">
        <w:rPr>
          <w:i/>
          <w:iCs/>
        </w:rPr>
        <w:t>Tractatus</w:t>
      </w:r>
      <w:proofErr w:type="spellEnd"/>
      <w:r w:rsidR="00847FE9">
        <w:t xml:space="preserve"> to be </w:t>
      </w:r>
      <w:commentRangeStart w:id="5"/>
      <w:r w:rsidR="001153C0">
        <w:t>accepted</w:t>
      </w:r>
      <w:commentRangeEnd w:id="5"/>
      <w:r w:rsidR="007F017A">
        <w:rPr>
          <w:rStyle w:val="CommentReference"/>
        </w:rPr>
        <w:commentReference w:id="5"/>
      </w:r>
      <w:r w:rsidR="001153C0">
        <w:t xml:space="preserve">. Language through </w:t>
      </w:r>
      <w:r w:rsidR="0069695A">
        <w:t xml:space="preserve">historical </w:t>
      </w:r>
      <w:r w:rsidR="001153C0">
        <w:t xml:space="preserve">etymology requires fluidity that is only afforded through Wittgenstein’s position in </w:t>
      </w:r>
      <w:r w:rsidR="001153C0">
        <w:rPr>
          <w:i/>
          <w:iCs/>
        </w:rPr>
        <w:t xml:space="preserve">Philosophical Investigations. </w:t>
      </w:r>
      <w:r w:rsidR="005A03C1">
        <w:t>To summarise what I have discussed, I first provided a</w:t>
      </w:r>
      <w:r w:rsidR="00F475EF">
        <w:t>n</w:t>
      </w:r>
      <w:r w:rsidR="005A03C1">
        <w:t xml:space="preserve"> </w:t>
      </w:r>
      <w:r w:rsidR="001C2C70">
        <w:t xml:space="preserve">insight to the work of </w:t>
      </w:r>
      <w:proofErr w:type="spellStart"/>
      <w:r w:rsidR="001C2C70">
        <w:rPr>
          <w:i/>
          <w:iCs/>
        </w:rPr>
        <w:t>Tractatus</w:t>
      </w:r>
      <w:proofErr w:type="spellEnd"/>
      <w:r w:rsidR="001C2C70">
        <w:t xml:space="preserve"> as it is a </w:t>
      </w:r>
      <w:r w:rsidR="00CF1EDA">
        <w:t xml:space="preserve">helpful </w:t>
      </w:r>
      <w:r w:rsidR="001C2C70">
        <w:t>requirement for Wittgenstein</w:t>
      </w:r>
      <w:r w:rsidR="00835EB9">
        <w:t xml:space="preserve"> to argue that the meaning of words is in their use. Wittgenstein </w:t>
      </w:r>
      <w:r w:rsidR="00A84EF5">
        <w:t xml:space="preserve">began his writing as a direct opposition to the views held in </w:t>
      </w:r>
      <w:proofErr w:type="spellStart"/>
      <w:r w:rsidR="00A84EF5">
        <w:rPr>
          <w:i/>
          <w:iCs/>
        </w:rPr>
        <w:t>Tractatus</w:t>
      </w:r>
      <w:proofErr w:type="spellEnd"/>
      <w:r w:rsidR="00A84EF5">
        <w:rPr>
          <w:i/>
          <w:iCs/>
        </w:rPr>
        <w:t xml:space="preserve">. </w:t>
      </w:r>
      <w:r w:rsidR="00835EB9">
        <w:t xml:space="preserve"> </w:t>
      </w:r>
      <w:r w:rsidR="00991032">
        <w:t xml:space="preserve">I then explain the arguments given in </w:t>
      </w:r>
      <w:r w:rsidR="00991032">
        <w:rPr>
          <w:i/>
          <w:iCs/>
        </w:rPr>
        <w:t xml:space="preserve">Philosophical Investigations </w:t>
      </w:r>
      <w:r w:rsidR="00991032">
        <w:t xml:space="preserve">that show </w:t>
      </w:r>
      <w:r w:rsidR="007B482E">
        <w:t xml:space="preserve">the meaning of words is in their use. I drew on language-games and family resemblance </w:t>
      </w:r>
      <w:r w:rsidR="00E83EA0">
        <w:t xml:space="preserve">as a supporting exposition of Wittgenstein’s account. Finally, I proposed a potential objection to Wittgenstein’s position by discussing </w:t>
      </w:r>
      <w:r w:rsidR="00EE2A60">
        <w:t xml:space="preserve">the possibility of misuse of language, however upon closer inspection I found this to support the natural common-sense view of the evolution of language that Wittgenstein wishes to present. </w:t>
      </w:r>
    </w:p>
    <w:p w14:paraId="1FFD7E3F" w14:textId="77777777" w:rsidR="00055167" w:rsidRDefault="00055167" w:rsidP="00AE7A38">
      <w:pPr>
        <w:jc w:val="center"/>
        <w:rPr>
          <w:b/>
          <w:bCs/>
          <w:u w:val="single"/>
        </w:rPr>
      </w:pPr>
    </w:p>
    <w:p w14:paraId="1E484850" w14:textId="556A5BEC" w:rsidR="008822B9" w:rsidRPr="008822B9" w:rsidRDefault="00360FCC" w:rsidP="008822B9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Bibliography</w:t>
      </w:r>
    </w:p>
    <w:p w14:paraId="64020876" w14:textId="775B5450" w:rsidR="008E1AE1" w:rsidRDefault="008E1AE1" w:rsidP="000C7A01">
      <w:proofErr w:type="spellStart"/>
      <w:r>
        <w:t>Hanfling</w:t>
      </w:r>
      <w:proofErr w:type="spellEnd"/>
      <w:r>
        <w:t xml:space="preserve">, Oswald., </w:t>
      </w:r>
      <w:r>
        <w:rPr>
          <w:i/>
          <w:iCs/>
        </w:rPr>
        <w:t xml:space="preserve">Wittgenstein’s Later Philosophy, </w:t>
      </w:r>
      <w:r w:rsidR="00385E41">
        <w:t>(London: Macmillan Press, 1989)</w:t>
      </w:r>
    </w:p>
    <w:p w14:paraId="05BE7847" w14:textId="4054E489" w:rsidR="00FE18BB" w:rsidRPr="00FE18BB" w:rsidRDefault="00FE18BB" w:rsidP="000C7A01">
      <w:r>
        <w:t xml:space="preserve">Kenny, Anthony., </w:t>
      </w:r>
      <w:r>
        <w:rPr>
          <w:i/>
          <w:iCs/>
        </w:rPr>
        <w:t>Wittgenstein</w:t>
      </w:r>
      <w:r>
        <w:t xml:space="preserve">, </w:t>
      </w:r>
      <w:r w:rsidR="00E93572">
        <w:t>(Oxford: Blackwell, 2006)</w:t>
      </w:r>
    </w:p>
    <w:p w14:paraId="2A19ECF7" w14:textId="7F701E43" w:rsidR="00BE3419" w:rsidRDefault="000C7A01" w:rsidP="000C7A01">
      <w:r>
        <w:t xml:space="preserve">Wittgenstein, Ludwig., </w:t>
      </w:r>
      <w:proofErr w:type="spellStart"/>
      <w:r w:rsidR="00A15598">
        <w:rPr>
          <w:i/>
          <w:iCs/>
        </w:rPr>
        <w:t>Tractatus</w:t>
      </w:r>
      <w:proofErr w:type="spellEnd"/>
      <w:r w:rsidR="00A15598">
        <w:rPr>
          <w:i/>
          <w:iCs/>
        </w:rPr>
        <w:t xml:space="preserve"> </w:t>
      </w:r>
      <w:proofErr w:type="spellStart"/>
      <w:r w:rsidR="00A15598">
        <w:rPr>
          <w:i/>
          <w:iCs/>
        </w:rPr>
        <w:t>Logico-Philosophicus</w:t>
      </w:r>
      <w:proofErr w:type="spellEnd"/>
      <w:r w:rsidR="00A15598">
        <w:rPr>
          <w:i/>
          <w:iCs/>
        </w:rPr>
        <w:t xml:space="preserve">, </w:t>
      </w:r>
      <w:r w:rsidR="00122452">
        <w:t>trans</w:t>
      </w:r>
      <w:r w:rsidR="000B0202">
        <w:t>.</w:t>
      </w:r>
      <w:r w:rsidR="00122452">
        <w:t xml:space="preserve"> by C.K. Ogden, (London: Routledge, </w:t>
      </w:r>
      <w:r w:rsidR="00166866">
        <w:t>2007</w:t>
      </w:r>
      <w:r w:rsidR="00122452">
        <w:t>)</w:t>
      </w:r>
    </w:p>
    <w:p w14:paraId="102B9789" w14:textId="472AD0AC" w:rsidR="00122452" w:rsidRDefault="00122452" w:rsidP="000C7A01">
      <w:r>
        <w:tab/>
      </w:r>
      <w:r>
        <w:tab/>
      </w:r>
      <w:r w:rsidR="003A2BFF">
        <w:t xml:space="preserve">           </w:t>
      </w:r>
      <w:r w:rsidR="00F964D5">
        <w:rPr>
          <w:i/>
          <w:iCs/>
        </w:rPr>
        <w:t xml:space="preserve">Philosophical Investigations, </w:t>
      </w:r>
      <w:r w:rsidR="000B0202">
        <w:t>trans. by G.E.M Anscombe</w:t>
      </w:r>
      <w:r w:rsidR="009003F7">
        <w:t>, (Oxford: Blackwell, 1972)</w:t>
      </w:r>
    </w:p>
    <w:p w14:paraId="30ECE97B" w14:textId="77777777" w:rsidR="007F017A" w:rsidRDefault="007F017A" w:rsidP="000C7A01"/>
    <w:p w14:paraId="0BC5DC38" w14:textId="409DFD3A" w:rsidR="007F017A" w:rsidRDefault="007F017A">
      <w:r>
        <w:br w:type="page"/>
      </w:r>
    </w:p>
    <w:p w14:paraId="08086C58" w14:textId="1836E2C9" w:rsidR="007F017A" w:rsidRDefault="007F017A" w:rsidP="000C7A01">
      <w:pPr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lastRenderedPageBreak/>
        <w:t>Lecturer comment</w:t>
      </w:r>
    </w:p>
    <w:p w14:paraId="0CA6F9FC" w14:textId="77777777" w:rsidR="007F017A" w:rsidRPr="007F017A" w:rsidRDefault="007F017A" w:rsidP="007F017A">
      <w:pPr>
        <w:rPr>
          <w:rFonts w:ascii="Arial" w:hAnsi="Arial" w:cs="Arial"/>
          <w:sz w:val="28"/>
          <w:szCs w:val="28"/>
        </w:rPr>
      </w:pPr>
      <w:r w:rsidRPr="007F017A">
        <w:rPr>
          <w:rFonts w:ascii="Arial" w:hAnsi="Arial" w:cs="Arial"/>
          <w:sz w:val="28"/>
          <w:szCs w:val="28"/>
        </w:rPr>
        <w:t xml:space="preserve">This was a well-written, clear, primarily good, exegetical account of the “two </w:t>
      </w:r>
      <w:proofErr w:type="spellStart"/>
      <w:r w:rsidRPr="007F017A">
        <w:rPr>
          <w:rFonts w:ascii="Arial" w:hAnsi="Arial" w:cs="Arial"/>
          <w:sz w:val="28"/>
          <w:szCs w:val="28"/>
        </w:rPr>
        <w:t>Wittgensteins</w:t>
      </w:r>
      <w:proofErr w:type="spellEnd"/>
      <w:r w:rsidRPr="007F017A">
        <w:rPr>
          <w:rFonts w:ascii="Arial" w:hAnsi="Arial" w:cs="Arial"/>
          <w:sz w:val="28"/>
          <w:szCs w:val="28"/>
        </w:rPr>
        <w:t xml:space="preserve">” position on meaning. I learnt a lot! It was clearly well-researched with a good background of reading. </w:t>
      </w:r>
    </w:p>
    <w:p w14:paraId="7CD0FE87" w14:textId="77777777" w:rsidR="007F017A" w:rsidRPr="007F017A" w:rsidRDefault="007F017A" w:rsidP="007F017A">
      <w:pPr>
        <w:rPr>
          <w:rFonts w:ascii="Arial" w:hAnsi="Arial" w:cs="Arial"/>
          <w:sz w:val="28"/>
          <w:szCs w:val="28"/>
        </w:rPr>
      </w:pPr>
      <w:r w:rsidRPr="007F017A">
        <w:rPr>
          <w:rFonts w:ascii="Arial" w:hAnsi="Arial" w:cs="Arial"/>
          <w:sz w:val="28"/>
          <w:szCs w:val="28"/>
        </w:rPr>
        <w:t xml:space="preserve">You clearly present an argument which you justified. Well done. </w:t>
      </w:r>
    </w:p>
    <w:p w14:paraId="78C173E8" w14:textId="77777777" w:rsidR="007F017A" w:rsidRPr="007F017A" w:rsidRDefault="007F017A" w:rsidP="007F017A">
      <w:pPr>
        <w:rPr>
          <w:rFonts w:ascii="Arial" w:hAnsi="Arial" w:cs="Arial"/>
          <w:sz w:val="28"/>
          <w:szCs w:val="28"/>
        </w:rPr>
      </w:pPr>
      <w:r w:rsidRPr="007F017A">
        <w:rPr>
          <w:rFonts w:ascii="Arial" w:hAnsi="Arial" w:cs="Arial"/>
          <w:sz w:val="28"/>
          <w:szCs w:val="28"/>
        </w:rPr>
        <w:t xml:space="preserve">Overall, I felt you needed more critical discussion throughout the essay. I wanted to see you really taking apart the arguments, finding counter-examples, exploring different points </w:t>
      </w:r>
      <w:bookmarkStart w:id="6" w:name="_GoBack"/>
      <w:bookmarkEnd w:id="6"/>
      <w:r w:rsidRPr="007F017A">
        <w:rPr>
          <w:rFonts w:ascii="Arial" w:hAnsi="Arial" w:cs="Arial"/>
          <w:sz w:val="28"/>
          <w:szCs w:val="28"/>
        </w:rPr>
        <w:t xml:space="preserve">of view, theories of meaning etc. I would also have like to have seen more on your juxtaposition of the two </w:t>
      </w:r>
      <w:proofErr w:type="spellStart"/>
      <w:r w:rsidRPr="007F017A">
        <w:rPr>
          <w:rFonts w:ascii="Arial" w:hAnsi="Arial" w:cs="Arial"/>
          <w:sz w:val="28"/>
          <w:szCs w:val="28"/>
        </w:rPr>
        <w:t>Wittgensteins</w:t>
      </w:r>
      <w:proofErr w:type="spellEnd"/>
      <w:r w:rsidRPr="007F017A">
        <w:rPr>
          <w:rFonts w:ascii="Arial" w:hAnsi="Arial" w:cs="Arial"/>
          <w:sz w:val="28"/>
          <w:szCs w:val="28"/>
        </w:rPr>
        <w:t xml:space="preserve">. I wasn’t convinced enough as to why I should reject the former in favour of the latter. </w:t>
      </w:r>
    </w:p>
    <w:p w14:paraId="308876A8" w14:textId="77777777" w:rsidR="007F017A" w:rsidRPr="007F017A" w:rsidRDefault="007F017A" w:rsidP="007F017A">
      <w:pPr>
        <w:rPr>
          <w:rFonts w:ascii="Arial" w:hAnsi="Arial" w:cs="Arial"/>
          <w:sz w:val="28"/>
          <w:szCs w:val="28"/>
        </w:rPr>
      </w:pPr>
      <w:r w:rsidRPr="007F017A">
        <w:rPr>
          <w:rFonts w:ascii="Arial" w:hAnsi="Arial" w:cs="Arial"/>
          <w:sz w:val="28"/>
          <w:szCs w:val="28"/>
        </w:rPr>
        <w:t xml:space="preserve">I liked your essay in its clarity however. </w:t>
      </w:r>
    </w:p>
    <w:p w14:paraId="441C996E" w14:textId="77777777" w:rsidR="007F017A" w:rsidRPr="007F017A" w:rsidRDefault="007F017A" w:rsidP="000C7A01">
      <w:pPr>
        <w:rPr>
          <w:rFonts w:ascii="Arial" w:hAnsi="Arial" w:cs="Arial"/>
          <w:sz w:val="28"/>
          <w:szCs w:val="28"/>
        </w:rPr>
      </w:pPr>
    </w:p>
    <w:sectPr w:rsidR="007F017A" w:rsidRPr="007F01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Gavin Palmer" w:date="2020-01-09T12:47:00Z" w:initials="GP">
    <w:p w14:paraId="60EEE74F" w14:textId="55851232" w:rsidR="00D861A7" w:rsidRDefault="00D861A7">
      <w:pPr>
        <w:pStyle w:val="CommentText"/>
      </w:pPr>
      <w:r>
        <w:rPr>
          <w:rStyle w:val="CommentReference"/>
        </w:rPr>
        <w:annotationRef/>
      </w:r>
      <w:r>
        <w:t xml:space="preserve">Though the quote in the question is a direct </w:t>
      </w:r>
      <w:r w:rsidR="000D6E00">
        <w:t xml:space="preserve">reflection of the later work. </w:t>
      </w:r>
    </w:p>
  </w:comment>
  <w:comment w:id="1" w:author="Gavin Palmer" w:date="2020-01-09T12:49:00Z" w:initials="GP">
    <w:p w14:paraId="6D17DEB4" w14:textId="59240C74" w:rsidR="000D6E00" w:rsidRDefault="000D6E00">
      <w:pPr>
        <w:pStyle w:val="CommentText"/>
      </w:pPr>
      <w:r>
        <w:rPr>
          <w:rStyle w:val="CommentReference"/>
        </w:rPr>
        <w:annotationRef/>
      </w:r>
      <w:r>
        <w:t xml:space="preserve">The first use of Welsh that I’ve ever encountered in an essay. Da </w:t>
      </w:r>
      <w:proofErr w:type="spellStart"/>
      <w:r>
        <w:t>iawn</w:t>
      </w:r>
      <w:proofErr w:type="spellEnd"/>
      <w:r>
        <w:t>!</w:t>
      </w:r>
    </w:p>
  </w:comment>
  <w:comment w:id="2" w:author="Gavin Palmer" w:date="2020-01-09T12:51:00Z" w:initials="GP">
    <w:p w14:paraId="56FE9249" w14:textId="78B61438" w:rsidR="000D6E00" w:rsidRDefault="000D6E00">
      <w:pPr>
        <w:pStyle w:val="CommentText"/>
      </w:pPr>
      <w:r>
        <w:rPr>
          <w:rStyle w:val="CommentReference"/>
        </w:rPr>
        <w:annotationRef/>
      </w:r>
      <w:r>
        <w:t>I’d like to see some comment from you here, just to flag up the rest of your discussion. What do you think of this earlier position?</w:t>
      </w:r>
    </w:p>
  </w:comment>
  <w:comment w:id="3" w:author="Gavin Palmer" w:date="2020-01-09T12:58:00Z" w:initials="GP">
    <w:p w14:paraId="5E56CE02" w14:textId="432A1D29" w:rsidR="007F017A" w:rsidRDefault="007F017A">
      <w:pPr>
        <w:pStyle w:val="CommentText"/>
      </w:pPr>
      <w:r>
        <w:rPr>
          <w:rStyle w:val="CommentReference"/>
        </w:rPr>
        <w:annotationRef/>
      </w:r>
    </w:p>
  </w:comment>
  <w:comment w:id="4" w:author="Gavin Palmer" w:date="2020-01-09T12:58:00Z" w:initials="GP">
    <w:p w14:paraId="39CFA260" w14:textId="4A96E690" w:rsidR="007F017A" w:rsidRDefault="007F017A">
      <w:pPr>
        <w:pStyle w:val="CommentText"/>
      </w:pPr>
      <w:r>
        <w:rPr>
          <w:rStyle w:val="CommentReference"/>
        </w:rPr>
        <w:annotationRef/>
      </w:r>
      <w:r>
        <w:t>Good. Empirical support but do you accept his position on logical grounds too?</w:t>
      </w:r>
    </w:p>
  </w:comment>
  <w:comment w:id="5" w:author="Gavin Palmer" w:date="2020-01-09T12:59:00Z" w:initials="GP">
    <w:p w14:paraId="1A18055F" w14:textId="35612E9A" w:rsidR="007F017A" w:rsidRDefault="007F017A">
      <w:pPr>
        <w:pStyle w:val="CommentText"/>
      </w:pPr>
      <w:r>
        <w:rPr>
          <w:rStyle w:val="CommentReference"/>
        </w:rPr>
        <w:annotationRef/>
      </w:r>
      <w:r>
        <w:t xml:space="preserve">This needs more justification. 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0EEE74F" w15:done="0"/>
  <w15:commentEx w15:paraId="6D17DEB4" w15:done="0"/>
  <w15:commentEx w15:paraId="56FE9249" w15:done="0"/>
  <w15:commentEx w15:paraId="5E56CE02" w15:done="0"/>
  <w15:commentEx w15:paraId="39CFA260" w15:paraIdParent="5E56CE02" w15:done="0"/>
  <w15:commentEx w15:paraId="1A18055F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C74491" w14:textId="77777777" w:rsidR="00D13DEB" w:rsidRDefault="00D13DEB" w:rsidP="003644C9">
      <w:pPr>
        <w:spacing w:after="0" w:line="240" w:lineRule="auto"/>
      </w:pPr>
      <w:r>
        <w:separator/>
      </w:r>
    </w:p>
  </w:endnote>
  <w:endnote w:type="continuationSeparator" w:id="0">
    <w:p w14:paraId="500350A0" w14:textId="77777777" w:rsidR="00D13DEB" w:rsidRDefault="00D13DEB" w:rsidP="00364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AC7C82" w14:textId="77777777" w:rsidR="00D13DEB" w:rsidRDefault="00D13DEB" w:rsidP="003644C9">
      <w:pPr>
        <w:spacing w:after="0" w:line="240" w:lineRule="auto"/>
      </w:pPr>
      <w:r>
        <w:separator/>
      </w:r>
    </w:p>
  </w:footnote>
  <w:footnote w:type="continuationSeparator" w:id="0">
    <w:p w14:paraId="787D1C57" w14:textId="77777777" w:rsidR="00D13DEB" w:rsidRDefault="00D13DEB" w:rsidP="003644C9">
      <w:pPr>
        <w:spacing w:after="0" w:line="240" w:lineRule="auto"/>
      </w:pPr>
      <w:r>
        <w:continuationSeparator/>
      </w:r>
    </w:p>
  </w:footnote>
  <w:footnote w:id="1">
    <w:p w14:paraId="58FB27E4" w14:textId="292271E1" w:rsidR="003644C9" w:rsidRDefault="003644C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F7EF2">
        <w:t xml:space="preserve">Ludwig Wittgenstein., </w:t>
      </w:r>
      <w:r w:rsidR="000F7EF2">
        <w:rPr>
          <w:i/>
          <w:iCs/>
        </w:rPr>
        <w:t xml:space="preserve">Philosophical Investigations, </w:t>
      </w:r>
      <w:r w:rsidR="000F7EF2">
        <w:t xml:space="preserve">trans. by G.E.M Anscombe, (Oxford: Blackwell, 1972), PI 43, p </w:t>
      </w:r>
      <w:r w:rsidR="00F90360">
        <w:t>20e</w:t>
      </w:r>
    </w:p>
  </w:footnote>
  <w:footnote w:id="2">
    <w:p w14:paraId="766D9EFC" w14:textId="1D7E4094" w:rsidR="0071016B" w:rsidRDefault="0071016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33CE7">
        <w:t xml:space="preserve">Ludwig Wittgenstein., </w:t>
      </w:r>
      <w:proofErr w:type="spellStart"/>
      <w:r w:rsidR="00233CE7" w:rsidRPr="00233CE7">
        <w:rPr>
          <w:i/>
          <w:iCs/>
        </w:rPr>
        <w:t>Tractatus</w:t>
      </w:r>
      <w:proofErr w:type="spellEnd"/>
      <w:r w:rsidR="00233CE7" w:rsidRPr="00233CE7">
        <w:rPr>
          <w:i/>
          <w:iCs/>
        </w:rPr>
        <w:t xml:space="preserve"> </w:t>
      </w:r>
      <w:proofErr w:type="spellStart"/>
      <w:r w:rsidR="00233CE7" w:rsidRPr="00233CE7">
        <w:rPr>
          <w:i/>
          <w:iCs/>
        </w:rPr>
        <w:t>Logico-Philosophicus</w:t>
      </w:r>
      <w:proofErr w:type="spellEnd"/>
      <w:r w:rsidR="00233CE7" w:rsidRPr="00233CE7">
        <w:t>, trans. by C.K. Ogden, (London: Routledge, 1922)</w:t>
      </w:r>
    </w:p>
  </w:footnote>
  <w:footnote w:id="3">
    <w:p w14:paraId="598A11D7" w14:textId="00910A2E" w:rsidR="00D32056" w:rsidRDefault="00D32056">
      <w:pPr>
        <w:pStyle w:val="FootnoteText"/>
      </w:pPr>
      <w:r>
        <w:rPr>
          <w:rStyle w:val="FootnoteReference"/>
        </w:rPr>
        <w:footnoteRef/>
      </w:r>
      <w:r>
        <w:t xml:space="preserve"> Ludwig Wittgenstein., </w:t>
      </w:r>
      <w:r>
        <w:rPr>
          <w:i/>
          <w:iCs/>
        </w:rPr>
        <w:t xml:space="preserve">Philosophical Investigations, </w:t>
      </w:r>
      <w:r>
        <w:t>trans. by G.E.M Anscombe, (Oxford: Blackwell, 1972)</w:t>
      </w:r>
    </w:p>
  </w:footnote>
  <w:footnote w:id="4">
    <w:p w14:paraId="1297CA0C" w14:textId="03E940F6" w:rsidR="00F2504C" w:rsidRDefault="00F2504C">
      <w:pPr>
        <w:pStyle w:val="FootnoteText"/>
      </w:pPr>
      <w:r>
        <w:rPr>
          <w:rStyle w:val="FootnoteReference"/>
        </w:rPr>
        <w:footnoteRef/>
      </w:r>
      <w:r w:rsidR="00F90360">
        <w:t xml:space="preserve"> Wittgenstein., </w:t>
      </w:r>
      <w:r w:rsidR="00F90360">
        <w:rPr>
          <w:i/>
          <w:iCs/>
        </w:rPr>
        <w:t xml:space="preserve">ibid., </w:t>
      </w:r>
      <w:r w:rsidR="00C860A6" w:rsidRPr="00C860A6">
        <w:t>PI 43</w:t>
      </w:r>
    </w:p>
  </w:footnote>
  <w:footnote w:id="5">
    <w:p w14:paraId="2077CDE4" w14:textId="28BF122A" w:rsidR="00DD6436" w:rsidRDefault="00DD643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864AD">
        <w:t xml:space="preserve">From here-on-out I will use </w:t>
      </w:r>
      <w:proofErr w:type="spellStart"/>
      <w:r w:rsidR="003864AD">
        <w:t>Tractatus</w:t>
      </w:r>
      <w:proofErr w:type="spellEnd"/>
      <w:r w:rsidR="003864AD">
        <w:t xml:space="preserve"> to refer to </w:t>
      </w:r>
      <w:proofErr w:type="spellStart"/>
      <w:r w:rsidR="003864AD" w:rsidRPr="003864AD">
        <w:t>Tractatus</w:t>
      </w:r>
      <w:proofErr w:type="spellEnd"/>
      <w:r w:rsidR="003864AD" w:rsidRPr="003864AD">
        <w:t xml:space="preserve"> </w:t>
      </w:r>
      <w:proofErr w:type="spellStart"/>
      <w:r w:rsidR="003864AD" w:rsidRPr="003864AD">
        <w:t>Logico-Philosophicus</w:t>
      </w:r>
      <w:proofErr w:type="spellEnd"/>
    </w:p>
  </w:footnote>
  <w:footnote w:id="6">
    <w:p w14:paraId="4301D362" w14:textId="7F365169" w:rsidR="00203DDF" w:rsidRDefault="00203DD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82BA6">
        <w:t xml:space="preserve">Propositional sign </w:t>
      </w:r>
      <w:r w:rsidR="00A82BA6">
        <w:t>refers to the</w:t>
      </w:r>
      <w:r w:rsidR="00EC45C3">
        <w:t xml:space="preserve"> physical</w:t>
      </w:r>
      <w:r w:rsidR="00A82BA6">
        <w:t xml:space="preserve"> expression of a</w:t>
      </w:r>
      <w:r w:rsidR="00EC45C3">
        <w:t>n elementary proposition</w:t>
      </w:r>
    </w:p>
  </w:footnote>
  <w:footnote w:id="7">
    <w:p w14:paraId="762C2631" w14:textId="77777777" w:rsidR="00C51B98" w:rsidRDefault="00C51B98" w:rsidP="00C51B9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16872">
        <w:t>Anthony</w:t>
      </w:r>
      <w:r>
        <w:t xml:space="preserve"> Kenny</w:t>
      </w:r>
      <w:r w:rsidRPr="00C16872">
        <w:t xml:space="preserve">., </w:t>
      </w:r>
      <w:r w:rsidRPr="00C16872">
        <w:rPr>
          <w:i/>
          <w:iCs/>
        </w:rPr>
        <w:t>Wittgenstein</w:t>
      </w:r>
      <w:r w:rsidRPr="00C16872">
        <w:t>, (Oxford: Blackwell, 2006)</w:t>
      </w:r>
    </w:p>
  </w:footnote>
  <w:footnote w:id="8">
    <w:p w14:paraId="3DDD5659" w14:textId="266DC8FA" w:rsidR="00857A31" w:rsidRDefault="00857A31">
      <w:pPr>
        <w:pStyle w:val="FootnoteText"/>
      </w:pPr>
      <w:r>
        <w:rPr>
          <w:rStyle w:val="FootnoteReference"/>
        </w:rPr>
        <w:footnoteRef/>
      </w:r>
      <w:r>
        <w:t xml:space="preserve"> Wittgenstein., </w:t>
      </w:r>
      <w:r>
        <w:rPr>
          <w:i/>
          <w:iCs/>
        </w:rPr>
        <w:t xml:space="preserve">ibid., </w:t>
      </w:r>
      <w:r w:rsidRPr="00C860A6">
        <w:t>PI</w:t>
      </w:r>
      <w:r>
        <w:t xml:space="preserve"> 2</w:t>
      </w:r>
      <w:r w:rsidR="00FD58A7">
        <w:t xml:space="preserve"> </w:t>
      </w:r>
    </w:p>
  </w:footnote>
  <w:footnote w:id="9">
    <w:p w14:paraId="2C9836BB" w14:textId="074A8D24" w:rsidR="00C07A88" w:rsidRPr="00C07A88" w:rsidRDefault="00C07A88">
      <w:pPr>
        <w:pStyle w:val="FootnoteText"/>
      </w:pPr>
      <w:r>
        <w:rPr>
          <w:rStyle w:val="FootnoteReference"/>
        </w:rPr>
        <w:footnoteRef/>
      </w:r>
      <w:r>
        <w:t xml:space="preserve"> Wittgenstein., </w:t>
      </w:r>
      <w:r>
        <w:rPr>
          <w:i/>
          <w:iCs/>
        </w:rPr>
        <w:t xml:space="preserve">ibid., </w:t>
      </w:r>
      <w:r>
        <w:t>PI 66</w:t>
      </w:r>
    </w:p>
  </w:footnote>
  <w:footnote w:id="10">
    <w:p w14:paraId="51B0F211" w14:textId="07F95973" w:rsidR="00512C5D" w:rsidRPr="00512C5D" w:rsidRDefault="00512C5D">
      <w:pPr>
        <w:pStyle w:val="FootnoteText"/>
      </w:pPr>
      <w:r>
        <w:rPr>
          <w:rStyle w:val="FootnoteReference"/>
        </w:rPr>
        <w:footnoteRef/>
      </w:r>
      <w:r>
        <w:t xml:space="preserve"> Wittgenstein., </w:t>
      </w:r>
      <w:r>
        <w:rPr>
          <w:i/>
          <w:iCs/>
        </w:rPr>
        <w:t>ibid</w:t>
      </w:r>
      <w:r>
        <w:t>., PI 7</w:t>
      </w:r>
    </w:p>
  </w:footnote>
  <w:footnote w:id="11">
    <w:p w14:paraId="6F4CFFA3" w14:textId="57C5C704" w:rsidR="00DE248F" w:rsidRPr="00DE248F" w:rsidRDefault="00DE248F">
      <w:pPr>
        <w:pStyle w:val="FootnoteText"/>
      </w:pPr>
      <w:r>
        <w:rPr>
          <w:rStyle w:val="FootnoteReference"/>
        </w:rPr>
        <w:footnoteRef/>
      </w:r>
      <w:r>
        <w:t xml:space="preserve"> Wittgenstein., </w:t>
      </w:r>
      <w:r>
        <w:rPr>
          <w:i/>
          <w:iCs/>
        </w:rPr>
        <w:t xml:space="preserve">ibid., </w:t>
      </w:r>
      <w:r>
        <w:t>PI 23, p11e</w:t>
      </w:r>
      <w:r w:rsidR="009C44B5">
        <w:t>-12e</w:t>
      </w:r>
    </w:p>
  </w:footnote>
  <w:footnote w:id="12">
    <w:p w14:paraId="00FCDC68" w14:textId="72EEAF83" w:rsidR="005277F5" w:rsidRPr="005277F5" w:rsidRDefault="005277F5">
      <w:pPr>
        <w:pStyle w:val="FootnoteText"/>
      </w:pPr>
      <w:r>
        <w:rPr>
          <w:rStyle w:val="FootnoteReference"/>
        </w:rPr>
        <w:footnoteRef/>
      </w:r>
      <w:r>
        <w:t xml:space="preserve"> Wittgenstein, </w:t>
      </w:r>
      <w:r>
        <w:rPr>
          <w:i/>
          <w:iCs/>
        </w:rPr>
        <w:t xml:space="preserve">ibid., </w:t>
      </w:r>
      <w:r>
        <w:t>PI 65</w:t>
      </w:r>
    </w:p>
  </w:footnote>
  <w:footnote w:id="13">
    <w:p w14:paraId="6592BF93" w14:textId="36B4324A" w:rsidR="00F94877" w:rsidRPr="00F94877" w:rsidRDefault="00F94877">
      <w:pPr>
        <w:pStyle w:val="FootnoteText"/>
      </w:pPr>
      <w:r>
        <w:rPr>
          <w:rStyle w:val="FootnoteReference"/>
        </w:rPr>
        <w:footnoteRef/>
      </w:r>
      <w:r>
        <w:t xml:space="preserve"> Wittgenstein, </w:t>
      </w:r>
      <w:r>
        <w:rPr>
          <w:i/>
          <w:iCs/>
        </w:rPr>
        <w:t xml:space="preserve">ibid., </w:t>
      </w:r>
      <w:r>
        <w:t>PI 66</w:t>
      </w:r>
    </w:p>
  </w:footnote>
  <w:footnote w:id="14">
    <w:p w14:paraId="3446E1AB" w14:textId="1E65C3D1" w:rsidR="00CA4D32" w:rsidRDefault="00CA4D32">
      <w:pPr>
        <w:pStyle w:val="FootnoteText"/>
      </w:pPr>
      <w:r>
        <w:rPr>
          <w:rStyle w:val="FootnoteReference"/>
        </w:rPr>
        <w:footnoteRef/>
      </w:r>
      <w:r>
        <w:t xml:space="preserve"> Wittgenstein, </w:t>
      </w:r>
      <w:r>
        <w:rPr>
          <w:i/>
          <w:iCs/>
        </w:rPr>
        <w:t xml:space="preserve">ibid., </w:t>
      </w:r>
      <w:r>
        <w:t>PI 66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A549B"/>
    <w:multiLevelType w:val="hybridMultilevel"/>
    <w:tmpl w:val="1FDEF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711B9"/>
    <w:multiLevelType w:val="hybridMultilevel"/>
    <w:tmpl w:val="28D4D0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5191A"/>
    <w:multiLevelType w:val="hybridMultilevel"/>
    <w:tmpl w:val="65D29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02EF9"/>
    <w:multiLevelType w:val="hybridMultilevel"/>
    <w:tmpl w:val="94842A5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33957BF"/>
    <w:multiLevelType w:val="hybridMultilevel"/>
    <w:tmpl w:val="EA80F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3C1449"/>
    <w:multiLevelType w:val="hybridMultilevel"/>
    <w:tmpl w:val="D9C891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561D45"/>
    <w:multiLevelType w:val="hybridMultilevel"/>
    <w:tmpl w:val="27B259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B76B6"/>
    <w:multiLevelType w:val="hybridMultilevel"/>
    <w:tmpl w:val="E29C1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1201C2"/>
    <w:multiLevelType w:val="hybridMultilevel"/>
    <w:tmpl w:val="4500A34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5"/>
  </w:num>
  <w:num w:numId="7">
    <w:abstractNumId w:val="6"/>
  </w:num>
  <w:num w:numId="8">
    <w:abstractNumId w:val="1"/>
  </w:num>
  <w:num w:numId="9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Gavin Palmer">
    <w15:presenceInfo w15:providerId="None" w15:userId="Gavin Palm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9C2"/>
    <w:rsid w:val="00000FA1"/>
    <w:rsid w:val="00004F44"/>
    <w:rsid w:val="00016861"/>
    <w:rsid w:val="00017C7C"/>
    <w:rsid w:val="0003177B"/>
    <w:rsid w:val="00036995"/>
    <w:rsid w:val="00040B26"/>
    <w:rsid w:val="000410EE"/>
    <w:rsid w:val="00053BA1"/>
    <w:rsid w:val="00055167"/>
    <w:rsid w:val="000645FB"/>
    <w:rsid w:val="00067454"/>
    <w:rsid w:val="0006784E"/>
    <w:rsid w:val="00077008"/>
    <w:rsid w:val="000870B3"/>
    <w:rsid w:val="000B0202"/>
    <w:rsid w:val="000B5CB6"/>
    <w:rsid w:val="000C7A01"/>
    <w:rsid w:val="000D06F8"/>
    <w:rsid w:val="000D2828"/>
    <w:rsid w:val="000D6E00"/>
    <w:rsid w:val="000F31FD"/>
    <w:rsid w:val="000F618C"/>
    <w:rsid w:val="000F7EF2"/>
    <w:rsid w:val="000F7FCA"/>
    <w:rsid w:val="0010622A"/>
    <w:rsid w:val="0010755B"/>
    <w:rsid w:val="001153C0"/>
    <w:rsid w:val="00122452"/>
    <w:rsid w:val="00125552"/>
    <w:rsid w:val="00133ECF"/>
    <w:rsid w:val="00136DF1"/>
    <w:rsid w:val="00136E76"/>
    <w:rsid w:val="00137A5D"/>
    <w:rsid w:val="001423FD"/>
    <w:rsid w:val="0014279B"/>
    <w:rsid w:val="00143A94"/>
    <w:rsid w:val="00144587"/>
    <w:rsid w:val="001512B7"/>
    <w:rsid w:val="0015354E"/>
    <w:rsid w:val="00154E6B"/>
    <w:rsid w:val="00155BB7"/>
    <w:rsid w:val="00155D15"/>
    <w:rsid w:val="00161DAF"/>
    <w:rsid w:val="00166866"/>
    <w:rsid w:val="001746BC"/>
    <w:rsid w:val="001755F1"/>
    <w:rsid w:val="001770F7"/>
    <w:rsid w:val="00185946"/>
    <w:rsid w:val="00191564"/>
    <w:rsid w:val="001979EE"/>
    <w:rsid w:val="001A0246"/>
    <w:rsid w:val="001A0927"/>
    <w:rsid w:val="001B4DB9"/>
    <w:rsid w:val="001B61F1"/>
    <w:rsid w:val="001C2C70"/>
    <w:rsid w:val="001D0E98"/>
    <w:rsid w:val="001D66E7"/>
    <w:rsid w:val="001D6F78"/>
    <w:rsid w:val="001F0AA0"/>
    <w:rsid w:val="001F1525"/>
    <w:rsid w:val="001F4E50"/>
    <w:rsid w:val="00203DDF"/>
    <w:rsid w:val="00204112"/>
    <w:rsid w:val="002048E4"/>
    <w:rsid w:val="002273ED"/>
    <w:rsid w:val="00230D8B"/>
    <w:rsid w:val="00233CE7"/>
    <w:rsid w:val="00234D8D"/>
    <w:rsid w:val="00251A27"/>
    <w:rsid w:val="00260FBB"/>
    <w:rsid w:val="00275F01"/>
    <w:rsid w:val="0028067E"/>
    <w:rsid w:val="002901FA"/>
    <w:rsid w:val="00293F07"/>
    <w:rsid w:val="00293F91"/>
    <w:rsid w:val="0029609B"/>
    <w:rsid w:val="002A6F9B"/>
    <w:rsid w:val="002B0B2B"/>
    <w:rsid w:val="002B21BA"/>
    <w:rsid w:val="002B3CCC"/>
    <w:rsid w:val="002B678B"/>
    <w:rsid w:val="002E0551"/>
    <w:rsid w:val="002F05D1"/>
    <w:rsid w:val="002F1221"/>
    <w:rsid w:val="002F6519"/>
    <w:rsid w:val="00304E47"/>
    <w:rsid w:val="0031285F"/>
    <w:rsid w:val="00316C3E"/>
    <w:rsid w:val="00320EAF"/>
    <w:rsid w:val="00325C9F"/>
    <w:rsid w:val="00326487"/>
    <w:rsid w:val="0034558E"/>
    <w:rsid w:val="00353C0C"/>
    <w:rsid w:val="00360FCC"/>
    <w:rsid w:val="00361C6D"/>
    <w:rsid w:val="003644C9"/>
    <w:rsid w:val="0037010A"/>
    <w:rsid w:val="00376FDA"/>
    <w:rsid w:val="00382853"/>
    <w:rsid w:val="00385E41"/>
    <w:rsid w:val="003864AD"/>
    <w:rsid w:val="00387092"/>
    <w:rsid w:val="003934BD"/>
    <w:rsid w:val="0039529E"/>
    <w:rsid w:val="003A2BFF"/>
    <w:rsid w:val="003A7E35"/>
    <w:rsid w:val="003B1694"/>
    <w:rsid w:val="003B4080"/>
    <w:rsid w:val="003B7A78"/>
    <w:rsid w:val="003D42CE"/>
    <w:rsid w:val="003D59C2"/>
    <w:rsid w:val="003D7CCC"/>
    <w:rsid w:val="003E72D5"/>
    <w:rsid w:val="003F0BE3"/>
    <w:rsid w:val="003F44F8"/>
    <w:rsid w:val="003F5A8E"/>
    <w:rsid w:val="00402CEF"/>
    <w:rsid w:val="00404EFC"/>
    <w:rsid w:val="00420D0C"/>
    <w:rsid w:val="0042328F"/>
    <w:rsid w:val="00431D3A"/>
    <w:rsid w:val="0044254A"/>
    <w:rsid w:val="00446E74"/>
    <w:rsid w:val="00446F78"/>
    <w:rsid w:val="004506BC"/>
    <w:rsid w:val="00451261"/>
    <w:rsid w:val="00455AB7"/>
    <w:rsid w:val="00466084"/>
    <w:rsid w:val="00467026"/>
    <w:rsid w:val="0046763B"/>
    <w:rsid w:val="0047531A"/>
    <w:rsid w:val="00480121"/>
    <w:rsid w:val="0048532C"/>
    <w:rsid w:val="0048771F"/>
    <w:rsid w:val="00496995"/>
    <w:rsid w:val="004973D6"/>
    <w:rsid w:val="004A3EE3"/>
    <w:rsid w:val="004A79BA"/>
    <w:rsid w:val="004C6153"/>
    <w:rsid w:val="004D0FD2"/>
    <w:rsid w:val="004D56AE"/>
    <w:rsid w:val="004D7A63"/>
    <w:rsid w:val="004E0662"/>
    <w:rsid w:val="004E4D1C"/>
    <w:rsid w:val="004F5ABF"/>
    <w:rsid w:val="00503E02"/>
    <w:rsid w:val="00512C5D"/>
    <w:rsid w:val="00514D65"/>
    <w:rsid w:val="00516CCC"/>
    <w:rsid w:val="005277F5"/>
    <w:rsid w:val="0053281B"/>
    <w:rsid w:val="00540FB6"/>
    <w:rsid w:val="0056588B"/>
    <w:rsid w:val="00567D13"/>
    <w:rsid w:val="00576192"/>
    <w:rsid w:val="00580F82"/>
    <w:rsid w:val="005A0112"/>
    <w:rsid w:val="005A03C1"/>
    <w:rsid w:val="005A3E61"/>
    <w:rsid w:val="005A7C51"/>
    <w:rsid w:val="005B0651"/>
    <w:rsid w:val="005B23FC"/>
    <w:rsid w:val="005B34BE"/>
    <w:rsid w:val="005B4CD0"/>
    <w:rsid w:val="005B4FBF"/>
    <w:rsid w:val="005D4039"/>
    <w:rsid w:val="005D468B"/>
    <w:rsid w:val="005D5C0C"/>
    <w:rsid w:val="005D71A2"/>
    <w:rsid w:val="005E61EA"/>
    <w:rsid w:val="005E73F7"/>
    <w:rsid w:val="005F143D"/>
    <w:rsid w:val="00602238"/>
    <w:rsid w:val="00602884"/>
    <w:rsid w:val="00604AD5"/>
    <w:rsid w:val="00610759"/>
    <w:rsid w:val="00612CDA"/>
    <w:rsid w:val="00616DD5"/>
    <w:rsid w:val="006200AF"/>
    <w:rsid w:val="00626DBB"/>
    <w:rsid w:val="006446FD"/>
    <w:rsid w:val="00646B08"/>
    <w:rsid w:val="00651DE7"/>
    <w:rsid w:val="006559EA"/>
    <w:rsid w:val="006579CD"/>
    <w:rsid w:val="00657A0D"/>
    <w:rsid w:val="0066247C"/>
    <w:rsid w:val="00664875"/>
    <w:rsid w:val="0067226A"/>
    <w:rsid w:val="00677050"/>
    <w:rsid w:val="00677090"/>
    <w:rsid w:val="00693393"/>
    <w:rsid w:val="00693F99"/>
    <w:rsid w:val="006946BC"/>
    <w:rsid w:val="0069695A"/>
    <w:rsid w:val="006A1579"/>
    <w:rsid w:val="006A5395"/>
    <w:rsid w:val="006B6A49"/>
    <w:rsid w:val="006B7041"/>
    <w:rsid w:val="006C504D"/>
    <w:rsid w:val="006E72CB"/>
    <w:rsid w:val="006E7F23"/>
    <w:rsid w:val="006F035B"/>
    <w:rsid w:val="006F41DB"/>
    <w:rsid w:val="006F68D7"/>
    <w:rsid w:val="007015F2"/>
    <w:rsid w:val="00702E19"/>
    <w:rsid w:val="00704463"/>
    <w:rsid w:val="0071016B"/>
    <w:rsid w:val="0071031D"/>
    <w:rsid w:val="00710A7B"/>
    <w:rsid w:val="007120CD"/>
    <w:rsid w:val="007169FA"/>
    <w:rsid w:val="007176E3"/>
    <w:rsid w:val="00736F50"/>
    <w:rsid w:val="00743CB4"/>
    <w:rsid w:val="00757529"/>
    <w:rsid w:val="00762C55"/>
    <w:rsid w:val="00765733"/>
    <w:rsid w:val="0079565A"/>
    <w:rsid w:val="00797197"/>
    <w:rsid w:val="00797615"/>
    <w:rsid w:val="007A084C"/>
    <w:rsid w:val="007A10EE"/>
    <w:rsid w:val="007A6E9B"/>
    <w:rsid w:val="007B2F2E"/>
    <w:rsid w:val="007B482E"/>
    <w:rsid w:val="007D0520"/>
    <w:rsid w:val="007D3A4A"/>
    <w:rsid w:val="007E3351"/>
    <w:rsid w:val="007E66F7"/>
    <w:rsid w:val="007F017A"/>
    <w:rsid w:val="007F1A3A"/>
    <w:rsid w:val="007F45BA"/>
    <w:rsid w:val="007F66B6"/>
    <w:rsid w:val="007F7E5C"/>
    <w:rsid w:val="008003DB"/>
    <w:rsid w:val="00827B8C"/>
    <w:rsid w:val="008355A0"/>
    <w:rsid w:val="00835EB9"/>
    <w:rsid w:val="008410DF"/>
    <w:rsid w:val="00844BB3"/>
    <w:rsid w:val="00847FE9"/>
    <w:rsid w:val="00850752"/>
    <w:rsid w:val="00851A10"/>
    <w:rsid w:val="008526D9"/>
    <w:rsid w:val="00855FE4"/>
    <w:rsid w:val="00856B5C"/>
    <w:rsid w:val="00857A31"/>
    <w:rsid w:val="00866B3A"/>
    <w:rsid w:val="0087019C"/>
    <w:rsid w:val="0087036C"/>
    <w:rsid w:val="008822B9"/>
    <w:rsid w:val="00897653"/>
    <w:rsid w:val="008B6B4F"/>
    <w:rsid w:val="008C0F16"/>
    <w:rsid w:val="008D0A53"/>
    <w:rsid w:val="008D24CE"/>
    <w:rsid w:val="008D296D"/>
    <w:rsid w:val="008D55CE"/>
    <w:rsid w:val="008D69B6"/>
    <w:rsid w:val="008E0210"/>
    <w:rsid w:val="008E1AE1"/>
    <w:rsid w:val="008E6287"/>
    <w:rsid w:val="008E768B"/>
    <w:rsid w:val="008F3308"/>
    <w:rsid w:val="008F546B"/>
    <w:rsid w:val="008F6663"/>
    <w:rsid w:val="009003F7"/>
    <w:rsid w:val="0092089A"/>
    <w:rsid w:val="00921D51"/>
    <w:rsid w:val="00924C72"/>
    <w:rsid w:val="00931533"/>
    <w:rsid w:val="009359D7"/>
    <w:rsid w:val="00935BAF"/>
    <w:rsid w:val="009450F6"/>
    <w:rsid w:val="00965A14"/>
    <w:rsid w:val="009868FA"/>
    <w:rsid w:val="00991032"/>
    <w:rsid w:val="00995962"/>
    <w:rsid w:val="00996694"/>
    <w:rsid w:val="009A4B0F"/>
    <w:rsid w:val="009A5077"/>
    <w:rsid w:val="009B1D51"/>
    <w:rsid w:val="009C2C35"/>
    <w:rsid w:val="009C44B5"/>
    <w:rsid w:val="009D3CE9"/>
    <w:rsid w:val="009E41F1"/>
    <w:rsid w:val="009E4C14"/>
    <w:rsid w:val="009F5CD1"/>
    <w:rsid w:val="009F636C"/>
    <w:rsid w:val="009F6DC5"/>
    <w:rsid w:val="00A122DF"/>
    <w:rsid w:val="00A15598"/>
    <w:rsid w:val="00A37499"/>
    <w:rsid w:val="00A50272"/>
    <w:rsid w:val="00A52B2C"/>
    <w:rsid w:val="00A61B27"/>
    <w:rsid w:val="00A703B8"/>
    <w:rsid w:val="00A74269"/>
    <w:rsid w:val="00A76887"/>
    <w:rsid w:val="00A76DB1"/>
    <w:rsid w:val="00A82BA6"/>
    <w:rsid w:val="00A84EF5"/>
    <w:rsid w:val="00A85040"/>
    <w:rsid w:val="00A873D8"/>
    <w:rsid w:val="00A926B0"/>
    <w:rsid w:val="00A94DFA"/>
    <w:rsid w:val="00A952FC"/>
    <w:rsid w:val="00AA07AA"/>
    <w:rsid w:val="00AA436E"/>
    <w:rsid w:val="00AA4673"/>
    <w:rsid w:val="00AA658E"/>
    <w:rsid w:val="00AC3161"/>
    <w:rsid w:val="00AE7A38"/>
    <w:rsid w:val="00B15BE6"/>
    <w:rsid w:val="00B33A22"/>
    <w:rsid w:val="00B34807"/>
    <w:rsid w:val="00B35AC5"/>
    <w:rsid w:val="00B42900"/>
    <w:rsid w:val="00B56AFF"/>
    <w:rsid w:val="00B600FC"/>
    <w:rsid w:val="00B71CED"/>
    <w:rsid w:val="00B93BDC"/>
    <w:rsid w:val="00B940B1"/>
    <w:rsid w:val="00BA6E4F"/>
    <w:rsid w:val="00BB40E4"/>
    <w:rsid w:val="00BC7350"/>
    <w:rsid w:val="00BD72E2"/>
    <w:rsid w:val="00BE2D32"/>
    <w:rsid w:val="00BE3419"/>
    <w:rsid w:val="00BE34FA"/>
    <w:rsid w:val="00BE69AE"/>
    <w:rsid w:val="00BE777B"/>
    <w:rsid w:val="00BF48F0"/>
    <w:rsid w:val="00C07A88"/>
    <w:rsid w:val="00C1459A"/>
    <w:rsid w:val="00C16872"/>
    <w:rsid w:val="00C2028F"/>
    <w:rsid w:val="00C25352"/>
    <w:rsid w:val="00C36ADD"/>
    <w:rsid w:val="00C43075"/>
    <w:rsid w:val="00C51B98"/>
    <w:rsid w:val="00C53C86"/>
    <w:rsid w:val="00C5472C"/>
    <w:rsid w:val="00C61ED3"/>
    <w:rsid w:val="00C62374"/>
    <w:rsid w:val="00C62DEE"/>
    <w:rsid w:val="00C66046"/>
    <w:rsid w:val="00C66D57"/>
    <w:rsid w:val="00C71E13"/>
    <w:rsid w:val="00C71EA3"/>
    <w:rsid w:val="00C860A6"/>
    <w:rsid w:val="00C90A7C"/>
    <w:rsid w:val="00C90C79"/>
    <w:rsid w:val="00C93493"/>
    <w:rsid w:val="00CA4D32"/>
    <w:rsid w:val="00CA7777"/>
    <w:rsid w:val="00CB1457"/>
    <w:rsid w:val="00CB206E"/>
    <w:rsid w:val="00CB42CF"/>
    <w:rsid w:val="00CB4ED3"/>
    <w:rsid w:val="00CB5F56"/>
    <w:rsid w:val="00CC35F0"/>
    <w:rsid w:val="00CC5ADA"/>
    <w:rsid w:val="00CC68B2"/>
    <w:rsid w:val="00CD01EB"/>
    <w:rsid w:val="00CE0BEA"/>
    <w:rsid w:val="00CE41E8"/>
    <w:rsid w:val="00CF1EDA"/>
    <w:rsid w:val="00D052AD"/>
    <w:rsid w:val="00D13DEB"/>
    <w:rsid w:val="00D179D8"/>
    <w:rsid w:val="00D23BDF"/>
    <w:rsid w:val="00D30A1A"/>
    <w:rsid w:val="00D32056"/>
    <w:rsid w:val="00D3626F"/>
    <w:rsid w:val="00D57335"/>
    <w:rsid w:val="00D7263D"/>
    <w:rsid w:val="00D72F00"/>
    <w:rsid w:val="00D73074"/>
    <w:rsid w:val="00D744A3"/>
    <w:rsid w:val="00D81D7E"/>
    <w:rsid w:val="00D83D18"/>
    <w:rsid w:val="00D855F8"/>
    <w:rsid w:val="00D861A7"/>
    <w:rsid w:val="00D91397"/>
    <w:rsid w:val="00D9382C"/>
    <w:rsid w:val="00DA4F37"/>
    <w:rsid w:val="00DB1E11"/>
    <w:rsid w:val="00DB7662"/>
    <w:rsid w:val="00DC32F5"/>
    <w:rsid w:val="00DD52CB"/>
    <w:rsid w:val="00DD6436"/>
    <w:rsid w:val="00DE248F"/>
    <w:rsid w:val="00DE76B3"/>
    <w:rsid w:val="00E01D67"/>
    <w:rsid w:val="00E05827"/>
    <w:rsid w:val="00E062F4"/>
    <w:rsid w:val="00E12D50"/>
    <w:rsid w:val="00E130F4"/>
    <w:rsid w:val="00E23875"/>
    <w:rsid w:val="00E27E6B"/>
    <w:rsid w:val="00E41EDD"/>
    <w:rsid w:val="00E544A5"/>
    <w:rsid w:val="00E5581C"/>
    <w:rsid w:val="00E83EA0"/>
    <w:rsid w:val="00E83FE4"/>
    <w:rsid w:val="00E84B58"/>
    <w:rsid w:val="00E93572"/>
    <w:rsid w:val="00EA1565"/>
    <w:rsid w:val="00EA2F00"/>
    <w:rsid w:val="00EA41AE"/>
    <w:rsid w:val="00EB021C"/>
    <w:rsid w:val="00EB3AB5"/>
    <w:rsid w:val="00EB665A"/>
    <w:rsid w:val="00EC3568"/>
    <w:rsid w:val="00EC45C3"/>
    <w:rsid w:val="00EE1F2F"/>
    <w:rsid w:val="00EE2A60"/>
    <w:rsid w:val="00EF337D"/>
    <w:rsid w:val="00F013D5"/>
    <w:rsid w:val="00F07AB3"/>
    <w:rsid w:val="00F12A5A"/>
    <w:rsid w:val="00F2504C"/>
    <w:rsid w:val="00F35C45"/>
    <w:rsid w:val="00F475EF"/>
    <w:rsid w:val="00F47CA2"/>
    <w:rsid w:val="00F50A1F"/>
    <w:rsid w:val="00F530AD"/>
    <w:rsid w:val="00F65D01"/>
    <w:rsid w:val="00F7642B"/>
    <w:rsid w:val="00F768E4"/>
    <w:rsid w:val="00F773DD"/>
    <w:rsid w:val="00F8762A"/>
    <w:rsid w:val="00F90360"/>
    <w:rsid w:val="00F903F2"/>
    <w:rsid w:val="00F90B6F"/>
    <w:rsid w:val="00F92E7D"/>
    <w:rsid w:val="00F93B82"/>
    <w:rsid w:val="00F94877"/>
    <w:rsid w:val="00F964D5"/>
    <w:rsid w:val="00FA2300"/>
    <w:rsid w:val="00FB18B1"/>
    <w:rsid w:val="00FB2F43"/>
    <w:rsid w:val="00FB3FA4"/>
    <w:rsid w:val="00FC4B5E"/>
    <w:rsid w:val="00FC55C4"/>
    <w:rsid w:val="00FC6B0A"/>
    <w:rsid w:val="00FD58A7"/>
    <w:rsid w:val="00FD5938"/>
    <w:rsid w:val="00FD72B5"/>
    <w:rsid w:val="00FE18BB"/>
    <w:rsid w:val="00FE21C9"/>
    <w:rsid w:val="00FE3106"/>
    <w:rsid w:val="00FE5628"/>
    <w:rsid w:val="00FE68A3"/>
    <w:rsid w:val="00FF2A49"/>
    <w:rsid w:val="00FF7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255AC"/>
  <w15:chartTrackingRefBased/>
  <w15:docId w15:val="{6A410B1A-3C75-42EB-A096-03C82A3FE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4463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644C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644C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644C9"/>
    <w:rPr>
      <w:vertAlign w:val="superscript"/>
    </w:rPr>
  </w:style>
  <w:style w:type="paragraph" w:styleId="Quote">
    <w:name w:val="Quote"/>
    <w:basedOn w:val="Normal"/>
    <w:next w:val="Normal"/>
    <w:link w:val="QuoteChar"/>
    <w:uiPriority w:val="29"/>
    <w:qFormat/>
    <w:rsid w:val="005B4CD0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4CD0"/>
    <w:rPr>
      <w:i/>
      <w:iCs/>
      <w:color w:val="404040" w:themeColor="text1" w:themeTint="BF"/>
    </w:rPr>
  </w:style>
  <w:style w:type="character" w:styleId="CommentReference">
    <w:name w:val="annotation reference"/>
    <w:basedOn w:val="DefaultParagraphFont"/>
    <w:uiPriority w:val="99"/>
    <w:semiHidden/>
    <w:unhideWhenUsed/>
    <w:rsid w:val="00D861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61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61A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61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61A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61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61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7C2371-1EA3-4F7C-8157-56721878F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2261</Words>
  <Characters>12892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Raleigh O'Sullivan</dc:creator>
  <cp:keywords/>
  <dc:description/>
  <cp:lastModifiedBy>Gavin Palmer</cp:lastModifiedBy>
  <cp:revision>3</cp:revision>
  <dcterms:created xsi:type="dcterms:W3CDTF">2020-01-09T12:37:00Z</dcterms:created>
  <dcterms:modified xsi:type="dcterms:W3CDTF">2020-01-09T13:07:00Z</dcterms:modified>
</cp:coreProperties>
</file>