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FED42D" w14:textId="77777777" w:rsidR="00485F46" w:rsidRDefault="00485F46" w:rsidP="00485F46">
      <w:pPr>
        <w:jc w:val="center"/>
        <w:rPr>
          <w:b/>
        </w:rPr>
      </w:pPr>
    </w:p>
    <w:p w14:paraId="41FED42E" w14:textId="77777777" w:rsidR="00485F46" w:rsidRDefault="00485F46" w:rsidP="00485F46">
      <w:pPr>
        <w:jc w:val="center"/>
        <w:rPr>
          <w:b/>
        </w:rPr>
      </w:pPr>
    </w:p>
    <w:p w14:paraId="41FED42F" w14:textId="77777777" w:rsidR="00485F46" w:rsidRDefault="00485F46" w:rsidP="00485F46">
      <w:pPr>
        <w:jc w:val="center"/>
        <w:rPr>
          <w:b/>
        </w:rPr>
      </w:pPr>
    </w:p>
    <w:p w14:paraId="41FED430" w14:textId="7682E280" w:rsidR="00485F46" w:rsidRDefault="00D06AD6" w:rsidP="00485F46">
      <w:pPr>
        <w:jc w:val="center"/>
        <w:rPr>
          <w:b/>
        </w:rPr>
      </w:pPr>
      <w:r>
        <w:rPr>
          <w:b/>
        </w:rPr>
        <w:t xml:space="preserve">Student </w:t>
      </w:r>
      <w:r w:rsidR="002C028A">
        <w:rPr>
          <w:b/>
        </w:rPr>
        <w:t>Id</w:t>
      </w:r>
      <w:r>
        <w:rPr>
          <w:b/>
        </w:rPr>
        <w:t>: 2226638</w:t>
      </w:r>
    </w:p>
    <w:p w14:paraId="41FED431" w14:textId="215D89CF" w:rsidR="00485F46" w:rsidRPr="00485F46" w:rsidRDefault="005C48BC" w:rsidP="00485F46">
      <w:pPr>
        <w:jc w:val="center"/>
        <w:rPr>
          <w:b/>
        </w:rPr>
      </w:pPr>
      <w:r>
        <w:rPr>
          <w:b/>
        </w:rPr>
        <w:t xml:space="preserve">Student Name: </w:t>
      </w:r>
      <w:r w:rsidR="00E7701E">
        <w:rPr>
          <w:b/>
        </w:rPr>
        <w:t>Silviu-Nicolae Comanescu</w:t>
      </w:r>
    </w:p>
    <w:p w14:paraId="41FED432" w14:textId="77777777" w:rsidR="00485F46" w:rsidRPr="00485F46" w:rsidRDefault="00485F46" w:rsidP="00485F46">
      <w:pPr>
        <w:jc w:val="center"/>
        <w:rPr>
          <w:b/>
        </w:rPr>
      </w:pPr>
      <w:r w:rsidRPr="00485F46">
        <w:rPr>
          <w:b/>
        </w:rPr>
        <w:t>Module: Sustainable Hospitality &amp; Tourism Management</w:t>
      </w:r>
    </w:p>
    <w:p w14:paraId="41FED433" w14:textId="77777777" w:rsidR="00485F46" w:rsidRPr="00485F46" w:rsidRDefault="00485F46" w:rsidP="00485F46">
      <w:pPr>
        <w:jc w:val="center"/>
        <w:rPr>
          <w:b/>
        </w:rPr>
      </w:pPr>
      <w:r w:rsidRPr="00485F46">
        <w:rPr>
          <w:b/>
        </w:rPr>
        <w:t>Module code: BMIH5006</w:t>
      </w:r>
    </w:p>
    <w:p w14:paraId="41FED435" w14:textId="262F5B24" w:rsidR="00DE26B3" w:rsidRDefault="00485F46" w:rsidP="002F65E8">
      <w:pPr>
        <w:jc w:val="center"/>
        <w:rPr>
          <w:b/>
        </w:rPr>
      </w:pPr>
      <w:r w:rsidRPr="00485F46">
        <w:rPr>
          <w:b/>
        </w:rPr>
        <w:t>Lecturer: Lisa-Marie Bassler</w:t>
      </w:r>
    </w:p>
    <w:p w14:paraId="41FED436" w14:textId="77777777" w:rsidR="00485F46" w:rsidRDefault="00485F46" w:rsidP="00485F46">
      <w:pPr>
        <w:jc w:val="center"/>
        <w:rPr>
          <w:b/>
        </w:rPr>
      </w:pPr>
      <w:r>
        <w:rPr>
          <w:b/>
        </w:rPr>
        <w:t xml:space="preserve">Selected Hotel: The Hoxton London </w:t>
      </w:r>
    </w:p>
    <w:p w14:paraId="41FED437" w14:textId="77777777" w:rsidR="00F61BAE" w:rsidRDefault="00F61BAE" w:rsidP="00485F46">
      <w:pPr>
        <w:jc w:val="center"/>
        <w:rPr>
          <w:b/>
        </w:rPr>
      </w:pPr>
    </w:p>
    <w:p w14:paraId="41FED438" w14:textId="77777777" w:rsidR="00F61BAE" w:rsidRDefault="00F61BAE" w:rsidP="00485F46">
      <w:pPr>
        <w:jc w:val="center"/>
        <w:rPr>
          <w:b/>
        </w:rPr>
      </w:pPr>
      <w:r>
        <w:rPr>
          <w:b/>
        </w:rPr>
        <w:t>AI Declaration</w:t>
      </w:r>
    </w:p>
    <w:p w14:paraId="41FED439" w14:textId="77777777" w:rsidR="00F61BAE" w:rsidRDefault="00F61BAE" w:rsidP="00485F46">
      <w:pPr>
        <w:jc w:val="center"/>
        <w:rPr>
          <w:b/>
        </w:rPr>
      </w:pPr>
      <w:r>
        <w:rPr>
          <w:noProof/>
          <w:lang w:val="en-US"/>
        </w:rPr>
        <w:drawing>
          <wp:inline distT="0" distB="0" distL="0" distR="0" wp14:anchorId="41FED460" wp14:editId="41FED461">
            <wp:extent cx="5943600" cy="755015"/>
            <wp:effectExtent l="0" t="0" r="0" b="6985"/>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stretch>
                      <a:fillRect/>
                    </a:stretch>
                  </pic:blipFill>
                  <pic:spPr>
                    <a:xfrm>
                      <a:off x="0" y="0"/>
                      <a:ext cx="5943600" cy="755015"/>
                    </a:xfrm>
                    <a:prstGeom prst="rect">
                      <a:avLst/>
                    </a:prstGeom>
                  </pic:spPr>
                </pic:pic>
              </a:graphicData>
            </a:graphic>
          </wp:inline>
        </w:drawing>
      </w:r>
    </w:p>
    <w:p w14:paraId="41FED43A" w14:textId="77777777" w:rsidR="00E934C4" w:rsidRPr="00E934C4" w:rsidRDefault="00427294" w:rsidP="00E934C4">
      <w:pPr>
        <w:spacing w:line="259" w:lineRule="auto"/>
        <w:jc w:val="left"/>
        <w:rPr>
          <w:b/>
        </w:rPr>
      </w:pPr>
      <w:r>
        <w:rPr>
          <w:b/>
        </w:rPr>
        <w:br w:type="page"/>
      </w:r>
    </w:p>
    <w:p w14:paraId="41FED43B" w14:textId="77777777" w:rsidR="00E934C4" w:rsidRDefault="00F07476" w:rsidP="00E934C4">
      <w:r w:rsidRPr="00F07476">
        <w:lastRenderedPageBreak/>
        <w:t>The essay develops an understanding of CSR, which is in the business model integrated with social, environmental, and ethical considerations within the operations. Xu et al. (2022) mentioned that CSR allows for accountability to manage stakeholders and the overall community development system. The essay provides the importance of implicating CSR activities in the Hoxton Hotel London while focusing on the use of sustainable activities and maintaining profitability. CSR in the hospitality industry is important as it determines the environment footprint and positive contributions toward the development of the community, facilitates sustainable practices for positive upgrading of the reputation of the brand, and increases the loyalty of customers in general (Wong et al., 2021). For example, in case of Hoxton London, CSR is executed for making potential activities of the sustainable practices like reduction of energy, waste reduction, and support to the local suppliers. The implications of CSR policies are proper environmental stewardship, development of the community engagement, a</w:t>
      </w:r>
      <w:r>
        <w:t xml:space="preserve">nd an ethical management system </w:t>
      </w:r>
      <w:r w:rsidR="003F2560">
        <w:t>(</w:t>
      </w:r>
      <w:r w:rsidR="003F2560" w:rsidRPr="00A27C99">
        <w:rPr>
          <w:rFonts w:cs="Times New Roman"/>
          <w:color w:val="222222"/>
          <w:shd w:val="clear" w:color="auto" w:fill="FFFFFF"/>
        </w:rPr>
        <w:t>Sarwar</w:t>
      </w:r>
      <w:r w:rsidR="003F2560">
        <w:rPr>
          <w:rFonts w:cs="Times New Roman"/>
          <w:color w:val="222222"/>
          <w:shd w:val="clear" w:color="auto" w:fill="FFFFFF"/>
        </w:rPr>
        <w:t xml:space="preserve"> et al., 2024)</w:t>
      </w:r>
      <w:r w:rsidR="00E934C4">
        <w:t xml:space="preserve">. There are also some challenges such as balancing profitability with the use of sustainable investments and adaptation of the regulations like Environmental Protection Act UK that are effective for fulfilling the environmental standards. </w:t>
      </w:r>
      <w:proofErr w:type="spellStart"/>
      <w:r w:rsidR="003F2560">
        <w:rPr>
          <w:rFonts w:cs="Times New Roman"/>
          <w:color w:val="222222"/>
          <w:shd w:val="clear" w:color="auto" w:fill="FFFFFF"/>
        </w:rPr>
        <w:t>Moyeen</w:t>
      </w:r>
      <w:proofErr w:type="spellEnd"/>
      <w:r w:rsidR="003F2560">
        <w:rPr>
          <w:rFonts w:cs="Times New Roman"/>
          <w:color w:val="222222"/>
          <w:shd w:val="clear" w:color="auto" w:fill="FFFFFF"/>
        </w:rPr>
        <w:t xml:space="preserve"> </w:t>
      </w:r>
      <w:r w:rsidR="003F2560" w:rsidRPr="00A27C99">
        <w:rPr>
          <w:rFonts w:cs="Times New Roman"/>
          <w:color w:val="222222"/>
          <w:shd w:val="clear" w:color="auto" w:fill="FFFFFF"/>
        </w:rPr>
        <w:t>and Mehjabeen</w:t>
      </w:r>
      <w:r w:rsidR="003F2560">
        <w:t xml:space="preserve"> (2024) elaborated that </w:t>
      </w:r>
      <w:r w:rsidR="00E934C4">
        <w:t xml:space="preserve">CSR offers a commitment to maintain a positive impact on the local communities and the development of potential ecosystems. </w:t>
      </w:r>
    </w:p>
    <w:p w14:paraId="41FED43C" w14:textId="77777777" w:rsidR="00E934C4" w:rsidRDefault="00E934C4" w:rsidP="00E934C4">
      <w:r>
        <w:t>The Hoxton London, CSR allows integration of the business model while focusing on the reduction of the environmental footprints using the initiatives like energy efficiency and reduction in the waste management system</w:t>
      </w:r>
      <w:r w:rsidR="003F2560">
        <w:t xml:space="preserve"> (</w:t>
      </w:r>
      <w:proofErr w:type="spellStart"/>
      <w:r w:rsidR="003F2560" w:rsidRPr="00A27C99">
        <w:rPr>
          <w:rFonts w:cs="Times New Roman"/>
          <w:color w:val="222222"/>
          <w:shd w:val="clear" w:color="auto" w:fill="FFFFFF"/>
        </w:rPr>
        <w:t>Koseoglu</w:t>
      </w:r>
      <w:proofErr w:type="spellEnd"/>
      <w:r w:rsidR="003F2560">
        <w:rPr>
          <w:rFonts w:cs="Times New Roman"/>
          <w:color w:val="222222"/>
          <w:shd w:val="clear" w:color="auto" w:fill="FFFFFF"/>
        </w:rPr>
        <w:t xml:space="preserve"> et al., 2021)</w:t>
      </w:r>
      <w:r>
        <w:t>. The implication allows ethical management of the labour practices and development of community engagement where The Hoxton enhance the brand reputation and fosters customer loyalty. There are some alignments in the increasing demand for responsible tourism. Hoxton London actively uses CSR within its operations by implementing sustainable practices and resonating with the positive guests' experiences.  The hotel is responsible for offering locally produced goods, reducing food waste using partnerships with local charities, and promoting energy conser</w:t>
      </w:r>
      <w:r w:rsidR="009E3D34">
        <w:t xml:space="preserve">vation options in the operation. </w:t>
      </w:r>
      <w:r>
        <w:t xml:space="preserve">The management also suffers from balancing profitability while implementing the initiatives and adaptation of the regulatory requirements such as the use of the Environmental Protection Act. To overcome the complexities, The Hoxton contribute to sustainability while becoming a leader in responsible hospitality that is beneficial for the local community and the effective broader environment in the hospitality sector. </w:t>
      </w:r>
    </w:p>
    <w:p w14:paraId="41FED43D" w14:textId="77777777" w:rsidR="00E934C4" w:rsidRDefault="00E934C4" w:rsidP="00E934C4">
      <w:r>
        <w:lastRenderedPageBreak/>
        <w:t xml:space="preserve">The CSR activities in Hoxton London are integrated with the success of the business practices to make promotion of sustainability. </w:t>
      </w:r>
      <w:r w:rsidR="00F30866">
        <w:rPr>
          <w:rFonts w:cs="Times New Roman"/>
          <w:color w:val="222222"/>
          <w:shd w:val="clear" w:color="auto" w:fill="FFFFFF"/>
        </w:rPr>
        <w:t>The</w:t>
      </w:r>
      <w:r w:rsidR="003F2560">
        <w:t xml:space="preserve"> </w:t>
      </w:r>
      <w:proofErr w:type="spellStart"/>
      <w:r w:rsidR="003F2560">
        <w:t>t</w:t>
      </w:r>
      <w:r>
        <w:t>he</w:t>
      </w:r>
      <w:proofErr w:type="spellEnd"/>
      <w:r>
        <w:t xml:space="preserve"> implication of the CSR strategy named The Good Stuff allows consideration of the initiatives focusing on the reduction of the environmental impact and overall support to the local communities. The hotel committed towards the elimination of single-use plastics by the end of 2025, reduction in food waste, and implication of definite materials for sustainable processes. The efforts are effective for making community engagement services and managing efficiency while using the Good Neighbours initiative for the support of charities and managing shelters with fundraising and donations</w:t>
      </w:r>
      <w:r w:rsidR="003F2560">
        <w:t xml:space="preserve"> (</w:t>
      </w:r>
      <w:r w:rsidR="003F2560">
        <w:rPr>
          <w:rFonts w:cs="Times New Roman"/>
          <w:color w:val="222222"/>
          <w:shd w:val="clear" w:color="auto" w:fill="FFFFFF"/>
        </w:rPr>
        <w:t xml:space="preserve">Jones </w:t>
      </w:r>
      <w:r w:rsidR="003F2560" w:rsidRPr="00A27C99">
        <w:rPr>
          <w:rFonts w:cs="Times New Roman"/>
          <w:color w:val="222222"/>
          <w:shd w:val="clear" w:color="auto" w:fill="FFFFFF"/>
        </w:rPr>
        <w:t>and Comfort</w:t>
      </w:r>
      <w:r w:rsidR="003F2560">
        <w:rPr>
          <w:rFonts w:cs="Times New Roman"/>
          <w:color w:val="222222"/>
          <w:shd w:val="clear" w:color="auto" w:fill="FFFFFF"/>
        </w:rPr>
        <w:t>, 2021)</w:t>
      </w:r>
      <w:r>
        <w:t>. The implication of the UK Environmental Protection Act allows management of the environmental standards associated with the ongoing investment in sustainable values. Additionally, the hotel has applied the Good Rate scheme the attract visitors and guests while travelling by rail</w:t>
      </w:r>
      <w:r w:rsidR="00F30866">
        <w:t xml:space="preserve">. </w:t>
      </w:r>
      <w:r>
        <w:t>The initiative has committed towards the encouragement of sustainable options in travel choices. The Hoxton helps enhance the brand reputation by contributing positively to the overall environment within the community, positioning the services as the leader in the competitive sector of hospitality</w:t>
      </w:r>
      <w:r w:rsidR="003F2560">
        <w:t xml:space="preserve"> (</w:t>
      </w:r>
      <w:r w:rsidR="003F2560" w:rsidRPr="00A27C99">
        <w:rPr>
          <w:rFonts w:cs="Times New Roman"/>
          <w:color w:val="222222"/>
          <w:shd w:val="clear" w:color="auto" w:fill="FFFFFF"/>
        </w:rPr>
        <w:t>Ibrahim</w:t>
      </w:r>
      <w:r w:rsidR="003F2560">
        <w:rPr>
          <w:rFonts w:cs="Times New Roman"/>
          <w:color w:val="222222"/>
          <w:shd w:val="clear" w:color="auto" w:fill="FFFFFF"/>
        </w:rPr>
        <w:t xml:space="preserve"> et al., 20230</w:t>
      </w:r>
      <w:r>
        <w:t>.</w:t>
      </w:r>
    </w:p>
    <w:p w14:paraId="41FED43E" w14:textId="77777777" w:rsidR="00E934C4" w:rsidRDefault="00E934C4" w:rsidP="00E934C4">
      <w:r>
        <w:t xml:space="preserve">Hoxton London commits to CSR with strategic integration based on sustainable practices in the operations. </w:t>
      </w:r>
      <w:proofErr w:type="spellStart"/>
      <w:r w:rsidR="003F2560" w:rsidRPr="00A27C99">
        <w:rPr>
          <w:rFonts w:cs="Times New Roman"/>
          <w:color w:val="222222"/>
          <w:shd w:val="clear" w:color="auto" w:fill="FFFFFF"/>
        </w:rPr>
        <w:t>Goffi</w:t>
      </w:r>
      <w:proofErr w:type="spellEnd"/>
      <w:r w:rsidR="003F2560">
        <w:t xml:space="preserve"> et al. (2022) declared that </w:t>
      </w:r>
      <w:r>
        <w:t xml:space="preserve">CSR allows hospitality while reflecting on the fundamental shift towards recognition of the interconnectedness based on business success and definite well-being. The approach is aligned with the implication of the stakeholder theory that is effective for the businesses to make obligations to the shareholders and all the stakeholders such as employees, customers, suppliers, and the overall community. </w:t>
      </w:r>
      <w:r w:rsidR="003F2560" w:rsidRPr="00A27C99">
        <w:rPr>
          <w:rFonts w:cs="Times New Roman"/>
          <w:color w:val="222222"/>
          <w:shd w:val="clear" w:color="auto" w:fill="FFFFFF"/>
        </w:rPr>
        <w:t>Franzoni</w:t>
      </w:r>
      <w:r w:rsidR="003F2560">
        <w:t xml:space="preserve"> et al. (2021) presented that t</w:t>
      </w:r>
      <w:r>
        <w:t>he services in Hoxton apply practices for enhancing the operational sustainability and description of the societal impact. The CSR initiatives at The Hoxton allow commitment to the reduction of the environmental impact. The hotel adopts different practices for reducing waste, managing energy, and promoting sustainable sourcing. For example, the mitigation of single-use plastics is allocated by 2025 as one of the greater steps towards the reduction of usage of plastic waste</w:t>
      </w:r>
      <w:r w:rsidR="003F2560">
        <w:t xml:space="preserve"> (</w:t>
      </w:r>
      <w:r w:rsidR="003F2560">
        <w:rPr>
          <w:rFonts w:cs="Times New Roman"/>
          <w:color w:val="222222"/>
          <w:shd w:val="clear" w:color="auto" w:fill="FFFFFF"/>
        </w:rPr>
        <w:t xml:space="preserve">Fonseca </w:t>
      </w:r>
      <w:r w:rsidR="003F2560" w:rsidRPr="00A27C99">
        <w:rPr>
          <w:rFonts w:cs="Times New Roman"/>
          <w:color w:val="222222"/>
          <w:shd w:val="clear" w:color="auto" w:fill="FFFFFF"/>
        </w:rPr>
        <w:t>and Carnicelli</w:t>
      </w:r>
      <w:r w:rsidR="003F2560">
        <w:rPr>
          <w:rFonts w:cs="Times New Roman"/>
          <w:color w:val="222222"/>
          <w:shd w:val="clear" w:color="auto" w:fill="FFFFFF"/>
        </w:rPr>
        <w:t>, 2021)</w:t>
      </w:r>
      <w:r>
        <w:t>. The initiative allows the implication of the principles of sustainable development with application to the development of resources. The initiative fulfils the present needs without compromising aspects for future generations. The implication allows the ability to fulfil the needs of management and overall customers</w:t>
      </w:r>
      <w:r w:rsidR="00F30866">
        <w:t>.</w:t>
      </w:r>
      <w:r>
        <w:t xml:space="preserve"> </w:t>
      </w:r>
    </w:p>
    <w:p w14:paraId="41FED43F" w14:textId="77777777" w:rsidR="00E934C4" w:rsidRDefault="00E934C4" w:rsidP="00E934C4">
      <w:r>
        <w:lastRenderedPageBreak/>
        <w:t>The alignment in the operations with sustainable principles, The Hoxton make enhancements to the brand image with a contribution to the environmental conservation methods in a positive manner</w:t>
      </w:r>
      <w:r w:rsidR="00514F1E">
        <w:t xml:space="preserve">. </w:t>
      </w:r>
      <w:r>
        <w:t>The CSR policies of the hotel are comprehensive and definite in the industry. The management allows commitments towards ethical sourcing based on the food and materials, energy management system while measuring the LED lighting, and use of the smart heating systems. It allows community development of engagement using effective local partnerships</w:t>
      </w:r>
      <w:r w:rsidR="00CA7F12">
        <w:t xml:space="preserve"> (</w:t>
      </w:r>
      <w:r w:rsidR="00CE519B">
        <w:t>Edgell. 2020</w:t>
      </w:r>
      <w:r w:rsidR="00CA7F12">
        <w:t>)</w:t>
      </w:r>
      <w:r>
        <w:t>. The Hoxton allows collaboration with local charities and supports social causes while demonstrating a commitment to compliance management with regulations. The implicated process allows consideration of the concept based on corporate citizenship, where the businesses are actively participating in the improvement of societal conditions. However, the incorporation of the CSR services into the business practices is challenging and the hotel faces difficulties in balancing the sustainability initiatives and use of the operational costs</w:t>
      </w:r>
      <w:r w:rsidR="00CA7F12">
        <w:t xml:space="preserve"> (</w:t>
      </w:r>
      <w:proofErr w:type="spellStart"/>
      <w:r w:rsidR="00CE519B">
        <w:t>Korstanje</w:t>
      </w:r>
      <w:proofErr w:type="spellEnd"/>
      <w:r w:rsidR="00CE519B">
        <w:t xml:space="preserve"> et al., 2020</w:t>
      </w:r>
      <w:r w:rsidR="00CA7F12">
        <w:t>)</w:t>
      </w:r>
      <w:r>
        <w:t>. The implementation of eco-friendly technologies is significant for the development of the upfront investment that is challenging for the hotel management.</w:t>
      </w:r>
    </w:p>
    <w:p w14:paraId="41FED440" w14:textId="77777777" w:rsidR="00E934C4" w:rsidRDefault="00E934C4" w:rsidP="00E934C4">
      <w:r>
        <w:t xml:space="preserve">Additionally, </w:t>
      </w:r>
      <w:r w:rsidR="00CE519B">
        <w:t>Costa and Costa</w:t>
      </w:r>
      <w:r w:rsidR="00CA7F12">
        <w:t xml:space="preserve"> (</w:t>
      </w:r>
      <w:r w:rsidR="00CE519B">
        <w:t>2022</w:t>
      </w:r>
      <w:r w:rsidR="00CA7F12">
        <w:t xml:space="preserve">) defined that </w:t>
      </w:r>
      <w:r>
        <w:t>the hotel also adopts an evolving system of legislation associated with environmental standards to reduce the challenges. For the services in the UK, the regulations are applied to the Environmental Protection Act which is one of the mandates compliances to measure specific environmental activities. The implication allows necessitation of the continuous adaptation and potential investment in positive sustainable technologies. The impact of the management and CSR practices in Hoxton allows immediate fulfilment of sustainable operations</w:t>
      </w:r>
      <w:r w:rsidR="00CA7F12">
        <w:t xml:space="preserve"> (</w:t>
      </w:r>
      <w:r w:rsidR="00CE519B">
        <w:t>Wickham et al.</w:t>
      </w:r>
      <w:r w:rsidR="00CE519B">
        <w:rPr>
          <w:rFonts w:cs="Times New Roman"/>
          <w:color w:val="222222"/>
          <w:shd w:val="clear" w:color="auto" w:fill="FFFFFF"/>
        </w:rPr>
        <w:t>, 2021</w:t>
      </w:r>
      <w:r w:rsidR="00CA7F12">
        <w:rPr>
          <w:rFonts w:cs="Times New Roman"/>
          <w:color w:val="222222"/>
          <w:shd w:val="clear" w:color="auto" w:fill="FFFFFF"/>
        </w:rPr>
        <w:t>)</w:t>
      </w:r>
      <w:r>
        <w:t xml:space="preserve">. Therefore, the promotion of sustainability and use of the ethical practices allows hotels to influence guests' behaviours and encourage them to adopt definite values. The changing aspects lead towards the development of broader community engagement in the successful use of sustainable practices. It allows hotel management to enhance the culture of responsibility among the visitors </w:t>
      </w:r>
      <w:proofErr w:type="gramStart"/>
      <w:r>
        <w:t>and also</w:t>
      </w:r>
      <w:proofErr w:type="gramEnd"/>
      <w:r>
        <w:t xml:space="preserve"> residents. Furthermore, the management positions the services as leaders and becomes responsible in the hospitality industry. </w:t>
      </w:r>
      <w:r w:rsidR="00CE519B">
        <w:t xml:space="preserve">Jauhari </w:t>
      </w:r>
      <w:r w:rsidR="00F71E48">
        <w:t>(</w:t>
      </w:r>
      <w:r w:rsidR="00CE519B">
        <w:t>2021</w:t>
      </w:r>
      <w:r w:rsidR="00CA7F12">
        <w:t>) reported that t</w:t>
      </w:r>
      <w:r>
        <w:t xml:space="preserve">he Hoxton attracts different environmentally conscious travellers while preferring sustainability within the travel options efficiently. Legislation plays a greater role in the shaping of CSR practices in the hospitality sector internationally. </w:t>
      </w:r>
    </w:p>
    <w:p w14:paraId="41FED441" w14:textId="77777777" w:rsidR="00E934C4" w:rsidRDefault="009D7B0C" w:rsidP="00E934C4">
      <w:r>
        <w:lastRenderedPageBreak/>
        <w:t xml:space="preserve">According to </w:t>
      </w:r>
      <w:proofErr w:type="spellStart"/>
      <w:r w:rsidR="00995C32">
        <w:t>Inkson</w:t>
      </w:r>
      <w:proofErr w:type="spellEnd"/>
      <w:r w:rsidR="00995C32">
        <w:t xml:space="preserve"> and Minnaert (2018</w:t>
      </w:r>
      <w:r>
        <w:t>), i</w:t>
      </w:r>
      <w:r w:rsidR="00E934C4">
        <w:t>n the context of the UK, the implication of laws like the Climate Change Act is applied to businesses for reducing carbon emissions and promoting energy efficiency. There are different compliance management with the regulations for allowing legal adherence and enhancement to the operational efficiency while reducing costs in the long-run system. Therefore, Hoxton applies the approach to CSR while positioning the regulatory landscape, enabling the system of anticipation of the changes, and making adaptation in a definite manner</w:t>
      </w:r>
      <w:r w:rsidR="00F30866">
        <w:t xml:space="preserve">. </w:t>
      </w:r>
      <w:r w:rsidR="00E934C4">
        <w:t>The implication of the social identity theory on the CSR initiatives helps make improvements in employee engagement and overall organisational performance at The Hoxton. The theory is helpful for the employees to manage the socially responsible system while identifying the values and mission of the competitive industry. The consideration allows for enhancing the sense of belonging with the motivation of the employees to make contributions to the organisational goals effectively</w:t>
      </w:r>
      <w:r w:rsidR="009E3D51">
        <w:t xml:space="preserve"> (</w:t>
      </w:r>
      <w:r w:rsidR="00F71E48">
        <w:t>Cooper, 2021</w:t>
      </w:r>
      <w:r w:rsidR="009E3D51">
        <w:rPr>
          <w:rFonts w:cs="Times New Roman"/>
          <w:color w:val="222222"/>
          <w:shd w:val="clear" w:color="auto" w:fill="FFFFFF"/>
        </w:rPr>
        <w:t>)</w:t>
      </w:r>
      <w:r w:rsidR="00E934C4">
        <w:t>. Therefore, the CSR initiatives enhance organisational citizenship behaviour (OCB) which leads towards improvements in the performance and productivity of the employees. The integration of CSR within the business strategy is considered a competitive advantage for the services and operations at The Hoxton. The hotel prefers the use of CSR while experiencing enhanced policies of customer loyalty and overall development of satisfaction</w:t>
      </w:r>
      <w:r w:rsidR="00F30866">
        <w:t>.</w:t>
      </w:r>
    </w:p>
    <w:p w14:paraId="41FED442" w14:textId="77777777" w:rsidR="00E934C4" w:rsidRDefault="00E934C4" w:rsidP="00E934C4">
      <w:r>
        <w:t>The implication of CSR activities in The Hoxton allows all the guests to make increasing demands towards accommodations. The policies are aligned with the provision of values based on sustainability and effective social responsibility. Therefore, the management uses effective communication skills within the CSR efforts using definite marketing channels where The Hoxton make differentiation from the competitors and attracts a loyal customer base</w:t>
      </w:r>
      <w:r w:rsidR="00BD34DA">
        <w:t xml:space="preserve"> (</w:t>
      </w:r>
      <w:r w:rsidR="00BD34DA" w:rsidRPr="00A27C99">
        <w:rPr>
          <w:rFonts w:cs="Times New Roman"/>
          <w:color w:val="222222"/>
          <w:shd w:val="clear" w:color="auto" w:fill="FFFFFF"/>
        </w:rPr>
        <w:t>Ibrahim</w:t>
      </w:r>
      <w:r w:rsidR="00BD34DA">
        <w:rPr>
          <w:rFonts w:cs="Times New Roman"/>
          <w:color w:val="222222"/>
          <w:shd w:val="clear" w:color="auto" w:fill="FFFFFF"/>
        </w:rPr>
        <w:t xml:space="preserve"> et al., 2023)</w:t>
      </w:r>
      <w:r>
        <w:t>. The Hoxton also focuses on the provision of the local sourcing policies of CSR with the creation of economic opportunities in the developed communities. The hotel management partners with the local suppliers for the management of food and materials and implicates effective support to the local businesses with a reduction in transportation emissions based on long-distance practices. The alignment in the practices determines the concept based on the shared value where the businesses create definite resources to the economic value</w:t>
      </w:r>
      <w:r w:rsidR="00BD34DA">
        <w:t xml:space="preserve"> (</w:t>
      </w:r>
      <w:proofErr w:type="spellStart"/>
      <w:r w:rsidR="00BD34DA" w:rsidRPr="00A27C99">
        <w:rPr>
          <w:rFonts w:cs="Times New Roman"/>
          <w:color w:val="222222"/>
          <w:shd w:val="clear" w:color="auto" w:fill="FFFFFF"/>
        </w:rPr>
        <w:t>Goffi</w:t>
      </w:r>
      <w:proofErr w:type="spellEnd"/>
      <w:r w:rsidR="00BD34DA">
        <w:rPr>
          <w:rFonts w:cs="Times New Roman"/>
          <w:color w:val="222222"/>
          <w:shd w:val="clear" w:color="auto" w:fill="FFFFFF"/>
        </w:rPr>
        <w:t xml:space="preserve"> et al., 2022)</w:t>
      </w:r>
      <w:r>
        <w:t xml:space="preserve">. The consideration allows a definite system for addressing emerging societal challenges. The Hoxton uses CSR initiatives to develop the importance of strategic planning in the competitive industry. This is due to the achievement of sustainable outcomes in the competitive hospitality industry. Consumer </w:t>
      </w:r>
      <w:r>
        <w:lastRenderedPageBreak/>
        <w:t>preferences allow continuous growth with managing greater environmental consciousness where the hotels allow CSR to become better positioned for the implication of long-term success in the increasingly competitive market</w:t>
      </w:r>
      <w:r w:rsidR="00BD34DA">
        <w:t xml:space="preserve"> (</w:t>
      </w:r>
      <w:r w:rsidR="00BD34DA" w:rsidRPr="00A27C99">
        <w:rPr>
          <w:rFonts w:cs="Times New Roman"/>
          <w:color w:val="222222"/>
          <w:shd w:val="clear" w:color="auto" w:fill="FFFFFF"/>
        </w:rPr>
        <w:t>Franzoni</w:t>
      </w:r>
      <w:r w:rsidR="00BD34DA">
        <w:rPr>
          <w:rFonts w:cs="Times New Roman"/>
          <w:color w:val="222222"/>
          <w:shd w:val="clear" w:color="auto" w:fill="FFFFFF"/>
        </w:rPr>
        <w:t xml:space="preserve"> et al., 2021)</w:t>
      </w:r>
      <w:r>
        <w:t>.</w:t>
      </w:r>
    </w:p>
    <w:p w14:paraId="41FED443" w14:textId="77777777" w:rsidR="00E934C4" w:rsidRDefault="00E934C4" w:rsidP="00E934C4">
      <w:r>
        <w:t>The hotel implements different laws and regulations associated with environmental sustainability that are considered stricter and need quicker development of resources. For example, the Environmental Protection Act UK compliance is applied to measuring the environmental standards and allows changes within operations</w:t>
      </w:r>
      <w:r w:rsidR="00BD34DA">
        <w:t xml:space="preserve"> (</w:t>
      </w:r>
      <w:proofErr w:type="spellStart"/>
      <w:r w:rsidR="00F71E48">
        <w:t>Haski</w:t>
      </w:r>
      <w:proofErr w:type="spellEnd"/>
      <w:r w:rsidR="00F71E48">
        <w:t>-Leventhal, 2018</w:t>
      </w:r>
      <w:r w:rsidR="00BD34DA">
        <w:rPr>
          <w:rFonts w:cs="Times New Roman"/>
          <w:color w:val="222222"/>
          <w:shd w:val="clear" w:color="auto" w:fill="FFFFFF"/>
        </w:rPr>
        <w:t>)</w:t>
      </w:r>
      <w:r>
        <w:t>. The adaptation of the regulations is used to demand financial resources and effective ongoing training and education for the employees. The hotel also faces difficulties due to the limitations in the infrastructure that develops the ability to make adaptations of the relevant sustainable practices. There must be a conducive building for implementation of the energy-efficient technologies and use of the sustainable materials considering the structural constraints and prevention of the overall requirements</w:t>
      </w:r>
      <w:r w:rsidR="00BD34DA">
        <w:t xml:space="preserve"> (</w:t>
      </w:r>
      <w:proofErr w:type="spellStart"/>
      <w:r w:rsidR="00F71E48">
        <w:t>Batabyal</w:t>
      </w:r>
      <w:proofErr w:type="spellEnd"/>
      <w:r w:rsidR="00F71E48">
        <w:t>, 2018</w:t>
      </w:r>
      <w:r w:rsidR="00BD34DA">
        <w:rPr>
          <w:rFonts w:cs="Times New Roman"/>
          <w:color w:val="222222"/>
          <w:shd w:val="clear" w:color="auto" w:fill="FFFFFF"/>
        </w:rPr>
        <w:t>)</w:t>
      </w:r>
      <w:r>
        <w:t>. The hotel needs installation of the solar panels on the building for the process of potential energy savings and accuracy to the environmental benefits. Additionally, the labour issues are also applied to the CSR implementation within the hospitality industry. The hotel faces issues in developing employee training and retention for successful CSR management. The investment in time and resources towards the training staff is associated with sustainability practices and use of the definite ethical labour standards</w:t>
      </w:r>
      <w:r w:rsidR="00BD34DA">
        <w:t xml:space="preserve"> (</w:t>
      </w:r>
      <w:r w:rsidR="00F71E48">
        <w:t>Sloan</w:t>
      </w:r>
      <w:r w:rsidR="00F71E48">
        <w:rPr>
          <w:rFonts w:cs="Times New Roman"/>
          <w:color w:val="222222"/>
          <w:shd w:val="clear" w:color="auto" w:fill="FFFFFF"/>
        </w:rPr>
        <w:t xml:space="preserve"> </w:t>
      </w:r>
      <w:r w:rsidR="00BD34DA">
        <w:rPr>
          <w:rFonts w:cs="Times New Roman"/>
          <w:color w:val="222222"/>
          <w:shd w:val="clear" w:color="auto" w:fill="FFFFFF"/>
        </w:rPr>
        <w:t xml:space="preserve">et al., </w:t>
      </w:r>
      <w:r w:rsidR="00F71E48">
        <w:rPr>
          <w:rFonts w:cs="Times New Roman"/>
          <w:color w:val="222222"/>
          <w:shd w:val="clear" w:color="auto" w:fill="FFFFFF"/>
        </w:rPr>
        <w:t>2017</w:t>
      </w:r>
      <w:r w:rsidR="00BD34DA">
        <w:rPr>
          <w:rFonts w:cs="Times New Roman"/>
          <w:color w:val="222222"/>
          <w:shd w:val="clear" w:color="auto" w:fill="FFFFFF"/>
        </w:rPr>
        <w:t>)</w:t>
      </w:r>
      <w:r>
        <w:t>.</w:t>
      </w:r>
    </w:p>
    <w:p w14:paraId="41FED444" w14:textId="77777777" w:rsidR="00E934C4" w:rsidRDefault="00E934C4" w:rsidP="00E934C4">
      <w:r>
        <w:t xml:space="preserve">It has been concluded that the essay has presented the integration based on the CSR activities into the hospitality sector with application to the management of The Hoxton London. The essay has highlighted the ethical values based on sustainable practices while shaping the services in the business success and management of efficiency in the societal well-being. The hotel seemed offering commitment towards the reduction of the environmental impact using initiatives like elimination of the single-use plastics and the application of the definite approach of CSR for fulfilling the demands of environmentally conscious visitors. The essay has presented the learning to make alignment within the operations based on the ethical standards and community development system. It has elaborated that The Hoxton is not only working to enhance the brand reputation but also making an effective contribution positively to the management of the local environment and overall development of the society. However, the implication of CSR initiatives is also considered challenging for hotel management such as financial constraints, difficulties in </w:t>
      </w:r>
      <w:r>
        <w:lastRenderedPageBreak/>
        <w:t>managing operations, and evolving definite systems in the regulatory landscapes. Therefore, the hotel needs to prefer sustainability values with ethical obligations while considering competitive management in a market to become responsible for tourism values.</w:t>
      </w:r>
    </w:p>
    <w:p w14:paraId="41FED445" w14:textId="77777777" w:rsidR="00E20AE4" w:rsidRDefault="00E20AE4" w:rsidP="00427294"/>
    <w:p w14:paraId="41FED446" w14:textId="77777777" w:rsidR="008462DC" w:rsidRDefault="008462DC">
      <w:pPr>
        <w:spacing w:line="259" w:lineRule="auto"/>
        <w:jc w:val="left"/>
        <w:rPr>
          <w:b/>
        </w:rPr>
      </w:pPr>
      <w:r>
        <w:rPr>
          <w:b/>
        </w:rPr>
        <w:br w:type="page"/>
      </w:r>
    </w:p>
    <w:p w14:paraId="41FED447" w14:textId="77777777" w:rsidR="00427294" w:rsidRDefault="008462DC" w:rsidP="008462DC">
      <w:pPr>
        <w:pStyle w:val="Heading1"/>
      </w:pPr>
      <w:r>
        <w:lastRenderedPageBreak/>
        <w:t>References</w:t>
      </w:r>
    </w:p>
    <w:p w14:paraId="41FED448" w14:textId="77777777" w:rsidR="00995C32" w:rsidRDefault="00995C32" w:rsidP="00161252">
      <w:pPr>
        <w:ind w:left="720" w:hanging="720"/>
      </w:pPr>
      <w:proofErr w:type="spellStart"/>
      <w:r>
        <w:t>Batabyal</w:t>
      </w:r>
      <w:proofErr w:type="spellEnd"/>
      <w:r>
        <w:t xml:space="preserve">. (2018). </w:t>
      </w:r>
      <w:r w:rsidRPr="00D032DC">
        <w:rPr>
          <w:i/>
        </w:rPr>
        <w:t>Managing Sustainable Tourism Resources.</w:t>
      </w:r>
      <w:r>
        <w:t xml:space="preserve"> IGI Global.</w:t>
      </w:r>
    </w:p>
    <w:p w14:paraId="41FED449" w14:textId="77777777" w:rsidR="00995C32" w:rsidRDefault="00995C32" w:rsidP="00161252">
      <w:pPr>
        <w:ind w:left="720" w:hanging="720"/>
        <w:rPr>
          <w:rFonts w:ascii="Segoe UI Symbol" w:hAnsi="Segoe UI Symbol" w:cs="Segoe UI Symbol"/>
        </w:rPr>
      </w:pPr>
      <w:r>
        <w:t xml:space="preserve">Cooper, C. (2021) </w:t>
      </w:r>
      <w:r w:rsidRPr="00D032DC">
        <w:rPr>
          <w:i/>
        </w:rPr>
        <w:t>Essentials of tourism.</w:t>
      </w:r>
      <w:r>
        <w:t xml:space="preserve"> Third edition. London: SAGE. </w:t>
      </w:r>
    </w:p>
    <w:p w14:paraId="41FED44A" w14:textId="77777777" w:rsidR="00995C32" w:rsidRDefault="00995C32" w:rsidP="00995C32">
      <w:pPr>
        <w:rPr>
          <w:rFonts w:ascii="Segoe UI Symbol" w:hAnsi="Segoe UI Symbol" w:cs="Segoe UI Symbol"/>
        </w:rPr>
      </w:pPr>
      <w:r>
        <w:t xml:space="preserve">Costa and Costa, C. (2022). </w:t>
      </w:r>
      <w:r w:rsidRPr="001F32F4">
        <w:rPr>
          <w:i/>
        </w:rPr>
        <w:t>Sustainability and competitiveness in the hospitality industry (Costa &amp; C. Costa, Eds.).</w:t>
      </w:r>
      <w:r>
        <w:t xml:space="preserve"> Business Science Reference. </w:t>
      </w:r>
    </w:p>
    <w:p w14:paraId="41FED44B" w14:textId="77777777" w:rsidR="00995C32" w:rsidRDefault="00995C32" w:rsidP="00995C32">
      <w:r>
        <w:t xml:space="preserve">Edgell. (2020). </w:t>
      </w:r>
      <w:r w:rsidRPr="001F32F4">
        <w:rPr>
          <w:i/>
        </w:rPr>
        <w:t xml:space="preserve">Managing sustainable </w:t>
      </w:r>
      <w:proofErr w:type="gramStart"/>
      <w:r w:rsidRPr="001F32F4">
        <w:rPr>
          <w:i/>
        </w:rPr>
        <w:t>tourism :</w:t>
      </w:r>
      <w:proofErr w:type="gramEnd"/>
      <w:r w:rsidRPr="001F32F4">
        <w:rPr>
          <w:i/>
        </w:rPr>
        <w:t xml:space="preserve"> a legacy for the future</w:t>
      </w:r>
      <w:r>
        <w:t xml:space="preserve"> (Third edition). Routledge.</w:t>
      </w:r>
    </w:p>
    <w:p w14:paraId="41FED44C" w14:textId="77777777" w:rsidR="00995C32" w:rsidRPr="00A27C99" w:rsidRDefault="00995C32" w:rsidP="008462DC">
      <w:pPr>
        <w:ind w:left="720" w:hanging="720"/>
        <w:rPr>
          <w:rFonts w:cs="Times New Roman"/>
          <w:color w:val="222222"/>
          <w:shd w:val="clear" w:color="auto" w:fill="FFFFFF"/>
        </w:rPr>
      </w:pPr>
      <w:r w:rsidRPr="00A27C99">
        <w:rPr>
          <w:rFonts w:cs="Times New Roman"/>
          <w:color w:val="222222"/>
          <w:shd w:val="clear" w:color="auto" w:fill="FFFFFF"/>
        </w:rPr>
        <w:t>Fonseca, A. P. and Carnicelli, S. (2021). Corporate social responsibility and sustainability in a hospitality family business. </w:t>
      </w:r>
      <w:r w:rsidRPr="00A27C99">
        <w:rPr>
          <w:rFonts w:cs="Times New Roman"/>
          <w:i/>
          <w:iCs/>
          <w:color w:val="222222"/>
          <w:shd w:val="clear" w:color="auto" w:fill="FFFFFF"/>
        </w:rPr>
        <w:t>Sustainability</w:t>
      </w:r>
      <w:r w:rsidRPr="00A27C99">
        <w:rPr>
          <w:rFonts w:cs="Times New Roman"/>
          <w:color w:val="222222"/>
          <w:shd w:val="clear" w:color="auto" w:fill="FFFFFF"/>
        </w:rPr>
        <w:t>, </w:t>
      </w:r>
      <w:r w:rsidRPr="00A27C99">
        <w:rPr>
          <w:rFonts w:cs="Times New Roman"/>
          <w:i/>
          <w:iCs/>
          <w:color w:val="222222"/>
          <w:shd w:val="clear" w:color="auto" w:fill="FFFFFF"/>
        </w:rPr>
        <w:t>13</w:t>
      </w:r>
      <w:r w:rsidRPr="00A27C99">
        <w:rPr>
          <w:rFonts w:cs="Times New Roman"/>
          <w:color w:val="222222"/>
          <w:shd w:val="clear" w:color="auto" w:fill="FFFFFF"/>
        </w:rPr>
        <w:t>(13), 7091.</w:t>
      </w:r>
      <w:r>
        <w:rPr>
          <w:rFonts w:cs="Times New Roman"/>
          <w:color w:val="222222"/>
          <w:shd w:val="clear" w:color="auto" w:fill="FFFFFF"/>
        </w:rPr>
        <w:t xml:space="preserve"> Doi: </w:t>
      </w:r>
      <w:r w:rsidRPr="00A27C99">
        <w:rPr>
          <w:rFonts w:cs="Times New Roman"/>
          <w:color w:val="222222"/>
          <w:shd w:val="clear" w:color="auto" w:fill="FFFFFF"/>
        </w:rPr>
        <w:t>https://doi.org/10.3390/su13137091</w:t>
      </w:r>
    </w:p>
    <w:p w14:paraId="41FED44D" w14:textId="77777777" w:rsidR="00995C32" w:rsidRPr="00A27C99" w:rsidRDefault="00995C32" w:rsidP="008462DC">
      <w:pPr>
        <w:ind w:left="720" w:hanging="720"/>
        <w:rPr>
          <w:rFonts w:cs="Times New Roman"/>
          <w:color w:val="222222"/>
          <w:shd w:val="clear" w:color="auto" w:fill="FFFFFF"/>
        </w:rPr>
      </w:pPr>
      <w:r w:rsidRPr="00A27C99">
        <w:rPr>
          <w:rFonts w:cs="Times New Roman"/>
          <w:color w:val="222222"/>
          <w:shd w:val="clear" w:color="auto" w:fill="FFFFFF"/>
        </w:rPr>
        <w:t>Franzoni, S., Sarwar, H. and Ishaq, M. I. (2021). The Mediating Role of HRM in the Relationship between CSR and Performance in the Hospitality Industry. </w:t>
      </w:r>
      <w:r w:rsidRPr="00A27C99">
        <w:rPr>
          <w:rFonts w:cs="Times New Roman"/>
          <w:i/>
          <w:iCs/>
          <w:color w:val="222222"/>
          <w:shd w:val="clear" w:color="auto" w:fill="FFFFFF"/>
        </w:rPr>
        <w:t>Sustainability</w:t>
      </w:r>
      <w:r w:rsidRPr="00A27C99">
        <w:rPr>
          <w:rFonts w:cs="Times New Roman"/>
          <w:color w:val="222222"/>
          <w:shd w:val="clear" w:color="auto" w:fill="FFFFFF"/>
        </w:rPr>
        <w:t>, </w:t>
      </w:r>
      <w:r w:rsidRPr="00A27C99">
        <w:rPr>
          <w:rFonts w:cs="Times New Roman"/>
          <w:i/>
          <w:iCs/>
          <w:color w:val="222222"/>
          <w:shd w:val="clear" w:color="auto" w:fill="FFFFFF"/>
        </w:rPr>
        <w:t>13</w:t>
      </w:r>
      <w:r w:rsidRPr="00A27C99">
        <w:rPr>
          <w:rFonts w:cs="Times New Roman"/>
          <w:color w:val="222222"/>
          <w:shd w:val="clear" w:color="auto" w:fill="FFFFFF"/>
        </w:rPr>
        <w:t>(24), 13699.</w:t>
      </w:r>
      <w:r>
        <w:rPr>
          <w:rFonts w:cs="Times New Roman"/>
          <w:color w:val="222222"/>
          <w:shd w:val="clear" w:color="auto" w:fill="FFFFFF"/>
        </w:rPr>
        <w:t xml:space="preserve"> Doi: </w:t>
      </w:r>
      <w:r w:rsidRPr="00A27C99">
        <w:rPr>
          <w:rFonts w:cs="Times New Roman"/>
          <w:color w:val="222222"/>
          <w:shd w:val="clear" w:color="auto" w:fill="FFFFFF"/>
        </w:rPr>
        <w:t>https://doi.org/10.3390/su132413699</w:t>
      </w:r>
    </w:p>
    <w:p w14:paraId="41FED44E" w14:textId="77777777" w:rsidR="00995C32" w:rsidRPr="00A27C99" w:rsidRDefault="00995C32" w:rsidP="008462DC">
      <w:pPr>
        <w:ind w:left="720" w:hanging="720"/>
        <w:rPr>
          <w:rFonts w:cs="Times New Roman"/>
          <w:color w:val="222222"/>
          <w:shd w:val="clear" w:color="auto" w:fill="FFFFFF"/>
        </w:rPr>
      </w:pPr>
      <w:proofErr w:type="spellStart"/>
      <w:r w:rsidRPr="00A27C99">
        <w:rPr>
          <w:rFonts w:cs="Times New Roman"/>
          <w:color w:val="222222"/>
          <w:shd w:val="clear" w:color="auto" w:fill="FFFFFF"/>
        </w:rPr>
        <w:t>Goffi</w:t>
      </w:r>
      <w:proofErr w:type="spellEnd"/>
      <w:r w:rsidRPr="00A27C99">
        <w:rPr>
          <w:rFonts w:cs="Times New Roman"/>
          <w:color w:val="222222"/>
          <w:shd w:val="clear" w:color="auto" w:fill="FFFFFF"/>
        </w:rPr>
        <w:t xml:space="preserve">, G., Masiero, L. and </w:t>
      </w:r>
      <w:proofErr w:type="spellStart"/>
      <w:r w:rsidRPr="00A27C99">
        <w:rPr>
          <w:rFonts w:cs="Times New Roman"/>
          <w:color w:val="222222"/>
          <w:shd w:val="clear" w:color="auto" w:fill="FFFFFF"/>
        </w:rPr>
        <w:t>Pencarelli</w:t>
      </w:r>
      <w:proofErr w:type="spellEnd"/>
      <w:r w:rsidRPr="00A27C99">
        <w:rPr>
          <w:rFonts w:cs="Times New Roman"/>
          <w:color w:val="222222"/>
          <w:shd w:val="clear" w:color="auto" w:fill="FFFFFF"/>
        </w:rPr>
        <w:t>, T. (2022). Corporate social responsibility and performances of firms operating in the tourism and hospitality industry. </w:t>
      </w:r>
      <w:r w:rsidRPr="00A27C99">
        <w:rPr>
          <w:rFonts w:cs="Times New Roman"/>
          <w:i/>
          <w:iCs/>
          <w:color w:val="222222"/>
          <w:shd w:val="clear" w:color="auto" w:fill="FFFFFF"/>
        </w:rPr>
        <w:t>The TQM Journal</w:t>
      </w:r>
      <w:r w:rsidRPr="00A27C99">
        <w:rPr>
          <w:rFonts w:cs="Times New Roman"/>
          <w:color w:val="222222"/>
          <w:shd w:val="clear" w:color="auto" w:fill="FFFFFF"/>
        </w:rPr>
        <w:t>, </w:t>
      </w:r>
      <w:r w:rsidRPr="00A27C99">
        <w:rPr>
          <w:rFonts w:cs="Times New Roman"/>
          <w:i/>
          <w:iCs/>
          <w:color w:val="222222"/>
          <w:shd w:val="clear" w:color="auto" w:fill="FFFFFF"/>
        </w:rPr>
        <w:t>34</w:t>
      </w:r>
      <w:r w:rsidRPr="00A27C99">
        <w:rPr>
          <w:rFonts w:cs="Times New Roman"/>
          <w:color w:val="222222"/>
          <w:shd w:val="clear" w:color="auto" w:fill="FFFFFF"/>
        </w:rPr>
        <w:t>(6), 1626-1647.</w:t>
      </w:r>
      <w:r>
        <w:rPr>
          <w:rFonts w:cs="Times New Roman"/>
          <w:color w:val="222222"/>
          <w:shd w:val="clear" w:color="auto" w:fill="FFFFFF"/>
        </w:rPr>
        <w:t xml:space="preserve"> Doi: </w:t>
      </w:r>
      <w:r w:rsidRPr="00A27C99">
        <w:rPr>
          <w:rFonts w:cs="Times New Roman"/>
          <w:color w:val="222222"/>
          <w:shd w:val="clear" w:color="auto" w:fill="FFFFFF"/>
        </w:rPr>
        <w:t>https://doi.org/10.1108/TQM-06-2021-0166</w:t>
      </w:r>
    </w:p>
    <w:p w14:paraId="41FED44F" w14:textId="77777777" w:rsidR="00995C32" w:rsidRDefault="00995C32" w:rsidP="00161252">
      <w:pPr>
        <w:ind w:left="720" w:hanging="720"/>
        <w:rPr>
          <w:rFonts w:ascii="Segoe UI Symbol" w:hAnsi="Segoe UI Symbol" w:cs="Segoe UI Symbol"/>
        </w:rPr>
      </w:pPr>
      <w:proofErr w:type="spellStart"/>
      <w:r>
        <w:t>Haski</w:t>
      </w:r>
      <w:proofErr w:type="spellEnd"/>
      <w:r>
        <w:t xml:space="preserve">-Leventhal, D. (2018) </w:t>
      </w:r>
      <w:r w:rsidRPr="00D032DC">
        <w:rPr>
          <w:i/>
        </w:rPr>
        <w:t xml:space="preserve">Strategic corporate social </w:t>
      </w:r>
      <w:proofErr w:type="gramStart"/>
      <w:r w:rsidRPr="00D032DC">
        <w:rPr>
          <w:i/>
        </w:rPr>
        <w:t>responsibility :</w:t>
      </w:r>
      <w:proofErr w:type="gramEnd"/>
      <w:r w:rsidRPr="00D032DC">
        <w:rPr>
          <w:i/>
        </w:rPr>
        <w:t xml:space="preserve"> tools &amp; theories for responsible management.</w:t>
      </w:r>
      <w:r>
        <w:t xml:space="preserve"> London: SAGE. </w:t>
      </w:r>
    </w:p>
    <w:p w14:paraId="41FED450" w14:textId="77777777" w:rsidR="00995C32" w:rsidRPr="00A27C99" w:rsidRDefault="00995C32" w:rsidP="008462DC">
      <w:pPr>
        <w:ind w:left="720" w:hanging="720"/>
        <w:rPr>
          <w:rFonts w:cs="Times New Roman"/>
          <w:color w:val="222222"/>
          <w:shd w:val="clear" w:color="auto" w:fill="FFFFFF"/>
        </w:rPr>
      </w:pPr>
      <w:r w:rsidRPr="00A27C99">
        <w:rPr>
          <w:rFonts w:cs="Times New Roman"/>
          <w:color w:val="222222"/>
          <w:shd w:val="clear" w:color="auto" w:fill="FFFFFF"/>
        </w:rPr>
        <w:t xml:space="preserve">Ibrahim, M. N., </w:t>
      </w:r>
      <w:proofErr w:type="spellStart"/>
      <w:r w:rsidRPr="00A27C99">
        <w:rPr>
          <w:rFonts w:cs="Times New Roman"/>
          <w:color w:val="222222"/>
          <w:shd w:val="clear" w:color="auto" w:fill="FFFFFF"/>
        </w:rPr>
        <w:t>Kimbu</w:t>
      </w:r>
      <w:proofErr w:type="spellEnd"/>
      <w:r w:rsidRPr="00A27C99">
        <w:rPr>
          <w:rFonts w:cs="Times New Roman"/>
          <w:color w:val="222222"/>
          <w:shd w:val="clear" w:color="auto" w:fill="FFFFFF"/>
        </w:rPr>
        <w:t>, A. N. and Ribeiro, M. A. (2023). Recontextualising the determinants of external CSR in the services industry: A cross-cultural study. </w:t>
      </w:r>
      <w:r w:rsidRPr="00A27C99">
        <w:rPr>
          <w:rFonts w:cs="Times New Roman"/>
          <w:i/>
          <w:iCs/>
          <w:color w:val="222222"/>
          <w:shd w:val="clear" w:color="auto" w:fill="FFFFFF"/>
        </w:rPr>
        <w:t>Tourism Management</w:t>
      </w:r>
      <w:r w:rsidRPr="00A27C99">
        <w:rPr>
          <w:rFonts w:cs="Times New Roman"/>
          <w:color w:val="222222"/>
          <w:shd w:val="clear" w:color="auto" w:fill="FFFFFF"/>
        </w:rPr>
        <w:t>, </w:t>
      </w:r>
      <w:r w:rsidRPr="00A27C99">
        <w:rPr>
          <w:rFonts w:cs="Times New Roman"/>
          <w:i/>
          <w:iCs/>
          <w:color w:val="222222"/>
          <w:shd w:val="clear" w:color="auto" w:fill="FFFFFF"/>
        </w:rPr>
        <w:t>95</w:t>
      </w:r>
      <w:r w:rsidRPr="00A27C99">
        <w:rPr>
          <w:rFonts w:cs="Times New Roman"/>
          <w:color w:val="222222"/>
          <w:shd w:val="clear" w:color="auto" w:fill="FFFFFF"/>
        </w:rPr>
        <w:t>, 104690.</w:t>
      </w:r>
      <w:r>
        <w:rPr>
          <w:rFonts w:cs="Times New Roman"/>
          <w:color w:val="222222"/>
          <w:shd w:val="clear" w:color="auto" w:fill="FFFFFF"/>
        </w:rPr>
        <w:t xml:space="preserve"> Doi: </w:t>
      </w:r>
      <w:r w:rsidRPr="00A27C99">
        <w:rPr>
          <w:rFonts w:cs="Times New Roman"/>
          <w:color w:val="222222"/>
          <w:shd w:val="clear" w:color="auto" w:fill="FFFFFF"/>
        </w:rPr>
        <w:t>https://doi.org/10.1016/j.tourman.2022.104690</w:t>
      </w:r>
    </w:p>
    <w:p w14:paraId="41FED451" w14:textId="77777777" w:rsidR="00995C32" w:rsidRDefault="00995C32" w:rsidP="00161252">
      <w:pPr>
        <w:ind w:left="720" w:hanging="720"/>
        <w:rPr>
          <w:rFonts w:ascii="Segoe UI Symbol" w:hAnsi="Segoe UI Symbol" w:cs="Segoe UI Symbol"/>
        </w:rPr>
      </w:pPr>
      <w:proofErr w:type="spellStart"/>
      <w:r>
        <w:t>Inkson</w:t>
      </w:r>
      <w:proofErr w:type="spellEnd"/>
      <w:r>
        <w:t xml:space="preserve">, C. and Minnaert, L. (2018) </w:t>
      </w:r>
      <w:r w:rsidRPr="00D032DC">
        <w:rPr>
          <w:i/>
        </w:rPr>
        <w:t xml:space="preserve">Tourism </w:t>
      </w:r>
      <w:proofErr w:type="gramStart"/>
      <w:r w:rsidRPr="00D032DC">
        <w:rPr>
          <w:i/>
        </w:rPr>
        <w:t>management :</w:t>
      </w:r>
      <w:proofErr w:type="gramEnd"/>
      <w:r w:rsidRPr="00D032DC">
        <w:rPr>
          <w:i/>
        </w:rPr>
        <w:t xml:space="preserve"> an introduction.</w:t>
      </w:r>
      <w:r>
        <w:t xml:space="preserve"> 2nded. London: SAGE. </w:t>
      </w:r>
    </w:p>
    <w:p w14:paraId="41FED452" w14:textId="77777777" w:rsidR="00995C32" w:rsidRDefault="00995C32" w:rsidP="00F30866">
      <w:pPr>
        <w:ind w:left="720" w:hanging="720"/>
        <w:rPr>
          <w:rFonts w:ascii="Segoe UI Symbol" w:hAnsi="Segoe UI Symbol" w:cs="Segoe UI Symbol"/>
        </w:rPr>
      </w:pPr>
      <w:r>
        <w:t>Jauhari, V (2021) ‘</w:t>
      </w:r>
      <w:r w:rsidRPr="001F32F4">
        <w:rPr>
          <w:i/>
        </w:rPr>
        <w:t xml:space="preserve">Managing Sustainability in the Hospitality and Tourism Industry: Paradigms and Directions for the Future’ </w:t>
      </w:r>
      <w:r>
        <w:t xml:space="preserve">9th </w:t>
      </w:r>
      <w:proofErr w:type="spellStart"/>
      <w:proofErr w:type="gramStart"/>
      <w:r>
        <w:t>edn.Oakville</w:t>
      </w:r>
      <w:proofErr w:type="spellEnd"/>
      <w:proofErr w:type="gramEnd"/>
      <w:r>
        <w:t xml:space="preserve">: Apple Academic Press. Inc </w:t>
      </w:r>
    </w:p>
    <w:p w14:paraId="41FED453" w14:textId="77777777" w:rsidR="00995C32" w:rsidRPr="00A27C99" w:rsidRDefault="00995C32" w:rsidP="008462DC">
      <w:pPr>
        <w:ind w:left="720" w:hanging="720"/>
        <w:rPr>
          <w:rFonts w:cs="Times New Roman"/>
          <w:b/>
          <w:color w:val="222222"/>
          <w:shd w:val="clear" w:color="auto" w:fill="FFFFFF"/>
        </w:rPr>
      </w:pPr>
      <w:r w:rsidRPr="00A27C99">
        <w:rPr>
          <w:rFonts w:cs="Times New Roman"/>
          <w:color w:val="222222"/>
          <w:shd w:val="clear" w:color="auto" w:fill="FFFFFF"/>
        </w:rPr>
        <w:t>Jones, P. and Comfort, D. (2021). Modern slavery statements and leading UK hotel companies. </w:t>
      </w:r>
      <w:r w:rsidRPr="00A27C99">
        <w:rPr>
          <w:rFonts w:cs="Times New Roman"/>
          <w:i/>
          <w:iCs/>
          <w:color w:val="222222"/>
          <w:shd w:val="clear" w:color="auto" w:fill="FFFFFF"/>
        </w:rPr>
        <w:t>Athens Journal of Tourism</w:t>
      </w:r>
      <w:r w:rsidRPr="00A27C99">
        <w:rPr>
          <w:rFonts w:cs="Times New Roman"/>
          <w:color w:val="222222"/>
          <w:shd w:val="clear" w:color="auto" w:fill="FFFFFF"/>
        </w:rPr>
        <w:t>, </w:t>
      </w:r>
      <w:r w:rsidRPr="00A27C99">
        <w:rPr>
          <w:rFonts w:cs="Times New Roman"/>
          <w:i/>
          <w:iCs/>
          <w:color w:val="222222"/>
          <w:shd w:val="clear" w:color="auto" w:fill="FFFFFF"/>
        </w:rPr>
        <w:t>8</w:t>
      </w:r>
      <w:r w:rsidRPr="00A27C99">
        <w:rPr>
          <w:rFonts w:cs="Times New Roman"/>
          <w:color w:val="222222"/>
          <w:shd w:val="clear" w:color="auto" w:fill="FFFFFF"/>
        </w:rPr>
        <w:t>(3), 147-162.</w:t>
      </w:r>
      <w:r>
        <w:rPr>
          <w:rFonts w:cs="Times New Roman"/>
          <w:color w:val="222222"/>
          <w:shd w:val="clear" w:color="auto" w:fill="FFFFFF"/>
        </w:rPr>
        <w:t xml:space="preserve"> Doi: </w:t>
      </w:r>
      <w:r w:rsidRPr="00A27C99">
        <w:rPr>
          <w:rFonts w:cs="Times New Roman"/>
          <w:color w:val="222222"/>
          <w:shd w:val="clear" w:color="auto" w:fill="FFFFFF"/>
        </w:rPr>
        <w:t>https://doi.org/10.30958/ajt.8-3-1</w:t>
      </w:r>
    </w:p>
    <w:p w14:paraId="41FED454" w14:textId="77777777" w:rsidR="00995C32" w:rsidRDefault="00995C32" w:rsidP="001C34C7">
      <w:pPr>
        <w:ind w:left="720" w:hanging="720"/>
        <w:rPr>
          <w:rFonts w:ascii="Segoe UI Symbol" w:hAnsi="Segoe UI Symbol" w:cs="Segoe UI Symbol"/>
        </w:rPr>
      </w:pPr>
      <w:proofErr w:type="spellStart"/>
      <w:r>
        <w:lastRenderedPageBreak/>
        <w:t>Korstanje</w:t>
      </w:r>
      <w:proofErr w:type="spellEnd"/>
      <w:r>
        <w:t xml:space="preserve">, George, B. and Nedelea, A. (2020). </w:t>
      </w:r>
      <w:r w:rsidRPr="001F32F4">
        <w:rPr>
          <w:i/>
        </w:rPr>
        <w:t>Strategies for promoting sustainable hospitality and tourism services.</w:t>
      </w:r>
      <w:r>
        <w:t xml:space="preserve"> IGI Global. </w:t>
      </w:r>
    </w:p>
    <w:p w14:paraId="41FED455" w14:textId="77777777" w:rsidR="00995C32" w:rsidRPr="00A27C99" w:rsidRDefault="00995C32" w:rsidP="008462DC">
      <w:pPr>
        <w:ind w:left="720" w:hanging="720"/>
        <w:rPr>
          <w:rFonts w:cs="Times New Roman"/>
          <w:color w:val="222222"/>
          <w:shd w:val="clear" w:color="auto" w:fill="FFFFFF"/>
        </w:rPr>
      </w:pPr>
      <w:proofErr w:type="spellStart"/>
      <w:r w:rsidRPr="00A27C99">
        <w:rPr>
          <w:rFonts w:cs="Times New Roman"/>
          <w:color w:val="222222"/>
          <w:shd w:val="clear" w:color="auto" w:fill="FFFFFF"/>
        </w:rPr>
        <w:t>Koseoglu</w:t>
      </w:r>
      <w:proofErr w:type="spellEnd"/>
      <w:r w:rsidRPr="00A27C99">
        <w:rPr>
          <w:rFonts w:cs="Times New Roman"/>
          <w:color w:val="222222"/>
          <w:shd w:val="clear" w:color="auto" w:fill="FFFFFF"/>
        </w:rPr>
        <w:t>, M. A., Uyar, A., Kilic, M., Kuzey, C. and Karaman, A. S. (2021). Exploring the connections among CSR performance, reporting, and external assurance: Evidence from the hospitality and tourism industry. </w:t>
      </w:r>
      <w:r w:rsidRPr="00A27C99">
        <w:rPr>
          <w:rFonts w:cs="Times New Roman"/>
          <w:i/>
          <w:iCs/>
          <w:color w:val="222222"/>
          <w:shd w:val="clear" w:color="auto" w:fill="FFFFFF"/>
        </w:rPr>
        <w:t>International Journal of Hospitality Management</w:t>
      </w:r>
      <w:r w:rsidRPr="00A27C99">
        <w:rPr>
          <w:rFonts w:cs="Times New Roman"/>
          <w:color w:val="222222"/>
          <w:shd w:val="clear" w:color="auto" w:fill="FFFFFF"/>
        </w:rPr>
        <w:t>, </w:t>
      </w:r>
      <w:r w:rsidRPr="00A27C99">
        <w:rPr>
          <w:rFonts w:cs="Times New Roman"/>
          <w:i/>
          <w:iCs/>
          <w:color w:val="222222"/>
          <w:shd w:val="clear" w:color="auto" w:fill="FFFFFF"/>
        </w:rPr>
        <w:t>94</w:t>
      </w:r>
      <w:r w:rsidRPr="00A27C99">
        <w:rPr>
          <w:rFonts w:cs="Times New Roman"/>
          <w:color w:val="222222"/>
          <w:shd w:val="clear" w:color="auto" w:fill="FFFFFF"/>
        </w:rPr>
        <w:t>, 102819.</w:t>
      </w:r>
      <w:r>
        <w:rPr>
          <w:rFonts w:cs="Times New Roman"/>
          <w:color w:val="222222"/>
          <w:shd w:val="clear" w:color="auto" w:fill="FFFFFF"/>
        </w:rPr>
        <w:t xml:space="preserve"> Doi: </w:t>
      </w:r>
      <w:r w:rsidRPr="00A27C99">
        <w:rPr>
          <w:rFonts w:cs="Times New Roman"/>
          <w:color w:val="222222"/>
          <w:shd w:val="clear" w:color="auto" w:fill="FFFFFF"/>
        </w:rPr>
        <w:t>https://doi.org/10.1016/j.ijhm.2020.102819</w:t>
      </w:r>
    </w:p>
    <w:p w14:paraId="41FED456" w14:textId="77777777" w:rsidR="00995C32" w:rsidRPr="00A27C99" w:rsidRDefault="00995C32" w:rsidP="008462DC">
      <w:pPr>
        <w:ind w:left="720" w:hanging="720"/>
        <w:rPr>
          <w:rFonts w:cs="Times New Roman"/>
          <w:color w:val="222222"/>
          <w:shd w:val="clear" w:color="auto" w:fill="FFFFFF"/>
        </w:rPr>
      </w:pPr>
      <w:proofErr w:type="spellStart"/>
      <w:r w:rsidRPr="00A27C99">
        <w:rPr>
          <w:rFonts w:cs="Times New Roman"/>
          <w:color w:val="222222"/>
          <w:shd w:val="clear" w:color="auto" w:fill="FFFFFF"/>
        </w:rPr>
        <w:t>Moyeen</w:t>
      </w:r>
      <w:proofErr w:type="spellEnd"/>
      <w:r w:rsidRPr="00A27C99">
        <w:rPr>
          <w:rFonts w:cs="Times New Roman"/>
          <w:color w:val="222222"/>
          <w:shd w:val="clear" w:color="auto" w:fill="FFFFFF"/>
        </w:rPr>
        <w:t>, A. and Mehjabeen, M. (2024). CSR research in the hotel industry: how it relates to promoting the SDGs. </w:t>
      </w:r>
      <w:r w:rsidRPr="00A27C99">
        <w:rPr>
          <w:rFonts w:cs="Times New Roman"/>
          <w:i/>
          <w:iCs/>
          <w:color w:val="222222"/>
          <w:shd w:val="clear" w:color="auto" w:fill="FFFFFF"/>
        </w:rPr>
        <w:t>Social Responsibility Journal</w:t>
      </w:r>
      <w:r w:rsidRPr="00A27C99">
        <w:rPr>
          <w:rFonts w:cs="Times New Roman"/>
          <w:color w:val="222222"/>
          <w:shd w:val="clear" w:color="auto" w:fill="FFFFFF"/>
        </w:rPr>
        <w:t>, </w:t>
      </w:r>
      <w:r w:rsidRPr="00A27C99">
        <w:rPr>
          <w:rFonts w:cs="Times New Roman"/>
          <w:i/>
          <w:iCs/>
          <w:color w:val="222222"/>
          <w:shd w:val="clear" w:color="auto" w:fill="FFFFFF"/>
        </w:rPr>
        <w:t>20</w:t>
      </w:r>
      <w:r w:rsidRPr="00A27C99">
        <w:rPr>
          <w:rFonts w:cs="Times New Roman"/>
          <w:color w:val="222222"/>
          <w:shd w:val="clear" w:color="auto" w:fill="FFFFFF"/>
        </w:rPr>
        <w:t>(9), 1770-1786.</w:t>
      </w:r>
      <w:r>
        <w:rPr>
          <w:rFonts w:cs="Times New Roman"/>
          <w:color w:val="222222"/>
          <w:shd w:val="clear" w:color="auto" w:fill="FFFFFF"/>
        </w:rPr>
        <w:t xml:space="preserve"> Doi: </w:t>
      </w:r>
      <w:r w:rsidRPr="00A27C99">
        <w:rPr>
          <w:rFonts w:cs="Times New Roman"/>
          <w:color w:val="222222"/>
          <w:shd w:val="clear" w:color="auto" w:fill="FFFFFF"/>
        </w:rPr>
        <w:t>https://doi.org/10.1108/SRJ-01-2024-0032</w:t>
      </w:r>
    </w:p>
    <w:p w14:paraId="41FED457" w14:textId="77777777" w:rsidR="00995C32" w:rsidRPr="00A27C99" w:rsidRDefault="00995C32" w:rsidP="008462DC">
      <w:pPr>
        <w:ind w:left="720" w:hanging="720"/>
        <w:rPr>
          <w:rFonts w:cs="Times New Roman"/>
          <w:color w:val="222222"/>
          <w:shd w:val="clear" w:color="auto" w:fill="FFFFFF"/>
        </w:rPr>
      </w:pPr>
      <w:r w:rsidRPr="00A27C99">
        <w:rPr>
          <w:rFonts w:cs="Times New Roman"/>
          <w:color w:val="222222"/>
          <w:shd w:val="clear" w:color="auto" w:fill="FFFFFF"/>
        </w:rPr>
        <w:t>Sarwar, H., Ishaq, M. I. and Franzoni, S. (2024). Influence of HRM on CSR and performance of upscale hotels in developed and developing countries. </w:t>
      </w:r>
      <w:r w:rsidRPr="00A27C99">
        <w:rPr>
          <w:rFonts w:cs="Times New Roman"/>
          <w:i/>
          <w:iCs/>
          <w:color w:val="222222"/>
          <w:shd w:val="clear" w:color="auto" w:fill="FFFFFF"/>
        </w:rPr>
        <w:t>Environment, Development and Sustainability</w:t>
      </w:r>
      <w:r w:rsidRPr="00A27C99">
        <w:rPr>
          <w:rFonts w:cs="Times New Roman"/>
          <w:color w:val="222222"/>
          <w:shd w:val="clear" w:color="auto" w:fill="FFFFFF"/>
        </w:rPr>
        <w:t>, </w:t>
      </w:r>
      <w:r w:rsidRPr="00A27C99">
        <w:rPr>
          <w:rFonts w:cs="Times New Roman"/>
          <w:i/>
          <w:iCs/>
          <w:color w:val="222222"/>
          <w:shd w:val="clear" w:color="auto" w:fill="FFFFFF"/>
        </w:rPr>
        <w:t>26</w:t>
      </w:r>
      <w:r w:rsidRPr="00A27C99">
        <w:rPr>
          <w:rFonts w:cs="Times New Roman"/>
          <w:color w:val="222222"/>
          <w:shd w:val="clear" w:color="auto" w:fill="FFFFFF"/>
        </w:rPr>
        <w:t>(1), 335-357.</w:t>
      </w:r>
      <w:r>
        <w:rPr>
          <w:rFonts w:cs="Times New Roman"/>
          <w:color w:val="222222"/>
          <w:shd w:val="clear" w:color="auto" w:fill="FFFFFF"/>
        </w:rPr>
        <w:t xml:space="preserve"> Doi: </w:t>
      </w:r>
      <w:r w:rsidRPr="00A27C99">
        <w:rPr>
          <w:rFonts w:cs="Times New Roman"/>
          <w:color w:val="222222"/>
          <w:shd w:val="clear" w:color="auto" w:fill="FFFFFF"/>
        </w:rPr>
        <w:t>https://doi.org/10.1007/s10668-022-02711-x</w:t>
      </w:r>
    </w:p>
    <w:p w14:paraId="41FED458" w14:textId="77777777" w:rsidR="00995C32" w:rsidRDefault="00995C32" w:rsidP="00161252">
      <w:pPr>
        <w:ind w:left="720" w:hanging="720"/>
      </w:pPr>
      <w:r>
        <w:t xml:space="preserve">Sloan, P., Legrand, W. and Chen, J.S. (2017) </w:t>
      </w:r>
      <w:r w:rsidRPr="00D032DC">
        <w:rPr>
          <w:i/>
        </w:rPr>
        <w:t xml:space="preserve">Sustainability in the hospitality </w:t>
      </w:r>
      <w:proofErr w:type="gramStart"/>
      <w:r w:rsidRPr="00D032DC">
        <w:rPr>
          <w:i/>
        </w:rPr>
        <w:t>industry :</w:t>
      </w:r>
      <w:proofErr w:type="gramEnd"/>
      <w:r w:rsidRPr="00D032DC">
        <w:rPr>
          <w:i/>
        </w:rPr>
        <w:t xml:space="preserve"> principles of sustainable operations.</w:t>
      </w:r>
      <w:r>
        <w:t xml:space="preserve"> 3rdedn. London: Butterworth-Heinemann.</w:t>
      </w:r>
    </w:p>
    <w:p w14:paraId="41FED459" w14:textId="77777777" w:rsidR="00995C32" w:rsidRDefault="00995C32" w:rsidP="00AC251A">
      <w:pPr>
        <w:ind w:left="720" w:hanging="720"/>
        <w:rPr>
          <w:rFonts w:ascii="Segoe UI Symbol" w:hAnsi="Segoe UI Symbol" w:cs="Segoe UI Symbol"/>
        </w:rPr>
      </w:pPr>
      <w:r>
        <w:t xml:space="preserve">Wickham, Donnelly, T. and French, L. (2021). Strategic Sustainability Management in the Event Sector. </w:t>
      </w:r>
      <w:r w:rsidRPr="001F32F4">
        <w:rPr>
          <w:i/>
        </w:rPr>
        <w:t>Event Management, 25</w:t>
      </w:r>
      <w:r>
        <w:t xml:space="preserve">(3), 279–296. </w:t>
      </w:r>
    </w:p>
    <w:p w14:paraId="41FED45A" w14:textId="77777777" w:rsidR="00995C32" w:rsidRPr="00A27C99" w:rsidRDefault="00995C32" w:rsidP="008462DC">
      <w:pPr>
        <w:ind w:left="720" w:hanging="720"/>
        <w:rPr>
          <w:rFonts w:cs="Times New Roman"/>
          <w:color w:val="222222"/>
          <w:shd w:val="clear" w:color="auto" w:fill="FFFFFF"/>
        </w:rPr>
      </w:pPr>
      <w:r w:rsidRPr="00A27C99">
        <w:rPr>
          <w:rFonts w:cs="Times New Roman"/>
          <w:color w:val="222222"/>
          <w:shd w:val="clear" w:color="auto" w:fill="FFFFFF"/>
        </w:rPr>
        <w:t xml:space="preserve">Wong, A. K. F., </w:t>
      </w:r>
      <w:proofErr w:type="spellStart"/>
      <w:r w:rsidRPr="00A27C99">
        <w:rPr>
          <w:rFonts w:cs="Times New Roman"/>
          <w:color w:val="222222"/>
          <w:shd w:val="clear" w:color="auto" w:fill="FFFFFF"/>
        </w:rPr>
        <w:t>Köseoglu</w:t>
      </w:r>
      <w:proofErr w:type="spellEnd"/>
      <w:r w:rsidRPr="00A27C99">
        <w:rPr>
          <w:rFonts w:cs="Times New Roman"/>
          <w:color w:val="222222"/>
          <w:shd w:val="clear" w:color="auto" w:fill="FFFFFF"/>
        </w:rPr>
        <w:t>, M. A. and Kim, S. S. (2021). The intellectual structure of corporate social responsibility research in tourism and hospitality: A citation/co-citation analysis. </w:t>
      </w:r>
      <w:r w:rsidRPr="00A27C99">
        <w:rPr>
          <w:rFonts w:cs="Times New Roman"/>
          <w:i/>
          <w:iCs/>
          <w:color w:val="222222"/>
          <w:shd w:val="clear" w:color="auto" w:fill="FFFFFF"/>
        </w:rPr>
        <w:t>Journal of Hospitality and Tourism Management</w:t>
      </w:r>
      <w:r w:rsidRPr="00A27C99">
        <w:rPr>
          <w:rFonts w:cs="Times New Roman"/>
          <w:color w:val="222222"/>
          <w:shd w:val="clear" w:color="auto" w:fill="FFFFFF"/>
        </w:rPr>
        <w:t>, </w:t>
      </w:r>
      <w:r w:rsidRPr="00A27C99">
        <w:rPr>
          <w:rFonts w:cs="Times New Roman"/>
          <w:i/>
          <w:iCs/>
          <w:color w:val="222222"/>
          <w:shd w:val="clear" w:color="auto" w:fill="FFFFFF"/>
        </w:rPr>
        <w:t>49</w:t>
      </w:r>
      <w:r w:rsidRPr="00A27C99">
        <w:rPr>
          <w:rFonts w:cs="Times New Roman"/>
          <w:color w:val="222222"/>
          <w:shd w:val="clear" w:color="auto" w:fill="FFFFFF"/>
        </w:rPr>
        <w:t>, 270-284.</w:t>
      </w:r>
      <w:r>
        <w:rPr>
          <w:rFonts w:cs="Times New Roman"/>
          <w:color w:val="222222"/>
          <w:shd w:val="clear" w:color="auto" w:fill="FFFFFF"/>
        </w:rPr>
        <w:t xml:space="preserve"> Doi: </w:t>
      </w:r>
      <w:r w:rsidRPr="00A27C99">
        <w:rPr>
          <w:rFonts w:cs="Times New Roman"/>
          <w:color w:val="222222"/>
          <w:shd w:val="clear" w:color="auto" w:fill="FFFFFF"/>
        </w:rPr>
        <w:t>https://doi.org/10.1016/j.jhtm.2021.09.015</w:t>
      </w:r>
    </w:p>
    <w:p w14:paraId="41FED45B" w14:textId="77777777" w:rsidR="00995C32" w:rsidRDefault="00995C32" w:rsidP="008462DC">
      <w:pPr>
        <w:ind w:left="720" w:hanging="720"/>
        <w:rPr>
          <w:rFonts w:cs="Times New Roman"/>
          <w:color w:val="222222"/>
          <w:shd w:val="clear" w:color="auto" w:fill="FFFFFF"/>
        </w:rPr>
      </w:pPr>
      <w:r w:rsidRPr="00A27C99">
        <w:rPr>
          <w:rFonts w:cs="Times New Roman"/>
          <w:color w:val="222222"/>
          <w:shd w:val="clear" w:color="auto" w:fill="FFFFFF"/>
        </w:rPr>
        <w:t xml:space="preserve">Xu, L., Mohammad, S. J., Nawaz, N., Samad, S., Ahmad, N. and </w:t>
      </w:r>
      <w:proofErr w:type="spellStart"/>
      <w:r w:rsidRPr="00A27C99">
        <w:rPr>
          <w:rFonts w:cs="Times New Roman"/>
          <w:color w:val="222222"/>
          <w:shd w:val="clear" w:color="auto" w:fill="FFFFFF"/>
        </w:rPr>
        <w:t>Comite</w:t>
      </w:r>
      <w:proofErr w:type="spellEnd"/>
      <w:r w:rsidRPr="00A27C99">
        <w:rPr>
          <w:rFonts w:cs="Times New Roman"/>
          <w:color w:val="222222"/>
          <w:shd w:val="clear" w:color="auto" w:fill="FFFFFF"/>
        </w:rPr>
        <w:t>, U. (2022). The role of CSR for de-carbonization of hospitality sector through employees: A leadership perspective. </w:t>
      </w:r>
      <w:r w:rsidRPr="00A27C99">
        <w:rPr>
          <w:rFonts w:cs="Times New Roman"/>
          <w:i/>
          <w:iCs/>
          <w:color w:val="222222"/>
          <w:shd w:val="clear" w:color="auto" w:fill="FFFFFF"/>
        </w:rPr>
        <w:t>Sustainability</w:t>
      </w:r>
      <w:r w:rsidRPr="00A27C99">
        <w:rPr>
          <w:rFonts w:cs="Times New Roman"/>
          <w:color w:val="222222"/>
          <w:shd w:val="clear" w:color="auto" w:fill="FFFFFF"/>
        </w:rPr>
        <w:t>, </w:t>
      </w:r>
      <w:r w:rsidRPr="00A27C99">
        <w:rPr>
          <w:rFonts w:cs="Times New Roman"/>
          <w:i/>
          <w:iCs/>
          <w:color w:val="222222"/>
          <w:shd w:val="clear" w:color="auto" w:fill="FFFFFF"/>
        </w:rPr>
        <w:t>14</w:t>
      </w:r>
      <w:r w:rsidRPr="00A27C99">
        <w:rPr>
          <w:rFonts w:cs="Times New Roman"/>
          <w:color w:val="222222"/>
          <w:shd w:val="clear" w:color="auto" w:fill="FFFFFF"/>
        </w:rPr>
        <w:t>(9), 5365.</w:t>
      </w:r>
      <w:r>
        <w:rPr>
          <w:rFonts w:cs="Times New Roman"/>
          <w:color w:val="222222"/>
          <w:shd w:val="clear" w:color="auto" w:fill="FFFFFF"/>
        </w:rPr>
        <w:t xml:space="preserve"> Doi: </w:t>
      </w:r>
      <w:hyperlink r:id="rId8" w:history="1">
        <w:r w:rsidRPr="009575AD">
          <w:rPr>
            <w:rStyle w:val="Hyperlink"/>
            <w:rFonts w:cs="Times New Roman"/>
            <w:shd w:val="clear" w:color="auto" w:fill="FFFFFF"/>
          </w:rPr>
          <w:t>https://doi.org/10.3390/su14095365</w:t>
        </w:r>
      </w:hyperlink>
    </w:p>
    <w:p w14:paraId="41FED45C" w14:textId="77777777" w:rsidR="00995C32" w:rsidRDefault="00995C32" w:rsidP="008462DC">
      <w:pPr>
        <w:ind w:left="720" w:hanging="720"/>
        <w:rPr>
          <w:rFonts w:cs="Times New Roman"/>
          <w:color w:val="222222"/>
          <w:shd w:val="clear" w:color="auto" w:fill="FFFFFF"/>
        </w:rPr>
      </w:pPr>
    </w:p>
    <w:p w14:paraId="41FED45D" w14:textId="77777777" w:rsidR="00161252" w:rsidRPr="00A27C99" w:rsidRDefault="00161252" w:rsidP="008462DC">
      <w:pPr>
        <w:ind w:left="720" w:hanging="720"/>
        <w:rPr>
          <w:rFonts w:cs="Times New Roman"/>
          <w:color w:val="222222"/>
          <w:shd w:val="clear" w:color="auto" w:fill="FFFFFF"/>
        </w:rPr>
      </w:pPr>
    </w:p>
    <w:p w14:paraId="41FED45E" w14:textId="77777777" w:rsidR="008462DC" w:rsidRPr="00A27C99" w:rsidRDefault="008462DC" w:rsidP="008462DC">
      <w:pPr>
        <w:ind w:left="720" w:hanging="720"/>
        <w:rPr>
          <w:rFonts w:cs="Times New Roman"/>
        </w:rPr>
      </w:pPr>
    </w:p>
    <w:p w14:paraId="41FED45F" w14:textId="77777777" w:rsidR="008462DC" w:rsidRPr="008462DC" w:rsidRDefault="008462DC" w:rsidP="008462DC">
      <w:pPr>
        <w:rPr>
          <w:lang w:eastAsia="en-US"/>
        </w:rPr>
      </w:pPr>
    </w:p>
    <w:sectPr w:rsidR="008462DC" w:rsidRPr="008462DC">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5D54C8" w14:textId="77777777" w:rsidR="006A0D0F" w:rsidRDefault="006A0D0F" w:rsidP="00485F46">
      <w:pPr>
        <w:spacing w:after="0" w:line="240" w:lineRule="auto"/>
      </w:pPr>
      <w:r>
        <w:separator/>
      </w:r>
    </w:p>
  </w:endnote>
  <w:endnote w:type="continuationSeparator" w:id="0">
    <w:p w14:paraId="17B7DCBA" w14:textId="77777777" w:rsidR="006A0D0F" w:rsidRDefault="006A0D0F" w:rsidP="00485F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oto Sans">
    <w:altName w:val="Nirmala UI"/>
    <w:charset w:val="00"/>
    <w:family w:val="swiss"/>
    <w:pitch w:val="variable"/>
    <w:sig w:usb0="E00082FF" w:usb1="400078FF" w:usb2="00000021"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Open Sans">
    <w:altName w:val="Times New Roman"/>
    <w:charset w:val="00"/>
    <w:family w:val="swiss"/>
    <w:pitch w:val="variable"/>
    <w:sig w:usb0="E00002EF" w:usb1="4000205B" w:usb2="00000028"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3552212"/>
      <w:docPartObj>
        <w:docPartGallery w:val="Page Numbers (Bottom of Page)"/>
        <w:docPartUnique/>
      </w:docPartObj>
    </w:sdtPr>
    <w:sdtEndPr>
      <w:rPr>
        <w:noProof/>
      </w:rPr>
    </w:sdtEndPr>
    <w:sdtContent>
      <w:p w14:paraId="41FED466" w14:textId="77777777" w:rsidR="00485F46" w:rsidRDefault="00485F46">
        <w:pPr>
          <w:pStyle w:val="Footer"/>
          <w:jc w:val="right"/>
        </w:pPr>
        <w:r>
          <w:fldChar w:fldCharType="begin"/>
        </w:r>
        <w:r>
          <w:instrText xml:space="preserve"> PAGE   \* MERGEFORMAT </w:instrText>
        </w:r>
        <w:r>
          <w:fldChar w:fldCharType="separate"/>
        </w:r>
        <w:r w:rsidR="00F07476">
          <w:rPr>
            <w:noProof/>
          </w:rPr>
          <w:t>2</w:t>
        </w:r>
        <w:r>
          <w:rPr>
            <w:noProof/>
          </w:rPr>
          <w:fldChar w:fldCharType="end"/>
        </w:r>
      </w:p>
    </w:sdtContent>
  </w:sdt>
  <w:p w14:paraId="41FED467" w14:textId="77777777" w:rsidR="00485F46" w:rsidRDefault="00485F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042D5" w14:textId="77777777" w:rsidR="006A0D0F" w:rsidRDefault="006A0D0F" w:rsidP="00485F46">
      <w:pPr>
        <w:spacing w:after="0" w:line="240" w:lineRule="auto"/>
      </w:pPr>
      <w:r>
        <w:separator/>
      </w:r>
    </w:p>
  </w:footnote>
  <w:footnote w:type="continuationSeparator" w:id="0">
    <w:p w14:paraId="350003B2" w14:textId="77777777" w:rsidR="006A0D0F" w:rsidRDefault="006A0D0F" w:rsidP="00485F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8A3729"/>
    <w:multiLevelType w:val="multilevel"/>
    <w:tmpl w:val="C9A65E1E"/>
    <w:lvl w:ilvl="0">
      <w:start w:val="1"/>
      <w:numFmt w:val="decimal"/>
      <w:lvlText w:val="%1"/>
      <w:lvlJc w:val="left"/>
      <w:pPr>
        <w:ind w:left="432" w:hanging="432"/>
      </w:pPr>
    </w:lvl>
    <w:lvl w:ilvl="1">
      <w:start w:val="1"/>
      <w:numFmt w:val="decimal"/>
      <w:lvlText w:val="%1.%2"/>
      <w:lvlJc w:val="left"/>
      <w:pPr>
        <w:ind w:left="5256" w:hanging="576"/>
      </w:pPr>
    </w:lvl>
    <w:lvl w:ilvl="2">
      <w:start w:val="1"/>
      <w:numFmt w:val="decimal"/>
      <w:pStyle w:val="Heading3"/>
      <w:lvlText w:val="%1.%2.%3"/>
      <w:lvlJc w:val="left"/>
      <w:pPr>
        <w:ind w:left="207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43030E8F"/>
    <w:multiLevelType w:val="multilevel"/>
    <w:tmpl w:val="3BB049C2"/>
    <w:lvl w:ilvl="0">
      <w:start w:val="1"/>
      <w:numFmt w:val="decimal"/>
      <w:lvlText w:val="%1"/>
      <w:lvlJc w:val="left"/>
      <w:pPr>
        <w:ind w:left="5742" w:hanging="432"/>
      </w:pPr>
    </w:lvl>
    <w:lvl w:ilvl="1">
      <w:start w:val="1"/>
      <w:numFmt w:val="decimal"/>
      <w:lvlText w:val="%1.%2"/>
      <w:lvlJc w:val="left"/>
      <w:pPr>
        <w:ind w:left="534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19810636">
    <w:abstractNumId w:val="1"/>
  </w:num>
  <w:num w:numId="2" w16cid:durableId="1010915890">
    <w:abstractNumId w:val="1"/>
  </w:num>
  <w:num w:numId="3" w16cid:durableId="724111416">
    <w:abstractNumId w:val="0"/>
  </w:num>
  <w:num w:numId="4" w16cid:durableId="1415322267">
    <w:abstractNumId w:val="0"/>
  </w:num>
  <w:num w:numId="5" w16cid:durableId="2048723193">
    <w:abstractNumId w:val="0"/>
  </w:num>
  <w:num w:numId="6" w16cid:durableId="306203767">
    <w:abstractNumId w:val="0"/>
  </w:num>
  <w:num w:numId="7" w16cid:durableId="513344489">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5F46"/>
    <w:rsid w:val="0000003F"/>
    <w:rsid w:val="0000055C"/>
    <w:rsid w:val="000056AC"/>
    <w:rsid w:val="0001440C"/>
    <w:rsid w:val="00014D58"/>
    <w:rsid w:val="000227FA"/>
    <w:rsid w:val="00034D76"/>
    <w:rsid w:val="0003707E"/>
    <w:rsid w:val="00047855"/>
    <w:rsid w:val="0005275C"/>
    <w:rsid w:val="00054ADC"/>
    <w:rsid w:val="00057408"/>
    <w:rsid w:val="0005770D"/>
    <w:rsid w:val="00064292"/>
    <w:rsid w:val="00077EF7"/>
    <w:rsid w:val="0008049C"/>
    <w:rsid w:val="000A0B5C"/>
    <w:rsid w:val="000A1A40"/>
    <w:rsid w:val="000A2B98"/>
    <w:rsid w:val="000B2A78"/>
    <w:rsid w:val="000B4ED7"/>
    <w:rsid w:val="000B5D61"/>
    <w:rsid w:val="000C4ED3"/>
    <w:rsid w:val="000C5854"/>
    <w:rsid w:val="000D51C9"/>
    <w:rsid w:val="000E7039"/>
    <w:rsid w:val="00100C16"/>
    <w:rsid w:val="00100F68"/>
    <w:rsid w:val="00104B52"/>
    <w:rsid w:val="00113F42"/>
    <w:rsid w:val="0011740D"/>
    <w:rsid w:val="00124528"/>
    <w:rsid w:val="00124F3F"/>
    <w:rsid w:val="00126537"/>
    <w:rsid w:val="00127EBB"/>
    <w:rsid w:val="00136755"/>
    <w:rsid w:val="00140566"/>
    <w:rsid w:val="00146AD9"/>
    <w:rsid w:val="00151990"/>
    <w:rsid w:val="001571E6"/>
    <w:rsid w:val="00157258"/>
    <w:rsid w:val="00161252"/>
    <w:rsid w:val="0016149F"/>
    <w:rsid w:val="00166207"/>
    <w:rsid w:val="00166C87"/>
    <w:rsid w:val="0017504D"/>
    <w:rsid w:val="001916EB"/>
    <w:rsid w:val="001A5AB2"/>
    <w:rsid w:val="001B2CA8"/>
    <w:rsid w:val="001C0CDA"/>
    <w:rsid w:val="001C34C7"/>
    <w:rsid w:val="001C3CB7"/>
    <w:rsid w:val="001C4834"/>
    <w:rsid w:val="001C550A"/>
    <w:rsid w:val="001D0C05"/>
    <w:rsid w:val="001D73D4"/>
    <w:rsid w:val="001E263D"/>
    <w:rsid w:val="001F501E"/>
    <w:rsid w:val="001F70D1"/>
    <w:rsid w:val="0022104A"/>
    <w:rsid w:val="00222CAF"/>
    <w:rsid w:val="0023545B"/>
    <w:rsid w:val="0025204C"/>
    <w:rsid w:val="00256C94"/>
    <w:rsid w:val="0026055C"/>
    <w:rsid w:val="00261D4D"/>
    <w:rsid w:val="00270F93"/>
    <w:rsid w:val="002735ED"/>
    <w:rsid w:val="00273840"/>
    <w:rsid w:val="00273870"/>
    <w:rsid w:val="00276470"/>
    <w:rsid w:val="002778BD"/>
    <w:rsid w:val="0028191A"/>
    <w:rsid w:val="00283619"/>
    <w:rsid w:val="00285D65"/>
    <w:rsid w:val="0028753D"/>
    <w:rsid w:val="00292FC5"/>
    <w:rsid w:val="002A63AB"/>
    <w:rsid w:val="002A6883"/>
    <w:rsid w:val="002B59EC"/>
    <w:rsid w:val="002B5E3E"/>
    <w:rsid w:val="002B6338"/>
    <w:rsid w:val="002C028A"/>
    <w:rsid w:val="002C32B3"/>
    <w:rsid w:val="002D0773"/>
    <w:rsid w:val="002E5878"/>
    <w:rsid w:val="002F65E8"/>
    <w:rsid w:val="00300995"/>
    <w:rsid w:val="0031652C"/>
    <w:rsid w:val="00316704"/>
    <w:rsid w:val="0032191F"/>
    <w:rsid w:val="00323D97"/>
    <w:rsid w:val="00326CD0"/>
    <w:rsid w:val="003318AA"/>
    <w:rsid w:val="00332996"/>
    <w:rsid w:val="00346642"/>
    <w:rsid w:val="003470BC"/>
    <w:rsid w:val="0036374A"/>
    <w:rsid w:val="00366C74"/>
    <w:rsid w:val="00373698"/>
    <w:rsid w:val="00382D30"/>
    <w:rsid w:val="003876ED"/>
    <w:rsid w:val="00395BB0"/>
    <w:rsid w:val="00397B26"/>
    <w:rsid w:val="003B60BF"/>
    <w:rsid w:val="003C30E6"/>
    <w:rsid w:val="003C6649"/>
    <w:rsid w:val="003C69F5"/>
    <w:rsid w:val="003D0361"/>
    <w:rsid w:val="003F2560"/>
    <w:rsid w:val="004008B9"/>
    <w:rsid w:val="00404647"/>
    <w:rsid w:val="00411D6B"/>
    <w:rsid w:val="00411F77"/>
    <w:rsid w:val="004134F2"/>
    <w:rsid w:val="00427294"/>
    <w:rsid w:val="00430980"/>
    <w:rsid w:val="0043643C"/>
    <w:rsid w:val="0045216F"/>
    <w:rsid w:val="004575EF"/>
    <w:rsid w:val="004715FA"/>
    <w:rsid w:val="00474E54"/>
    <w:rsid w:val="00485F46"/>
    <w:rsid w:val="004869DF"/>
    <w:rsid w:val="00487B22"/>
    <w:rsid w:val="004A1521"/>
    <w:rsid w:val="004A1EFE"/>
    <w:rsid w:val="004B694D"/>
    <w:rsid w:val="004C04A0"/>
    <w:rsid w:val="004D6CE1"/>
    <w:rsid w:val="004E74D9"/>
    <w:rsid w:val="00500CAD"/>
    <w:rsid w:val="00500F20"/>
    <w:rsid w:val="00503985"/>
    <w:rsid w:val="0050672C"/>
    <w:rsid w:val="00512E5C"/>
    <w:rsid w:val="00514F1E"/>
    <w:rsid w:val="00517DC9"/>
    <w:rsid w:val="005234A8"/>
    <w:rsid w:val="00526DD7"/>
    <w:rsid w:val="00546AFD"/>
    <w:rsid w:val="00551C27"/>
    <w:rsid w:val="00555658"/>
    <w:rsid w:val="00562089"/>
    <w:rsid w:val="00562482"/>
    <w:rsid w:val="005630C5"/>
    <w:rsid w:val="00563725"/>
    <w:rsid w:val="00564C83"/>
    <w:rsid w:val="00577969"/>
    <w:rsid w:val="00577D15"/>
    <w:rsid w:val="00583BE6"/>
    <w:rsid w:val="00592225"/>
    <w:rsid w:val="005922C8"/>
    <w:rsid w:val="005A3841"/>
    <w:rsid w:val="005A63BA"/>
    <w:rsid w:val="005B079C"/>
    <w:rsid w:val="005C48BC"/>
    <w:rsid w:val="005D186A"/>
    <w:rsid w:val="005D21B6"/>
    <w:rsid w:val="005D3243"/>
    <w:rsid w:val="005D5F4A"/>
    <w:rsid w:val="005E759D"/>
    <w:rsid w:val="005F7006"/>
    <w:rsid w:val="00601F42"/>
    <w:rsid w:val="00602353"/>
    <w:rsid w:val="006047A3"/>
    <w:rsid w:val="006066B2"/>
    <w:rsid w:val="006156AB"/>
    <w:rsid w:val="00617ACE"/>
    <w:rsid w:val="0062780D"/>
    <w:rsid w:val="006304D4"/>
    <w:rsid w:val="00630785"/>
    <w:rsid w:val="0063423E"/>
    <w:rsid w:val="006374F9"/>
    <w:rsid w:val="00650243"/>
    <w:rsid w:val="0065466C"/>
    <w:rsid w:val="00661DAD"/>
    <w:rsid w:val="00662E28"/>
    <w:rsid w:val="00671373"/>
    <w:rsid w:val="0067187C"/>
    <w:rsid w:val="006861EE"/>
    <w:rsid w:val="00695CB9"/>
    <w:rsid w:val="006A0758"/>
    <w:rsid w:val="006A0D0F"/>
    <w:rsid w:val="006A1738"/>
    <w:rsid w:val="006A2774"/>
    <w:rsid w:val="006A4CD3"/>
    <w:rsid w:val="006A6022"/>
    <w:rsid w:val="006B0FEE"/>
    <w:rsid w:val="006B5174"/>
    <w:rsid w:val="006C2706"/>
    <w:rsid w:val="006C2B9E"/>
    <w:rsid w:val="006C47D2"/>
    <w:rsid w:val="006D1F46"/>
    <w:rsid w:val="006D5E1B"/>
    <w:rsid w:val="006D5E84"/>
    <w:rsid w:val="006D7FDE"/>
    <w:rsid w:val="006E71E0"/>
    <w:rsid w:val="006F31FD"/>
    <w:rsid w:val="00704620"/>
    <w:rsid w:val="007077A1"/>
    <w:rsid w:val="00711580"/>
    <w:rsid w:val="00713D47"/>
    <w:rsid w:val="00716B7C"/>
    <w:rsid w:val="007310E9"/>
    <w:rsid w:val="007323DF"/>
    <w:rsid w:val="00732F80"/>
    <w:rsid w:val="007430DF"/>
    <w:rsid w:val="00747643"/>
    <w:rsid w:val="007538B8"/>
    <w:rsid w:val="007732FC"/>
    <w:rsid w:val="00774766"/>
    <w:rsid w:val="00784EE1"/>
    <w:rsid w:val="00786AEC"/>
    <w:rsid w:val="007923D0"/>
    <w:rsid w:val="007924EE"/>
    <w:rsid w:val="007934A5"/>
    <w:rsid w:val="00793C7D"/>
    <w:rsid w:val="007A4026"/>
    <w:rsid w:val="007B4375"/>
    <w:rsid w:val="007E73C1"/>
    <w:rsid w:val="007E7A76"/>
    <w:rsid w:val="007F16AF"/>
    <w:rsid w:val="00801A12"/>
    <w:rsid w:val="0080665B"/>
    <w:rsid w:val="008207DF"/>
    <w:rsid w:val="0082782F"/>
    <w:rsid w:val="008326A6"/>
    <w:rsid w:val="00833C59"/>
    <w:rsid w:val="0084209E"/>
    <w:rsid w:val="00842C0F"/>
    <w:rsid w:val="008462DC"/>
    <w:rsid w:val="00865081"/>
    <w:rsid w:val="008674A7"/>
    <w:rsid w:val="00870574"/>
    <w:rsid w:val="00881E95"/>
    <w:rsid w:val="00891D2E"/>
    <w:rsid w:val="00892FEB"/>
    <w:rsid w:val="00895D42"/>
    <w:rsid w:val="00897DFF"/>
    <w:rsid w:val="008A2539"/>
    <w:rsid w:val="008A3A4F"/>
    <w:rsid w:val="008C6F28"/>
    <w:rsid w:val="008C75EC"/>
    <w:rsid w:val="008D2489"/>
    <w:rsid w:val="008D2F27"/>
    <w:rsid w:val="008E028C"/>
    <w:rsid w:val="008E2837"/>
    <w:rsid w:val="008F1C26"/>
    <w:rsid w:val="008F3230"/>
    <w:rsid w:val="008F7429"/>
    <w:rsid w:val="008F7A63"/>
    <w:rsid w:val="008F7D13"/>
    <w:rsid w:val="0090354E"/>
    <w:rsid w:val="00905EA0"/>
    <w:rsid w:val="009068B4"/>
    <w:rsid w:val="009128B5"/>
    <w:rsid w:val="00917DF8"/>
    <w:rsid w:val="0092115F"/>
    <w:rsid w:val="00923B18"/>
    <w:rsid w:val="00923CF0"/>
    <w:rsid w:val="00926005"/>
    <w:rsid w:val="0092694B"/>
    <w:rsid w:val="009328A8"/>
    <w:rsid w:val="00932CF9"/>
    <w:rsid w:val="009330D7"/>
    <w:rsid w:val="0093340F"/>
    <w:rsid w:val="00933E74"/>
    <w:rsid w:val="009348F6"/>
    <w:rsid w:val="00935209"/>
    <w:rsid w:val="00940EE7"/>
    <w:rsid w:val="0094769C"/>
    <w:rsid w:val="0095454E"/>
    <w:rsid w:val="00960A87"/>
    <w:rsid w:val="00961C19"/>
    <w:rsid w:val="009729BB"/>
    <w:rsid w:val="00977B90"/>
    <w:rsid w:val="00981092"/>
    <w:rsid w:val="009842A9"/>
    <w:rsid w:val="00995C32"/>
    <w:rsid w:val="0099707B"/>
    <w:rsid w:val="009B1D24"/>
    <w:rsid w:val="009B311B"/>
    <w:rsid w:val="009B53B6"/>
    <w:rsid w:val="009C23C3"/>
    <w:rsid w:val="009C3639"/>
    <w:rsid w:val="009D0CDA"/>
    <w:rsid w:val="009D7B0C"/>
    <w:rsid w:val="009E1E53"/>
    <w:rsid w:val="009E3D34"/>
    <w:rsid w:val="009E3D51"/>
    <w:rsid w:val="009F2C55"/>
    <w:rsid w:val="009F3F92"/>
    <w:rsid w:val="009F5598"/>
    <w:rsid w:val="00A025F5"/>
    <w:rsid w:val="00A02B11"/>
    <w:rsid w:val="00A036A6"/>
    <w:rsid w:val="00A17A17"/>
    <w:rsid w:val="00A223FB"/>
    <w:rsid w:val="00A27105"/>
    <w:rsid w:val="00A30E45"/>
    <w:rsid w:val="00A31460"/>
    <w:rsid w:val="00A3579D"/>
    <w:rsid w:val="00A36637"/>
    <w:rsid w:val="00A426FA"/>
    <w:rsid w:val="00A47500"/>
    <w:rsid w:val="00A53055"/>
    <w:rsid w:val="00A53EDC"/>
    <w:rsid w:val="00A57CA9"/>
    <w:rsid w:val="00A85D32"/>
    <w:rsid w:val="00A96B09"/>
    <w:rsid w:val="00A96CFF"/>
    <w:rsid w:val="00AA00C6"/>
    <w:rsid w:val="00AA0703"/>
    <w:rsid w:val="00AA1D5E"/>
    <w:rsid w:val="00AB2FC8"/>
    <w:rsid w:val="00AC0E9C"/>
    <w:rsid w:val="00AC251A"/>
    <w:rsid w:val="00AD1210"/>
    <w:rsid w:val="00AD2035"/>
    <w:rsid w:val="00AD38DC"/>
    <w:rsid w:val="00AE3AD6"/>
    <w:rsid w:val="00AE3B40"/>
    <w:rsid w:val="00AE54A2"/>
    <w:rsid w:val="00AE79EC"/>
    <w:rsid w:val="00B01D3A"/>
    <w:rsid w:val="00B05141"/>
    <w:rsid w:val="00B06C64"/>
    <w:rsid w:val="00B07110"/>
    <w:rsid w:val="00B100BE"/>
    <w:rsid w:val="00B118F5"/>
    <w:rsid w:val="00B13F44"/>
    <w:rsid w:val="00B14200"/>
    <w:rsid w:val="00B2370B"/>
    <w:rsid w:val="00B23D4A"/>
    <w:rsid w:val="00B31285"/>
    <w:rsid w:val="00B33F36"/>
    <w:rsid w:val="00B367F9"/>
    <w:rsid w:val="00B37123"/>
    <w:rsid w:val="00B42CFF"/>
    <w:rsid w:val="00B602B8"/>
    <w:rsid w:val="00B65857"/>
    <w:rsid w:val="00B76827"/>
    <w:rsid w:val="00B76F14"/>
    <w:rsid w:val="00B935AA"/>
    <w:rsid w:val="00B977EE"/>
    <w:rsid w:val="00BA0A1E"/>
    <w:rsid w:val="00BA2350"/>
    <w:rsid w:val="00BA2885"/>
    <w:rsid w:val="00BA2DF5"/>
    <w:rsid w:val="00BB087D"/>
    <w:rsid w:val="00BB1FDE"/>
    <w:rsid w:val="00BB5F20"/>
    <w:rsid w:val="00BC5F9C"/>
    <w:rsid w:val="00BD34DA"/>
    <w:rsid w:val="00BD492C"/>
    <w:rsid w:val="00BE459A"/>
    <w:rsid w:val="00C02BF2"/>
    <w:rsid w:val="00C0625B"/>
    <w:rsid w:val="00C0718F"/>
    <w:rsid w:val="00C1294E"/>
    <w:rsid w:val="00C15BB5"/>
    <w:rsid w:val="00C16932"/>
    <w:rsid w:val="00C21656"/>
    <w:rsid w:val="00C26C99"/>
    <w:rsid w:val="00C436AA"/>
    <w:rsid w:val="00C577BA"/>
    <w:rsid w:val="00C64245"/>
    <w:rsid w:val="00C65378"/>
    <w:rsid w:val="00C66F7C"/>
    <w:rsid w:val="00C807D2"/>
    <w:rsid w:val="00C8577D"/>
    <w:rsid w:val="00C91E15"/>
    <w:rsid w:val="00C962C8"/>
    <w:rsid w:val="00CA4D57"/>
    <w:rsid w:val="00CA581F"/>
    <w:rsid w:val="00CA7F12"/>
    <w:rsid w:val="00CD41D1"/>
    <w:rsid w:val="00CD5F4B"/>
    <w:rsid w:val="00CE0AAE"/>
    <w:rsid w:val="00CE15BD"/>
    <w:rsid w:val="00CE210D"/>
    <w:rsid w:val="00CE230E"/>
    <w:rsid w:val="00CE519B"/>
    <w:rsid w:val="00D06AD6"/>
    <w:rsid w:val="00D06C0C"/>
    <w:rsid w:val="00D14061"/>
    <w:rsid w:val="00D15E05"/>
    <w:rsid w:val="00D17341"/>
    <w:rsid w:val="00D238CB"/>
    <w:rsid w:val="00D2646F"/>
    <w:rsid w:val="00D334F0"/>
    <w:rsid w:val="00D451A6"/>
    <w:rsid w:val="00D570B3"/>
    <w:rsid w:val="00D659D3"/>
    <w:rsid w:val="00D739EE"/>
    <w:rsid w:val="00D76D61"/>
    <w:rsid w:val="00D8490C"/>
    <w:rsid w:val="00D96EBA"/>
    <w:rsid w:val="00DA3244"/>
    <w:rsid w:val="00DA59B5"/>
    <w:rsid w:val="00DA677A"/>
    <w:rsid w:val="00DC0A05"/>
    <w:rsid w:val="00DC628A"/>
    <w:rsid w:val="00DC7F5B"/>
    <w:rsid w:val="00DE14DA"/>
    <w:rsid w:val="00DE26B3"/>
    <w:rsid w:val="00DE2758"/>
    <w:rsid w:val="00DE6D64"/>
    <w:rsid w:val="00DF4424"/>
    <w:rsid w:val="00E004B0"/>
    <w:rsid w:val="00E045E7"/>
    <w:rsid w:val="00E11270"/>
    <w:rsid w:val="00E16F80"/>
    <w:rsid w:val="00E20AE4"/>
    <w:rsid w:val="00E2164B"/>
    <w:rsid w:val="00E25263"/>
    <w:rsid w:val="00E2699D"/>
    <w:rsid w:val="00E30BC1"/>
    <w:rsid w:val="00E41F3C"/>
    <w:rsid w:val="00E44D22"/>
    <w:rsid w:val="00E44E66"/>
    <w:rsid w:val="00E506C3"/>
    <w:rsid w:val="00E54934"/>
    <w:rsid w:val="00E554C6"/>
    <w:rsid w:val="00E56047"/>
    <w:rsid w:val="00E5611F"/>
    <w:rsid w:val="00E63CBE"/>
    <w:rsid w:val="00E679E1"/>
    <w:rsid w:val="00E70BEF"/>
    <w:rsid w:val="00E756FA"/>
    <w:rsid w:val="00E7701E"/>
    <w:rsid w:val="00E871C5"/>
    <w:rsid w:val="00E934C4"/>
    <w:rsid w:val="00EA06A1"/>
    <w:rsid w:val="00EA53BE"/>
    <w:rsid w:val="00EB10BD"/>
    <w:rsid w:val="00EB2125"/>
    <w:rsid w:val="00EB7967"/>
    <w:rsid w:val="00EC1162"/>
    <w:rsid w:val="00EC2308"/>
    <w:rsid w:val="00EC2381"/>
    <w:rsid w:val="00EC33BA"/>
    <w:rsid w:val="00EC52C6"/>
    <w:rsid w:val="00EC6A4C"/>
    <w:rsid w:val="00ED6030"/>
    <w:rsid w:val="00EE3C99"/>
    <w:rsid w:val="00EE4CCF"/>
    <w:rsid w:val="00EF0819"/>
    <w:rsid w:val="00EF3D6D"/>
    <w:rsid w:val="00F05E84"/>
    <w:rsid w:val="00F07476"/>
    <w:rsid w:val="00F14087"/>
    <w:rsid w:val="00F15A52"/>
    <w:rsid w:val="00F1671B"/>
    <w:rsid w:val="00F22373"/>
    <w:rsid w:val="00F268BE"/>
    <w:rsid w:val="00F2785D"/>
    <w:rsid w:val="00F30866"/>
    <w:rsid w:val="00F318E8"/>
    <w:rsid w:val="00F31DAD"/>
    <w:rsid w:val="00F36D67"/>
    <w:rsid w:val="00F41F01"/>
    <w:rsid w:val="00F50B1C"/>
    <w:rsid w:val="00F52DF0"/>
    <w:rsid w:val="00F55055"/>
    <w:rsid w:val="00F60B64"/>
    <w:rsid w:val="00F61BAE"/>
    <w:rsid w:val="00F63A86"/>
    <w:rsid w:val="00F6790C"/>
    <w:rsid w:val="00F70AB3"/>
    <w:rsid w:val="00F710AF"/>
    <w:rsid w:val="00F716CD"/>
    <w:rsid w:val="00F71E48"/>
    <w:rsid w:val="00F73934"/>
    <w:rsid w:val="00F83450"/>
    <w:rsid w:val="00F97098"/>
    <w:rsid w:val="00FA288C"/>
    <w:rsid w:val="00FA65D7"/>
    <w:rsid w:val="00FA6B0B"/>
    <w:rsid w:val="00FB399F"/>
    <w:rsid w:val="00FB64A1"/>
    <w:rsid w:val="00FC32E1"/>
    <w:rsid w:val="00FC39EC"/>
    <w:rsid w:val="00FC7AC6"/>
    <w:rsid w:val="00FD5E83"/>
    <w:rsid w:val="00FE32AF"/>
    <w:rsid w:val="00FE50EB"/>
    <w:rsid w:val="00FE59DE"/>
    <w:rsid w:val="00FE7708"/>
    <w:rsid w:val="00FF2547"/>
    <w:rsid w:val="00FF63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ED42D"/>
  <w15:chartTrackingRefBased/>
  <w15:docId w15:val="{5EA9F60C-E93D-4217-89F5-B884D04B5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878"/>
    <w:pPr>
      <w:spacing w:line="360" w:lineRule="auto"/>
      <w:jc w:val="both"/>
    </w:pPr>
    <w:rPr>
      <w:rFonts w:ascii="Times New Roman" w:eastAsiaTheme="minorEastAsia" w:hAnsi="Times New Roman"/>
      <w:kern w:val="2"/>
      <w:sz w:val="24"/>
      <w:szCs w:val="24"/>
      <w:lang w:val="en-GB" w:eastAsia="en-GB"/>
      <w14:ligatures w14:val="standardContextual"/>
    </w:rPr>
  </w:style>
  <w:style w:type="paragraph" w:styleId="Heading1">
    <w:name w:val="heading 1"/>
    <w:basedOn w:val="Normal"/>
    <w:next w:val="Normal"/>
    <w:link w:val="Heading1Char"/>
    <w:uiPriority w:val="9"/>
    <w:qFormat/>
    <w:rsid w:val="002E5878"/>
    <w:pPr>
      <w:keepNext/>
      <w:keepLines/>
      <w:spacing w:before="360" w:after="80"/>
      <w:outlineLvl w:val="0"/>
    </w:pPr>
    <w:rPr>
      <w:rFonts w:eastAsiaTheme="majorEastAsia" w:cstheme="majorBidi"/>
      <w:b/>
      <w:kern w:val="0"/>
      <w:sz w:val="28"/>
      <w:szCs w:val="40"/>
      <w:lang w:eastAsia="en-US"/>
      <w14:ligatures w14:val="none"/>
    </w:rPr>
  </w:style>
  <w:style w:type="paragraph" w:styleId="Heading2">
    <w:name w:val="heading 2"/>
    <w:basedOn w:val="Normal"/>
    <w:next w:val="Normal"/>
    <w:link w:val="Heading2Char"/>
    <w:uiPriority w:val="9"/>
    <w:unhideWhenUsed/>
    <w:qFormat/>
    <w:rsid w:val="002E5878"/>
    <w:pPr>
      <w:keepNext/>
      <w:keepLines/>
      <w:spacing w:before="160" w:after="80"/>
      <w:outlineLvl w:val="1"/>
    </w:pPr>
    <w:rPr>
      <w:rFonts w:eastAsiaTheme="majorEastAsia" w:cstheme="majorBidi"/>
      <w:b/>
      <w:i/>
      <w:kern w:val="0"/>
      <w:sz w:val="22"/>
      <w:szCs w:val="32"/>
      <w:lang w:eastAsia="en-US"/>
      <w14:ligatures w14:val="none"/>
    </w:rPr>
  </w:style>
  <w:style w:type="paragraph" w:styleId="Heading3">
    <w:name w:val="heading 3"/>
    <w:basedOn w:val="Normal"/>
    <w:next w:val="Normal"/>
    <w:link w:val="Heading3Char"/>
    <w:uiPriority w:val="9"/>
    <w:unhideWhenUsed/>
    <w:qFormat/>
    <w:rsid w:val="00BA2350"/>
    <w:pPr>
      <w:keepNext/>
      <w:keepLines/>
      <w:numPr>
        <w:ilvl w:val="2"/>
        <w:numId w:val="6"/>
      </w:numPr>
      <w:spacing w:before="40"/>
      <w:ind w:left="720"/>
      <w:outlineLvl w:val="2"/>
    </w:pPr>
    <w:rPr>
      <w:rFonts w:eastAsiaTheme="majorEastAsia" w:cstheme="majorBidi"/>
      <w:b/>
      <w:i/>
    </w:rPr>
  </w:style>
  <w:style w:type="paragraph" w:styleId="Heading4">
    <w:name w:val="heading 4"/>
    <w:basedOn w:val="Normal"/>
    <w:next w:val="Normal"/>
    <w:link w:val="Heading4Char"/>
    <w:uiPriority w:val="9"/>
    <w:semiHidden/>
    <w:unhideWhenUsed/>
    <w:qFormat/>
    <w:rsid w:val="006D5E8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5878"/>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2E5878"/>
    <w:rPr>
      <w:rFonts w:ascii="Times New Roman" w:eastAsiaTheme="majorEastAsia" w:hAnsi="Times New Roman" w:cstheme="majorBidi"/>
      <w:b/>
      <w:i/>
      <w:szCs w:val="32"/>
    </w:rPr>
  </w:style>
  <w:style w:type="character" w:customStyle="1" w:styleId="Heading3Char">
    <w:name w:val="Heading 3 Char"/>
    <w:basedOn w:val="DefaultParagraphFont"/>
    <w:link w:val="Heading3"/>
    <w:uiPriority w:val="9"/>
    <w:rsid w:val="00BA2350"/>
    <w:rPr>
      <w:rFonts w:ascii="Times New Roman" w:eastAsiaTheme="majorEastAsia" w:hAnsi="Times New Roman" w:cstheme="majorBidi"/>
      <w:b/>
      <w:i/>
      <w:sz w:val="24"/>
      <w:lang w:val="en-GB"/>
    </w:rPr>
  </w:style>
  <w:style w:type="character" w:styleId="Emphasis">
    <w:name w:val="Emphasis"/>
    <w:basedOn w:val="DefaultParagraphFont"/>
    <w:qFormat/>
    <w:rsid w:val="009E1E53"/>
    <w:rPr>
      <w:rFonts w:ascii="Times New Roman" w:hAnsi="Times New Roman"/>
      <w:b w:val="0"/>
      <w:i w:val="0"/>
      <w:iCs/>
      <w:sz w:val="24"/>
    </w:rPr>
  </w:style>
  <w:style w:type="paragraph" w:styleId="NoSpacing">
    <w:name w:val="No Spacing"/>
    <w:uiPriority w:val="1"/>
    <w:qFormat/>
    <w:rsid w:val="008E2837"/>
    <w:pPr>
      <w:widowControl w:val="0"/>
      <w:autoSpaceDE w:val="0"/>
      <w:autoSpaceDN w:val="0"/>
      <w:spacing w:after="0" w:line="360" w:lineRule="auto"/>
      <w:jc w:val="both"/>
    </w:pPr>
    <w:rPr>
      <w:rFonts w:ascii="Times New Roman" w:hAnsi="Times New Roman" w:cs="Noto Sans"/>
      <w:sz w:val="24"/>
    </w:rPr>
  </w:style>
  <w:style w:type="paragraph" w:styleId="BodyText">
    <w:name w:val="Body Text"/>
    <w:basedOn w:val="Normal"/>
    <w:link w:val="BodyTextChar"/>
    <w:uiPriority w:val="1"/>
    <w:qFormat/>
    <w:rsid w:val="00F22373"/>
    <w:pPr>
      <w:ind w:left="115"/>
    </w:pPr>
    <w:rPr>
      <w:rFonts w:eastAsia="Arial MT" w:cs="Arial MT"/>
    </w:rPr>
  </w:style>
  <w:style w:type="character" w:customStyle="1" w:styleId="BodyTextChar">
    <w:name w:val="Body Text Char"/>
    <w:basedOn w:val="DefaultParagraphFont"/>
    <w:link w:val="BodyText"/>
    <w:uiPriority w:val="1"/>
    <w:rsid w:val="00F22373"/>
    <w:rPr>
      <w:rFonts w:ascii="Times New Roman" w:eastAsia="Arial MT" w:hAnsi="Times New Roman" w:cs="Arial MT"/>
      <w:sz w:val="24"/>
      <w:szCs w:val="20"/>
      <w:lang w:val="en-GB"/>
    </w:rPr>
  </w:style>
  <w:style w:type="paragraph" w:customStyle="1" w:styleId="p58207hding2">
    <w:name w:val="p58207_hding2"/>
    <w:basedOn w:val="Normal"/>
    <w:link w:val="p58207hding2Char"/>
    <w:qFormat/>
    <w:rsid w:val="00F22373"/>
    <w:pPr>
      <w:spacing w:before="200" w:after="120"/>
      <w:jc w:val="left"/>
    </w:pPr>
    <w:rPr>
      <w:rFonts w:eastAsia="Arial" w:cs="Open Sans"/>
      <w:b/>
      <w:color w:val="000000"/>
      <w:sz w:val="26"/>
      <w:szCs w:val="30"/>
    </w:rPr>
  </w:style>
  <w:style w:type="character" w:customStyle="1" w:styleId="p58207hding2Char">
    <w:name w:val="p58207_hding2 Char"/>
    <w:basedOn w:val="DefaultParagraphFont"/>
    <w:link w:val="p58207hding2"/>
    <w:rsid w:val="00F22373"/>
    <w:rPr>
      <w:rFonts w:ascii="Times New Roman" w:eastAsia="Arial" w:hAnsi="Times New Roman" w:cs="Open Sans"/>
      <w:b/>
      <w:color w:val="000000"/>
      <w:sz w:val="26"/>
      <w:szCs w:val="30"/>
      <w:lang w:val="en-GB" w:eastAsia="en-GB"/>
    </w:rPr>
  </w:style>
  <w:style w:type="paragraph" w:customStyle="1" w:styleId="p58207subhd">
    <w:name w:val="p58207 subhd"/>
    <w:basedOn w:val="Normal"/>
    <w:link w:val="p58207subhdChar"/>
    <w:qFormat/>
    <w:rsid w:val="00F22373"/>
    <w:pPr>
      <w:spacing w:after="120"/>
      <w:jc w:val="left"/>
    </w:pPr>
    <w:rPr>
      <w:rFonts w:eastAsia="Arial" w:cs="Arial"/>
      <w:b/>
      <w:color w:val="000000"/>
      <w:sz w:val="26"/>
    </w:rPr>
  </w:style>
  <w:style w:type="character" w:customStyle="1" w:styleId="p58207subhdChar">
    <w:name w:val="p58207 subhd Char"/>
    <w:basedOn w:val="DefaultParagraphFont"/>
    <w:link w:val="p58207subhd"/>
    <w:rsid w:val="00F22373"/>
    <w:rPr>
      <w:rFonts w:ascii="Times New Roman" w:eastAsia="Arial" w:hAnsi="Times New Roman" w:cs="Arial"/>
      <w:b/>
      <w:color w:val="000000"/>
      <w:sz w:val="26"/>
      <w:lang w:val="en-GB" w:eastAsia="en-GB"/>
    </w:rPr>
  </w:style>
  <w:style w:type="paragraph" w:styleId="Header">
    <w:name w:val="header"/>
    <w:basedOn w:val="Normal"/>
    <w:link w:val="HeaderChar"/>
    <w:uiPriority w:val="99"/>
    <w:unhideWhenUsed/>
    <w:rsid w:val="00485F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5F46"/>
    <w:rPr>
      <w:rFonts w:ascii="Times New Roman" w:eastAsiaTheme="minorEastAsia" w:hAnsi="Times New Roman"/>
      <w:kern w:val="2"/>
      <w:sz w:val="24"/>
      <w:szCs w:val="24"/>
      <w:lang w:val="en-GB" w:eastAsia="en-GB"/>
      <w14:ligatures w14:val="standardContextual"/>
    </w:rPr>
  </w:style>
  <w:style w:type="paragraph" w:styleId="Footer">
    <w:name w:val="footer"/>
    <w:basedOn w:val="Normal"/>
    <w:link w:val="FooterChar"/>
    <w:uiPriority w:val="99"/>
    <w:unhideWhenUsed/>
    <w:rsid w:val="00485F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5F46"/>
    <w:rPr>
      <w:rFonts w:ascii="Times New Roman" w:eastAsiaTheme="minorEastAsia" w:hAnsi="Times New Roman"/>
      <w:kern w:val="2"/>
      <w:sz w:val="24"/>
      <w:szCs w:val="24"/>
      <w:lang w:val="en-GB" w:eastAsia="en-GB"/>
      <w14:ligatures w14:val="standardContextual"/>
    </w:rPr>
  </w:style>
  <w:style w:type="character" w:styleId="Hyperlink">
    <w:name w:val="Hyperlink"/>
    <w:basedOn w:val="DefaultParagraphFont"/>
    <w:uiPriority w:val="99"/>
    <w:unhideWhenUsed/>
    <w:rsid w:val="00161252"/>
    <w:rPr>
      <w:color w:val="0563C1" w:themeColor="hyperlink"/>
      <w:u w:val="single"/>
    </w:rPr>
  </w:style>
  <w:style w:type="character" w:customStyle="1" w:styleId="Heading4Char">
    <w:name w:val="Heading 4 Char"/>
    <w:basedOn w:val="DefaultParagraphFont"/>
    <w:link w:val="Heading4"/>
    <w:uiPriority w:val="9"/>
    <w:semiHidden/>
    <w:rsid w:val="006D5E84"/>
    <w:rPr>
      <w:rFonts w:asciiTheme="majorHAnsi" w:eastAsiaTheme="majorEastAsia" w:hAnsiTheme="majorHAnsi" w:cstheme="majorBidi"/>
      <w:i/>
      <w:iCs/>
      <w:color w:val="2E74B5" w:themeColor="accent1" w:themeShade="BF"/>
      <w:kern w:val="2"/>
      <w:sz w:val="24"/>
      <w:szCs w:val="24"/>
      <w:lang w:val="en-GB"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1403056">
      <w:bodyDiv w:val="1"/>
      <w:marLeft w:val="0"/>
      <w:marRight w:val="0"/>
      <w:marTop w:val="0"/>
      <w:marBottom w:val="0"/>
      <w:divBdr>
        <w:top w:val="none" w:sz="0" w:space="0" w:color="auto"/>
        <w:left w:val="none" w:sz="0" w:space="0" w:color="auto"/>
        <w:bottom w:val="none" w:sz="0" w:space="0" w:color="auto"/>
        <w:right w:val="none" w:sz="0" w:space="0" w:color="auto"/>
      </w:divBdr>
    </w:div>
    <w:div w:id="806170876">
      <w:bodyDiv w:val="1"/>
      <w:marLeft w:val="0"/>
      <w:marRight w:val="0"/>
      <w:marTop w:val="0"/>
      <w:marBottom w:val="0"/>
      <w:divBdr>
        <w:top w:val="none" w:sz="0" w:space="0" w:color="auto"/>
        <w:left w:val="none" w:sz="0" w:space="0" w:color="auto"/>
        <w:bottom w:val="none" w:sz="0" w:space="0" w:color="auto"/>
        <w:right w:val="none" w:sz="0" w:space="0" w:color="auto"/>
      </w:divBdr>
    </w:div>
    <w:div w:id="1247224167">
      <w:bodyDiv w:val="1"/>
      <w:marLeft w:val="0"/>
      <w:marRight w:val="0"/>
      <w:marTop w:val="0"/>
      <w:marBottom w:val="0"/>
      <w:divBdr>
        <w:top w:val="none" w:sz="0" w:space="0" w:color="auto"/>
        <w:left w:val="none" w:sz="0" w:space="0" w:color="auto"/>
        <w:bottom w:val="none" w:sz="0" w:space="0" w:color="auto"/>
        <w:right w:val="none" w:sz="0" w:space="0" w:color="auto"/>
      </w:divBdr>
    </w:div>
    <w:div w:id="1713842663">
      <w:bodyDiv w:val="1"/>
      <w:marLeft w:val="0"/>
      <w:marRight w:val="0"/>
      <w:marTop w:val="0"/>
      <w:marBottom w:val="0"/>
      <w:divBdr>
        <w:top w:val="none" w:sz="0" w:space="0" w:color="auto"/>
        <w:left w:val="none" w:sz="0" w:space="0" w:color="auto"/>
        <w:bottom w:val="none" w:sz="0" w:space="0" w:color="auto"/>
        <w:right w:val="none" w:sz="0" w:space="0" w:color="auto"/>
      </w:divBdr>
      <w:divsChild>
        <w:div w:id="33046401">
          <w:marLeft w:val="0"/>
          <w:marRight w:val="0"/>
          <w:marTop w:val="0"/>
          <w:marBottom w:val="0"/>
          <w:divBdr>
            <w:top w:val="none" w:sz="0" w:space="0" w:color="auto"/>
            <w:left w:val="none" w:sz="0" w:space="0" w:color="auto"/>
            <w:bottom w:val="none" w:sz="0" w:space="0" w:color="auto"/>
            <w:right w:val="none" w:sz="0" w:space="0" w:color="auto"/>
          </w:divBdr>
          <w:divsChild>
            <w:div w:id="1928999185">
              <w:marLeft w:val="0"/>
              <w:marRight w:val="0"/>
              <w:marTop w:val="0"/>
              <w:marBottom w:val="0"/>
              <w:divBdr>
                <w:top w:val="none" w:sz="0" w:space="0" w:color="auto"/>
                <w:left w:val="none" w:sz="0" w:space="0" w:color="auto"/>
                <w:bottom w:val="none" w:sz="0" w:space="0" w:color="auto"/>
                <w:right w:val="none" w:sz="0" w:space="0" w:color="auto"/>
              </w:divBdr>
            </w:div>
          </w:divsChild>
        </w:div>
        <w:div w:id="1685129906">
          <w:marLeft w:val="0"/>
          <w:marRight w:val="0"/>
          <w:marTop w:val="0"/>
          <w:marBottom w:val="0"/>
          <w:divBdr>
            <w:top w:val="none" w:sz="0" w:space="0" w:color="auto"/>
            <w:left w:val="none" w:sz="0" w:space="0" w:color="auto"/>
            <w:bottom w:val="none" w:sz="0" w:space="0" w:color="auto"/>
            <w:right w:val="none" w:sz="0" w:space="0" w:color="auto"/>
          </w:divBdr>
          <w:divsChild>
            <w:div w:id="1224020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124826">
      <w:bodyDiv w:val="1"/>
      <w:marLeft w:val="0"/>
      <w:marRight w:val="0"/>
      <w:marTop w:val="0"/>
      <w:marBottom w:val="0"/>
      <w:divBdr>
        <w:top w:val="none" w:sz="0" w:space="0" w:color="auto"/>
        <w:left w:val="none" w:sz="0" w:space="0" w:color="auto"/>
        <w:bottom w:val="none" w:sz="0" w:space="0" w:color="auto"/>
        <w:right w:val="none" w:sz="0" w:space="0" w:color="auto"/>
      </w:divBdr>
    </w:div>
    <w:div w:id="2096247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su14095365"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9</Pages>
  <Words>2696</Words>
  <Characters>15373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Silviu Nicolae Comanescu (2226638)</cp:lastModifiedBy>
  <cp:revision>72</cp:revision>
  <dcterms:created xsi:type="dcterms:W3CDTF">2025-01-23T07:34:00Z</dcterms:created>
  <dcterms:modified xsi:type="dcterms:W3CDTF">2025-02-12T11:54:00Z</dcterms:modified>
</cp:coreProperties>
</file>