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0F17" w14:textId="48DDE7CE" w:rsidR="00443E0C" w:rsidRDefault="004673B6" w:rsidP="00013869">
      <w:pPr>
        <w:jc w:val="center"/>
        <w:rPr>
          <w:rFonts w:ascii="Cambria" w:hAnsi="Cambria"/>
          <w:b/>
          <w:sz w:val="32"/>
          <w:szCs w:val="32"/>
        </w:rPr>
      </w:pPr>
      <w:r>
        <w:rPr>
          <w:rFonts w:ascii="Cambria" w:hAnsi="Cambria"/>
          <w:b/>
          <w:sz w:val="32"/>
          <w:szCs w:val="32"/>
        </w:rPr>
        <w:t xml:space="preserve">Report: </w:t>
      </w:r>
      <w:r w:rsidR="00086F92">
        <w:rPr>
          <w:rFonts w:ascii="Cambria" w:hAnsi="Cambria"/>
          <w:b/>
          <w:sz w:val="32"/>
          <w:szCs w:val="32"/>
        </w:rPr>
        <w:t xml:space="preserve">Protecting Against </w:t>
      </w:r>
      <w:r>
        <w:rPr>
          <w:rFonts w:ascii="Cambria" w:hAnsi="Cambria"/>
          <w:b/>
          <w:sz w:val="32"/>
          <w:szCs w:val="32"/>
        </w:rPr>
        <w:t>Failure of Titanium Components in Automotive Application</w:t>
      </w:r>
    </w:p>
    <w:p w14:paraId="1EFCDF76" w14:textId="77777777" w:rsidR="00123624" w:rsidRPr="00843EDF" w:rsidRDefault="00123624" w:rsidP="00123624">
      <w:pPr>
        <w:spacing w:after="120"/>
        <w:jc w:val="center"/>
        <w:rPr>
          <w:rFonts w:ascii="Cambria" w:hAnsi="Cambria"/>
          <w:b/>
          <w:sz w:val="24"/>
          <w:szCs w:val="24"/>
          <w:vertAlign w:val="superscript"/>
        </w:rPr>
      </w:pPr>
      <w:r w:rsidRPr="00843EDF">
        <w:rPr>
          <w:rFonts w:ascii="Cambria" w:hAnsi="Cambria"/>
          <w:b/>
          <w:sz w:val="24"/>
          <w:szCs w:val="24"/>
        </w:rPr>
        <w:t>Maya Myer 1801800</w:t>
      </w:r>
    </w:p>
    <w:p w14:paraId="66156591" w14:textId="77777777" w:rsidR="00123624" w:rsidRPr="00843EDF" w:rsidRDefault="00123624" w:rsidP="00123624">
      <w:pPr>
        <w:pStyle w:val="IEEEAuthorAffiliation"/>
        <w:spacing w:after="0"/>
        <w:rPr>
          <w:rFonts w:ascii="Cambria" w:hAnsi="Cambria"/>
          <w:lang w:val="en-US"/>
        </w:rPr>
      </w:pPr>
      <w:r w:rsidRPr="00843EDF">
        <w:rPr>
          <w:rFonts w:ascii="Cambria" w:hAnsi="Cambria"/>
          <w:i w:val="0"/>
          <w:iCs/>
          <w:szCs w:val="20"/>
          <w:lang w:val="en-US"/>
        </w:rPr>
        <w:t xml:space="preserve">Maya Myer, Motorcycle </w:t>
      </w:r>
      <w:r w:rsidRPr="00843EDF">
        <w:rPr>
          <w:rFonts w:ascii="Cambria" w:hAnsi="Cambria"/>
          <w:i w:val="0"/>
          <w:szCs w:val="20"/>
          <w:lang w:val="en-US"/>
        </w:rPr>
        <w:t>Engineering, University of Wales Trinity Saint David, Swansea, SA1 8PH</w:t>
      </w:r>
      <w:r w:rsidRPr="00843EDF">
        <w:rPr>
          <w:rFonts w:ascii="Cambria" w:hAnsi="Cambria"/>
          <w:szCs w:val="20"/>
          <w:lang w:val="en-US"/>
        </w:rPr>
        <w:t xml:space="preserve"> </w:t>
      </w:r>
    </w:p>
    <w:p w14:paraId="380AAF3B" w14:textId="77777777" w:rsidR="009E298A" w:rsidRDefault="009E298A">
      <w:pPr>
        <w:pStyle w:val="NoSpacing"/>
        <w:jc w:val="center"/>
        <w:rPr>
          <w:rFonts w:ascii="Cambria" w:hAnsi="Cambria"/>
          <w:color w:val="FF0000"/>
        </w:rPr>
      </w:pPr>
    </w:p>
    <w:p w14:paraId="0CF1434D" w14:textId="65934C13" w:rsidR="00443E0C" w:rsidRDefault="00F6591B">
      <w:pPr>
        <w:pStyle w:val="NoSpacing"/>
        <w:jc w:val="center"/>
        <w:rPr>
          <w:rFonts w:ascii="Cambria" w:hAnsi="Cambria"/>
          <w:color w:val="FF0000"/>
        </w:rPr>
      </w:pPr>
      <w:r>
        <w:rPr>
          <w:rFonts w:ascii="Cambria" w:hAnsi="Cambria"/>
          <w:noProof/>
          <w:color w:val="FF0000"/>
          <w:lang w:val="en-GB" w:eastAsia="en-GB"/>
        </w:rPr>
        <mc:AlternateContent>
          <mc:Choice Requires="wps">
            <w:drawing>
              <wp:anchor distT="0" distB="0" distL="114300" distR="114300" simplePos="0" relativeHeight="251657728" behindDoc="0" locked="0" layoutInCell="1" allowOverlap="1" wp14:anchorId="49B26A87" wp14:editId="273CE113">
                <wp:simplePos x="0" y="0"/>
                <wp:positionH relativeFrom="column">
                  <wp:posOffset>31115</wp:posOffset>
                </wp:positionH>
                <wp:positionV relativeFrom="paragraph">
                  <wp:posOffset>6350</wp:posOffset>
                </wp:positionV>
                <wp:extent cx="6685280" cy="0"/>
                <wp:effectExtent l="2540" t="3175" r="8255" b="6350"/>
                <wp:wrapNone/>
                <wp:docPr id="10"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107555E" id="_x0000_t32" coordsize="21600,21600" o:spt="32" o:oned="t" path="m,l21600,21600e" filled="f">
                <v:path arrowok="t" fillok="f" o:connecttype="none"/>
                <o:lock v:ext="edit" shapetype="t"/>
              </v:shapetype>
              <v:shape id="AutoShape 1" o:spid="_x0000_s1026" type="#_x0000_t32" style="position:absolute;margin-left:2.45pt;margin-top:.5pt;width:526.4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" strokecolor="gray"/>
            </w:pict>
          </mc:Fallback>
        </mc:AlternateContent>
      </w:r>
    </w:p>
    <w:p w14:paraId="1EAFA4C9" w14:textId="77777777" w:rsidR="009E298A" w:rsidRPr="009E298A" w:rsidRDefault="009E298A">
      <w:pPr>
        <w:pStyle w:val="NoSpacing"/>
        <w:jc w:val="center"/>
        <w:rPr>
          <w:rFonts w:ascii="Cambria" w:hAnsi="Cambria"/>
          <w:color w:val="FF0000"/>
        </w:rPr>
        <w:sectPr w:rsidR="009E298A" w:rsidRPr="009E298A" w:rsidSect="00405DB3">
          <w:headerReference w:type="default" r:id="rId11"/>
          <w:footerReference w:type="default" r:id="rId12"/>
          <w:pgSz w:w="11907" w:h="16840"/>
          <w:pgMar w:top="720" w:right="720" w:bottom="720" w:left="720" w:header="720" w:footer="720" w:gutter="0"/>
          <w:cols w:space="720"/>
          <w:docGrid w:linePitch="360"/>
        </w:sectPr>
      </w:pPr>
    </w:p>
    <w:p w14:paraId="1DB841EB" w14:textId="50D138F2" w:rsidR="00E477B3" w:rsidRDefault="00E477B3" w:rsidP="00E477B3">
      <w:pPr>
        <w:rPr>
          <w:rFonts w:ascii="Cambria" w:hAnsi="Cambria"/>
        </w:rPr>
      </w:pPr>
      <w:r>
        <w:rPr>
          <w:rFonts w:ascii="Cambria" w:hAnsi="Cambria"/>
        </w:rPr>
        <w:t>Abstract</w:t>
      </w:r>
    </w:p>
    <w:p w14:paraId="1B4DAD16" w14:textId="348E7C84" w:rsidR="00754967" w:rsidRPr="00A77210" w:rsidRDefault="009F22F9" w:rsidP="00754967">
      <w:pPr>
        <w:spacing w:line="240" w:lineRule="auto"/>
        <w:ind w:left="1080" w:right="1107" w:firstLine="360"/>
        <w:jc w:val="both"/>
        <w:rPr>
          <w:rFonts w:ascii="Cambria" w:hAnsi="Cambria"/>
          <w:sz w:val="24"/>
          <w:szCs w:val="24"/>
        </w:rPr>
      </w:pPr>
      <w:r w:rsidRPr="00A77210">
        <w:rPr>
          <w:rFonts w:ascii="Cambria" w:hAnsi="Cambria"/>
          <w:sz w:val="24"/>
          <w:szCs w:val="24"/>
        </w:rPr>
        <w:t xml:space="preserve">Despite its good mechanical properties and naturally high corrosion resistance, titanium and its alloys </w:t>
      </w:r>
      <w:r w:rsidR="00A77210" w:rsidRPr="00A77210">
        <w:rPr>
          <w:rFonts w:ascii="Cambria" w:hAnsi="Cambria"/>
          <w:sz w:val="24"/>
          <w:szCs w:val="24"/>
        </w:rPr>
        <w:t>are still susceptible to flaws arising from both the refining and manufacturing processes. Improper protection from atmosphere may result in unwanted oxidation and nitriding, too much of which can give the material brittle fracture characteristics not dissimilar to ceramics. Additionally, the largely powder metallurgy-based methods of manufacturing for parts made of titanium alloys are at increased risk of introducing voids and porosities within the metal, perhaps critically compromising the component structure. Ultrasonic detection techniques may be used to identify these flaws early, before too much energy has been spent machining and finishing the components, and for surface imperfections, processes such as laser peening can provide extra protection without much risk of warping from thermal expansion.</w:t>
      </w:r>
    </w:p>
    <w:p w14:paraId="38C60A93" w14:textId="6B90667A" w:rsidR="00AD1A00" w:rsidRDefault="00AC4B9F" w:rsidP="00204C8C">
      <w:pPr>
        <w:pStyle w:val="Heading1"/>
      </w:pPr>
      <w:r>
        <w:t xml:space="preserve">1 </w:t>
      </w:r>
      <w:r w:rsidR="00AD1A00">
        <w:t>Introduction</w:t>
      </w:r>
    </w:p>
    <w:p w14:paraId="0CEA7206" w14:textId="4534F917" w:rsidR="00AD1A00" w:rsidRDefault="00AD1A00" w:rsidP="00CA6DBA">
      <w:pPr>
        <w:spacing w:after="0" w:line="240" w:lineRule="auto"/>
        <w:ind w:firstLine="720"/>
        <w:rPr>
          <w:rFonts w:ascii="Cambria" w:hAnsi="Cambria"/>
          <w:sz w:val="24"/>
          <w:szCs w:val="24"/>
        </w:rPr>
      </w:pPr>
    </w:p>
    <w:p w14:paraId="5F232A97" w14:textId="6B94F327" w:rsidR="008B2E35" w:rsidRDefault="00086F92" w:rsidP="008B2E35">
      <w:pPr>
        <w:spacing w:after="0" w:line="240" w:lineRule="auto"/>
        <w:ind w:firstLine="720"/>
        <w:jc w:val="both"/>
        <w:rPr>
          <w:rFonts w:ascii="Cambria" w:hAnsi="Cambria"/>
          <w:sz w:val="24"/>
          <w:szCs w:val="24"/>
        </w:rPr>
      </w:pPr>
      <w:r>
        <w:rPr>
          <w:rFonts w:ascii="Cambria" w:hAnsi="Cambria"/>
          <w:sz w:val="24"/>
          <w:szCs w:val="24"/>
        </w:rPr>
        <w:t xml:space="preserve">While the majority of mined titanium is used for pigment applications (Woodruff, </w:t>
      </w:r>
      <w:proofErr w:type="spellStart"/>
      <w:r>
        <w:rPr>
          <w:rFonts w:ascii="Cambria" w:hAnsi="Cambria"/>
          <w:sz w:val="24"/>
          <w:szCs w:val="24"/>
        </w:rPr>
        <w:t>Bedinger</w:t>
      </w:r>
      <w:proofErr w:type="spellEnd"/>
      <w:r>
        <w:rPr>
          <w:rFonts w:ascii="Cambria" w:hAnsi="Cambria"/>
          <w:sz w:val="24"/>
          <w:szCs w:val="24"/>
        </w:rPr>
        <w:t xml:space="preserve">, </w:t>
      </w:r>
      <w:proofErr w:type="spellStart"/>
      <w:r>
        <w:rPr>
          <w:rFonts w:ascii="Cambria" w:hAnsi="Cambria"/>
          <w:sz w:val="24"/>
          <w:szCs w:val="24"/>
        </w:rPr>
        <w:t>Piatak</w:t>
      </w:r>
      <w:proofErr w:type="spellEnd"/>
      <w:r>
        <w:rPr>
          <w:rFonts w:ascii="Cambria" w:hAnsi="Cambria"/>
          <w:sz w:val="24"/>
          <w:szCs w:val="24"/>
        </w:rPr>
        <w:t xml:space="preserve"> 2017), the properties of titanium metal make it a good if costly alternative to steel and aluminum alloys more typically employed in the automotive industry. As figure 1 makes clear, pure titanium and particularly titanium alloys</w:t>
      </w:r>
      <w:r w:rsidR="00936027">
        <w:rPr>
          <w:rFonts w:ascii="Cambria" w:hAnsi="Cambria"/>
          <w:sz w:val="24"/>
          <w:szCs w:val="24"/>
        </w:rPr>
        <w:t>—most commonly Ti-6Al-4V (</w:t>
      </w:r>
      <w:proofErr w:type="spellStart"/>
      <w:r w:rsidR="00936027">
        <w:rPr>
          <w:rFonts w:ascii="Cambria" w:hAnsi="Cambria"/>
          <w:sz w:val="24"/>
          <w:szCs w:val="24"/>
        </w:rPr>
        <w:t>Motyka</w:t>
      </w:r>
      <w:proofErr w:type="spellEnd"/>
      <w:r w:rsidR="00936027">
        <w:rPr>
          <w:rFonts w:ascii="Cambria" w:hAnsi="Cambria"/>
          <w:sz w:val="24"/>
          <w:szCs w:val="24"/>
        </w:rPr>
        <w:t xml:space="preserve">, </w:t>
      </w:r>
      <w:proofErr w:type="spellStart"/>
      <w:r w:rsidR="00936027">
        <w:rPr>
          <w:rFonts w:ascii="Cambria" w:hAnsi="Cambria"/>
          <w:sz w:val="24"/>
          <w:szCs w:val="24"/>
        </w:rPr>
        <w:t>Ziaja</w:t>
      </w:r>
      <w:proofErr w:type="spellEnd"/>
      <w:r w:rsidR="00936027">
        <w:rPr>
          <w:rFonts w:ascii="Cambria" w:hAnsi="Cambria"/>
          <w:sz w:val="24"/>
          <w:szCs w:val="24"/>
        </w:rPr>
        <w:t xml:space="preserve">, </w:t>
      </w:r>
      <w:proofErr w:type="spellStart"/>
      <w:r w:rsidR="00936027">
        <w:rPr>
          <w:rFonts w:ascii="Cambria" w:hAnsi="Cambria"/>
          <w:sz w:val="24"/>
          <w:szCs w:val="24"/>
        </w:rPr>
        <w:t>Sieniawski</w:t>
      </w:r>
      <w:proofErr w:type="spellEnd"/>
      <w:r w:rsidR="00936027">
        <w:rPr>
          <w:rFonts w:ascii="Cambria" w:hAnsi="Cambria"/>
          <w:sz w:val="24"/>
          <w:szCs w:val="24"/>
        </w:rPr>
        <w:t xml:space="preserve"> 2019)—offer </w:t>
      </w:r>
      <w:r>
        <w:rPr>
          <w:rFonts w:ascii="Cambria" w:hAnsi="Cambria"/>
          <w:sz w:val="24"/>
          <w:szCs w:val="24"/>
        </w:rPr>
        <w:t>similar yield strength to steels at close to half the density</w:t>
      </w:r>
      <w:r w:rsidR="00936027">
        <w:rPr>
          <w:rFonts w:ascii="Cambria" w:hAnsi="Cambria"/>
          <w:sz w:val="24"/>
          <w:szCs w:val="24"/>
        </w:rPr>
        <w:t>, which offers the potential for improved power-to-weight ratios via mass reduction as well as the potential to reduce inertial parasitic losses from reciprocating engine components such as connecting rods.</w:t>
      </w:r>
      <w:r w:rsidR="00464109">
        <w:rPr>
          <w:rFonts w:ascii="Cambria" w:hAnsi="Cambria"/>
          <w:sz w:val="24"/>
          <w:szCs w:val="24"/>
        </w:rPr>
        <w:t xml:space="preserve"> Figure 2 compares the fatigue strengths and fracture </w:t>
      </w:r>
      <w:proofErr w:type="spellStart"/>
      <w:r w:rsidR="00464109">
        <w:rPr>
          <w:rFonts w:ascii="Cambria" w:hAnsi="Cambria"/>
          <w:sz w:val="24"/>
          <w:szCs w:val="24"/>
        </w:rPr>
        <w:t>toughnesses</w:t>
      </w:r>
      <w:proofErr w:type="spellEnd"/>
      <w:r w:rsidR="00464109">
        <w:rPr>
          <w:rFonts w:ascii="Cambria" w:hAnsi="Cambria"/>
          <w:sz w:val="24"/>
          <w:szCs w:val="24"/>
        </w:rPr>
        <w:t xml:space="preserve"> of titanium alloys to common automotive metals and it can again be seen that the titanium materials offer similar performance to the steels often used in engine components, indicating at least in the structural sense a suitability for these purposes.</w:t>
      </w:r>
      <w:r w:rsidR="008B2E35">
        <w:rPr>
          <w:rFonts w:ascii="Cambria" w:hAnsi="Cambria"/>
          <w:sz w:val="24"/>
          <w:szCs w:val="24"/>
        </w:rPr>
        <w:t xml:space="preserve"> These weight and strength characteristics combined with titanium’s generally recognized corrosion resistance due to its strong oxide layer (</w:t>
      </w:r>
      <w:proofErr w:type="spellStart"/>
      <w:r w:rsidR="008B2E35">
        <w:rPr>
          <w:rFonts w:ascii="Cambria" w:hAnsi="Cambria"/>
          <w:sz w:val="24"/>
          <w:szCs w:val="24"/>
        </w:rPr>
        <w:t>Seagle</w:t>
      </w:r>
      <w:proofErr w:type="spellEnd"/>
      <w:r w:rsidR="008B2E35">
        <w:rPr>
          <w:rFonts w:ascii="Cambria" w:hAnsi="Cambria"/>
          <w:sz w:val="24"/>
          <w:szCs w:val="24"/>
        </w:rPr>
        <w:t xml:space="preserve"> 2019) would seem to suggest it as an optimal material for automotive use both in structural and in powertrain components.</w:t>
      </w:r>
    </w:p>
    <w:p w14:paraId="6AFBF467" w14:textId="77777777" w:rsidR="008B2E35" w:rsidRDefault="00086F92" w:rsidP="008B2E35">
      <w:pPr>
        <w:keepNext/>
        <w:spacing w:after="0" w:line="240" w:lineRule="auto"/>
        <w:jc w:val="both"/>
      </w:pPr>
      <w:r>
        <w:rPr>
          <w:noProof/>
        </w:rPr>
        <w:lastRenderedPageBreak/>
        <w:drawing>
          <wp:inline distT="0" distB="0" distL="0" distR="0" wp14:anchorId="4677A729" wp14:editId="4533EE6C">
            <wp:extent cx="6286500" cy="3496104"/>
            <wp:effectExtent l="0" t="0" r="0" b="9525"/>
            <wp:docPr id="1488929374" name="Picture 1" descr="A picture containing text, plot, lin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29374" name="Picture 1" descr="A picture containing text, plot, line, screenshot&#10;&#10;Description automatically generated"/>
                    <pic:cNvPicPr/>
                  </pic:nvPicPr>
                  <pic:blipFill>
                    <a:blip r:embed="rId13"/>
                    <a:stretch>
                      <a:fillRect/>
                    </a:stretch>
                  </pic:blipFill>
                  <pic:spPr>
                    <a:xfrm>
                      <a:off x="0" y="0"/>
                      <a:ext cx="6294073" cy="3500316"/>
                    </a:xfrm>
                    <a:prstGeom prst="rect">
                      <a:avLst/>
                    </a:prstGeom>
                  </pic:spPr>
                </pic:pic>
              </a:graphicData>
            </a:graphic>
          </wp:inline>
        </w:drawing>
      </w:r>
    </w:p>
    <w:p w14:paraId="3CC2710F" w14:textId="7A5E6883" w:rsidR="00086F92" w:rsidRDefault="008B2E35" w:rsidP="008B2E35">
      <w:pPr>
        <w:pStyle w:val="Caption"/>
        <w:jc w:val="both"/>
        <w:rPr>
          <w:rFonts w:ascii="Cambria" w:hAnsi="Cambria"/>
          <w:sz w:val="24"/>
          <w:szCs w:val="24"/>
        </w:rPr>
      </w:pPr>
      <w:r>
        <w:t xml:space="preserve">Figure </w:t>
      </w:r>
      <w:fldSimple w:instr=" SEQ Figure \* ARABIC ">
        <w:r w:rsidR="00A53337">
          <w:rPr>
            <w:noProof/>
          </w:rPr>
          <w:t>1</w:t>
        </w:r>
      </w:fldSimple>
      <w:r>
        <w:t xml:space="preserve">: Density vs. Yield Strength of titanium and common automotive metals, generated using ANSYS </w:t>
      </w:r>
      <w:proofErr w:type="spellStart"/>
      <w:r>
        <w:t>Granta</w:t>
      </w:r>
      <w:proofErr w:type="spellEnd"/>
      <w:r>
        <w:t xml:space="preserve"> 2022</w:t>
      </w:r>
    </w:p>
    <w:p w14:paraId="494C159E" w14:textId="77777777" w:rsidR="008B2E35" w:rsidRDefault="00464109" w:rsidP="008B2E35">
      <w:pPr>
        <w:keepNext/>
        <w:spacing w:after="0" w:line="240" w:lineRule="auto"/>
        <w:jc w:val="both"/>
      </w:pPr>
      <w:r>
        <w:rPr>
          <w:noProof/>
        </w:rPr>
        <w:drawing>
          <wp:inline distT="0" distB="0" distL="0" distR="0" wp14:anchorId="55C9635A" wp14:editId="1DB8064F">
            <wp:extent cx="6276975" cy="3407449"/>
            <wp:effectExtent l="0" t="0" r="0" b="2540"/>
            <wp:docPr id="1450235005" name="Picture 1" descr="A picture containing text, diagram, plo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235005" name="Picture 1" descr="A picture containing text, diagram, plot, screenshot&#10;&#10;Description automatically generated"/>
                    <pic:cNvPicPr/>
                  </pic:nvPicPr>
                  <pic:blipFill>
                    <a:blip r:embed="rId14"/>
                    <a:stretch>
                      <a:fillRect/>
                    </a:stretch>
                  </pic:blipFill>
                  <pic:spPr>
                    <a:xfrm>
                      <a:off x="0" y="0"/>
                      <a:ext cx="6279309" cy="3408716"/>
                    </a:xfrm>
                    <a:prstGeom prst="rect">
                      <a:avLst/>
                    </a:prstGeom>
                  </pic:spPr>
                </pic:pic>
              </a:graphicData>
            </a:graphic>
          </wp:inline>
        </w:drawing>
      </w:r>
    </w:p>
    <w:p w14:paraId="02742F17" w14:textId="1A5637C0" w:rsidR="00464109" w:rsidRDefault="008B2E35" w:rsidP="008B2E35">
      <w:pPr>
        <w:pStyle w:val="Caption"/>
        <w:jc w:val="both"/>
        <w:rPr>
          <w:rFonts w:ascii="Cambria" w:hAnsi="Cambria"/>
          <w:sz w:val="24"/>
          <w:szCs w:val="24"/>
        </w:rPr>
      </w:pPr>
      <w:r>
        <w:t xml:space="preserve">Figure </w:t>
      </w:r>
      <w:fldSimple w:instr=" SEQ Figure \* ARABIC ">
        <w:r w:rsidR="00A53337">
          <w:rPr>
            <w:noProof/>
          </w:rPr>
          <w:t>2</w:t>
        </w:r>
      </w:fldSimple>
      <w:r>
        <w:t xml:space="preserve">: Fatigue Strength vs. Fracture Toughness of titanium and common automotive metals, generated using ANSYS </w:t>
      </w:r>
      <w:proofErr w:type="spellStart"/>
      <w:r>
        <w:t>Granta</w:t>
      </w:r>
      <w:proofErr w:type="spellEnd"/>
      <w:r>
        <w:t xml:space="preserve"> 2022</w:t>
      </w:r>
    </w:p>
    <w:p w14:paraId="43E151E0" w14:textId="77777777" w:rsidR="00464109" w:rsidRPr="004673B6" w:rsidRDefault="00464109" w:rsidP="00713A3B">
      <w:pPr>
        <w:spacing w:after="0" w:line="240" w:lineRule="auto"/>
        <w:ind w:firstLine="720"/>
        <w:jc w:val="both"/>
        <w:rPr>
          <w:rFonts w:ascii="Cambria" w:hAnsi="Cambria"/>
          <w:sz w:val="24"/>
          <w:szCs w:val="24"/>
        </w:rPr>
      </w:pPr>
    </w:p>
    <w:p w14:paraId="344DF002" w14:textId="4B477D04" w:rsidR="00B94C16" w:rsidRDefault="008B2E35" w:rsidP="002135C8">
      <w:pPr>
        <w:spacing w:after="0" w:line="240" w:lineRule="auto"/>
        <w:ind w:firstLine="720"/>
        <w:jc w:val="both"/>
        <w:rPr>
          <w:rFonts w:ascii="Cambria" w:hAnsi="Cambria"/>
          <w:sz w:val="24"/>
          <w:szCs w:val="24"/>
        </w:rPr>
      </w:pPr>
      <w:r>
        <w:rPr>
          <w:rFonts w:ascii="Cambria" w:hAnsi="Cambria"/>
          <w:sz w:val="24"/>
          <w:szCs w:val="24"/>
        </w:rPr>
        <w:lastRenderedPageBreak/>
        <w:t xml:space="preserve">However, titanium metal and its alloys still do not see widespread </w:t>
      </w:r>
      <w:r w:rsidR="000C0320">
        <w:rPr>
          <w:rFonts w:ascii="Cambria" w:hAnsi="Cambria"/>
          <w:sz w:val="24"/>
          <w:szCs w:val="24"/>
        </w:rPr>
        <w:t xml:space="preserve">automotive </w:t>
      </w:r>
      <w:r>
        <w:rPr>
          <w:rFonts w:ascii="Cambria" w:hAnsi="Cambria"/>
          <w:sz w:val="24"/>
          <w:szCs w:val="24"/>
        </w:rPr>
        <w:t>use</w:t>
      </w:r>
      <w:r w:rsidR="000C0320">
        <w:rPr>
          <w:rFonts w:ascii="Cambria" w:hAnsi="Cambria"/>
          <w:sz w:val="24"/>
          <w:szCs w:val="24"/>
        </w:rPr>
        <w:t xml:space="preserve"> mainly due to economic reasons. Elemental titanium does not exist in a pure state, and instead can be found as oxides in Rutile, Ilmenite, and several other minerals which are mined mainly in Australia and South Africa (Woodruff, </w:t>
      </w:r>
      <w:proofErr w:type="spellStart"/>
      <w:r w:rsidR="000C0320">
        <w:rPr>
          <w:rFonts w:ascii="Cambria" w:hAnsi="Cambria"/>
          <w:sz w:val="24"/>
          <w:szCs w:val="24"/>
        </w:rPr>
        <w:t>Bedinger</w:t>
      </w:r>
      <w:proofErr w:type="spellEnd"/>
      <w:r w:rsidR="000C0320">
        <w:rPr>
          <w:rFonts w:ascii="Cambria" w:hAnsi="Cambria"/>
          <w:sz w:val="24"/>
          <w:szCs w:val="24"/>
        </w:rPr>
        <w:t xml:space="preserve">, </w:t>
      </w:r>
      <w:proofErr w:type="spellStart"/>
      <w:r w:rsidR="000C0320">
        <w:rPr>
          <w:rFonts w:ascii="Cambria" w:hAnsi="Cambria"/>
          <w:sz w:val="24"/>
          <w:szCs w:val="24"/>
        </w:rPr>
        <w:t>Piatak</w:t>
      </w:r>
      <w:proofErr w:type="spellEnd"/>
      <w:r w:rsidR="000C0320">
        <w:rPr>
          <w:rFonts w:ascii="Cambria" w:hAnsi="Cambria"/>
          <w:sz w:val="24"/>
          <w:szCs w:val="24"/>
        </w:rPr>
        <w:t xml:space="preserve"> 2017), which may impose supply restrictions sensitive to geopolitical events. Additionally, the refining of these elements into usable titanium metal</w:t>
      </w:r>
      <w:r w:rsidR="006D716A">
        <w:rPr>
          <w:rFonts w:ascii="Cambria" w:hAnsi="Cambria"/>
          <w:sz w:val="24"/>
          <w:szCs w:val="24"/>
        </w:rPr>
        <w:t xml:space="preserve"> and alloys</w:t>
      </w:r>
      <w:r w:rsidR="000C0320">
        <w:rPr>
          <w:rFonts w:ascii="Cambria" w:hAnsi="Cambria"/>
          <w:sz w:val="24"/>
          <w:szCs w:val="24"/>
        </w:rPr>
        <w:t xml:space="preserve"> is costly and energy intensive, requiring chemical and thermoelectric processes in several steps (</w:t>
      </w:r>
      <w:proofErr w:type="spellStart"/>
      <w:r w:rsidR="000C0320">
        <w:rPr>
          <w:rFonts w:ascii="Cambria" w:hAnsi="Cambria"/>
          <w:sz w:val="24"/>
          <w:szCs w:val="24"/>
        </w:rPr>
        <w:t>Motyka</w:t>
      </w:r>
      <w:proofErr w:type="spellEnd"/>
      <w:r w:rsidR="000C0320">
        <w:rPr>
          <w:rFonts w:ascii="Cambria" w:hAnsi="Cambria"/>
          <w:sz w:val="24"/>
          <w:szCs w:val="24"/>
        </w:rPr>
        <w:t xml:space="preserve">, </w:t>
      </w:r>
      <w:proofErr w:type="spellStart"/>
      <w:r w:rsidR="000C0320">
        <w:rPr>
          <w:rFonts w:ascii="Cambria" w:hAnsi="Cambria"/>
          <w:sz w:val="24"/>
          <w:szCs w:val="24"/>
        </w:rPr>
        <w:t>Ziaja</w:t>
      </w:r>
      <w:proofErr w:type="spellEnd"/>
      <w:r w:rsidR="000C0320">
        <w:rPr>
          <w:rFonts w:ascii="Cambria" w:hAnsi="Cambria"/>
          <w:sz w:val="24"/>
          <w:szCs w:val="24"/>
        </w:rPr>
        <w:t xml:space="preserve">, </w:t>
      </w:r>
      <w:proofErr w:type="spellStart"/>
      <w:r w:rsidR="000C0320">
        <w:rPr>
          <w:rFonts w:ascii="Cambria" w:hAnsi="Cambria"/>
          <w:sz w:val="24"/>
          <w:szCs w:val="24"/>
        </w:rPr>
        <w:t>Sieniawski</w:t>
      </w:r>
      <w:proofErr w:type="spellEnd"/>
      <w:r w:rsidR="000C0320">
        <w:rPr>
          <w:rFonts w:ascii="Cambria" w:hAnsi="Cambria"/>
          <w:sz w:val="24"/>
          <w:szCs w:val="24"/>
        </w:rPr>
        <w:t xml:space="preserve"> 2019)</w:t>
      </w:r>
      <w:r w:rsidR="006D716A">
        <w:rPr>
          <w:rFonts w:ascii="Cambria" w:hAnsi="Cambria"/>
          <w:sz w:val="24"/>
          <w:szCs w:val="24"/>
        </w:rPr>
        <w:t xml:space="preserve"> not totally unlike the refining process to turn bauxite into aluminum ingots. In figure 3, the embodied energies for both primary production and recycling of titanium and common automotive metals are compared and the staggering energy costs of titanium production can be clearly seen—over 4 times the energy cost to refine and recycle steels, and double the recycling energy costs of aluminum.</w:t>
      </w:r>
    </w:p>
    <w:p w14:paraId="27E5CA2D" w14:textId="77777777" w:rsidR="006D716A" w:rsidRDefault="006D716A" w:rsidP="002135C8">
      <w:pPr>
        <w:spacing w:after="0" w:line="240" w:lineRule="auto"/>
        <w:ind w:firstLine="720"/>
        <w:jc w:val="both"/>
        <w:rPr>
          <w:rFonts w:ascii="Cambria" w:hAnsi="Cambria"/>
          <w:sz w:val="24"/>
          <w:szCs w:val="24"/>
        </w:rPr>
      </w:pPr>
    </w:p>
    <w:p w14:paraId="41DB0FA4" w14:textId="77777777" w:rsidR="006D716A" w:rsidRDefault="006D716A" w:rsidP="006D716A">
      <w:pPr>
        <w:keepNext/>
        <w:spacing w:after="0" w:line="240" w:lineRule="auto"/>
        <w:jc w:val="both"/>
      </w:pPr>
      <w:r>
        <w:rPr>
          <w:noProof/>
        </w:rPr>
        <w:drawing>
          <wp:inline distT="0" distB="0" distL="0" distR="0" wp14:anchorId="55BCE679" wp14:editId="5ABA9B5F">
            <wp:extent cx="6646545" cy="3676650"/>
            <wp:effectExtent l="0" t="0" r="1905" b="0"/>
            <wp:docPr id="1593121958" name="Picture 1"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121958" name="Picture 1" descr="A picture containing text, screenshot, diagram, line&#10;&#10;Description automatically generated"/>
                    <pic:cNvPicPr/>
                  </pic:nvPicPr>
                  <pic:blipFill>
                    <a:blip r:embed="rId15"/>
                    <a:stretch>
                      <a:fillRect/>
                    </a:stretch>
                  </pic:blipFill>
                  <pic:spPr>
                    <a:xfrm>
                      <a:off x="0" y="0"/>
                      <a:ext cx="6646545" cy="3676650"/>
                    </a:xfrm>
                    <a:prstGeom prst="rect">
                      <a:avLst/>
                    </a:prstGeom>
                  </pic:spPr>
                </pic:pic>
              </a:graphicData>
            </a:graphic>
          </wp:inline>
        </w:drawing>
      </w:r>
    </w:p>
    <w:p w14:paraId="0966D414" w14:textId="776678C5" w:rsidR="006D716A" w:rsidRDefault="006D716A" w:rsidP="006D716A">
      <w:pPr>
        <w:pStyle w:val="Caption"/>
        <w:jc w:val="both"/>
        <w:rPr>
          <w:rFonts w:ascii="Cambria" w:hAnsi="Cambria"/>
          <w:sz w:val="24"/>
          <w:szCs w:val="24"/>
        </w:rPr>
      </w:pPr>
      <w:r>
        <w:t xml:space="preserve">Figure </w:t>
      </w:r>
      <w:fldSimple w:instr=" SEQ Figure \* ARABIC ">
        <w:r w:rsidR="00A53337">
          <w:rPr>
            <w:noProof/>
          </w:rPr>
          <w:t>3</w:t>
        </w:r>
      </w:fldSimple>
      <w:r>
        <w:t xml:space="preserve">: Embodied Energies of titanium and common automotive metals, generated using ANSYS </w:t>
      </w:r>
      <w:proofErr w:type="spellStart"/>
      <w:r>
        <w:t>Granta</w:t>
      </w:r>
      <w:proofErr w:type="spellEnd"/>
      <w:r>
        <w:t xml:space="preserve"> 2022</w:t>
      </w:r>
    </w:p>
    <w:p w14:paraId="2D2B0853" w14:textId="1EFFB8FB" w:rsidR="006D716A" w:rsidRDefault="008722A3" w:rsidP="002135C8">
      <w:pPr>
        <w:spacing w:after="0" w:line="240" w:lineRule="auto"/>
        <w:ind w:firstLine="720"/>
        <w:jc w:val="both"/>
        <w:rPr>
          <w:rFonts w:ascii="Cambria" w:hAnsi="Cambria"/>
          <w:sz w:val="24"/>
          <w:szCs w:val="24"/>
        </w:rPr>
      </w:pPr>
      <w:r>
        <w:rPr>
          <w:rFonts w:ascii="Cambria" w:hAnsi="Cambria"/>
          <w:sz w:val="24"/>
          <w:szCs w:val="24"/>
        </w:rPr>
        <w:t>Of course</w:t>
      </w:r>
      <w:r w:rsidR="006D716A">
        <w:rPr>
          <w:rFonts w:ascii="Cambria" w:hAnsi="Cambria"/>
          <w:sz w:val="24"/>
          <w:szCs w:val="24"/>
        </w:rPr>
        <w:t>, in automotive applications where cost is of secondary concern such as racing and supercar development,</w:t>
      </w:r>
      <w:r>
        <w:rPr>
          <w:rFonts w:ascii="Cambria" w:hAnsi="Cambria"/>
          <w:sz w:val="24"/>
          <w:szCs w:val="24"/>
        </w:rPr>
        <w:t xml:space="preserve"> titanium components can be used as substitutes for a wide variety of parts from bodywork fasteners to connecting rods, and even the most cursory searches can find many aftermarket and bespoke titanium parts suppliers. But no material is perfect, and components of titanium or titanium alloys can suffer from flaws resulting from</w:t>
      </w:r>
      <w:r w:rsidR="008B3705">
        <w:rPr>
          <w:rFonts w:ascii="Cambria" w:hAnsi="Cambria"/>
          <w:sz w:val="24"/>
          <w:szCs w:val="24"/>
        </w:rPr>
        <w:t xml:space="preserve"> </w:t>
      </w:r>
      <w:r>
        <w:rPr>
          <w:rFonts w:ascii="Cambria" w:hAnsi="Cambria"/>
          <w:sz w:val="24"/>
          <w:szCs w:val="24"/>
        </w:rPr>
        <w:t>the refining and manufacturing processes</w:t>
      </w:r>
      <w:r w:rsidR="008B3705">
        <w:rPr>
          <w:rFonts w:ascii="Cambria" w:hAnsi="Cambria"/>
          <w:sz w:val="24"/>
          <w:szCs w:val="24"/>
        </w:rPr>
        <w:t xml:space="preserve"> and from the alloying elements themselves</w:t>
      </w:r>
      <w:r>
        <w:rPr>
          <w:rFonts w:ascii="Cambria" w:hAnsi="Cambria"/>
          <w:sz w:val="24"/>
          <w:szCs w:val="24"/>
        </w:rPr>
        <w:t>; it should go without saying then that measures must be taken to minimize the risk imposed by these flaws</w:t>
      </w:r>
      <w:r w:rsidR="008B3705">
        <w:rPr>
          <w:rFonts w:ascii="Cambria" w:hAnsi="Cambria"/>
          <w:sz w:val="24"/>
          <w:szCs w:val="24"/>
        </w:rPr>
        <w:t>, especially in critical applications such as drivetrain components.</w:t>
      </w:r>
    </w:p>
    <w:p w14:paraId="62A6D69E" w14:textId="77777777" w:rsidR="008B3705" w:rsidRDefault="008B3705" w:rsidP="002135C8">
      <w:pPr>
        <w:spacing w:after="0" w:line="240" w:lineRule="auto"/>
        <w:ind w:firstLine="720"/>
        <w:jc w:val="both"/>
        <w:rPr>
          <w:rFonts w:ascii="Cambria" w:hAnsi="Cambria"/>
          <w:sz w:val="24"/>
          <w:szCs w:val="24"/>
        </w:rPr>
      </w:pPr>
    </w:p>
    <w:p w14:paraId="32C4F444" w14:textId="69265D4D" w:rsidR="008B3705" w:rsidRDefault="008B3705" w:rsidP="00F36710">
      <w:pPr>
        <w:pStyle w:val="Heading1"/>
      </w:pPr>
      <w:r>
        <w:lastRenderedPageBreak/>
        <w:t>2 Refining and Manufacturing Flaws</w:t>
      </w:r>
    </w:p>
    <w:p w14:paraId="58C0F65F" w14:textId="77777777" w:rsidR="008B3705" w:rsidRDefault="008B3705" w:rsidP="002135C8">
      <w:pPr>
        <w:spacing w:after="0" w:line="240" w:lineRule="auto"/>
        <w:ind w:firstLine="720"/>
        <w:jc w:val="both"/>
        <w:rPr>
          <w:rFonts w:ascii="Cambria" w:hAnsi="Cambria"/>
          <w:sz w:val="24"/>
          <w:szCs w:val="24"/>
        </w:rPr>
      </w:pPr>
    </w:p>
    <w:p w14:paraId="29E12086" w14:textId="797011C9" w:rsidR="008B3705" w:rsidRDefault="00F36710" w:rsidP="002135C8">
      <w:pPr>
        <w:spacing w:after="0" w:line="240" w:lineRule="auto"/>
        <w:ind w:firstLine="720"/>
        <w:jc w:val="both"/>
        <w:rPr>
          <w:rFonts w:ascii="Cambria" w:hAnsi="Cambria"/>
          <w:sz w:val="24"/>
          <w:szCs w:val="24"/>
        </w:rPr>
      </w:pPr>
      <w:r>
        <w:rPr>
          <w:rFonts w:ascii="Cambria" w:hAnsi="Cambria"/>
          <w:sz w:val="24"/>
          <w:szCs w:val="24"/>
        </w:rPr>
        <w:t xml:space="preserve">The refining process for titanium metal can be thought of as having two stages: the production of </w:t>
      </w:r>
      <w:r w:rsidR="00AB4748">
        <w:rPr>
          <w:rFonts w:ascii="Cambria" w:hAnsi="Cambria"/>
          <w:sz w:val="24"/>
          <w:szCs w:val="24"/>
        </w:rPr>
        <w:t>titanium tetrachloride, followed by the reduction of titanium tetrachloride into titanium sponge used for ingots via the Kroll process or into titanium powder via the Armstrong process. Powder can also be produced via the hydride-</w:t>
      </w:r>
      <w:proofErr w:type="spellStart"/>
      <w:r w:rsidR="00AB4748">
        <w:rPr>
          <w:rFonts w:ascii="Cambria" w:hAnsi="Cambria"/>
          <w:sz w:val="24"/>
          <w:szCs w:val="24"/>
        </w:rPr>
        <w:t>dehydride</w:t>
      </w:r>
      <w:proofErr w:type="spellEnd"/>
      <w:r w:rsidR="00AB4748">
        <w:rPr>
          <w:rFonts w:ascii="Cambria" w:hAnsi="Cambria"/>
          <w:sz w:val="24"/>
          <w:szCs w:val="24"/>
        </w:rPr>
        <w:t xml:space="preserve"> process using titanium sponge or scrap for the input (</w:t>
      </w:r>
      <w:proofErr w:type="spellStart"/>
      <w:r w:rsidR="00AB4748">
        <w:rPr>
          <w:rFonts w:ascii="Cambria" w:hAnsi="Cambria"/>
          <w:sz w:val="24"/>
          <w:szCs w:val="24"/>
        </w:rPr>
        <w:t>Motyka</w:t>
      </w:r>
      <w:proofErr w:type="spellEnd"/>
      <w:r w:rsidR="00AB4748">
        <w:rPr>
          <w:rFonts w:ascii="Cambria" w:hAnsi="Cambria"/>
          <w:sz w:val="24"/>
          <w:szCs w:val="24"/>
        </w:rPr>
        <w:t xml:space="preserve">, </w:t>
      </w:r>
      <w:proofErr w:type="spellStart"/>
      <w:r w:rsidR="00AB4748">
        <w:rPr>
          <w:rFonts w:ascii="Cambria" w:hAnsi="Cambria"/>
          <w:sz w:val="24"/>
          <w:szCs w:val="24"/>
        </w:rPr>
        <w:t>Ziaja</w:t>
      </w:r>
      <w:proofErr w:type="spellEnd"/>
      <w:r w:rsidR="00AB4748">
        <w:rPr>
          <w:rFonts w:ascii="Cambria" w:hAnsi="Cambria"/>
          <w:sz w:val="24"/>
          <w:szCs w:val="24"/>
        </w:rPr>
        <w:t xml:space="preserve">, </w:t>
      </w:r>
      <w:proofErr w:type="spellStart"/>
      <w:r w:rsidR="00AB4748">
        <w:rPr>
          <w:rFonts w:ascii="Cambria" w:hAnsi="Cambria"/>
          <w:sz w:val="24"/>
          <w:szCs w:val="24"/>
        </w:rPr>
        <w:t>Sieniawski</w:t>
      </w:r>
      <w:proofErr w:type="spellEnd"/>
      <w:r w:rsidR="00AB4748">
        <w:rPr>
          <w:rFonts w:ascii="Cambria" w:hAnsi="Cambria"/>
          <w:sz w:val="24"/>
          <w:szCs w:val="24"/>
        </w:rPr>
        <w:t xml:space="preserve"> 2019)</w:t>
      </w:r>
      <w:r w:rsidR="00035825">
        <w:rPr>
          <w:rFonts w:ascii="Cambria" w:hAnsi="Cambria"/>
          <w:sz w:val="24"/>
          <w:szCs w:val="24"/>
        </w:rPr>
        <w:t>. Both Kroll and hydride-</w:t>
      </w:r>
      <w:proofErr w:type="spellStart"/>
      <w:r w:rsidR="00035825">
        <w:rPr>
          <w:rFonts w:ascii="Cambria" w:hAnsi="Cambria"/>
          <w:sz w:val="24"/>
          <w:szCs w:val="24"/>
        </w:rPr>
        <w:t>dehydride</w:t>
      </w:r>
      <w:proofErr w:type="spellEnd"/>
      <w:r w:rsidR="00035825">
        <w:rPr>
          <w:rFonts w:ascii="Cambria" w:hAnsi="Cambria"/>
          <w:sz w:val="24"/>
          <w:szCs w:val="24"/>
        </w:rPr>
        <w:t xml:space="preserve"> processes rely on inert environments for some or all of the reactions taking place—this is not only a source of processing cost but also a potential point of failure. Depending on the process, either argon, hydrogen or vacuum environments are used to displace air. Due to the ready reactivity of titanium</w:t>
      </w:r>
      <w:r w:rsidR="00CC5F09">
        <w:rPr>
          <w:rFonts w:ascii="Cambria" w:hAnsi="Cambria"/>
          <w:sz w:val="24"/>
          <w:szCs w:val="24"/>
        </w:rPr>
        <w:t xml:space="preserve"> with air, any contamination of these environments may lead to unexpected and unwanted oxidation or nitriding of the titanium even before it is formed into an ingot. Additionally, the Kroll process later uses electric arc heating via carbon electrode to melt the titanium sponge to form ingots (</w:t>
      </w:r>
      <w:proofErr w:type="spellStart"/>
      <w:r w:rsidR="00CC5F09">
        <w:rPr>
          <w:rFonts w:ascii="Cambria" w:hAnsi="Cambria"/>
          <w:sz w:val="24"/>
          <w:szCs w:val="24"/>
        </w:rPr>
        <w:t>Motyka</w:t>
      </w:r>
      <w:proofErr w:type="spellEnd"/>
      <w:r w:rsidR="00CC5F09">
        <w:rPr>
          <w:rFonts w:ascii="Cambria" w:hAnsi="Cambria"/>
          <w:sz w:val="24"/>
          <w:szCs w:val="24"/>
        </w:rPr>
        <w:t xml:space="preserve">, </w:t>
      </w:r>
      <w:proofErr w:type="spellStart"/>
      <w:r w:rsidR="00CC5F09">
        <w:rPr>
          <w:rFonts w:ascii="Cambria" w:hAnsi="Cambria"/>
          <w:sz w:val="24"/>
          <w:szCs w:val="24"/>
        </w:rPr>
        <w:t>Ziaja</w:t>
      </w:r>
      <w:proofErr w:type="spellEnd"/>
      <w:r w:rsidR="00CC5F09">
        <w:rPr>
          <w:rFonts w:ascii="Cambria" w:hAnsi="Cambria"/>
          <w:sz w:val="24"/>
          <w:szCs w:val="24"/>
        </w:rPr>
        <w:t xml:space="preserve">, </w:t>
      </w:r>
      <w:proofErr w:type="spellStart"/>
      <w:r w:rsidR="00CC5F09">
        <w:rPr>
          <w:rFonts w:ascii="Cambria" w:hAnsi="Cambria"/>
          <w:sz w:val="24"/>
          <w:szCs w:val="24"/>
        </w:rPr>
        <w:t>Sieniawski</w:t>
      </w:r>
      <w:proofErr w:type="spellEnd"/>
      <w:r w:rsidR="00CC5F09">
        <w:rPr>
          <w:rFonts w:ascii="Cambria" w:hAnsi="Cambria"/>
          <w:sz w:val="24"/>
          <w:szCs w:val="24"/>
        </w:rPr>
        <w:t xml:space="preserve"> 2019)—it is not unthinkable then that some degree of titanium carbide may be present even in nominally pure titanium due to degradation of the electrode during heating. Since the </w:t>
      </w:r>
      <w:r w:rsidR="00E7300E">
        <w:rPr>
          <w:rFonts w:ascii="Cambria" w:hAnsi="Cambria"/>
          <w:sz w:val="24"/>
          <w:szCs w:val="24"/>
        </w:rPr>
        <w:t>beta</w:t>
      </w:r>
      <w:r w:rsidR="00CC5F09">
        <w:rPr>
          <w:rFonts w:ascii="Cambria" w:hAnsi="Cambria"/>
          <w:sz w:val="24"/>
          <w:szCs w:val="24"/>
        </w:rPr>
        <w:t xml:space="preserve"> phase of pure titanium has a body centered cubic crystal structure</w:t>
      </w:r>
      <w:r w:rsidR="00E7300E">
        <w:rPr>
          <w:rFonts w:ascii="Cambria" w:hAnsi="Cambria"/>
          <w:sz w:val="24"/>
          <w:szCs w:val="24"/>
        </w:rPr>
        <w:t xml:space="preserve"> and the atomic size is similar to iron</w:t>
      </w:r>
      <w:r w:rsidR="0003010B">
        <w:rPr>
          <w:rFonts w:ascii="Cambria" w:hAnsi="Cambria"/>
          <w:sz w:val="24"/>
          <w:szCs w:val="24"/>
        </w:rPr>
        <w:t xml:space="preserve"> (</w:t>
      </w:r>
      <w:proofErr w:type="spellStart"/>
      <w:r w:rsidR="0003010B">
        <w:rPr>
          <w:rFonts w:ascii="Cambria" w:hAnsi="Cambria"/>
          <w:sz w:val="24"/>
          <w:szCs w:val="24"/>
        </w:rPr>
        <w:t>Seagle</w:t>
      </w:r>
      <w:proofErr w:type="spellEnd"/>
      <w:r w:rsidR="0003010B">
        <w:rPr>
          <w:rFonts w:ascii="Cambria" w:hAnsi="Cambria"/>
          <w:sz w:val="24"/>
          <w:szCs w:val="24"/>
        </w:rPr>
        <w:t xml:space="preserve"> 2019), it follows that oxides, nitrides, and carbides of titanium show similar behaviors to those of iron—namely increased hardness and decreased formability, which may be undesirable depending on the usage and manufacturing processes planned for the titanium stock.</w:t>
      </w:r>
      <w:r w:rsidR="009120C0">
        <w:rPr>
          <w:rFonts w:ascii="Cambria" w:hAnsi="Cambria"/>
          <w:sz w:val="24"/>
          <w:szCs w:val="24"/>
        </w:rPr>
        <w:t xml:space="preserve"> Indeed, titanium carbide has been found to have fracture mechanics more resembling that of a ceramic (Tang, Shen, An 2018), behavior which </w:t>
      </w:r>
      <w:r w:rsidR="00CF1C11">
        <w:rPr>
          <w:rFonts w:ascii="Cambria" w:hAnsi="Cambria"/>
          <w:sz w:val="24"/>
          <w:szCs w:val="24"/>
        </w:rPr>
        <w:t>would obviously be undesirable in any automotive structural application.</w:t>
      </w:r>
    </w:p>
    <w:p w14:paraId="2EFE4D0D" w14:textId="6C6542CA" w:rsidR="0003010B" w:rsidRDefault="0003010B" w:rsidP="002135C8">
      <w:pPr>
        <w:spacing w:after="0" w:line="240" w:lineRule="auto"/>
        <w:ind w:firstLine="720"/>
        <w:jc w:val="both"/>
        <w:rPr>
          <w:rFonts w:ascii="Cambria" w:hAnsi="Cambria"/>
          <w:sz w:val="24"/>
          <w:szCs w:val="24"/>
        </w:rPr>
      </w:pPr>
      <w:r>
        <w:rPr>
          <w:rFonts w:ascii="Cambria" w:hAnsi="Cambria"/>
          <w:sz w:val="24"/>
          <w:szCs w:val="24"/>
        </w:rPr>
        <w:t>As illustrated in figures 4 and 5, the low thermal expansion coefficient and</w:t>
      </w:r>
      <w:r w:rsidR="00757728">
        <w:rPr>
          <w:rFonts w:ascii="Cambria" w:hAnsi="Cambria"/>
          <w:sz w:val="24"/>
          <w:szCs w:val="24"/>
        </w:rPr>
        <w:t xml:space="preserve"> low thermal conductivity of titanium gives it relatively good weldability, similar to that of medium carbon steel. Considering the poor formability and </w:t>
      </w:r>
      <w:r w:rsidR="001B70CA">
        <w:rPr>
          <w:rFonts w:ascii="Cambria" w:hAnsi="Cambria"/>
          <w:sz w:val="24"/>
          <w:szCs w:val="24"/>
        </w:rPr>
        <w:t xml:space="preserve">machinability of titanium and its alloys—generally comparable to or worse than stainless steel—welding should be used in the construction of titanium components wherever possible. Internal stresses from thermal cycling and the size of the heat affected zone may be considered to be minimal, though one disadvantage of the low heat conductivity of titanium may show itself in the form of bad adhesion in deep welds—sufficient heat for fusion simply may not reach small spaces unreachable by the welding apparatus directly. Of similar cause for concern is titanium’s aforementioned reactivity to atmosphere—welding without proper shield, be it gas or slag—may introduce </w:t>
      </w:r>
      <w:r w:rsidR="009120C0">
        <w:rPr>
          <w:rFonts w:ascii="Cambria" w:hAnsi="Cambria"/>
          <w:sz w:val="24"/>
          <w:szCs w:val="24"/>
        </w:rPr>
        <w:t>unwanted levels of nitrides and oxides into the heat affected zone, negatively impacting the region’s fracture toughness</w:t>
      </w:r>
    </w:p>
    <w:p w14:paraId="0E16FF22" w14:textId="05BE070E" w:rsidR="00757728" w:rsidRDefault="00CF1C11" w:rsidP="002135C8">
      <w:pPr>
        <w:spacing w:after="0" w:line="240" w:lineRule="auto"/>
        <w:ind w:firstLine="720"/>
        <w:jc w:val="both"/>
        <w:rPr>
          <w:rFonts w:ascii="Cambria" w:hAnsi="Cambria"/>
          <w:sz w:val="24"/>
          <w:szCs w:val="24"/>
        </w:rPr>
      </w:pPr>
      <w:r>
        <w:rPr>
          <w:rFonts w:ascii="Cambria" w:hAnsi="Cambria"/>
          <w:sz w:val="24"/>
          <w:szCs w:val="24"/>
        </w:rPr>
        <w:t>Additive processes may prove to be viable alternatives to conventional methods like milling and forging. Due to additive methods’ capability at producing complex topologies and lattice-like forms,</w:t>
      </w:r>
      <w:r w:rsidR="007525FE">
        <w:rPr>
          <w:rFonts w:ascii="Cambria" w:hAnsi="Cambria"/>
          <w:sz w:val="24"/>
          <w:szCs w:val="24"/>
        </w:rPr>
        <w:t xml:space="preserve"> additively manufactured components may see significant weight reduction over conventionally produced analogues, which can cause cascading weight savings in supporting components as well (</w:t>
      </w:r>
      <w:proofErr w:type="spellStart"/>
      <w:r w:rsidR="007525FE">
        <w:rPr>
          <w:rFonts w:ascii="Cambria" w:hAnsi="Cambria"/>
          <w:sz w:val="24"/>
          <w:szCs w:val="24"/>
        </w:rPr>
        <w:t>Nyamekye</w:t>
      </w:r>
      <w:proofErr w:type="spellEnd"/>
      <w:r w:rsidR="007525FE">
        <w:rPr>
          <w:rFonts w:ascii="Cambria" w:hAnsi="Cambria"/>
          <w:sz w:val="24"/>
          <w:szCs w:val="24"/>
        </w:rPr>
        <w:t xml:space="preserve"> et al 2023). Additive methods also cause less waste;</w:t>
      </w:r>
      <w:r>
        <w:rPr>
          <w:rFonts w:ascii="Cambria" w:hAnsi="Cambria"/>
          <w:sz w:val="24"/>
          <w:szCs w:val="24"/>
        </w:rPr>
        <w:t xml:space="preserve"> the ratio of material purchased vs material in the completed component, which is typically around 8:1 for conventional methods, may be pushed at low as 1.5:1 for additive manufacturing</w:t>
      </w:r>
      <w:r w:rsidR="007525FE">
        <w:rPr>
          <w:rFonts w:ascii="Cambria" w:hAnsi="Cambria"/>
          <w:sz w:val="24"/>
          <w:szCs w:val="24"/>
        </w:rPr>
        <w:t>, further reducing production costs</w:t>
      </w:r>
      <w:r>
        <w:rPr>
          <w:rFonts w:ascii="Cambria" w:hAnsi="Cambria"/>
          <w:sz w:val="24"/>
          <w:szCs w:val="24"/>
        </w:rPr>
        <w:t xml:space="preserve"> (</w:t>
      </w:r>
      <w:proofErr w:type="spellStart"/>
      <w:r>
        <w:rPr>
          <w:rFonts w:ascii="Cambria" w:hAnsi="Cambria"/>
          <w:sz w:val="24"/>
          <w:szCs w:val="24"/>
        </w:rPr>
        <w:t>Nyamekye</w:t>
      </w:r>
      <w:proofErr w:type="spellEnd"/>
      <w:r>
        <w:rPr>
          <w:rFonts w:ascii="Cambria" w:hAnsi="Cambria"/>
          <w:sz w:val="24"/>
          <w:szCs w:val="24"/>
        </w:rPr>
        <w:t xml:space="preserve"> et al 2023).</w:t>
      </w:r>
    </w:p>
    <w:p w14:paraId="74D520B3" w14:textId="77777777" w:rsidR="00757728" w:rsidRDefault="00757728" w:rsidP="00757728">
      <w:pPr>
        <w:keepNext/>
        <w:spacing w:after="0" w:line="240" w:lineRule="auto"/>
        <w:jc w:val="both"/>
      </w:pPr>
      <w:r>
        <w:rPr>
          <w:noProof/>
        </w:rPr>
        <w:lastRenderedPageBreak/>
        <w:drawing>
          <wp:inline distT="0" distB="0" distL="0" distR="0" wp14:anchorId="0285C36B" wp14:editId="529E21D6">
            <wp:extent cx="6410325" cy="3559454"/>
            <wp:effectExtent l="0" t="0" r="0" b="3175"/>
            <wp:docPr id="2135245015" name="Picture 1"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245015" name="Picture 1" descr="A picture containing text, screenshot, diagram, plot&#10;&#10;Description automatically generated"/>
                    <pic:cNvPicPr/>
                  </pic:nvPicPr>
                  <pic:blipFill>
                    <a:blip r:embed="rId16"/>
                    <a:stretch>
                      <a:fillRect/>
                    </a:stretch>
                  </pic:blipFill>
                  <pic:spPr>
                    <a:xfrm>
                      <a:off x="0" y="0"/>
                      <a:ext cx="6419934" cy="3564789"/>
                    </a:xfrm>
                    <a:prstGeom prst="rect">
                      <a:avLst/>
                    </a:prstGeom>
                  </pic:spPr>
                </pic:pic>
              </a:graphicData>
            </a:graphic>
          </wp:inline>
        </w:drawing>
      </w:r>
    </w:p>
    <w:p w14:paraId="3031ADAC" w14:textId="71913237" w:rsidR="00757728" w:rsidRDefault="00757728" w:rsidP="00757728">
      <w:pPr>
        <w:pStyle w:val="Caption"/>
        <w:jc w:val="both"/>
        <w:rPr>
          <w:rFonts w:ascii="Cambria" w:hAnsi="Cambria"/>
          <w:sz w:val="24"/>
          <w:szCs w:val="24"/>
        </w:rPr>
      </w:pPr>
      <w:r>
        <w:t xml:space="preserve">Figure </w:t>
      </w:r>
      <w:fldSimple w:instr=" SEQ Figure \* ARABIC ">
        <w:r w:rsidR="00A53337">
          <w:rPr>
            <w:noProof/>
          </w:rPr>
          <w:t>4</w:t>
        </w:r>
      </w:fldSimple>
      <w:r>
        <w:t xml:space="preserve">: The Thermal Expansion Coefficient and Thermal Conductivity of titanium compared to common automotive metals, generated using ANSYS </w:t>
      </w:r>
      <w:proofErr w:type="spellStart"/>
      <w:r>
        <w:t>Granta</w:t>
      </w:r>
      <w:proofErr w:type="spellEnd"/>
      <w:r>
        <w:t xml:space="preserve"> 2022</w:t>
      </w:r>
    </w:p>
    <w:p w14:paraId="5829DD3F" w14:textId="77777777" w:rsidR="00757728" w:rsidRDefault="00757728" w:rsidP="00757728">
      <w:pPr>
        <w:keepNext/>
        <w:spacing w:after="0" w:line="240" w:lineRule="auto"/>
        <w:jc w:val="both"/>
      </w:pPr>
      <w:r>
        <w:rPr>
          <w:noProof/>
        </w:rPr>
        <w:drawing>
          <wp:inline distT="0" distB="0" distL="0" distR="0" wp14:anchorId="683187A9" wp14:editId="655C17C4">
            <wp:extent cx="6429375" cy="3474209"/>
            <wp:effectExtent l="0" t="0" r="0" b="0"/>
            <wp:docPr id="1177533502" name="Picture 1" descr="A picture containing text, line, pl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533502" name="Picture 1" descr="A picture containing text, line, plot, diagram&#10;&#10;Description automatically generated"/>
                    <pic:cNvPicPr/>
                  </pic:nvPicPr>
                  <pic:blipFill>
                    <a:blip r:embed="rId17"/>
                    <a:stretch>
                      <a:fillRect/>
                    </a:stretch>
                  </pic:blipFill>
                  <pic:spPr>
                    <a:xfrm>
                      <a:off x="0" y="0"/>
                      <a:ext cx="6432897" cy="3476112"/>
                    </a:xfrm>
                    <a:prstGeom prst="rect">
                      <a:avLst/>
                    </a:prstGeom>
                  </pic:spPr>
                </pic:pic>
              </a:graphicData>
            </a:graphic>
          </wp:inline>
        </w:drawing>
      </w:r>
    </w:p>
    <w:p w14:paraId="46C1432F" w14:textId="58B65CF1" w:rsidR="00757728" w:rsidRDefault="00757728" w:rsidP="00757728">
      <w:pPr>
        <w:pStyle w:val="Caption"/>
        <w:jc w:val="both"/>
        <w:rPr>
          <w:rFonts w:ascii="Cambria" w:hAnsi="Cambria"/>
          <w:sz w:val="24"/>
          <w:szCs w:val="24"/>
        </w:rPr>
      </w:pPr>
      <w:r>
        <w:t xml:space="preserve">Figure </w:t>
      </w:r>
      <w:fldSimple w:instr=" SEQ Figure \* ARABIC ">
        <w:r w:rsidR="00A53337">
          <w:rPr>
            <w:noProof/>
          </w:rPr>
          <w:t>5</w:t>
        </w:r>
      </w:fldSimple>
      <w:r>
        <w:t xml:space="preserve">: The weldability of titanium and common automotive metals, generated using ANSYS </w:t>
      </w:r>
      <w:proofErr w:type="spellStart"/>
      <w:r>
        <w:t>Granta</w:t>
      </w:r>
      <w:proofErr w:type="spellEnd"/>
      <w:r>
        <w:t xml:space="preserve"> 2022</w:t>
      </w:r>
    </w:p>
    <w:p w14:paraId="37685839" w14:textId="77777777" w:rsidR="00757728" w:rsidRDefault="00757728" w:rsidP="002135C8">
      <w:pPr>
        <w:spacing w:after="0" w:line="240" w:lineRule="auto"/>
        <w:ind w:firstLine="720"/>
        <w:jc w:val="both"/>
        <w:rPr>
          <w:rFonts w:ascii="Cambria" w:hAnsi="Cambria"/>
          <w:sz w:val="24"/>
          <w:szCs w:val="24"/>
        </w:rPr>
      </w:pPr>
    </w:p>
    <w:p w14:paraId="4D59FE6C" w14:textId="0100BE0E" w:rsidR="00757728" w:rsidRDefault="00757728" w:rsidP="002135C8">
      <w:pPr>
        <w:spacing w:after="0" w:line="240" w:lineRule="auto"/>
        <w:ind w:firstLine="720"/>
        <w:jc w:val="both"/>
        <w:rPr>
          <w:rFonts w:ascii="Cambria" w:hAnsi="Cambria"/>
          <w:sz w:val="24"/>
          <w:szCs w:val="24"/>
        </w:rPr>
      </w:pPr>
      <w:r>
        <w:rPr>
          <w:rFonts w:ascii="Cambria" w:hAnsi="Cambria"/>
          <w:sz w:val="24"/>
          <w:szCs w:val="24"/>
        </w:rPr>
        <w:t>B</w:t>
      </w:r>
      <w:r w:rsidR="007525FE">
        <w:rPr>
          <w:rFonts w:ascii="Cambria" w:hAnsi="Cambria"/>
          <w:sz w:val="24"/>
          <w:szCs w:val="24"/>
        </w:rPr>
        <w:t>ut with the savings of additive methods come additional risk of flaws. Most additive manufacturing of titanium involves titanium powder produced with the hydride-</w:t>
      </w:r>
      <w:proofErr w:type="spellStart"/>
      <w:r w:rsidR="007525FE">
        <w:rPr>
          <w:rFonts w:ascii="Cambria" w:hAnsi="Cambria"/>
          <w:sz w:val="24"/>
          <w:szCs w:val="24"/>
        </w:rPr>
        <w:t>dehydride</w:t>
      </w:r>
      <w:proofErr w:type="spellEnd"/>
      <w:r w:rsidR="007525FE">
        <w:rPr>
          <w:rFonts w:ascii="Cambria" w:hAnsi="Cambria"/>
          <w:sz w:val="24"/>
          <w:szCs w:val="24"/>
        </w:rPr>
        <w:t xml:space="preserve"> or Armstrong processes</w:t>
      </w:r>
      <w:r w:rsidR="00D74084">
        <w:rPr>
          <w:rFonts w:ascii="Cambria" w:hAnsi="Cambria"/>
          <w:sz w:val="24"/>
          <w:szCs w:val="24"/>
        </w:rPr>
        <w:t xml:space="preserve"> and possibly refined via secondary processes to more desirable grain size distributions (</w:t>
      </w:r>
      <w:proofErr w:type="spellStart"/>
      <w:r w:rsidR="00D74084">
        <w:rPr>
          <w:rFonts w:ascii="Cambria" w:hAnsi="Cambria"/>
          <w:sz w:val="24"/>
          <w:szCs w:val="24"/>
        </w:rPr>
        <w:t>Seagle</w:t>
      </w:r>
      <w:proofErr w:type="spellEnd"/>
      <w:r w:rsidR="00D74084">
        <w:rPr>
          <w:rFonts w:ascii="Cambria" w:hAnsi="Cambria"/>
          <w:sz w:val="24"/>
          <w:szCs w:val="24"/>
        </w:rPr>
        <w:t xml:space="preserve"> 2019). However, as with all powder based materials, smaller grains mean a larger surface area to volume ratio, which means that finer powders will have a larger percentage of oxides, and all powders will contain more oxides than an ingot of equivalent mass. For components such as connecting rods which must meet exacting strength and toughness requirements, higher oxide levels in additively manufactured parts may push the material properties outside of acceptable bounds, resulting in greater risk of part failure.</w:t>
      </w:r>
      <w:r w:rsidR="00410B1D">
        <w:rPr>
          <w:rFonts w:ascii="Cambria" w:hAnsi="Cambria"/>
          <w:sz w:val="24"/>
          <w:szCs w:val="24"/>
        </w:rPr>
        <w:t xml:space="preserve"> Additively manufactured titanium components may also be at greater risk of porosities, as gas naturally resting between grains of the powder may become trapped during fusion. An unwanted increase in hardness with the addition of porous stress riser features is a sure recipe for failure.</w:t>
      </w:r>
    </w:p>
    <w:p w14:paraId="193945FC" w14:textId="77777777" w:rsidR="00410B1D" w:rsidRDefault="00410B1D" w:rsidP="00410B1D">
      <w:pPr>
        <w:keepNext/>
        <w:spacing w:after="0" w:line="240" w:lineRule="auto"/>
        <w:jc w:val="both"/>
      </w:pPr>
      <w:r>
        <w:rPr>
          <w:noProof/>
        </w:rPr>
        <w:drawing>
          <wp:inline distT="0" distB="0" distL="0" distR="0" wp14:anchorId="42C44887" wp14:editId="3640BC78">
            <wp:extent cx="6646545" cy="3599180"/>
            <wp:effectExtent l="0" t="0" r="1905" b="1270"/>
            <wp:docPr id="697541196" name="Picture 1" descr="A picture containing text, line,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541196" name="Picture 1" descr="A picture containing text, line, diagram, plot&#10;&#10;Description automatically generated"/>
                    <pic:cNvPicPr/>
                  </pic:nvPicPr>
                  <pic:blipFill>
                    <a:blip r:embed="rId18"/>
                    <a:stretch>
                      <a:fillRect/>
                    </a:stretch>
                  </pic:blipFill>
                  <pic:spPr>
                    <a:xfrm>
                      <a:off x="0" y="0"/>
                      <a:ext cx="6646545" cy="3599180"/>
                    </a:xfrm>
                    <a:prstGeom prst="rect">
                      <a:avLst/>
                    </a:prstGeom>
                  </pic:spPr>
                </pic:pic>
              </a:graphicData>
            </a:graphic>
          </wp:inline>
        </w:drawing>
      </w:r>
    </w:p>
    <w:p w14:paraId="38583EFD" w14:textId="4FD4F108" w:rsidR="00410B1D" w:rsidRDefault="00410B1D" w:rsidP="00410B1D">
      <w:pPr>
        <w:pStyle w:val="Caption"/>
        <w:jc w:val="both"/>
        <w:rPr>
          <w:rFonts w:ascii="Cambria" w:hAnsi="Cambria"/>
          <w:sz w:val="24"/>
          <w:szCs w:val="24"/>
        </w:rPr>
      </w:pPr>
      <w:r>
        <w:t xml:space="preserve">Figure </w:t>
      </w:r>
      <w:fldSimple w:instr=" SEQ Figure \* ARABIC ">
        <w:r w:rsidR="00A53337">
          <w:rPr>
            <w:noProof/>
          </w:rPr>
          <w:t>6</w:t>
        </w:r>
      </w:fldSimple>
      <w:r>
        <w:t xml:space="preserve">: Acoustic properties of titanium and common automotive metals, generating using ANSYS </w:t>
      </w:r>
      <w:proofErr w:type="spellStart"/>
      <w:r>
        <w:t>Granta</w:t>
      </w:r>
      <w:proofErr w:type="spellEnd"/>
      <w:r>
        <w:t xml:space="preserve"> 2022</w:t>
      </w:r>
    </w:p>
    <w:p w14:paraId="2929BD14" w14:textId="18AA1D01" w:rsidR="00410B1D" w:rsidRDefault="00410B1D" w:rsidP="002135C8">
      <w:pPr>
        <w:spacing w:after="0" w:line="240" w:lineRule="auto"/>
        <w:ind w:firstLine="720"/>
        <w:jc w:val="both"/>
        <w:rPr>
          <w:rFonts w:ascii="Cambria" w:hAnsi="Cambria"/>
          <w:sz w:val="24"/>
          <w:szCs w:val="24"/>
        </w:rPr>
      </w:pPr>
      <w:r>
        <w:rPr>
          <w:rFonts w:ascii="Cambria" w:hAnsi="Cambria"/>
          <w:sz w:val="24"/>
          <w:szCs w:val="24"/>
        </w:rPr>
        <w:t>As seen in figure 6, titanium and its alloys have acoustic properties somewhere between aluminum alloys and low carbon steels. This means that for flaw detection, ultrasonic testing may be used to good effect</w:t>
      </w:r>
      <w:r w:rsidR="007E18FD">
        <w:rPr>
          <w:rFonts w:ascii="Cambria" w:hAnsi="Cambria"/>
          <w:sz w:val="24"/>
          <w:szCs w:val="24"/>
        </w:rPr>
        <w:t>. Unfortunately, low acoustic damping may also enable unwanted resonance within a titanium component, particularly in an environment of heavy vibration such as an engine. In such a case, adverse vibrational effects may be countered by either providing some external source of damping via a bushing or similar connector of softer material or by carefully defining the dimensions of the part to not coincide with the wavelengths of any of the predominant vibration sources in the environment.</w:t>
      </w:r>
    </w:p>
    <w:p w14:paraId="4FB27EA7" w14:textId="77777777" w:rsidR="00AD7E39" w:rsidRDefault="00AD7E39" w:rsidP="002135C8">
      <w:pPr>
        <w:spacing w:after="0" w:line="240" w:lineRule="auto"/>
        <w:ind w:firstLine="720"/>
        <w:jc w:val="both"/>
        <w:rPr>
          <w:rFonts w:ascii="Cambria" w:hAnsi="Cambria"/>
          <w:sz w:val="24"/>
          <w:szCs w:val="24"/>
        </w:rPr>
      </w:pPr>
    </w:p>
    <w:p w14:paraId="736D3979" w14:textId="58A19801" w:rsidR="00AD7E39" w:rsidRDefault="00AD7E39" w:rsidP="00AD7E39">
      <w:pPr>
        <w:pStyle w:val="Heading1"/>
      </w:pPr>
      <w:r>
        <w:lastRenderedPageBreak/>
        <w:t>3 Alloying Flaws</w:t>
      </w:r>
    </w:p>
    <w:p w14:paraId="2986ED52" w14:textId="77777777" w:rsidR="00AD7E39" w:rsidRDefault="00AD7E39" w:rsidP="002135C8">
      <w:pPr>
        <w:spacing w:after="0" w:line="240" w:lineRule="auto"/>
        <w:ind w:firstLine="720"/>
        <w:jc w:val="both"/>
        <w:rPr>
          <w:rFonts w:ascii="Cambria" w:hAnsi="Cambria"/>
          <w:sz w:val="24"/>
          <w:szCs w:val="24"/>
        </w:rPr>
      </w:pPr>
    </w:p>
    <w:p w14:paraId="39397FF9" w14:textId="591B22B0" w:rsidR="00AD7E39" w:rsidRDefault="00AD7E39" w:rsidP="002135C8">
      <w:pPr>
        <w:spacing w:after="0" w:line="240" w:lineRule="auto"/>
        <w:ind w:firstLine="720"/>
        <w:jc w:val="both"/>
        <w:rPr>
          <w:rFonts w:ascii="Cambria" w:hAnsi="Cambria"/>
          <w:sz w:val="24"/>
          <w:szCs w:val="24"/>
        </w:rPr>
      </w:pPr>
      <w:r>
        <w:rPr>
          <w:rFonts w:ascii="Cambria" w:hAnsi="Cambria"/>
          <w:sz w:val="24"/>
          <w:szCs w:val="24"/>
        </w:rPr>
        <w:t>Due to the naturally strong corrosion resistance of titanium, most alloying elements are used either to raise the stable temperature of the alpha phase or lower the stable temperature of the beta phase (</w:t>
      </w:r>
      <w:proofErr w:type="spellStart"/>
      <w:r>
        <w:rPr>
          <w:rFonts w:ascii="Cambria" w:hAnsi="Cambria"/>
          <w:sz w:val="24"/>
          <w:szCs w:val="24"/>
        </w:rPr>
        <w:t>Seagle</w:t>
      </w:r>
      <w:proofErr w:type="spellEnd"/>
      <w:r>
        <w:rPr>
          <w:rFonts w:ascii="Cambria" w:hAnsi="Cambria"/>
          <w:sz w:val="24"/>
          <w:szCs w:val="24"/>
        </w:rPr>
        <w:t xml:space="preserve"> 2019). Doing so can have quite significant effects on the mechanical properties of the alloy, as displayed in figure 7; fracture toughness in particular may be raised to over twice or lowered to below a third of the </w:t>
      </w:r>
      <w:r w:rsidR="00A53337">
        <w:rPr>
          <w:rFonts w:ascii="Cambria" w:hAnsi="Cambria"/>
          <w:sz w:val="24"/>
          <w:szCs w:val="24"/>
        </w:rPr>
        <w:t>values seen in nominally pure metal.</w:t>
      </w:r>
    </w:p>
    <w:p w14:paraId="15AFFED8" w14:textId="77777777" w:rsidR="00AD7E39" w:rsidRDefault="00AD7E39" w:rsidP="002135C8">
      <w:pPr>
        <w:spacing w:after="0" w:line="240" w:lineRule="auto"/>
        <w:ind w:firstLine="720"/>
        <w:jc w:val="both"/>
        <w:rPr>
          <w:rFonts w:ascii="Cambria" w:hAnsi="Cambria"/>
          <w:sz w:val="24"/>
          <w:szCs w:val="24"/>
        </w:rPr>
      </w:pPr>
    </w:p>
    <w:p w14:paraId="5B5BA707" w14:textId="77777777" w:rsidR="00A53337" w:rsidRDefault="00AD7E39" w:rsidP="00A53337">
      <w:pPr>
        <w:keepNext/>
        <w:spacing w:after="0" w:line="240" w:lineRule="auto"/>
        <w:jc w:val="both"/>
      </w:pPr>
      <w:r>
        <w:rPr>
          <w:noProof/>
        </w:rPr>
        <w:drawing>
          <wp:inline distT="0" distB="0" distL="0" distR="0" wp14:anchorId="2B959ABC" wp14:editId="631FCC52">
            <wp:extent cx="6646545" cy="3698875"/>
            <wp:effectExtent l="0" t="0" r="1905" b="0"/>
            <wp:docPr id="135925573" name="Picture 1"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25573" name="Picture 1" descr="A picture containing text, screenshot, diagram, plot&#10;&#10;Description automatically generated"/>
                    <pic:cNvPicPr/>
                  </pic:nvPicPr>
                  <pic:blipFill>
                    <a:blip r:embed="rId19"/>
                    <a:stretch>
                      <a:fillRect/>
                    </a:stretch>
                  </pic:blipFill>
                  <pic:spPr>
                    <a:xfrm>
                      <a:off x="0" y="0"/>
                      <a:ext cx="6646545" cy="3698875"/>
                    </a:xfrm>
                    <a:prstGeom prst="rect">
                      <a:avLst/>
                    </a:prstGeom>
                  </pic:spPr>
                </pic:pic>
              </a:graphicData>
            </a:graphic>
          </wp:inline>
        </w:drawing>
      </w:r>
    </w:p>
    <w:p w14:paraId="25123656" w14:textId="28CB69D8" w:rsidR="00AD7E39" w:rsidRDefault="00A53337" w:rsidP="00A53337">
      <w:pPr>
        <w:pStyle w:val="Caption"/>
        <w:jc w:val="both"/>
        <w:rPr>
          <w:rFonts w:ascii="Cambria" w:hAnsi="Cambria"/>
          <w:sz w:val="24"/>
          <w:szCs w:val="24"/>
        </w:rPr>
      </w:pPr>
      <w:r>
        <w:t xml:space="preserve">Figure </w:t>
      </w:r>
      <w:fldSimple w:instr=" SEQ Figure \* ARABIC ">
        <w:r>
          <w:rPr>
            <w:noProof/>
          </w:rPr>
          <w:t>7</w:t>
        </w:r>
      </w:fldSimple>
      <w:r>
        <w:t xml:space="preserve">: Fatigue strength and Fracture toughness of titanium alloys, generated using ANSYS </w:t>
      </w:r>
      <w:proofErr w:type="spellStart"/>
      <w:r>
        <w:t>Granta</w:t>
      </w:r>
      <w:proofErr w:type="spellEnd"/>
      <w:r>
        <w:t xml:space="preserve"> 2022</w:t>
      </w:r>
    </w:p>
    <w:p w14:paraId="476F6E82" w14:textId="4A6DE0D9" w:rsidR="00AD7E39" w:rsidRDefault="00A53337" w:rsidP="00A53337">
      <w:pPr>
        <w:spacing w:after="0" w:line="240" w:lineRule="auto"/>
        <w:ind w:firstLine="720"/>
        <w:jc w:val="both"/>
        <w:rPr>
          <w:rFonts w:ascii="Cambria" w:hAnsi="Cambria"/>
          <w:sz w:val="24"/>
          <w:szCs w:val="24"/>
        </w:rPr>
      </w:pPr>
      <w:r>
        <w:rPr>
          <w:rFonts w:ascii="Cambria" w:hAnsi="Cambria"/>
          <w:sz w:val="24"/>
          <w:szCs w:val="24"/>
        </w:rPr>
        <w:t>While this variability may not be of much concern to alloys of primary production titanium, alloys using recycled titanium, such as the powder that might be produced via the hydride-</w:t>
      </w:r>
      <w:proofErr w:type="spellStart"/>
      <w:r>
        <w:rPr>
          <w:rFonts w:ascii="Cambria" w:hAnsi="Cambria"/>
          <w:sz w:val="24"/>
          <w:szCs w:val="24"/>
        </w:rPr>
        <w:t>dehydride</w:t>
      </w:r>
      <w:proofErr w:type="spellEnd"/>
      <w:r>
        <w:rPr>
          <w:rFonts w:ascii="Cambria" w:hAnsi="Cambria"/>
          <w:sz w:val="24"/>
          <w:szCs w:val="24"/>
        </w:rPr>
        <w:t xml:space="preserve"> process, may be at risk of contamination from undesired alloying elements, or undesired proportions of elements.</w:t>
      </w:r>
      <w:r w:rsidR="00D32BC1">
        <w:rPr>
          <w:rFonts w:ascii="Cambria" w:hAnsi="Cambria"/>
          <w:sz w:val="24"/>
          <w:szCs w:val="24"/>
        </w:rPr>
        <w:t xml:space="preserve"> For parts which must meet exact tolerances like powertrain components, recycled titanium should be avoided for this reason, though it may be quite suitable for less important and non-structural uses such as exhaust covers and bodywork fasteners.</w:t>
      </w:r>
    </w:p>
    <w:p w14:paraId="674B865C" w14:textId="6C54B246" w:rsidR="00D32BC1" w:rsidRDefault="00D32BC1" w:rsidP="00A53337">
      <w:pPr>
        <w:spacing w:after="0" w:line="240" w:lineRule="auto"/>
        <w:ind w:firstLine="720"/>
        <w:jc w:val="both"/>
        <w:rPr>
          <w:rFonts w:ascii="Cambria" w:hAnsi="Cambria"/>
          <w:sz w:val="24"/>
          <w:szCs w:val="24"/>
        </w:rPr>
      </w:pPr>
      <w:r>
        <w:rPr>
          <w:rFonts w:ascii="Cambria" w:hAnsi="Cambria"/>
          <w:sz w:val="24"/>
          <w:szCs w:val="24"/>
        </w:rPr>
        <w:t xml:space="preserve">Aside from the possibility of contamination, the processes of alloying themselves must be examined too. Many titanium alloying processes rely either on powder metallurgy or atomization, the latter of which processes are used typically to generate alloy powders </w:t>
      </w:r>
      <w:r w:rsidR="00D21E0C">
        <w:rPr>
          <w:rFonts w:ascii="Cambria" w:hAnsi="Cambria"/>
          <w:sz w:val="24"/>
          <w:szCs w:val="24"/>
        </w:rPr>
        <w:t>for</w:t>
      </w:r>
      <w:r>
        <w:rPr>
          <w:rFonts w:ascii="Cambria" w:hAnsi="Cambria"/>
          <w:sz w:val="24"/>
          <w:szCs w:val="24"/>
        </w:rPr>
        <w:t xml:space="preserve"> additive manufacturin</w:t>
      </w:r>
      <w:r w:rsidR="00D21E0C">
        <w:rPr>
          <w:rFonts w:ascii="Cambria" w:hAnsi="Cambria"/>
          <w:sz w:val="24"/>
          <w:szCs w:val="24"/>
        </w:rPr>
        <w:t xml:space="preserve">g methods </w:t>
      </w:r>
      <w:r>
        <w:rPr>
          <w:rFonts w:ascii="Cambria" w:hAnsi="Cambria"/>
          <w:sz w:val="24"/>
          <w:szCs w:val="24"/>
        </w:rPr>
        <w:t>(</w:t>
      </w:r>
      <w:proofErr w:type="spellStart"/>
      <w:r>
        <w:rPr>
          <w:rFonts w:ascii="Cambria" w:hAnsi="Cambria"/>
          <w:sz w:val="24"/>
          <w:szCs w:val="24"/>
        </w:rPr>
        <w:t>Motyka</w:t>
      </w:r>
      <w:proofErr w:type="spellEnd"/>
      <w:r>
        <w:rPr>
          <w:rFonts w:ascii="Cambria" w:hAnsi="Cambria"/>
          <w:sz w:val="24"/>
          <w:szCs w:val="24"/>
        </w:rPr>
        <w:t xml:space="preserve">, </w:t>
      </w:r>
      <w:proofErr w:type="spellStart"/>
      <w:r>
        <w:rPr>
          <w:rFonts w:ascii="Cambria" w:hAnsi="Cambria"/>
          <w:sz w:val="24"/>
          <w:szCs w:val="24"/>
        </w:rPr>
        <w:t>Ziaja</w:t>
      </w:r>
      <w:proofErr w:type="spellEnd"/>
      <w:r>
        <w:rPr>
          <w:rFonts w:ascii="Cambria" w:hAnsi="Cambria"/>
          <w:sz w:val="24"/>
          <w:szCs w:val="24"/>
        </w:rPr>
        <w:t xml:space="preserve">, </w:t>
      </w:r>
      <w:proofErr w:type="spellStart"/>
      <w:r>
        <w:rPr>
          <w:rFonts w:ascii="Cambria" w:hAnsi="Cambria"/>
          <w:sz w:val="24"/>
          <w:szCs w:val="24"/>
        </w:rPr>
        <w:t>Sieniawski</w:t>
      </w:r>
      <w:proofErr w:type="spellEnd"/>
      <w:r>
        <w:rPr>
          <w:rFonts w:ascii="Cambria" w:hAnsi="Cambria"/>
          <w:sz w:val="24"/>
          <w:szCs w:val="24"/>
        </w:rPr>
        <w:t xml:space="preserve"> 2019)</w:t>
      </w:r>
      <w:r w:rsidR="00D21E0C">
        <w:rPr>
          <w:rFonts w:ascii="Cambria" w:hAnsi="Cambria"/>
          <w:sz w:val="24"/>
          <w:szCs w:val="24"/>
        </w:rPr>
        <w:t xml:space="preserve">. The more traditional powder metallurgy methods such as compaction and sintering or </w:t>
      </w:r>
      <w:proofErr w:type="spellStart"/>
      <w:r w:rsidR="00D21E0C">
        <w:rPr>
          <w:rFonts w:ascii="Cambria" w:hAnsi="Cambria"/>
          <w:sz w:val="24"/>
          <w:szCs w:val="24"/>
        </w:rPr>
        <w:t>self propagating</w:t>
      </w:r>
      <w:proofErr w:type="spellEnd"/>
      <w:r w:rsidR="00D21E0C">
        <w:rPr>
          <w:rFonts w:ascii="Cambria" w:hAnsi="Cambria"/>
          <w:sz w:val="24"/>
          <w:szCs w:val="24"/>
        </w:rPr>
        <w:t xml:space="preserve"> high temperature synthesis, while known to generate </w:t>
      </w:r>
      <w:r w:rsidR="00D21E0C">
        <w:rPr>
          <w:rFonts w:ascii="Cambria" w:hAnsi="Cambria"/>
          <w:sz w:val="24"/>
          <w:szCs w:val="24"/>
        </w:rPr>
        <w:lastRenderedPageBreak/>
        <w:t>components with low internal stresses and nearly homogeneous microstructures, nevertheless have increased risk of voids and oxides forming inside the material (</w:t>
      </w:r>
      <w:proofErr w:type="spellStart"/>
      <w:r w:rsidR="00D21E0C">
        <w:rPr>
          <w:rFonts w:ascii="Cambria" w:hAnsi="Cambria"/>
          <w:sz w:val="24"/>
          <w:szCs w:val="24"/>
        </w:rPr>
        <w:t>Motyka</w:t>
      </w:r>
      <w:proofErr w:type="spellEnd"/>
      <w:r w:rsidR="00D21E0C">
        <w:rPr>
          <w:rFonts w:ascii="Cambria" w:hAnsi="Cambria"/>
          <w:sz w:val="24"/>
          <w:szCs w:val="24"/>
        </w:rPr>
        <w:t xml:space="preserve">, </w:t>
      </w:r>
      <w:proofErr w:type="spellStart"/>
      <w:r w:rsidR="00D21E0C">
        <w:rPr>
          <w:rFonts w:ascii="Cambria" w:hAnsi="Cambria"/>
          <w:sz w:val="24"/>
          <w:szCs w:val="24"/>
        </w:rPr>
        <w:t>Ziaja</w:t>
      </w:r>
      <w:proofErr w:type="spellEnd"/>
      <w:r w:rsidR="00D21E0C">
        <w:rPr>
          <w:rFonts w:ascii="Cambria" w:hAnsi="Cambria"/>
          <w:sz w:val="24"/>
          <w:szCs w:val="24"/>
        </w:rPr>
        <w:t xml:space="preserve">, </w:t>
      </w:r>
      <w:proofErr w:type="spellStart"/>
      <w:r w:rsidR="00D21E0C">
        <w:rPr>
          <w:rFonts w:ascii="Cambria" w:hAnsi="Cambria"/>
          <w:sz w:val="24"/>
          <w:szCs w:val="24"/>
        </w:rPr>
        <w:t>Sieniawski</w:t>
      </w:r>
      <w:proofErr w:type="spellEnd"/>
      <w:r w:rsidR="00D21E0C">
        <w:rPr>
          <w:rFonts w:ascii="Cambria" w:hAnsi="Cambria"/>
          <w:sz w:val="24"/>
          <w:szCs w:val="24"/>
        </w:rPr>
        <w:t xml:space="preserve"> 2019).</w:t>
      </w:r>
    </w:p>
    <w:p w14:paraId="25407275" w14:textId="77777777" w:rsidR="00946F9C" w:rsidRDefault="00946F9C" w:rsidP="00A53337">
      <w:pPr>
        <w:spacing w:after="0" w:line="240" w:lineRule="auto"/>
        <w:ind w:firstLine="720"/>
        <w:jc w:val="both"/>
        <w:rPr>
          <w:rFonts w:ascii="Cambria" w:hAnsi="Cambria"/>
          <w:sz w:val="24"/>
          <w:szCs w:val="24"/>
        </w:rPr>
      </w:pPr>
    </w:p>
    <w:p w14:paraId="56B5BD32" w14:textId="45818BBF" w:rsidR="00946F9C" w:rsidRDefault="00946F9C" w:rsidP="00946F9C">
      <w:pPr>
        <w:pStyle w:val="Heading1"/>
      </w:pPr>
      <w:r>
        <w:t>4 Protection Methods</w:t>
      </w:r>
    </w:p>
    <w:p w14:paraId="0C605B86" w14:textId="77777777" w:rsidR="00946F9C" w:rsidRDefault="00946F9C" w:rsidP="00A53337">
      <w:pPr>
        <w:spacing w:after="0" w:line="240" w:lineRule="auto"/>
        <w:ind w:firstLine="720"/>
        <w:jc w:val="both"/>
        <w:rPr>
          <w:rFonts w:ascii="Cambria" w:hAnsi="Cambria"/>
          <w:sz w:val="24"/>
          <w:szCs w:val="24"/>
        </w:rPr>
      </w:pPr>
    </w:p>
    <w:p w14:paraId="11658385" w14:textId="3B633625" w:rsidR="00946F9C" w:rsidRDefault="00946F9C" w:rsidP="00A53337">
      <w:pPr>
        <w:spacing w:after="0" w:line="240" w:lineRule="auto"/>
        <w:ind w:firstLine="720"/>
        <w:jc w:val="both"/>
        <w:rPr>
          <w:rFonts w:ascii="Cambria" w:hAnsi="Cambria"/>
          <w:sz w:val="24"/>
          <w:szCs w:val="24"/>
        </w:rPr>
      </w:pPr>
      <w:r>
        <w:rPr>
          <w:rFonts w:ascii="Cambria" w:hAnsi="Cambria"/>
          <w:sz w:val="24"/>
          <w:szCs w:val="24"/>
        </w:rPr>
        <w:t xml:space="preserve">Because titanium so readily forms an oxide layer, coatings to resist corrosion are not typically necessary. Additionally, titanium resides fairly low in the galvanic series, and so is not generally at risk of anodic degradation from bimetallic corrosion. However, some titanium alloys can have slightly reduced resistance to ethyl </w:t>
      </w:r>
      <w:proofErr w:type="spellStart"/>
      <w:r>
        <w:rPr>
          <w:rFonts w:ascii="Cambria" w:hAnsi="Cambria"/>
          <w:sz w:val="24"/>
          <w:szCs w:val="24"/>
        </w:rPr>
        <w:t>alchohols</w:t>
      </w:r>
      <w:proofErr w:type="spellEnd"/>
      <w:r>
        <w:rPr>
          <w:rFonts w:ascii="Cambria" w:hAnsi="Cambria"/>
          <w:sz w:val="24"/>
          <w:szCs w:val="24"/>
        </w:rPr>
        <w:t>. Since these are commonly used as additives to petrol, care should be taken when using titanium alloys for engine components which may come in contact with fuel</w:t>
      </w:r>
      <w:r w:rsidR="00141DB0">
        <w:rPr>
          <w:rFonts w:ascii="Cambria" w:hAnsi="Cambria"/>
          <w:sz w:val="24"/>
          <w:szCs w:val="24"/>
        </w:rPr>
        <w:t xml:space="preserve">—while piston heads, valves, and cylinder sleeves are obvious examples, </w:t>
      </w:r>
      <w:r w:rsidR="004E7C8F">
        <w:rPr>
          <w:rFonts w:ascii="Cambria" w:hAnsi="Cambria"/>
          <w:sz w:val="24"/>
          <w:szCs w:val="24"/>
        </w:rPr>
        <w:t>crankcase components such as driveshafts and connecting rods may also come into contact with fuel via piston blow-by, especially in engines which see much use. The simplest solution to such contamination is to add neutralizers to the engine oil, though the porous finish of sintered alloys would also offer good adhesion to coatings.</w:t>
      </w:r>
      <w:r w:rsidR="006F042D">
        <w:rPr>
          <w:rFonts w:ascii="Cambria" w:hAnsi="Cambria"/>
          <w:sz w:val="24"/>
          <w:szCs w:val="24"/>
        </w:rPr>
        <w:t xml:space="preserve"> To protect against stress cracking corrosion, components such as connecting rods which see some of the highest inertial forces in an engine may be laser peened to improve their mechanical properties. Since titanium has a relatively low thermal expansion, this process is not likely to cause undue warping even in thin components.</w:t>
      </w:r>
    </w:p>
    <w:p w14:paraId="7BAA099D" w14:textId="2BA8B710" w:rsidR="004E7C8F" w:rsidRDefault="004E7C8F" w:rsidP="00A53337">
      <w:pPr>
        <w:spacing w:after="0" w:line="240" w:lineRule="auto"/>
        <w:ind w:firstLine="720"/>
        <w:jc w:val="both"/>
        <w:rPr>
          <w:rFonts w:ascii="Cambria" w:hAnsi="Cambria"/>
          <w:sz w:val="24"/>
          <w:szCs w:val="24"/>
        </w:rPr>
      </w:pPr>
      <w:r>
        <w:rPr>
          <w:rFonts w:ascii="Cambria" w:hAnsi="Cambria"/>
          <w:sz w:val="24"/>
          <w:szCs w:val="24"/>
        </w:rPr>
        <w:t>For much of the flaws which may appear in titanium and titanium alloy components, the main protection is prevention—both during the refining and manufacturing stages. The common practice in the refining stages is, as stated earlier, to use inert or vacuum environments. Since the main risk during refining is unwanted oxidation or nitriding, excluding typical atmosphere during the formative processes is the most logical solution.</w:t>
      </w:r>
      <w:r w:rsidR="0050155B">
        <w:rPr>
          <w:rFonts w:ascii="Cambria" w:hAnsi="Cambria"/>
          <w:sz w:val="24"/>
          <w:szCs w:val="24"/>
        </w:rPr>
        <w:t xml:space="preserve"> In addition to this, many of the refining processes also bind the titanium to other elements at intermediate steps—chlorine in the Kroll process and hydrogen in the hydride-</w:t>
      </w:r>
      <w:proofErr w:type="spellStart"/>
      <w:r w:rsidR="0050155B">
        <w:rPr>
          <w:rFonts w:ascii="Cambria" w:hAnsi="Cambria"/>
          <w:sz w:val="24"/>
          <w:szCs w:val="24"/>
        </w:rPr>
        <w:t>dehydride</w:t>
      </w:r>
      <w:proofErr w:type="spellEnd"/>
      <w:r w:rsidR="0050155B">
        <w:rPr>
          <w:rFonts w:ascii="Cambria" w:hAnsi="Cambria"/>
          <w:sz w:val="24"/>
          <w:szCs w:val="24"/>
        </w:rPr>
        <w:t xml:space="preserve"> process—in order to minimize the opportunity to form oxides or nitrides</w:t>
      </w:r>
      <w:r w:rsidR="006F042D">
        <w:rPr>
          <w:rFonts w:ascii="Cambria" w:hAnsi="Cambria"/>
          <w:sz w:val="24"/>
          <w:szCs w:val="24"/>
        </w:rPr>
        <w:t>. Certain ingot formation methods such as cold hearth melting may also be used to separate out alloying impurities by density</w:t>
      </w:r>
      <w:r w:rsidR="0050155B">
        <w:rPr>
          <w:rFonts w:ascii="Cambria" w:hAnsi="Cambria"/>
          <w:sz w:val="24"/>
          <w:szCs w:val="24"/>
        </w:rPr>
        <w:t xml:space="preserve"> (</w:t>
      </w:r>
      <w:proofErr w:type="spellStart"/>
      <w:r w:rsidR="0050155B">
        <w:rPr>
          <w:rFonts w:ascii="Cambria" w:hAnsi="Cambria"/>
          <w:sz w:val="24"/>
          <w:szCs w:val="24"/>
        </w:rPr>
        <w:t>Seagle</w:t>
      </w:r>
      <w:proofErr w:type="spellEnd"/>
      <w:r w:rsidR="0050155B">
        <w:rPr>
          <w:rFonts w:ascii="Cambria" w:hAnsi="Cambria"/>
          <w:sz w:val="24"/>
          <w:szCs w:val="24"/>
        </w:rPr>
        <w:t xml:space="preserve"> 2019)</w:t>
      </w:r>
      <w:r w:rsidR="006F042D">
        <w:rPr>
          <w:rFonts w:ascii="Cambria" w:hAnsi="Cambria"/>
          <w:sz w:val="24"/>
          <w:szCs w:val="24"/>
        </w:rPr>
        <w:t>.</w:t>
      </w:r>
    </w:p>
    <w:p w14:paraId="0F0CE017" w14:textId="6507111F" w:rsidR="00902433" w:rsidRDefault="00902433" w:rsidP="00A53337">
      <w:pPr>
        <w:spacing w:after="0" w:line="240" w:lineRule="auto"/>
        <w:ind w:firstLine="720"/>
        <w:jc w:val="both"/>
        <w:rPr>
          <w:rFonts w:ascii="Cambria" w:hAnsi="Cambria"/>
          <w:sz w:val="24"/>
          <w:szCs w:val="24"/>
        </w:rPr>
      </w:pPr>
      <w:r>
        <w:rPr>
          <w:rFonts w:ascii="Cambria" w:hAnsi="Cambria"/>
          <w:sz w:val="24"/>
          <w:szCs w:val="24"/>
        </w:rPr>
        <w:t>Major subsurface flaws such as voids and porosities may be detected by ultrasonic methods owing to titanium’s low mechanical loss coefficient. In pure titanium, cracks and other surface flaws may be found with eddy current testing</w:t>
      </w:r>
      <w:r w:rsidR="0060677B">
        <w:rPr>
          <w:rFonts w:ascii="Cambria" w:hAnsi="Cambria"/>
          <w:sz w:val="24"/>
          <w:szCs w:val="24"/>
        </w:rPr>
        <w:t>, though this technique may be less effective on titanium alloys which are generally less conductive. Depending on the component, tolerances for cracks and subsurface flaws may differ. While cracks may be combatted by surface treatments such as peening, subsurface flaws cannot easily be repaired once identified—therefore detection should ideally be carried out at intermediate steps in the manufacturing process in order to avoid the expenditure of time and energy on an internally flawed component which will fail final inspection.</w:t>
      </w:r>
    </w:p>
    <w:p w14:paraId="461F47EC" w14:textId="77777777" w:rsidR="0060677B" w:rsidRDefault="0060677B" w:rsidP="00A53337">
      <w:pPr>
        <w:spacing w:after="0" w:line="240" w:lineRule="auto"/>
        <w:ind w:firstLine="720"/>
        <w:jc w:val="both"/>
        <w:rPr>
          <w:rFonts w:ascii="Cambria" w:hAnsi="Cambria"/>
          <w:sz w:val="24"/>
          <w:szCs w:val="24"/>
        </w:rPr>
      </w:pPr>
    </w:p>
    <w:p w14:paraId="436B8BD5" w14:textId="6911DB4D" w:rsidR="0060677B" w:rsidRDefault="0060677B" w:rsidP="0060677B">
      <w:pPr>
        <w:pStyle w:val="Heading1"/>
      </w:pPr>
      <w:r>
        <w:t>5 Conclusion</w:t>
      </w:r>
    </w:p>
    <w:p w14:paraId="26005521" w14:textId="77777777" w:rsidR="0060677B" w:rsidRDefault="0060677B" w:rsidP="00A53337">
      <w:pPr>
        <w:spacing w:after="0" w:line="240" w:lineRule="auto"/>
        <w:ind w:firstLine="720"/>
        <w:jc w:val="both"/>
        <w:rPr>
          <w:rFonts w:ascii="Cambria" w:hAnsi="Cambria"/>
          <w:sz w:val="24"/>
          <w:szCs w:val="24"/>
        </w:rPr>
      </w:pPr>
    </w:p>
    <w:p w14:paraId="148415CB" w14:textId="4658A2C5" w:rsidR="0060677B" w:rsidRDefault="0060677B" w:rsidP="00A53337">
      <w:pPr>
        <w:spacing w:after="0" w:line="240" w:lineRule="auto"/>
        <w:ind w:firstLine="720"/>
        <w:jc w:val="both"/>
        <w:rPr>
          <w:rFonts w:ascii="Cambria" w:hAnsi="Cambria"/>
          <w:sz w:val="24"/>
          <w:szCs w:val="24"/>
        </w:rPr>
      </w:pPr>
      <w:r>
        <w:rPr>
          <w:rFonts w:ascii="Cambria" w:hAnsi="Cambria"/>
          <w:sz w:val="24"/>
          <w:szCs w:val="24"/>
        </w:rPr>
        <w:t>Titanium and titanium alloys offer roughly equivalent performance of common steels at close to half the weight, and are naturally highly corrosion resistant,</w:t>
      </w:r>
      <w:r w:rsidR="00451573">
        <w:rPr>
          <w:rFonts w:ascii="Cambria" w:hAnsi="Cambria"/>
          <w:sz w:val="24"/>
          <w:szCs w:val="24"/>
        </w:rPr>
        <w:t xml:space="preserve"> making them ideal for automotive </w:t>
      </w:r>
      <w:r w:rsidR="00451573">
        <w:rPr>
          <w:rFonts w:ascii="Cambria" w:hAnsi="Cambria"/>
          <w:sz w:val="24"/>
          <w:szCs w:val="24"/>
        </w:rPr>
        <w:lastRenderedPageBreak/>
        <w:t>applications where both weight and environmental resistance are important design factors. However, the high cost of titanium refining as well as its poor machinability impose fierce economic disincentives to its widespread use. Because of its high reactivity with atmosphere, special care must be taken during the processing of titanium to ensure that unwanted oxidation or nitriding does not take place—this usually occurs in the form of inert or vacuum environments during refining and ingot formation. Additionally, since many titanium alloys result from powder metallurgy, either via traditional sintering processes or more recently additive manufacturing methods, titanium components are at a higher risk of developing voids and porosities that can negatively effect component performance. The low thermal conductivity of titanium makes it well suited to welding processes by effectively reducing the size of the heat affected zone, but may also result in incomplete fusion in tight spaces where the welding apparatus may not be able to properly reach. Fortunately, titanium’s acoustic properties make it a good match for ultrasonic flaw detection and in the case of nominally pure titanium, eddy current testing may also be used to find surface cracks before they have an opportunity to cause larger problems.</w:t>
      </w:r>
    </w:p>
    <w:p w14:paraId="0434077B" w14:textId="098D1A89" w:rsidR="00E47BAD" w:rsidRDefault="00E47BAD" w:rsidP="00A53337">
      <w:pPr>
        <w:spacing w:after="0" w:line="240" w:lineRule="auto"/>
        <w:ind w:firstLine="720"/>
        <w:jc w:val="both"/>
        <w:rPr>
          <w:rFonts w:ascii="Cambria" w:hAnsi="Cambria"/>
          <w:sz w:val="24"/>
          <w:szCs w:val="24"/>
        </w:rPr>
      </w:pPr>
      <w:r>
        <w:rPr>
          <w:rFonts w:ascii="Cambria" w:hAnsi="Cambria"/>
          <w:sz w:val="24"/>
          <w:szCs w:val="24"/>
        </w:rPr>
        <w:t>The potential for great gains in both weight reduction and parasitic loss reduction in automotive applications is present in titanium components, though likely will remain restricted to performance markets due to the high cost. In component fabrication, great care should be taken to properly source titanium feedstock in order to minimize unwanted oxides, nitrides, and alloying additions that may have been introduced in the refining process, and welding and additive manufacturing methods should be properly shielded from atmosphere to avoid the introduction of impurities during fusion. Flaw detection techniques should ideally be performed between key manufacturing steps in order to catch potential subsurface voids and porosities which may result in premature parts failure, while surface treatments such as shot or laser peening may be used to reduce the risk of cracks.</w:t>
      </w:r>
    </w:p>
    <w:p w14:paraId="6607458E" w14:textId="0C80CB77" w:rsidR="00E14A5A" w:rsidRPr="00081488" w:rsidRDefault="00E14A5A" w:rsidP="00081488">
      <w:pPr>
        <w:pStyle w:val="Heading2"/>
      </w:pPr>
      <w:r>
        <w:t>References</w:t>
      </w:r>
    </w:p>
    <w:p w14:paraId="312D5701" w14:textId="77777777" w:rsidR="005226F5" w:rsidRPr="005226F5" w:rsidRDefault="005226F5" w:rsidP="00372C5F">
      <w:pPr>
        <w:spacing w:after="0" w:line="240" w:lineRule="auto"/>
        <w:rPr>
          <w:rFonts w:ascii="Cambria" w:hAnsi="Cambria"/>
          <w:sz w:val="24"/>
          <w:szCs w:val="24"/>
        </w:rPr>
      </w:pPr>
    </w:p>
    <w:p w14:paraId="3D3757FB" w14:textId="0BEDBFFB" w:rsidR="004673B6" w:rsidRDefault="004673B6" w:rsidP="004673B6">
      <w:pPr>
        <w:spacing w:after="0" w:line="240" w:lineRule="auto"/>
        <w:ind w:left="360" w:hanging="360"/>
        <w:rPr>
          <w:rFonts w:ascii="Cambria" w:hAnsi="Cambria"/>
          <w:sz w:val="24"/>
          <w:szCs w:val="24"/>
        </w:rPr>
      </w:pPr>
      <w:proofErr w:type="spellStart"/>
      <w:r w:rsidRPr="004673B6">
        <w:rPr>
          <w:rFonts w:ascii="Cambria" w:hAnsi="Cambria"/>
          <w:sz w:val="24"/>
          <w:szCs w:val="24"/>
        </w:rPr>
        <w:t>Motyka</w:t>
      </w:r>
      <w:proofErr w:type="spellEnd"/>
      <w:r w:rsidRPr="004673B6">
        <w:rPr>
          <w:rFonts w:ascii="Cambria" w:hAnsi="Cambria"/>
          <w:sz w:val="24"/>
          <w:szCs w:val="24"/>
        </w:rPr>
        <w:t xml:space="preserve">, M., </w:t>
      </w:r>
      <w:proofErr w:type="spellStart"/>
      <w:r w:rsidRPr="004673B6">
        <w:rPr>
          <w:rFonts w:ascii="Cambria" w:hAnsi="Cambria"/>
          <w:sz w:val="24"/>
          <w:szCs w:val="24"/>
        </w:rPr>
        <w:t>Ziaja</w:t>
      </w:r>
      <w:proofErr w:type="spellEnd"/>
      <w:r w:rsidRPr="004673B6">
        <w:rPr>
          <w:rFonts w:ascii="Cambria" w:hAnsi="Cambria"/>
          <w:sz w:val="24"/>
          <w:szCs w:val="24"/>
        </w:rPr>
        <w:t xml:space="preserve">, W. and </w:t>
      </w:r>
      <w:proofErr w:type="spellStart"/>
      <w:r w:rsidRPr="004673B6">
        <w:rPr>
          <w:rFonts w:ascii="Cambria" w:hAnsi="Cambria"/>
          <w:sz w:val="24"/>
          <w:szCs w:val="24"/>
        </w:rPr>
        <w:t>Sieniawski</w:t>
      </w:r>
      <w:proofErr w:type="spellEnd"/>
      <w:r w:rsidRPr="004673B6">
        <w:rPr>
          <w:rFonts w:ascii="Cambria" w:hAnsi="Cambria"/>
          <w:sz w:val="24"/>
          <w:szCs w:val="24"/>
        </w:rPr>
        <w:t xml:space="preserve">, J. (2019) Titanium Alloys : Novel Aspects of Their Manufacturing and Processing. Edited by M. </w:t>
      </w:r>
      <w:proofErr w:type="spellStart"/>
      <w:r w:rsidRPr="004673B6">
        <w:rPr>
          <w:rFonts w:ascii="Cambria" w:hAnsi="Cambria"/>
          <w:sz w:val="24"/>
          <w:szCs w:val="24"/>
        </w:rPr>
        <w:t>Motyka</w:t>
      </w:r>
      <w:proofErr w:type="spellEnd"/>
      <w:r w:rsidRPr="004673B6">
        <w:rPr>
          <w:rFonts w:ascii="Cambria" w:hAnsi="Cambria"/>
          <w:sz w:val="24"/>
          <w:szCs w:val="24"/>
        </w:rPr>
        <w:t xml:space="preserve">, W. </w:t>
      </w:r>
      <w:proofErr w:type="spellStart"/>
      <w:r w:rsidRPr="004673B6">
        <w:rPr>
          <w:rFonts w:ascii="Cambria" w:hAnsi="Cambria"/>
          <w:sz w:val="24"/>
          <w:szCs w:val="24"/>
        </w:rPr>
        <w:t>Ziaja</w:t>
      </w:r>
      <w:proofErr w:type="spellEnd"/>
      <w:r w:rsidRPr="004673B6">
        <w:rPr>
          <w:rFonts w:ascii="Cambria" w:hAnsi="Cambria"/>
          <w:sz w:val="24"/>
          <w:szCs w:val="24"/>
        </w:rPr>
        <w:t xml:space="preserve">, and J. </w:t>
      </w:r>
      <w:proofErr w:type="spellStart"/>
      <w:r w:rsidRPr="004673B6">
        <w:rPr>
          <w:rFonts w:ascii="Cambria" w:hAnsi="Cambria"/>
          <w:sz w:val="24"/>
          <w:szCs w:val="24"/>
        </w:rPr>
        <w:t>Sieniawski</w:t>
      </w:r>
      <w:proofErr w:type="spellEnd"/>
      <w:r w:rsidRPr="004673B6">
        <w:rPr>
          <w:rFonts w:ascii="Cambria" w:hAnsi="Cambria"/>
          <w:sz w:val="24"/>
          <w:szCs w:val="24"/>
        </w:rPr>
        <w:t xml:space="preserve">. London, United Kingdom: </w:t>
      </w:r>
      <w:proofErr w:type="spellStart"/>
      <w:r w:rsidRPr="004673B6">
        <w:rPr>
          <w:rFonts w:ascii="Cambria" w:hAnsi="Cambria"/>
          <w:sz w:val="24"/>
          <w:szCs w:val="24"/>
        </w:rPr>
        <w:t>IntechOpen</w:t>
      </w:r>
      <w:proofErr w:type="spellEnd"/>
      <w:r w:rsidRPr="004673B6">
        <w:rPr>
          <w:rFonts w:ascii="Cambria" w:hAnsi="Cambria"/>
          <w:sz w:val="24"/>
          <w:szCs w:val="24"/>
        </w:rPr>
        <w:t>.</w:t>
      </w:r>
    </w:p>
    <w:p w14:paraId="779DC293" w14:textId="77777777" w:rsidR="00074478" w:rsidRDefault="00074478" w:rsidP="004673B6">
      <w:pPr>
        <w:spacing w:after="0" w:line="240" w:lineRule="auto"/>
        <w:ind w:left="360" w:hanging="360"/>
        <w:rPr>
          <w:rFonts w:ascii="Cambria" w:hAnsi="Cambria"/>
          <w:sz w:val="24"/>
          <w:szCs w:val="24"/>
        </w:rPr>
      </w:pPr>
    </w:p>
    <w:p w14:paraId="10654599" w14:textId="75704B82" w:rsidR="00074478" w:rsidRDefault="00074478" w:rsidP="00074478">
      <w:pPr>
        <w:spacing w:after="0" w:line="240" w:lineRule="auto"/>
        <w:ind w:left="360" w:hanging="360"/>
        <w:rPr>
          <w:rFonts w:ascii="Cambria" w:hAnsi="Cambria"/>
          <w:sz w:val="24"/>
          <w:szCs w:val="24"/>
        </w:rPr>
      </w:pPr>
      <w:proofErr w:type="spellStart"/>
      <w:r w:rsidRPr="004673B6">
        <w:rPr>
          <w:rFonts w:ascii="Cambria" w:hAnsi="Cambria"/>
          <w:sz w:val="24"/>
          <w:szCs w:val="24"/>
        </w:rPr>
        <w:t>Nyamekye</w:t>
      </w:r>
      <w:proofErr w:type="spellEnd"/>
      <w:r w:rsidRPr="004673B6">
        <w:rPr>
          <w:rFonts w:ascii="Cambria" w:hAnsi="Cambria"/>
          <w:sz w:val="24"/>
          <w:szCs w:val="24"/>
        </w:rPr>
        <w:t xml:space="preserve"> </w:t>
      </w:r>
      <w:r w:rsidR="00CF1C11">
        <w:rPr>
          <w:rFonts w:ascii="Cambria" w:hAnsi="Cambria"/>
          <w:sz w:val="24"/>
          <w:szCs w:val="24"/>
        </w:rPr>
        <w:t xml:space="preserve">P. </w:t>
      </w:r>
      <w:r w:rsidRPr="004673B6">
        <w:rPr>
          <w:rFonts w:ascii="Cambria" w:hAnsi="Cambria"/>
          <w:sz w:val="24"/>
          <w:szCs w:val="24"/>
        </w:rPr>
        <w:t xml:space="preserve">et al. (2023) ‘Impact of additive manufacturing on titanium supply chain: Case of titanium alloys in automotive and aerospace industries’, Advances in Industrial and Manufacturing Engineering, 6, p. 100112–. Available at: </w:t>
      </w:r>
      <w:r w:rsidRPr="002568AF">
        <w:rPr>
          <w:rFonts w:ascii="Cambria" w:hAnsi="Cambria"/>
          <w:sz w:val="24"/>
          <w:szCs w:val="24"/>
        </w:rPr>
        <w:t>https://doi.org/10.1016/j.aime.2023.100112</w:t>
      </w:r>
      <w:r w:rsidRPr="004673B6">
        <w:rPr>
          <w:rFonts w:ascii="Cambria" w:hAnsi="Cambria"/>
          <w:sz w:val="24"/>
          <w:szCs w:val="24"/>
        </w:rPr>
        <w:t>.</w:t>
      </w:r>
    </w:p>
    <w:p w14:paraId="129B3E75" w14:textId="77777777" w:rsidR="004673B6" w:rsidRDefault="004673B6" w:rsidP="004673B6">
      <w:pPr>
        <w:spacing w:after="0" w:line="240" w:lineRule="auto"/>
        <w:ind w:left="360" w:hanging="360"/>
        <w:rPr>
          <w:rFonts w:ascii="Cambria" w:hAnsi="Cambria"/>
          <w:sz w:val="24"/>
          <w:szCs w:val="24"/>
        </w:rPr>
      </w:pPr>
    </w:p>
    <w:p w14:paraId="2412D4E9" w14:textId="7BA06E94" w:rsidR="00074478" w:rsidRDefault="00074478" w:rsidP="00074478">
      <w:pPr>
        <w:spacing w:after="0" w:line="240" w:lineRule="auto"/>
        <w:ind w:left="360" w:hanging="360"/>
        <w:rPr>
          <w:rFonts w:ascii="Cambria" w:hAnsi="Cambria"/>
          <w:sz w:val="24"/>
          <w:szCs w:val="24"/>
        </w:rPr>
      </w:pPr>
      <w:proofErr w:type="spellStart"/>
      <w:r w:rsidRPr="004673B6">
        <w:rPr>
          <w:rFonts w:ascii="Cambria" w:hAnsi="Cambria"/>
          <w:sz w:val="24"/>
          <w:szCs w:val="24"/>
        </w:rPr>
        <w:t>Seagle</w:t>
      </w:r>
      <w:proofErr w:type="spellEnd"/>
      <w:r w:rsidRPr="004673B6">
        <w:rPr>
          <w:rFonts w:ascii="Cambria" w:hAnsi="Cambria"/>
          <w:sz w:val="24"/>
          <w:szCs w:val="24"/>
        </w:rPr>
        <w:t xml:space="preserve">, S. R. (2019) </w:t>
      </w:r>
      <w:r w:rsidRPr="00074478">
        <w:rPr>
          <w:rFonts w:ascii="Cambria" w:hAnsi="Cambria"/>
          <w:i/>
          <w:iCs/>
          <w:sz w:val="24"/>
          <w:szCs w:val="24"/>
        </w:rPr>
        <w:t>T</w:t>
      </w:r>
      <w:r w:rsidRPr="00074478">
        <w:rPr>
          <w:rFonts w:ascii="Cambria" w:hAnsi="Cambria"/>
          <w:i/>
          <w:iCs/>
          <w:sz w:val="24"/>
          <w:szCs w:val="24"/>
        </w:rPr>
        <w:t>itanium processing</w:t>
      </w:r>
      <w:r w:rsidRPr="004673B6">
        <w:rPr>
          <w:rFonts w:ascii="Cambria" w:hAnsi="Cambria"/>
          <w:sz w:val="24"/>
          <w:szCs w:val="24"/>
        </w:rPr>
        <w:t>. Encyclopedia Britannica.</w:t>
      </w:r>
      <w:r>
        <w:rPr>
          <w:rFonts w:ascii="Cambria" w:hAnsi="Cambria"/>
          <w:sz w:val="24"/>
          <w:szCs w:val="24"/>
        </w:rPr>
        <w:t xml:space="preserve"> </w:t>
      </w:r>
      <w:r w:rsidRPr="002568AF">
        <w:rPr>
          <w:rFonts w:ascii="Cambria" w:hAnsi="Cambria"/>
          <w:sz w:val="24"/>
          <w:szCs w:val="24"/>
        </w:rPr>
        <w:t>https://www.britannica.com/technology/titanium-processing</w:t>
      </w:r>
      <w:r>
        <w:rPr>
          <w:rFonts w:ascii="Cambria" w:hAnsi="Cambria"/>
          <w:sz w:val="24"/>
          <w:szCs w:val="24"/>
        </w:rPr>
        <w:t xml:space="preserve"> (Accessed 24 Apr 2023)</w:t>
      </w:r>
    </w:p>
    <w:p w14:paraId="561EBF0B" w14:textId="77777777" w:rsidR="004673B6" w:rsidRDefault="004673B6" w:rsidP="004673B6">
      <w:pPr>
        <w:spacing w:after="0" w:line="240" w:lineRule="auto"/>
        <w:ind w:left="360" w:hanging="360"/>
        <w:rPr>
          <w:rFonts w:ascii="Cambria" w:hAnsi="Cambria"/>
          <w:sz w:val="24"/>
          <w:szCs w:val="24"/>
        </w:rPr>
      </w:pPr>
    </w:p>
    <w:p w14:paraId="2B986A12" w14:textId="5260C066" w:rsidR="004673B6" w:rsidRDefault="004673B6" w:rsidP="004673B6">
      <w:pPr>
        <w:spacing w:after="0" w:line="240" w:lineRule="auto"/>
        <w:ind w:left="360" w:hanging="360"/>
        <w:rPr>
          <w:rFonts w:ascii="Cambria" w:hAnsi="Cambria"/>
          <w:sz w:val="24"/>
          <w:szCs w:val="24"/>
        </w:rPr>
      </w:pPr>
      <w:r w:rsidRPr="004673B6">
        <w:rPr>
          <w:rFonts w:ascii="Cambria" w:hAnsi="Cambria"/>
          <w:sz w:val="24"/>
          <w:szCs w:val="24"/>
        </w:rPr>
        <w:t xml:space="preserve">Tang, B., Shen, Y. and An, Q. (2018) ‘Shear‐induced brittle failure of titanium carbide from quantum mechanics simulations’, Journal of the American Ceramic Society, 101(9), pp. 4184–4192. Available at: </w:t>
      </w:r>
      <w:r w:rsidRPr="002568AF">
        <w:rPr>
          <w:rFonts w:ascii="Cambria" w:hAnsi="Cambria"/>
          <w:sz w:val="24"/>
          <w:szCs w:val="24"/>
        </w:rPr>
        <w:t>https://doi.org/10.1111/jace.15577</w:t>
      </w:r>
      <w:r w:rsidRPr="004673B6">
        <w:rPr>
          <w:rFonts w:ascii="Cambria" w:hAnsi="Cambria"/>
          <w:sz w:val="24"/>
          <w:szCs w:val="24"/>
        </w:rPr>
        <w:t>.</w:t>
      </w:r>
    </w:p>
    <w:p w14:paraId="48C0E876" w14:textId="77777777" w:rsidR="004673B6" w:rsidRDefault="004673B6" w:rsidP="004673B6">
      <w:pPr>
        <w:spacing w:after="0" w:line="240" w:lineRule="auto"/>
        <w:ind w:left="360" w:hanging="360"/>
        <w:rPr>
          <w:rFonts w:ascii="Cambria" w:hAnsi="Cambria"/>
          <w:sz w:val="24"/>
          <w:szCs w:val="24"/>
        </w:rPr>
      </w:pPr>
    </w:p>
    <w:p w14:paraId="797518C1" w14:textId="740BF2C7" w:rsidR="005B01F9" w:rsidRPr="00837329" w:rsidRDefault="00074478" w:rsidP="00074478">
      <w:pPr>
        <w:spacing w:after="0" w:line="240" w:lineRule="auto"/>
        <w:ind w:left="360" w:hanging="360"/>
        <w:rPr>
          <w:rFonts w:ascii="Cambria" w:hAnsi="Cambria"/>
          <w:sz w:val="24"/>
          <w:szCs w:val="24"/>
        </w:rPr>
      </w:pPr>
      <w:r w:rsidRPr="004673B6">
        <w:rPr>
          <w:rFonts w:ascii="Cambria" w:hAnsi="Cambria"/>
          <w:sz w:val="24"/>
          <w:szCs w:val="24"/>
        </w:rPr>
        <w:t xml:space="preserve">Woodruff, L.G., </w:t>
      </w:r>
      <w:proofErr w:type="spellStart"/>
      <w:r w:rsidRPr="004673B6">
        <w:rPr>
          <w:rFonts w:ascii="Cambria" w:hAnsi="Cambria"/>
          <w:sz w:val="24"/>
          <w:szCs w:val="24"/>
        </w:rPr>
        <w:t>Bedinger</w:t>
      </w:r>
      <w:proofErr w:type="spellEnd"/>
      <w:r w:rsidRPr="004673B6">
        <w:rPr>
          <w:rFonts w:ascii="Cambria" w:hAnsi="Cambria"/>
          <w:sz w:val="24"/>
          <w:szCs w:val="24"/>
        </w:rPr>
        <w:t xml:space="preserve">, G.M., and </w:t>
      </w:r>
      <w:proofErr w:type="spellStart"/>
      <w:r w:rsidRPr="004673B6">
        <w:rPr>
          <w:rFonts w:ascii="Cambria" w:hAnsi="Cambria"/>
          <w:sz w:val="24"/>
          <w:szCs w:val="24"/>
        </w:rPr>
        <w:t>Piatak</w:t>
      </w:r>
      <w:proofErr w:type="spellEnd"/>
      <w:r w:rsidRPr="004673B6">
        <w:rPr>
          <w:rFonts w:ascii="Cambria" w:hAnsi="Cambria"/>
          <w:sz w:val="24"/>
          <w:szCs w:val="24"/>
        </w:rPr>
        <w:t xml:space="preserve">, N.M. </w:t>
      </w:r>
      <w:r>
        <w:rPr>
          <w:rFonts w:ascii="Cambria" w:hAnsi="Cambria"/>
          <w:sz w:val="24"/>
          <w:szCs w:val="24"/>
        </w:rPr>
        <w:t>(</w:t>
      </w:r>
      <w:r w:rsidRPr="004673B6">
        <w:rPr>
          <w:rFonts w:ascii="Cambria" w:hAnsi="Cambria"/>
          <w:sz w:val="24"/>
          <w:szCs w:val="24"/>
        </w:rPr>
        <w:t>2017</w:t>
      </w:r>
      <w:r>
        <w:rPr>
          <w:rFonts w:ascii="Cambria" w:hAnsi="Cambria"/>
          <w:sz w:val="24"/>
          <w:szCs w:val="24"/>
        </w:rPr>
        <w:t>)</w:t>
      </w:r>
      <w:r w:rsidRPr="004673B6">
        <w:rPr>
          <w:rFonts w:ascii="Cambria" w:hAnsi="Cambria"/>
          <w:sz w:val="24"/>
          <w:szCs w:val="24"/>
        </w:rPr>
        <w:t xml:space="preserve"> </w:t>
      </w:r>
      <w:r>
        <w:rPr>
          <w:rFonts w:ascii="Cambria" w:hAnsi="Cambria"/>
          <w:sz w:val="24"/>
          <w:szCs w:val="24"/>
        </w:rPr>
        <w:t>‘</w:t>
      </w:r>
      <w:r w:rsidRPr="004673B6">
        <w:rPr>
          <w:rFonts w:ascii="Cambria" w:hAnsi="Cambria"/>
          <w:sz w:val="24"/>
          <w:szCs w:val="24"/>
        </w:rPr>
        <w:t>Titanium</w:t>
      </w:r>
      <w:r>
        <w:rPr>
          <w:rFonts w:ascii="Cambria" w:hAnsi="Cambria"/>
          <w:sz w:val="24"/>
          <w:szCs w:val="24"/>
        </w:rPr>
        <w:t>’</w:t>
      </w:r>
      <w:r w:rsidRPr="004673B6">
        <w:rPr>
          <w:rFonts w:ascii="Cambria" w:hAnsi="Cambria"/>
          <w:sz w:val="24"/>
          <w:szCs w:val="24"/>
        </w:rPr>
        <w:t xml:space="preserve">, chap. T of Schulz, K.J., DeYoung, J.H., Jr., Seal, R.R., II, and Bradley, D.C., eds., </w:t>
      </w:r>
      <w:r>
        <w:rPr>
          <w:rFonts w:ascii="Cambria" w:hAnsi="Cambria"/>
          <w:sz w:val="24"/>
          <w:szCs w:val="24"/>
        </w:rPr>
        <w:t>‘</w:t>
      </w:r>
      <w:r w:rsidRPr="004673B6">
        <w:rPr>
          <w:rFonts w:ascii="Cambria" w:hAnsi="Cambria"/>
          <w:sz w:val="24"/>
          <w:szCs w:val="24"/>
        </w:rPr>
        <w:t xml:space="preserve">Critical mineral resources of the United States—Economic </w:t>
      </w:r>
      <w:r w:rsidRPr="004673B6">
        <w:rPr>
          <w:rFonts w:ascii="Cambria" w:hAnsi="Cambria"/>
          <w:sz w:val="24"/>
          <w:szCs w:val="24"/>
        </w:rPr>
        <w:lastRenderedPageBreak/>
        <w:t>and environmental geology and prospects for future supply: U.S. Geological Survey Professional Paper 1802</w:t>
      </w:r>
      <w:r>
        <w:rPr>
          <w:rFonts w:ascii="Cambria" w:hAnsi="Cambria"/>
          <w:sz w:val="24"/>
          <w:szCs w:val="24"/>
        </w:rPr>
        <w:t>’</w:t>
      </w:r>
      <w:r w:rsidRPr="004673B6">
        <w:rPr>
          <w:rFonts w:ascii="Cambria" w:hAnsi="Cambria"/>
          <w:sz w:val="24"/>
          <w:szCs w:val="24"/>
        </w:rPr>
        <w:t xml:space="preserve">, p. T1–T23, </w:t>
      </w:r>
      <w:r w:rsidRPr="002568AF">
        <w:rPr>
          <w:rFonts w:ascii="Cambria" w:hAnsi="Cambria"/>
          <w:sz w:val="24"/>
          <w:szCs w:val="24"/>
        </w:rPr>
        <w:t>https://doi.org/10.3133/pp1802T</w:t>
      </w:r>
      <w:r w:rsidRPr="004673B6">
        <w:rPr>
          <w:rFonts w:ascii="Cambria" w:hAnsi="Cambria"/>
          <w:sz w:val="24"/>
          <w:szCs w:val="24"/>
        </w:rPr>
        <w:t>.</w:t>
      </w:r>
    </w:p>
    <w:sectPr w:rsidR="005B01F9" w:rsidRPr="00837329" w:rsidSect="00CA6DBA">
      <w:headerReference w:type="default" r:id="rId20"/>
      <w:type w:val="continuous"/>
      <w:pgSz w:w="11907" w:h="16840"/>
      <w:pgMar w:top="720" w:right="720" w:bottom="720" w:left="720" w:header="720" w:footer="720" w:gutter="0"/>
      <w:cols w:space="432"/>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13FD6" w14:textId="77777777" w:rsidR="009F338F" w:rsidRDefault="009F338F">
      <w:pPr>
        <w:spacing w:after="0" w:line="240" w:lineRule="auto"/>
      </w:pPr>
      <w:r>
        <w:separator/>
      </w:r>
    </w:p>
  </w:endnote>
  <w:endnote w:type="continuationSeparator" w:id="0">
    <w:p w14:paraId="04AE7E47" w14:textId="77777777" w:rsidR="009F338F" w:rsidRDefault="009F3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BatangChe">
    <w:altName w:val="Malgun Gothic Semilight"/>
    <w:charset w:val="81"/>
    <w:family w:val="modern"/>
    <w:pitch w:val="fixed"/>
    <w:sig w:usb0="B00002AF" w:usb1="69D77CFB" w:usb2="00000030" w:usb3="00000000" w:csb0="0008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D1CAA" w14:textId="03018DC7" w:rsidR="00405DB3" w:rsidRDefault="00F6591B" w:rsidP="00405DB3">
    <w:pPr>
      <w:pStyle w:val="Footer"/>
      <w:rPr>
        <w:rFonts w:ascii="Cambria" w:hAnsi="Cambria" w:cs="Cambria"/>
        <w:b/>
        <w:bCs/>
        <w:color w:val="585858"/>
      </w:rPr>
    </w:pPr>
    <w:r>
      <w:rPr>
        <w:rFonts w:ascii="Cambria" w:hAnsi="Cambria" w:cs="Cambria"/>
        <w:b/>
        <w:bCs/>
        <w:noProof/>
        <w:color w:val="585858"/>
        <w:lang w:val="en-GB" w:eastAsia="en-GB"/>
      </w:rPr>
      <mc:AlternateContent>
        <mc:Choice Requires="wps">
          <w:drawing>
            <wp:anchor distT="0" distB="0" distL="114300" distR="114300" simplePos="0" relativeHeight="251659776" behindDoc="0" locked="0" layoutInCell="1" allowOverlap="1" wp14:anchorId="4FBA3D2B" wp14:editId="68403A18">
              <wp:simplePos x="0" y="0"/>
              <wp:positionH relativeFrom="column">
                <wp:posOffset>5715</wp:posOffset>
              </wp:positionH>
              <wp:positionV relativeFrom="paragraph">
                <wp:posOffset>67310</wp:posOffset>
              </wp:positionV>
              <wp:extent cx="6685280" cy="0"/>
              <wp:effectExtent l="5715" t="8890" r="5080" b="6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7788DE5" id="_x0000_t32" coordsize="21600,21600" o:spt="32" o:oned="t" path="m,l21600,21600e" filled="f">
              <v:path arrowok="t" fillok="f" o:connecttype="none"/>
              <o:lock v:ext="edit" shapetype="t"/>
            </v:shapetype>
            <v:shape id="AutoShape 1" o:spid="_x0000_s1026" type="#_x0000_t32" style="position:absolute;margin-left:.45pt;margin-top:5.3pt;width:526.4pt;height:0;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" strokecolor="gray"/>
          </w:pict>
        </mc:Fallback>
      </mc:AlternateContent>
    </w:r>
    <w:r>
      <w:rPr>
        <w:rFonts w:ascii="Cambria" w:hAnsi="Cambria" w:cs="Cambria"/>
        <w:b/>
        <w:bCs/>
        <w:noProof/>
        <w:color w:val="585858"/>
        <w:lang w:val="en-GB" w:eastAsia="en-GB"/>
      </w:rPr>
      <mc:AlternateContent>
        <mc:Choice Requires="wps">
          <w:drawing>
            <wp:anchor distT="0" distB="0" distL="114300" distR="114300" simplePos="0" relativeHeight="251658752" behindDoc="0" locked="0" layoutInCell="1" allowOverlap="1" wp14:anchorId="36C9786F" wp14:editId="427B9E20">
              <wp:simplePos x="0" y="0"/>
              <wp:positionH relativeFrom="column">
                <wp:posOffset>5715</wp:posOffset>
              </wp:positionH>
              <wp:positionV relativeFrom="paragraph">
                <wp:posOffset>99060</wp:posOffset>
              </wp:positionV>
              <wp:extent cx="6685280" cy="0"/>
              <wp:effectExtent l="5715" t="2540" r="5080" b="6985"/>
              <wp:wrapNone/>
              <wp:docPr id="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A4664E" id="AutoShape 1" o:spid="_x0000_s1026" type="#_x0000_t32" style="position:absolute;margin-left:.45pt;margin-top:7.8pt;width:526.4pt;height: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" strokecolor="gray"/>
          </w:pict>
        </mc:Fallback>
      </mc:AlternateContent>
    </w:r>
  </w:p>
  <w:p w14:paraId="27017602" w14:textId="77777777" w:rsidR="00443E0C" w:rsidRPr="00AA4767" w:rsidRDefault="00405DB3" w:rsidP="00405DB3">
    <w:pPr>
      <w:pStyle w:val="Footer"/>
      <w:rPr>
        <w:rFonts w:ascii="Cambria" w:hAnsi="Cambria"/>
        <w:sz w:val="20"/>
      </w:rPr>
    </w:pPr>
    <w:r w:rsidRPr="00AA4767">
      <w:rPr>
        <w:rFonts w:ascii="Cambria" w:hAnsi="Cambria" w:cs="Cambria"/>
        <w:b/>
        <w:bCs/>
        <w:color w:val="585858"/>
        <w:sz w:val="20"/>
      </w:rPr>
      <w:t>©</w:t>
    </w:r>
    <w:r w:rsidRPr="00AA4767">
      <w:rPr>
        <w:rFonts w:ascii="Cambria" w:hAnsi="Cambria" w:cs="Cambria"/>
        <w:b/>
        <w:bCs/>
        <w:color w:val="585858"/>
        <w:spacing w:val="1"/>
        <w:sz w:val="20"/>
      </w:rPr>
      <w:t xml:space="preserve"> 20</w:t>
    </w:r>
    <w:r w:rsidRPr="00AA4767">
      <w:rPr>
        <w:rFonts w:ascii="Cambria" w:hAnsi="Cambria" w:cs="Cambria"/>
        <w:b/>
        <w:bCs/>
        <w:color w:val="585858"/>
        <w:spacing w:val="-4"/>
        <w:sz w:val="20"/>
      </w:rPr>
      <w:t>20</w:t>
    </w:r>
    <w:r w:rsidRPr="00AA4767">
      <w:rPr>
        <w:rFonts w:ascii="Cambria" w:hAnsi="Cambria" w:cs="Cambria"/>
        <w:b/>
        <w:bCs/>
        <w:color w:val="585858"/>
        <w:sz w:val="20"/>
      </w:rPr>
      <w:t>,</w:t>
    </w:r>
    <w:r w:rsidRPr="00AA4767">
      <w:rPr>
        <w:rFonts w:ascii="Cambria" w:hAnsi="Cambria" w:cs="Cambria"/>
        <w:b/>
        <w:bCs/>
        <w:color w:val="585858"/>
        <w:spacing w:val="1"/>
        <w:sz w:val="20"/>
      </w:rPr>
      <w:t xml:space="preserve"> UWTSD-</w:t>
    </w:r>
    <w:r w:rsidR="00B13FA1" w:rsidRPr="00AA4767">
      <w:rPr>
        <w:rFonts w:ascii="Cambria" w:hAnsi="Cambria" w:cs="Cambria"/>
        <w:b/>
        <w:bCs/>
        <w:color w:val="585858"/>
        <w:spacing w:val="1"/>
        <w:sz w:val="20"/>
      </w:rPr>
      <w:t>SAE</w:t>
    </w:r>
    <w:r w:rsidRPr="00AA4767">
      <w:rPr>
        <w:rFonts w:ascii="Cambria" w:hAnsi="Cambria" w:cs="Cambria"/>
        <w:b/>
        <w:bCs/>
        <w:color w:val="585858"/>
        <w:spacing w:val="-1"/>
        <w:sz w:val="20"/>
      </w:rPr>
      <w:t xml:space="preserve">   |</w:t>
    </w:r>
    <w:r w:rsidRPr="00AA4767">
      <w:rPr>
        <w:rFonts w:ascii="Cambria" w:hAnsi="Cambria" w:cs="Cambria"/>
        <w:b/>
        <w:bCs/>
        <w:color w:val="585858"/>
        <w:spacing w:val="-1"/>
        <w:sz w:val="20"/>
      </w:rPr>
      <w:tab/>
    </w:r>
    <w:r w:rsidRPr="00AA4767">
      <w:rPr>
        <w:rFonts w:ascii="Cambria" w:hAnsi="Cambria" w:cs="Cambria"/>
        <w:b/>
        <w:bCs/>
        <w:color w:val="585858"/>
        <w:spacing w:val="-1"/>
        <w:sz w:val="20"/>
      </w:rPr>
      <w:tab/>
    </w:r>
    <w:r w:rsidR="009E298A" w:rsidRPr="00AA4767">
      <w:rPr>
        <w:rFonts w:ascii="Cambria" w:hAnsi="Cambria" w:cs="Cambria"/>
        <w:b/>
        <w:bCs/>
        <w:color w:val="585858"/>
        <w:spacing w:val="-1"/>
        <w:sz w:val="20"/>
      </w:rPr>
      <w:t xml:space="preserve">        </w:t>
    </w:r>
    <w:r w:rsidRPr="00AA4767">
      <w:rPr>
        <w:rFonts w:ascii="Cambria" w:hAnsi="Cambria"/>
        <w:sz w:val="20"/>
      </w:rPr>
      <w:t xml:space="preserve">Page </w:t>
    </w:r>
    <w:r w:rsidRPr="00AA4767">
      <w:rPr>
        <w:rFonts w:ascii="Cambria" w:hAnsi="Cambria"/>
        <w:sz w:val="20"/>
      </w:rPr>
      <w:fldChar w:fldCharType="begin"/>
    </w:r>
    <w:r w:rsidRPr="00AA4767">
      <w:rPr>
        <w:rFonts w:ascii="Cambria" w:hAnsi="Cambria"/>
        <w:sz w:val="20"/>
      </w:rPr>
      <w:instrText xml:space="preserve"> PAGE   \* MERGEFORMAT </w:instrText>
    </w:r>
    <w:r w:rsidRPr="00AA4767">
      <w:rPr>
        <w:rFonts w:ascii="Cambria" w:hAnsi="Cambria"/>
        <w:sz w:val="20"/>
      </w:rPr>
      <w:fldChar w:fldCharType="separate"/>
    </w:r>
    <w:r w:rsidR="000F378D" w:rsidRPr="000F378D">
      <w:rPr>
        <w:rFonts w:ascii="Cambria" w:hAnsi="Cambria"/>
        <w:noProof/>
        <w:sz w:val="20"/>
        <w:lang w:eastAsia="ja-JP"/>
      </w:rPr>
      <w:t>2</w:t>
    </w:r>
    <w:r w:rsidRPr="00AA4767">
      <w:rPr>
        <w:rFonts w:ascii="Cambria" w:hAnsi="Cambria"/>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89907" w14:textId="77777777" w:rsidR="009F338F" w:rsidRDefault="009F338F">
      <w:pPr>
        <w:spacing w:after="0" w:line="240" w:lineRule="auto"/>
      </w:pPr>
      <w:r>
        <w:separator/>
      </w:r>
    </w:p>
  </w:footnote>
  <w:footnote w:type="continuationSeparator" w:id="0">
    <w:p w14:paraId="5D1BFD77" w14:textId="77777777" w:rsidR="009F338F" w:rsidRDefault="009F33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970F8" w14:textId="124C837C" w:rsidR="007F18D6" w:rsidRDefault="00F6591B">
    <w:pPr>
      <w:pStyle w:val="Heading1"/>
      <w:spacing w:line="240" w:lineRule="auto"/>
      <w:rPr>
        <w:rStyle w:val="Strong"/>
      </w:rPr>
    </w:pPr>
    <w:r>
      <w:rPr>
        <w:rStyle w:val="Strong"/>
        <w:noProof/>
      </w:rPr>
      <w:drawing>
        <wp:inline distT="0" distB="0" distL="0" distR="0" wp14:anchorId="396D226A" wp14:editId="6E0A0AC8">
          <wp:extent cx="1352550" cy="552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275FAE64" w14:textId="212F8E2C" w:rsidR="00443E0C" w:rsidRDefault="007F18D6" w:rsidP="007F18D6">
    <w:pPr>
      <w:pStyle w:val="Heading1"/>
      <w:spacing w:line="240" w:lineRule="auto"/>
      <w:ind w:firstLine="720"/>
      <w:rPr>
        <w:rStyle w:val="Strong"/>
        <w:sz w:val="20"/>
        <w:szCs w:val="20"/>
      </w:rPr>
    </w:pPr>
    <w:r>
      <w:rPr>
        <w:rStyle w:val="Strong"/>
      </w:rPr>
      <w:t xml:space="preserve">UWTSD </w:t>
    </w:r>
    <w:r w:rsidR="00EF2A66">
      <w:rPr>
        <w:sz w:val="24"/>
        <w:szCs w:val="24"/>
      </w:rPr>
      <w:t>Motorcycle</w:t>
    </w:r>
    <w:r>
      <w:rPr>
        <w:sz w:val="24"/>
        <w:szCs w:val="24"/>
      </w:rPr>
      <w:t xml:space="preserve"> </w:t>
    </w:r>
    <w:r w:rsidR="00443E0C">
      <w:rPr>
        <w:sz w:val="24"/>
        <w:szCs w:val="24"/>
      </w:rPr>
      <w:t xml:space="preserve">Engineering </w:t>
    </w:r>
    <w:r w:rsidR="00443E0C">
      <w:rPr>
        <w:rStyle w:val="Strong"/>
        <w:b/>
        <w:sz w:val="24"/>
        <w:szCs w:val="24"/>
      </w:rPr>
      <w:t>(</w:t>
    </w:r>
    <w:r w:rsidR="00B13FA1">
      <w:rPr>
        <w:rStyle w:val="Strong"/>
        <w:b/>
        <w:sz w:val="24"/>
        <w:szCs w:val="24"/>
      </w:rPr>
      <w:t>UWTSD-S</w:t>
    </w:r>
    <w:r>
      <w:rPr>
        <w:rStyle w:val="Strong"/>
        <w:b/>
        <w:sz w:val="24"/>
        <w:szCs w:val="24"/>
      </w:rPr>
      <w:t>AE</w:t>
    </w:r>
    <w:r w:rsidR="00443E0C">
      <w:rPr>
        <w:rStyle w:val="Strong"/>
        <w:b/>
        <w:sz w:val="24"/>
        <w:szCs w:val="24"/>
      </w:rPr>
      <w:t>)</w:t>
    </w:r>
    <w:r w:rsidR="00443E0C">
      <w:rPr>
        <w:rStyle w:val="Strong"/>
        <w:sz w:val="20"/>
        <w:szCs w:val="20"/>
      </w:rPr>
      <w:t xml:space="preserve"> </w:t>
    </w:r>
    <w:r>
      <w:rPr>
        <w:rStyle w:val="Strong"/>
        <w:sz w:val="20"/>
        <w:szCs w:val="20"/>
      </w:rPr>
      <w:tab/>
    </w:r>
    <w:r>
      <w:rPr>
        <w:rStyle w:val="Strong"/>
        <w:sz w:val="20"/>
        <w:szCs w:val="20"/>
      </w:rPr>
      <w:tab/>
    </w:r>
    <w:r>
      <w:rPr>
        <w:rStyle w:val="Strong"/>
        <w:sz w:val="20"/>
        <w:szCs w:val="20"/>
      </w:rPr>
      <w:tab/>
    </w:r>
    <w:r w:rsidR="00443E0C">
      <w:rPr>
        <w:rStyle w:val="Strong"/>
        <w:sz w:val="20"/>
        <w:szCs w:val="20"/>
      </w:rPr>
      <w:t xml:space="preserve"> </w:t>
    </w:r>
    <w:r w:rsidR="00D30BA1">
      <w:rPr>
        <w:rStyle w:val="Strong"/>
        <w:b/>
        <w:sz w:val="20"/>
        <w:szCs w:val="20"/>
      </w:rPr>
      <w:t xml:space="preserve">     </w:t>
    </w:r>
  </w:p>
  <w:p w14:paraId="1CB1F312" w14:textId="0337D653" w:rsidR="00443E0C" w:rsidRPr="00B13FA1" w:rsidRDefault="00562127" w:rsidP="007F18D6">
    <w:pPr>
      <w:pStyle w:val="Heading1"/>
      <w:spacing w:before="0"/>
      <w:rPr>
        <w:rStyle w:val="IntenseEmphasis"/>
        <w:b/>
        <w:bCs/>
        <w:i w:val="0"/>
        <w:iCs w:val="0"/>
        <w:color w:val="7F7F7F"/>
        <w:sz w:val="20"/>
        <w:szCs w:val="20"/>
      </w:rPr>
    </w:pPr>
    <w:r>
      <w:rPr>
        <w:color w:val="7F7F7F"/>
        <w:sz w:val="20"/>
        <w:szCs w:val="20"/>
      </w:rPr>
      <w:t xml:space="preserve">               </w:t>
    </w:r>
    <w:r w:rsidR="00743D1F">
      <w:rPr>
        <w:color w:val="7F7F7F"/>
        <w:sz w:val="20"/>
        <w:szCs w:val="20"/>
      </w:rPr>
      <w:t xml:space="preserve"> </w:t>
    </w:r>
    <w:r w:rsidR="00B13FA1">
      <w:rPr>
        <w:color w:val="7F7F7F"/>
        <w:sz w:val="20"/>
        <w:szCs w:val="20"/>
      </w:rPr>
      <w:t>Module</w:t>
    </w:r>
    <w:r w:rsidR="00443E0C">
      <w:rPr>
        <w:color w:val="7F7F7F"/>
        <w:sz w:val="20"/>
        <w:szCs w:val="20"/>
      </w:rPr>
      <w:t xml:space="preserve">: </w:t>
    </w:r>
    <w:r w:rsidR="004673B6">
      <w:rPr>
        <w:color w:val="7F7F7F"/>
        <w:sz w:val="20"/>
        <w:szCs w:val="20"/>
      </w:rPr>
      <w:t>ACEA7010 Mechanisms of Materials Failure</w:t>
    </w:r>
    <w:r w:rsidR="004673B6">
      <w:rPr>
        <w:color w:val="7F7F7F"/>
        <w:sz w:val="20"/>
        <w:szCs w:val="20"/>
      </w:rPr>
      <w:tab/>
    </w:r>
    <w:r w:rsidR="004673B6">
      <w:rPr>
        <w:color w:val="7F7F7F"/>
        <w:sz w:val="20"/>
        <w:szCs w:val="20"/>
      </w:rPr>
      <w:tab/>
    </w:r>
    <w:r w:rsidR="004673B6">
      <w:rPr>
        <w:color w:val="7F7F7F"/>
        <w:sz w:val="20"/>
        <w:szCs w:val="20"/>
      </w:rPr>
      <w:tab/>
    </w:r>
    <w:r w:rsidR="00B13FA1">
      <w:rPr>
        <w:color w:val="7F7F7F"/>
        <w:sz w:val="20"/>
        <w:szCs w:val="20"/>
      </w:rPr>
      <w:tab/>
    </w:r>
    <w:r w:rsidR="00B13FA1">
      <w:rPr>
        <w:color w:val="7F7F7F"/>
        <w:sz w:val="20"/>
        <w:szCs w:val="20"/>
      </w:rPr>
      <w:tab/>
    </w:r>
    <w:r w:rsidR="005226F5">
      <w:rPr>
        <w:color w:val="7F7F7F"/>
        <w:sz w:val="20"/>
        <w:szCs w:val="20"/>
      </w:rPr>
      <w:t>2</w:t>
    </w:r>
    <w:r w:rsidR="004673B6">
      <w:rPr>
        <w:color w:val="7F7F7F"/>
        <w:sz w:val="20"/>
        <w:szCs w:val="20"/>
      </w:rPr>
      <w:t>5</w:t>
    </w:r>
    <w:r w:rsidR="00443E0C">
      <w:rPr>
        <w:color w:val="7F7F7F"/>
        <w:sz w:val="20"/>
        <w:szCs w:val="20"/>
      </w:rPr>
      <w:t xml:space="preserve"> | </w:t>
    </w:r>
    <w:r w:rsidR="005226F5">
      <w:rPr>
        <w:color w:val="7F7F7F"/>
        <w:sz w:val="20"/>
        <w:szCs w:val="20"/>
      </w:rPr>
      <w:t>Ap</w:t>
    </w:r>
    <w:r w:rsidR="00CA6DBA">
      <w:rPr>
        <w:color w:val="7F7F7F"/>
        <w:sz w:val="20"/>
        <w:szCs w:val="20"/>
      </w:rPr>
      <w:t>r</w:t>
    </w:r>
    <w:r w:rsidR="002E7845">
      <w:rPr>
        <w:color w:val="7F7F7F"/>
        <w:sz w:val="20"/>
        <w:szCs w:val="20"/>
      </w:rPr>
      <w:t xml:space="preserve"> </w:t>
    </w:r>
    <w:r w:rsidR="00443E0C">
      <w:rPr>
        <w:color w:val="7F7F7F"/>
        <w:sz w:val="20"/>
        <w:szCs w:val="20"/>
      </w:rPr>
      <w:t>20</w:t>
    </w:r>
    <w:r w:rsidR="00FA1819">
      <w:rPr>
        <w:color w:val="7F7F7F"/>
        <w:sz w:val="20"/>
        <w:szCs w:val="20"/>
      </w:rPr>
      <w:t>2</w:t>
    </w:r>
    <w:r w:rsidR="00123624">
      <w:rPr>
        <w:color w:val="7F7F7F"/>
        <w:sz w:val="20"/>
        <w:szCs w:val="20"/>
      </w:rPr>
      <w:t>3</w:t>
    </w:r>
    <w:r w:rsidR="00443E0C">
      <w:rPr>
        <w:rStyle w:val="Strong"/>
        <w:b/>
        <w:sz w:val="20"/>
        <w:szCs w:val="20"/>
      </w:rPr>
      <w:t xml:space="preserve">      </w:t>
    </w:r>
    <w:r w:rsidR="00D30BA1">
      <w:rPr>
        <w:rStyle w:val="Strong"/>
        <w:b/>
        <w:sz w:val="20"/>
        <w:szCs w:val="20"/>
      </w:rPr>
      <w:t xml:space="preserve"> </w:t>
    </w:r>
    <w:r w:rsidR="00443E0C">
      <w:rPr>
        <w:rStyle w:val="Strong"/>
        <w:b/>
        <w:sz w:val="20"/>
        <w:szCs w:val="20"/>
      </w:rPr>
      <w:t xml:space="preserve">      </w:t>
    </w:r>
    <w:r w:rsidR="0002287F">
      <w:rPr>
        <w:rStyle w:val="Strong"/>
        <w:b/>
        <w:sz w:val="20"/>
        <w:szCs w:val="20"/>
      </w:rPr>
      <w:t xml:space="preserve"> </w:t>
    </w:r>
    <w:r w:rsidR="00443E0C">
      <w:rPr>
        <w:rStyle w:val="Strong"/>
        <w:b/>
        <w:sz w:val="20"/>
        <w:szCs w:val="20"/>
      </w:rPr>
      <w:t xml:space="preserve">                                                     </w:t>
    </w:r>
    <w:r w:rsidR="00872AF0">
      <w:rPr>
        <w:rStyle w:val="Strong"/>
        <w:b/>
        <w:sz w:val="20"/>
        <w:szCs w:val="20"/>
      </w:rPr>
      <w:t xml:space="preserve"> </w:t>
    </w:r>
    <w:r w:rsidR="00443E0C">
      <w:rPr>
        <w:rStyle w:val="Strong"/>
        <w:b/>
        <w:sz w:val="20"/>
        <w:szCs w:val="20"/>
      </w:rPr>
      <w:t xml:space="preserve">              </w:t>
    </w:r>
    <w:r w:rsidR="005D0129">
      <w:rPr>
        <w:rStyle w:val="Strong"/>
        <w:b/>
        <w:sz w:val="20"/>
        <w:szCs w:val="20"/>
      </w:rPr>
      <w:t xml:space="preserve">   </w:t>
    </w:r>
    <w:r w:rsidR="002D1859">
      <w:rPr>
        <w:rStyle w:val="Strong"/>
        <w:b/>
        <w:sz w:val="20"/>
        <w:szCs w:val="20"/>
      </w:rPr>
      <w:t xml:space="preserve"> </w:t>
    </w:r>
    <w:r w:rsidR="002C676D">
      <w:rPr>
        <w:rStyle w:val="Strong"/>
        <w:b/>
        <w:sz w:val="20"/>
        <w:szCs w:val="20"/>
      </w:rPr>
      <w:t xml:space="preserve"> </w:t>
    </w:r>
  </w:p>
  <w:p w14:paraId="71C6AA9D" w14:textId="212B1D15" w:rsidR="00443E0C" w:rsidRDefault="00F6591B">
    <w:pPr>
      <w:pStyle w:val="Header"/>
      <w:spacing w:after="120"/>
      <w:rPr>
        <w:rFonts w:ascii="Cambria" w:hAnsi="Cambria"/>
        <w:b/>
        <w:color w:val="7F7F7F"/>
        <w:sz w:val="20"/>
        <w:szCs w:val="20"/>
      </w:rPr>
    </w:pPr>
    <w:r>
      <w:rPr>
        <w:rFonts w:ascii="Cambria" w:hAnsi="Cambria"/>
        <w:b/>
        <w:noProof/>
        <w:color w:val="7F7F7F"/>
        <w:sz w:val="20"/>
        <w:szCs w:val="20"/>
        <w:lang w:eastAsia="ja-JP"/>
      </w:rPr>
      <mc:AlternateContent>
        <mc:Choice Requires="wps">
          <w:drawing>
            <wp:anchor distT="0" distB="0" distL="114300" distR="114300" simplePos="0" relativeHeight="251655680" behindDoc="0" locked="0" layoutInCell="1" allowOverlap="1" wp14:anchorId="620E0A9E" wp14:editId="2503E313">
              <wp:simplePos x="0" y="0"/>
              <wp:positionH relativeFrom="column">
                <wp:posOffset>-13335</wp:posOffset>
              </wp:positionH>
              <wp:positionV relativeFrom="paragraph">
                <wp:posOffset>20955</wp:posOffset>
              </wp:positionV>
              <wp:extent cx="6685280" cy="0"/>
              <wp:effectExtent l="5715" t="7620" r="5080" b="1905"/>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98C99E3"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7BF00" w14:textId="2F8D9609" w:rsidR="002B07D0" w:rsidRDefault="00F6591B">
    <w:pPr>
      <w:pStyle w:val="Heading1"/>
      <w:spacing w:line="240" w:lineRule="auto"/>
      <w:rPr>
        <w:rStyle w:val="Strong"/>
      </w:rPr>
    </w:pPr>
    <w:r>
      <w:rPr>
        <w:noProof/>
      </w:rPr>
      <mc:AlternateContent>
        <mc:Choice Requires="wps">
          <w:drawing>
            <wp:anchor distT="45720" distB="45720" distL="114300" distR="114300" simplePos="0" relativeHeight="251657728" behindDoc="0" locked="0" layoutInCell="1" allowOverlap="1" wp14:anchorId="6A1DFDAF" wp14:editId="22F5175A">
              <wp:simplePos x="0" y="0"/>
              <wp:positionH relativeFrom="column">
                <wp:posOffset>1264920</wp:posOffset>
              </wp:positionH>
              <wp:positionV relativeFrom="paragraph">
                <wp:posOffset>219075</wp:posOffset>
              </wp:positionV>
              <wp:extent cx="6438900" cy="414655"/>
              <wp:effectExtent l="0" t="0" r="3810" b="444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89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274CA6" w14:textId="77777777" w:rsidR="00C106FB" w:rsidRDefault="00C106FB" w:rsidP="00C106FB">
                          <w:r>
                            <w:rPr>
                              <w:rStyle w:val="Strong"/>
                              <w:b w:val="0"/>
                              <w:sz w:val="20"/>
                              <w:szCs w:val="20"/>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A1DFDAF" id="_x0000_t202" coordsize="21600,21600" o:spt="202" path="m,l,21600r21600,l21600,xe">
              <v:stroke joinstyle="miter"/>
              <v:path gradientshapeok="t" o:connecttype="rect"/>
            </v:shapetype>
            <v:shape id="Text Box 2" o:spid="_x0000_s1026" type="#_x0000_t202" style="position:absolute;margin-left:99.6pt;margin-top:17.25pt;width:507pt;height:32.65pt;z-index:2516577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" filled="f" stroked="f">
              <v:textbox style="mso-fit-shape-to-text:t">
                <w:txbxContent>
                  <w:p w14:paraId="7F274CA6" w14:textId="77777777" w:rsidR="00C106FB" w:rsidRDefault="00C106FB" w:rsidP="00C106FB">
                    <w:r>
                      <w:rPr>
                        <w:rStyle w:val="Strong"/>
                        <w:b w:val="0"/>
                        <w:sz w:val="20"/>
                        <w:szCs w:val="20"/>
                      </w:rPr>
                      <w:t xml:space="preserve"> </w:t>
                    </w:r>
                  </w:p>
                </w:txbxContent>
              </v:textbox>
              <w10:wrap type="square"/>
            </v:shape>
          </w:pict>
        </mc:Fallback>
      </mc:AlternateContent>
    </w:r>
    <w:r>
      <w:rPr>
        <w:rStyle w:val="Strong"/>
        <w:noProof/>
      </w:rPr>
      <w:drawing>
        <wp:inline distT="0" distB="0" distL="0" distR="0" wp14:anchorId="3F2806E9" wp14:editId="54B6B33D">
          <wp:extent cx="1352550" cy="552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75D727B5" w14:textId="77882F3C" w:rsidR="002B07D0" w:rsidRDefault="00F6591B">
    <w:pPr>
      <w:pStyle w:val="Header"/>
      <w:spacing w:after="120"/>
      <w:rPr>
        <w:rFonts w:ascii="Cambria" w:hAnsi="Cambria"/>
        <w:b/>
        <w:color w:val="7F7F7F"/>
        <w:sz w:val="20"/>
        <w:szCs w:val="20"/>
      </w:rPr>
    </w:pPr>
    <w:r>
      <w:rPr>
        <w:rFonts w:ascii="Cambria" w:hAnsi="Cambria"/>
        <w:b/>
        <w:noProof/>
        <w:color w:val="7F7F7F"/>
        <w:sz w:val="20"/>
        <w:szCs w:val="20"/>
        <w:lang w:eastAsia="ja-JP"/>
      </w:rPr>
      <mc:AlternateContent>
        <mc:Choice Requires="wps">
          <w:drawing>
            <wp:anchor distT="0" distB="0" distL="114300" distR="114300" simplePos="0" relativeHeight="251656704" behindDoc="0" locked="0" layoutInCell="1" allowOverlap="1" wp14:anchorId="1B9A07BB" wp14:editId="3BF31562">
              <wp:simplePos x="0" y="0"/>
              <wp:positionH relativeFrom="column">
                <wp:posOffset>-13335</wp:posOffset>
              </wp:positionH>
              <wp:positionV relativeFrom="paragraph">
                <wp:posOffset>20955</wp:posOffset>
              </wp:positionV>
              <wp:extent cx="6685280" cy="0"/>
              <wp:effectExtent l="5715" t="2540" r="5080" b="6985"/>
              <wp:wrapNone/>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ACE307F"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55861"/>
    <w:multiLevelType w:val="multilevel"/>
    <w:tmpl w:val="2B855861"/>
    <w:lvl w:ilvl="0">
      <w:start w:val="1"/>
      <w:numFmt w:val="decimal"/>
      <w:pStyle w:val="IEEEReferenceItem"/>
      <w:lvlText w:val="[%1]"/>
      <w:lvlJc w:val="left"/>
      <w:pPr>
        <w:tabs>
          <w:tab w:val="num" w:pos="432"/>
        </w:tabs>
        <w:ind w:left="432" w:hanging="432"/>
      </w:pPr>
      <w:rPr>
        <w:rFonts w:hint="default"/>
      </w:rPr>
    </w:lvl>
    <w:lvl w:ilvl="1">
      <w:start w:val="1"/>
      <w:numFmt w:val="decimal"/>
      <w:lvlText w:val="%1.%2)"/>
      <w:lvlJc w:val="left"/>
      <w:pPr>
        <w:tabs>
          <w:tab w:val="num" w:pos="936"/>
        </w:tabs>
        <w:ind w:left="936" w:hanging="720"/>
      </w:pPr>
      <w:rPr>
        <w:rFonts w:hint="default"/>
      </w:rPr>
    </w:lvl>
    <w:lvl w:ilvl="2">
      <w:start w:val="1"/>
      <w:numFmt w:val="decimal"/>
      <w:pStyle w:val="Heading3"/>
      <w:lvlText w:val="%3)"/>
      <w:lvlJc w:val="left"/>
      <w:pPr>
        <w:tabs>
          <w:tab w:val="num" w:pos="360"/>
        </w:tabs>
        <w:ind w:left="360" w:hanging="360"/>
      </w:pPr>
      <w:rPr>
        <w:rFonts w:hint="default"/>
      </w:rPr>
    </w:lvl>
    <w:lvl w:ilvl="3">
      <w:start w:val="1"/>
      <w:numFmt w:val="decimal"/>
      <w:lvlText w:val="%1.%2)%3.%4."/>
      <w:lvlJc w:val="left"/>
      <w:pPr>
        <w:tabs>
          <w:tab w:val="num" w:pos="1296"/>
        </w:tabs>
        <w:ind w:left="1296" w:hanging="1080"/>
      </w:pPr>
      <w:rPr>
        <w:rFonts w:hint="default"/>
      </w:rPr>
    </w:lvl>
    <w:lvl w:ilvl="4">
      <w:start w:val="1"/>
      <w:numFmt w:val="decimal"/>
      <w:lvlText w:val="%1.%2)%3.%4.%5."/>
      <w:lvlJc w:val="left"/>
      <w:pPr>
        <w:tabs>
          <w:tab w:val="num" w:pos="1296"/>
        </w:tabs>
        <w:ind w:left="1296" w:hanging="1080"/>
      </w:pPr>
      <w:rPr>
        <w:rFonts w:hint="default"/>
      </w:rPr>
    </w:lvl>
    <w:lvl w:ilvl="5">
      <w:start w:val="1"/>
      <w:numFmt w:val="decimal"/>
      <w:lvlText w:val="%1.%2)%3.%4.%5.%6."/>
      <w:lvlJc w:val="left"/>
      <w:pPr>
        <w:tabs>
          <w:tab w:val="num" w:pos="1656"/>
        </w:tabs>
        <w:ind w:left="1656" w:hanging="1440"/>
      </w:pPr>
      <w:rPr>
        <w:rFonts w:hint="default"/>
      </w:rPr>
    </w:lvl>
    <w:lvl w:ilvl="6">
      <w:start w:val="1"/>
      <w:numFmt w:val="decimal"/>
      <w:lvlText w:val="%1.%2)%3.%4.%5.%6.%7."/>
      <w:lvlJc w:val="left"/>
      <w:pPr>
        <w:tabs>
          <w:tab w:val="num" w:pos="1656"/>
        </w:tabs>
        <w:ind w:left="1656" w:hanging="1440"/>
      </w:pPr>
      <w:rPr>
        <w:rFonts w:hint="default"/>
      </w:rPr>
    </w:lvl>
    <w:lvl w:ilvl="7">
      <w:start w:val="1"/>
      <w:numFmt w:val="decimal"/>
      <w:lvlText w:val="%1.%2)%3.%4.%5.%6.%7.%8."/>
      <w:lvlJc w:val="left"/>
      <w:pPr>
        <w:tabs>
          <w:tab w:val="num" w:pos="2016"/>
        </w:tabs>
        <w:ind w:left="2016" w:hanging="1800"/>
      </w:pPr>
      <w:rPr>
        <w:rFonts w:hint="default"/>
      </w:rPr>
    </w:lvl>
    <w:lvl w:ilvl="8">
      <w:start w:val="1"/>
      <w:numFmt w:val="decimal"/>
      <w:lvlText w:val="%1.%2)%3.%4.%5.%6.%7.%8.%9."/>
      <w:lvlJc w:val="left"/>
      <w:pPr>
        <w:tabs>
          <w:tab w:val="num" w:pos="2016"/>
        </w:tabs>
        <w:ind w:left="2016" w:hanging="1800"/>
      </w:pPr>
      <w:rPr>
        <w:rFonts w:hint="default"/>
      </w:rPr>
    </w:lvl>
  </w:abstractNum>
  <w:abstractNum w:abstractNumId="1" w15:restartNumberingAfterBreak="0">
    <w:nsid w:val="32147160"/>
    <w:multiLevelType w:val="hybridMultilevel"/>
    <w:tmpl w:val="835CDCFA"/>
    <w:lvl w:ilvl="0" w:tplc="04090001">
      <w:start w:val="1"/>
      <w:numFmt w:val="bullet"/>
      <w:lvlText w:val=""/>
      <w:lvlJc w:val="left"/>
      <w:pPr>
        <w:ind w:left="936" w:hanging="360"/>
      </w:pPr>
      <w:rPr>
        <w:rFonts w:ascii="Symbol" w:hAnsi="Symbol" w:hint="default"/>
      </w:rPr>
    </w:lvl>
    <w:lvl w:ilvl="1" w:tplc="04090003" w:tentative="1">
      <w:start w:val="1"/>
      <w:numFmt w:val="bullet"/>
      <w:lvlText w:val="o"/>
      <w:lvlJc w:val="left"/>
      <w:pPr>
        <w:ind w:left="1656" w:hanging="360"/>
      </w:pPr>
      <w:rPr>
        <w:rFonts w:ascii="Courier New" w:hAnsi="Courier New" w:cs="Courier New" w:hint="default"/>
      </w:rPr>
    </w:lvl>
    <w:lvl w:ilvl="2" w:tplc="04090005" w:tentative="1">
      <w:start w:val="1"/>
      <w:numFmt w:val="bullet"/>
      <w:lvlText w:val=""/>
      <w:lvlJc w:val="left"/>
      <w:pPr>
        <w:ind w:left="2376" w:hanging="360"/>
      </w:pPr>
      <w:rPr>
        <w:rFonts w:ascii="Wingdings" w:hAnsi="Wingdings" w:hint="default"/>
      </w:rPr>
    </w:lvl>
    <w:lvl w:ilvl="3" w:tplc="04090001" w:tentative="1">
      <w:start w:val="1"/>
      <w:numFmt w:val="bullet"/>
      <w:lvlText w:val=""/>
      <w:lvlJc w:val="left"/>
      <w:pPr>
        <w:ind w:left="3096" w:hanging="360"/>
      </w:pPr>
      <w:rPr>
        <w:rFonts w:ascii="Symbol" w:hAnsi="Symbol" w:hint="default"/>
      </w:rPr>
    </w:lvl>
    <w:lvl w:ilvl="4" w:tplc="04090003" w:tentative="1">
      <w:start w:val="1"/>
      <w:numFmt w:val="bullet"/>
      <w:lvlText w:val="o"/>
      <w:lvlJc w:val="left"/>
      <w:pPr>
        <w:ind w:left="3816" w:hanging="360"/>
      </w:pPr>
      <w:rPr>
        <w:rFonts w:ascii="Courier New" w:hAnsi="Courier New" w:cs="Courier New" w:hint="default"/>
      </w:rPr>
    </w:lvl>
    <w:lvl w:ilvl="5" w:tplc="04090005" w:tentative="1">
      <w:start w:val="1"/>
      <w:numFmt w:val="bullet"/>
      <w:lvlText w:val=""/>
      <w:lvlJc w:val="left"/>
      <w:pPr>
        <w:ind w:left="4536" w:hanging="360"/>
      </w:pPr>
      <w:rPr>
        <w:rFonts w:ascii="Wingdings" w:hAnsi="Wingdings" w:hint="default"/>
      </w:rPr>
    </w:lvl>
    <w:lvl w:ilvl="6" w:tplc="04090001" w:tentative="1">
      <w:start w:val="1"/>
      <w:numFmt w:val="bullet"/>
      <w:lvlText w:val=""/>
      <w:lvlJc w:val="left"/>
      <w:pPr>
        <w:ind w:left="5256" w:hanging="360"/>
      </w:pPr>
      <w:rPr>
        <w:rFonts w:ascii="Symbol" w:hAnsi="Symbol" w:hint="default"/>
      </w:rPr>
    </w:lvl>
    <w:lvl w:ilvl="7" w:tplc="04090003" w:tentative="1">
      <w:start w:val="1"/>
      <w:numFmt w:val="bullet"/>
      <w:lvlText w:val="o"/>
      <w:lvlJc w:val="left"/>
      <w:pPr>
        <w:ind w:left="5976" w:hanging="360"/>
      </w:pPr>
      <w:rPr>
        <w:rFonts w:ascii="Courier New" w:hAnsi="Courier New" w:cs="Courier New" w:hint="default"/>
      </w:rPr>
    </w:lvl>
    <w:lvl w:ilvl="8" w:tplc="04090005" w:tentative="1">
      <w:start w:val="1"/>
      <w:numFmt w:val="bullet"/>
      <w:lvlText w:val=""/>
      <w:lvlJc w:val="left"/>
      <w:pPr>
        <w:ind w:left="6696" w:hanging="360"/>
      </w:pPr>
      <w:rPr>
        <w:rFonts w:ascii="Wingdings" w:hAnsi="Wingdings" w:hint="default"/>
      </w:rPr>
    </w:lvl>
  </w:abstractNum>
  <w:abstractNum w:abstractNumId="2" w15:restartNumberingAfterBreak="0">
    <w:nsid w:val="4BE30D54"/>
    <w:multiLevelType w:val="hybridMultilevel"/>
    <w:tmpl w:val="E574193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52CA544A"/>
    <w:multiLevelType w:val="singleLevel"/>
    <w:tmpl w:val="52CA544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4" w15:restartNumberingAfterBreak="0">
    <w:nsid w:val="63981B56"/>
    <w:multiLevelType w:val="hybridMultilevel"/>
    <w:tmpl w:val="F46C95F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67625850"/>
    <w:multiLevelType w:val="multilevel"/>
    <w:tmpl w:val="E85A85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02744280">
    <w:abstractNumId w:val="0"/>
  </w:num>
  <w:num w:numId="2" w16cid:durableId="932276904">
    <w:abstractNumId w:val="3"/>
  </w:num>
  <w:num w:numId="3" w16cid:durableId="248807217">
    <w:abstractNumId w:val="5"/>
  </w:num>
  <w:num w:numId="4" w16cid:durableId="1936860530">
    <w:abstractNumId w:val="1"/>
  </w:num>
  <w:num w:numId="5" w16cid:durableId="509490100">
    <w:abstractNumId w:val="2"/>
  </w:num>
  <w:num w:numId="6" w16cid:durableId="9748691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isplayHorizontalDrawingGridEvery w:val="2"/>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3CF"/>
    <w:rsid w:val="00013869"/>
    <w:rsid w:val="0002287F"/>
    <w:rsid w:val="00023E55"/>
    <w:rsid w:val="00024BED"/>
    <w:rsid w:val="00025EEA"/>
    <w:rsid w:val="00027AA3"/>
    <w:rsid w:val="0003010B"/>
    <w:rsid w:val="000352E1"/>
    <w:rsid w:val="00035737"/>
    <w:rsid w:val="00035825"/>
    <w:rsid w:val="000407A4"/>
    <w:rsid w:val="00044869"/>
    <w:rsid w:val="000459D5"/>
    <w:rsid w:val="00050A44"/>
    <w:rsid w:val="000518D3"/>
    <w:rsid w:val="0005401F"/>
    <w:rsid w:val="0005584A"/>
    <w:rsid w:val="00056D4D"/>
    <w:rsid w:val="0007109D"/>
    <w:rsid w:val="00073800"/>
    <w:rsid w:val="00074478"/>
    <w:rsid w:val="0008044F"/>
    <w:rsid w:val="00081488"/>
    <w:rsid w:val="00084CE3"/>
    <w:rsid w:val="00086F92"/>
    <w:rsid w:val="0009519B"/>
    <w:rsid w:val="000964FE"/>
    <w:rsid w:val="00097831"/>
    <w:rsid w:val="000A2AF9"/>
    <w:rsid w:val="000B0280"/>
    <w:rsid w:val="000B156E"/>
    <w:rsid w:val="000B1C10"/>
    <w:rsid w:val="000B23F7"/>
    <w:rsid w:val="000C0320"/>
    <w:rsid w:val="000C3E61"/>
    <w:rsid w:val="000C4162"/>
    <w:rsid w:val="000F08DE"/>
    <w:rsid w:val="000F27AF"/>
    <w:rsid w:val="000F378D"/>
    <w:rsid w:val="000F3DB4"/>
    <w:rsid w:val="000F56AB"/>
    <w:rsid w:val="001039B4"/>
    <w:rsid w:val="00123624"/>
    <w:rsid w:val="00123B0F"/>
    <w:rsid w:val="00126823"/>
    <w:rsid w:val="00130A02"/>
    <w:rsid w:val="00132F6E"/>
    <w:rsid w:val="00137854"/>
    <w:rsid w:val="00141DB0"/>
    <w:rsid w:val="00151D98"/>
    <w:rsid w:val="001563B0"/>
    <w:rsid w:val="00156793"/>
    <w:rsid w:val="00156EF8"/>
    <w:rsid w:val="001818D5"/>
    <w:rsid w:val="00190342"/>
    <w:rsid w:val="00192917"/>
    <w:rsid w:val="00196E87"/>
    <w:rsid w:val="001A0D7C"/>
    <w:rsid w:val="001A2BAA"/>
    <w:rsid w:val="001A63A4"/>
    <w:rsid w:val="001B16B0"/>
    <w:rsid w:val="001B70CA"/>
    <w:rsid w:val="001D1154"/>
    <w:rsid w:val="001D45A7"/>
    <w:rsid w:val="001D6B3C"/>
    <w:rsid w:val="001D7344"/>
    <w:rsid w:val="001E79FF"/>
    <w:rsid w:val="00204C8C"/>
    <w:rsid w:val="002135C8"/>
    <w:rsid w:val="0022005E"/>
    <w:rsid w:val="0022110E"/>
    <w:rsid w:val="00224092"/>
    <w:rsid w:val="00224B4C"/>
    <w:rsid w:val="002277F8"/>
    <w:rsid w:val="002401E9"/>
    <w:rsid w:val="00240BF0"/>
    <w:rsid w:val="00245804"/>
    <w:rsid w:val="002568AF"/>
    <w:rsid w:val="00271187"/>
    <w:rsid w:val="002A3029"/>
    <w:rsid w:val="002B07D0"/>
    <w:rsid w:val="002B0F85"/>
    <w:rsid w:val="002C1795"/>
    <w:rsid w:val="002C6463"/>
    <w:rsid w:val="002C676D"/>
    <w:rsid w:val="002C6ED7"/>
    <w:rsid w:val="002D11E1"/>
    <w:rsid w:val="002D1859"/>
    <w:rsid w:val="002D52D6"/>
    <w:rsid w:val="002E176B"/>
    <w:rsid w:val="002E2566"/>
    <w:rsid w:val="002E604B"/>
    <w:rsid w:val="002E7845"/>
    <w:rsid w:val="002F6390"/>
    <w:rsid w:val="002F65F2"/>
    <w:rsid w:val="00315D9F"/>
    <w:rsid w:val="0032119D"/>
    <w:rsid w:val="003265CA"/>
    <w:rsid w:val="00331227"/>
    <w:rsid w:val="00344120"/>
    <w:rsid w:val="00344FF2"/>
    <w:rsid w:val="00345F25"/>
    <w:rsid w:val="00354E3E"/>
    <w:rsid w:val="00361F49"/>
    <w:rsid w:val="00362DBB"/>
    <w:rsid w:val="0037013A"/>
    <w:rsid w:val="00372C5F"/>
    <w:rsid w:val="00382148"/>
    <w:rsid w:val="00382382"/>
    <w:rsid w:val="00382C98"/>
    <w:rsid w:val="00385687"/>
    <w:rsid w:val="00393567"/>
    <w:rsid w:val="00396E58"/>
    <w:rsid w:val="00397C33"/>
    <w:rsid w:val="003A456B"/>
    <w:rsid w:val="003A4806"/>
    <w:rsid w:val="003B230E"/>
    <w:rsid w:val="003B39B4"/>
    <w:rsid w:val="003C2D77"/>
    <w:rsid w:val="003C31D7"/>
    <w:rsid w:val="003C3935"/>
    <w:rsid w:val="003C6D7C"/>
    <w:rsid w:val="003D025D"/>
    <w:rsid w:val="003D0C7D"/>
    <w:rsid w:val="003D5A3B"/>
    <w:rsid w:val="003E4110"/>
    <w:rsid w:val="00402E1B"/>
    <w:rsid w:val="00403068"/>
    <w:rsid w:val="00405DB3"/>
    <w:rsid w:val="00405E72"/>
    <w:rsid w:val="0040654A"/>
    <w:rsid w:val="00410B1D"/>
    <w:rsid w:val="00411BD9"/>
    <w:rsid w:val="004173E4"/>
    <w:rsid w:val="00423E5D"/>
    <w:rsid w:val="004415D5"/>
    <w:rsid w:val="00443E0C"/>
    <w:rsid w:val="00451573"/>
    <w:rsid w:val="00464109"/>
    <w:rsid w:val="004673B6"/>
    <w:rsid w:val="00474879"/>
    <w:rsid w:val="00480D34"/>
    <w:rsid w:val="004931A5"/>
    <w:rsid w:val="004A02A3"/>
    <w:rsid w:val="004A329B"/>
    <w:rsid w:val="004B2DB7"/>
    <w:rsid w:val="004D1513"/>
    <w:rsid w:val="004E58B2"/>
    <w:rsid w:val="004E7C8F"/>
    <w:rsid w:val="0050155B"/>
    <w:rsid w:val="005028EE"/>
    <w:rsid w:val="00507CB7"/>
    <w:rsid w:val="005143EB"/>
    <w:rsid w:val="00514DDE"/>
    <w:rsid w:val="00516129"/>
    <w:rsid w:val="005167BD"/>
    <w:rsid w:val="005226F5"/>
    <w:rsid w:val="0052584B"/>
    <w:rsid w:val="005375AA"/>
    <w:rsid w:val="00540CB6"/>
    <w:rsid w:val="00541FAA"/>
    <w:rsid w:val="00542B5A"/>
    <w:rsid w:val="0056182A"/>
    <w:rsid w:val="00562127"/>
    <w:rsid w:val="005669C9"/>
    <w:rsid w:val="00576309"/>
    <w:rsid w:val="00576528"/>
    <w:rsid w:val="0057777A"/>
    <w:rsid w:val="0059004B"/>
    <w:rsid w:val="00590459"/>
    <w:rsid w:val="00590D80"/>
    <w:rsid w:val="0059366C"/>
    <w:rsid w:val="00594609"/>
    <w:rsid w:val="0059553C"/>
    <w:rsid w:val="00596860"/>
    <w:rsid w:val="00597942"/>
    <w:rsid w:val="005A7D69"/>
    <w:rsid w:val="005B01F9"/>
    <w:rsid w:val="005B523C"/>
    <w:rsid w:val="005C3441"/>
    <w:rsid w:val="005C4DC3"/>
    <w:rsid w:val="005D0129"/>
    <w:rsid w:val="005D2DFA"/>
    <w:rsid w:val="005D4BAF"/>
    <w:rsid w:val="005E2A0B"/>
    <w:rsid w:val="005E5B7B"/>
    <w:rsid w:val="005E6462"/>
    <w:rsid w:val="005F721F"/>
    <w:rsid w:val="005F7C0E"/>
    <w:rsid w:val="00602544"/>
    <w:rsid w:val="0060677B"/>
    <w:rsid w:val="00614E51"/>
    <w:rsid w:val="00615581"/>
    <w:rsid w:val="006175A9"/>
    <w:rsid w:val="006230CE"/>
    <w:rsid w:val="00623CED"/>
    <w:rsid w:val="0062579B"/>
    <w:rsid w:val="00635B19"/>
    <w:rsid w:val="00643DDF"/>
    <w:rsid w:val="00663842"/>
    <w:rsid w:val="006754D1"/>
    <w:rsid w:val="00675FEB"/>
    <w:rsid w:val="00680A0F"/>
    <w:rsid w:val="00687910"/>
    <w:rsid w:val="00692646"/>
    <w:rsid w:val="006A1C25"/>
    <w:rsid w:val="006A6371"/>
    <w:rsid w:val="006A79C2"/>
    <w:rsid w:val="006B038C"/>
    <w:rsid w:val="006B5879"/>
    <w:rsid w:val="006B696B"/>
    <w:rsid w:val="006B6F46"/>
    <w:rsid w:val="006C190C"/>
    <w:rsid w:val="006D3872"/>
    <w:rsid w:val="006D716A"/>
    <w:rsid w:val="006E1DB5"/>
    <w:rsid w:val="006E1ECB"/>
    <w:rsid w:val="006E3356"/>
    <w:rsid w:val="006E737A"/>
    <w:rsid w:val="006F042D"/>
    <w:rsid w:val="006F1AB8"/>
    <w:rsid w:val="006F471D"/>
    <w:rsid w:val="00701DCF"/>
    <w:rsid w:val="00703100"/>
    <w:rsid w:val="00703B54"/>
    <w:rsid w:val="00706613"/>
    <w:rsid w:val="00713A3B"/>
    <w:rsid w:val="00717FA9"/>
    <w:rsid w:val="007205D4"/>
    <w:rsid w:val="00724DF5"/>
    <w:rsid w:val="007334AB"/>
    <w:rsid w:val="00741B88"/>
    <w:rsid w:val="007433C6"/>
    <w:rsid w:val="00743D1F"/>
    <w:rsid w:val="007468B8"/>
    <w:rsid w:val="007525FE"/>
    <w:rsid w:val="00754967"/>
    <w:rsid w:val="00756E67"/>
    <w:rsid w:val="00757728"/>
    <w:rsid w:val="00764CD0"/>
    <w:rsid w:val="00764E9F"/>
    <w:rsid w:val="0077187E"/>
    <w:rsid w:val="00772B53"/>
    <w:rsid w:val="00773F86"/>
    <w:rsid w:val="00775749"/>
    <w:rsid w:val="00780C21"/>
    <w:rsid w:val="0078145B"/>
    <w:rsid w:val="00790C6F"/>
    <w:rsid w:val="007935BE"/>
    <w:rsid w:val="007A6C3E"/>
    <w:rsid w:val="007C3AB6"/>
    <w:rsid w:val="007C6E1E"/>
    <w:rsid w:val="007D2E33"/>
    <w:rsid w:val="007D5654"/>
    <w:rsid w:val="007E18FD"/>
    <w:rsid w:val="007E674D"/>
    <w:rsid w:val="007F0881"/>
    <w:rsid w:val="007F18D6"/>
    <w:rsid w:val="0080331F"/>
    <w:rsid w:val="008053FF"/>
    <w:rsid w:val="00811189"/>
    <w:rsid w:val="00820848"/>
    <w:rsid w:val="00834908"/>
    <w:rsid w:val="00834A7B"/>
    <w:rsid w:val="00837329"/>
    <w:rsid w:val="00837B91"/>
    <w:rsid w:val="0084202C"/>
    <w:rsid w:val="008423C6"/>
    <w:rsid w:val="00842771"/>
    <w:rsid w:val="00846D24"/>
    <w:rsid w:val="008518EC"/>
    <w:rsid w:val="00851C04"/>
    <w:rsid w:val="0085266F"/>
    <w:rsid w:val="00857510"/>
    <w:rsid w:val="00863CDA"/>
    <w:rsid w:val="00865F46"/>
    <w:rsid w:val="008722A3"/>
    <w:rsid w:val="00872AF0"/>
    <w:rsid w:val="00881659"/>
    <w:rsid w:val="008A4C34"/>
    <w:rsid w:val="008B29C1"/>
    <w:rsid w:val="008B2E35"/>
    <w:rsid w:val="008B34F1"/>
    <w:rsid w:val="008B3705"/>
    <w:rsid w:val="008C6BCE"/>
    <w:rsid w:val="008D544A"/>
    <w:rsid w:val="008E2ECE"/>
    <w:rsid w:val="008E78DA"/>
    <w:rsid w:val="008F1D5E"/>
    <w:rsid w:val="008F694D"/>
    <w:rsid w:val="00901BE3"/>
    <w:rsid w:val="00902433"/>
    <w:rsid w:val="009120C0"/>
    <w:rsid w:val="009126A5"/>
    <w:rsid w:val="0091634C"/>
    <w:rsid w:val="00917703"/>
    <w:rsid w:val="00925CF8"/>
    <w:rsid w:val="00926C7A"/>
    <w:rsid w:val="00927C49"/>
    <w:rsid w:val="00935E6C"/>
    <w:rsid w:val="00936027"/>
    <w:rsid w:val="0093763F"/>
    <w:rsid w:val="0093793A"/>
    <w:rsid w:val="0094074D"/>
    <w:rsid w:val="00940BC0"/>
    <w:rsid w:val="009458BA"/>
    <w:rsid w:val="00946F9C"/>
    <w:rsid w:val="00953EDC"/>
    <w:rsid w:val="00963789"/>
    <w:rsid w:val="0096649A"/>
    <w:rsid w:val="00966FB7"/>
    <w:rsid w:val="009716D5"/>
    <w:rsid w:val="00984838"/>
    <w:rsid w:val="009914FF"/>
    <w:rsid w:val="00996AEE"/>
    <w:rsid w:val="009A4E2C"/>
    <w:rsid w:val="009A7EB0"/>
    <w:rsid w:val="009B08BB"/>
    <w:rsid w:val="009B0FD5"/>
    <w:rsid w:val="009B1D3C"/>
    <w:rsid w:val="009B4DCE"/>
    <w:rsid w:val="009B6D64"/>
    <w:rsid w:val="009C30D9"/>
    <w:rsid w:val="009C4236"/>
    <w:rsid w:val="009C4E96"/>
    <w:rsid w:val="009D2211"/>
    <w:rsid w:val="009E298A"/>
    <w:rsid w:val="009E5284"/>
    <w:rsid w:val="009E7A32"/>
    <w:rsid w:val="009F0223"/>
    <w:rsid w:val="009F22F9"/>
    <w:rsid w:val="009F338F"/>
    <w:rsid w:val="00A00D29"/>
    <w:rsid w:val="00A057C8"/>
    <w:rsid w:val="00A0680C"/>
    <w:rsid w:val="00A06A7A"/>
    <w:rsid w:val="00A14979"/>
    <w:rsid w:val="00A152B1"/>
    <w:rsid w:val="00A170E0"/>
    <w:rsid w:val="00A223C6"/>
    <w:rsid w:val="00A2468B"/>
    <w:rsid w:val="00A4786F"/>
    <w:rsid w:val="00A51688"/>
    <w:rsid w:val="00A53337"/>
    <w:rsid w:val="00A54AFE"/>
    <w:rsid w:val="00A55C7C"/>
    <w:rsid w:val="00A57EB5"/>
    <w:rsid w:val="00A643D8"/>
    <w:rsid w:val="00A74A48"/>
    <w:rsid w:val="00A76CB8"/>
    <w:rsid w:val="00A77210"/>
    <w:rsid w:val="00A840AB"/>
    <w:rsid w:val="00A84574"/>
    <w:rsid w:val="00A861AA"/>
    <w:rsid w:val="00A91547"/>
    <w:rsid w:val="00A94776"/>
    <w:rsid w:val="00AA0B65"/>
    <w:rsid w:val="00AA4767"/>
    <w:rsid w:val="00AB0778"/>
    <w:rsid w:val="00AB4748"/>
    <w:rsid w:val="00AC4B9F"/>
    <w:rsid w:val="00AC7402"/>
    <w:rsid w:val="00AC7422"/>
    <w:rsid w:val="00AD0E2D"/>
    <w:rsid w:val="00AD1A00"/>
    <w:rsid w:val="00AD1C1E"/>
    <w:rsid w:val="00AD33CF"/>
    <w:rsid w:val="00AD4148"/>
    <w:rsid w:val="00AD5EB2"/>
    <w:rsid w:val="00AD7E39"/>
    <w:rsid w:val="00AE6450"/>
    <w:rsid w:val="00AF1104"/>
    <w:rsid w:val="00AF5518"/>
    <w:rsid w:val="00AF615D"/>
    <w:rsid w:val="00B101AB"/>
    <w:rsid w:val="00B13D1B"/>
    <w:rsid w:val="00B13FA1"/>
    <w:rsid w:val="00B17D9F"/>
    <w:rsid w:val="00B31652"/>
    <w:rsid w:val="00B405AA"/>
    <w:rsid w:val="00B420AE"/>
    <w:rsid w:val="00B42271"/>
    <w:rsid w:val="00B44C63"/>
    <w:rsid w:val="00B50920"/>
    <w:rsid w:val="00B62914"/>
    <w:rsid w:val="00B66BCC"/>
    <w:rsid w:val="00B67DFD"/>
    <w:rsid w:val="00B77A2C"/>
    <w:rsid w:val="00B823FA"/>
    <w:rsid w:val="00B82EF6"/>
    <w:rsid w:val="00B94C16"/>
    <w:rsid w:val="00B96CD3"/>
    <w:rsid w:val="00BA16AC"/>
    <w:rsid w:val="00BB212F"/>
    <w:rsid w:val="00BB6470"/>
    <w:rsid w:val="00BC400A"/>
    <w:rsid w:val="00BE326C"/>
    <w:rsid w:val="00BE4D85"/>
    <w:rsid w:val="00BF2411"/>
    <w:rsid w:val="00C106FB"/>
    <w:rsid w:val="00C231BC"/>
    <w:rsid w:val="00C32511"/>
    <w:rsid w:val="00C41949"/>
    <w:rsid w:val="00C45D8E"/>
    <w:rsid w:val="00C504D5"/>
    <w:rsid w:val="00C50DD8"/>
    <w:rsid w:val="00C53515"/>
    <w:rsid w:val="00C574CB"/>
    <w:rsid w:val="00C57E2A"/>
    <w:rsid w:val="00C62CF0"/>
    <w:rsid w:val="00C7601A"/>
    <w:rsid w:val="00C812DA"/>
    <w:rsid w:val="00C86022"/>
    <w:rsid w:val="00C86411"/>
    <w:rsid w:val="00C90E62"/>
    <w:rsid w:val="00C96C8C"/>
    <w:rsid w:val="00CA4A19"/>
    <w:rsid w:val="00CA6DBA"/>
    <w:rsid w:val="00CB210C"/>
    <w:rsid w:val="00CC15B6"/>
    <w:rsid w:val="00CC5433"/>
    <w:rsid w:val="00CC5F09"/>
    <w:rsid w:val="00CC6310"/>
    <w:rsid w:val="00CE020A"/>
    <w:rsid w:val="00CE4652"/>
    <w:rsid w:val="00CF078C"/>
    <w:rsid w:val="00CF1C11"/>
    <w:rsid w:val="00D15A0A"/>
    <w:rsid w:val="00D15C96"/>
    <w:rsid w:val="00D1632C"/>
    <w:rsid w:val="00D21294"/>
    <w:rsid w:val="00D21E0C"/>
    <w:rsid w:val="00D30BA1"/>
    <w:rsid w:val="00D31576"/>
    <w:rsid w:val="00D32BC1"/>
    <w:rsid w:val="00D34370"/>
    <w:rsid w:val="00D37B18"/>
    <w:rsid w:val="00D6033B"/>
    <w:rsid w:val="00D6391D"/>
    <w:rsid w:val="00D74055"/>
    <w:rsid w:val="00D74084"/>
    <w:rsid w:val="00D74C7A"/>
    <w:rsid w:val="00D754EF"/>
    <w:rsid w:val="00D76179"/>
    <w:rsid w:val="00D76B9C"/>
    <w:rsid w:val="00D86E5A"/>
    <w:rsid w:val="00D9366C"/>
    <w:rsid w:val="00DA1766"/>
    <w:rsid w:val="00DA34DE"/>
    <w:rsid w:val="00DB113F"/>
    <w:rsid w:val="00DB54CD"/>
    <w:rsid w:val="00DC2DA4"/>
    <w:rsid w:val="00DC5012"/>
    <w:rsid w:val="00DE3717"/>
    <w:rsid w:val="00DE47DF"/>
    <w:rsid w:val="00DE4E64"/>
    <w:rsid w:val="00E074CB"/>
    <w:rsid w:val="00E109BC"/>
    <w:rsid w:val="00E12598"/>
    <w:rsid w:val="00E1428D"/>
    <w:rsid w:val="00E14A5A"/>
    <w:rsid w:val="00E17298"/>
    <w:rsid w:val="00E217C9"/>
    <w:rsid w:val="00E2678A"/>
    <w:rsid w:val="00E27548"/>
    <w:rsid w:val="00E31907"/>
    <w:rsid w:val="00E321E3"/>
    <w:rsid w:val="00E43104"/>
    <w:rsid w:val="00E44B22"/>
    <w:rsid w:val="00E468BE"/>
    <w:rsid w:val="00E477B3"/>
    <w:rsid w:val="00E47BAD"/>
    <w:rsid w:val="00E53933"/>
    <w:rsid w:val="00E549D7"/>
    <w:rsid w:val="00E55D12"/>
    <w:rsid w:val="00E55D26"/>
    <w:rsid w:val="00E57D23"/>
    <w:rsid w:val="00E7300E"/>
    <w:rsid w:val="00E7797E"/>
    <w:rsid w:val="00E84F41"/>
    <w:rsid w:val="00E863F7"/>
    <w:rsid w:val="00E8663B"/>
    <w:rsid w:val="00E91C16"/>
    <w:rsid w:val="00E95E83"/>
    <w:rsid w:val="00EA1F10"/>
    <w:rsid w:val="00EB0BD2"/>
    <w:rsid w:val="00EB0E63"/>
    <w:rsid w:val="00EB4B50"/>
    <w:rsid w:val="00EB4DAF"/>
    <w:rsid w:val="00EC3B39"/>
    <w:rsid w:val="00EC4CB9"/>
    <w:rsid w:val="00ED2424"/>
    <w:rsid w:val="00ED48B3"/>
    <w:rsid w:val="00ED4D14"/>
    <w:rsid w:val="00EE087F"/>
    <w:rsid w:val="00EE51AC"/>
    <w:rsid w:val="00EE7DCD"/>
    <w:rsid w:val="00EF2A66"/>
    <w:rsid w:val="00EF36CF"/>
    <w:rsid w:val="00EF4A54"/>
    <w:rsid w:val="00F13045"/>
    <w:rsid w:val="00F147C1"/>
    <w:rsid w:val="00F249EF"/>
    <w:rsid w:val="00F27476"/>
    <w:rsid w:val="00F311A0"/>
    <w:rsid w:val="00F36710"/>
    <w:rsid w:val="00F646CF"/>
    <w:rsid w:val="00F6591B"/>
    <w:rsid w:val="00F710E5"/>
    <w:rsid w:val="00F71B9A"/>
    <w:rsid w:val="00F72165"/>
    <w:rsid w:val="00F74732"/>
    <w:rsid w:val="00F81076"/>
    <w:rsid w:val="00F834D5"/>
    <w:rsid w:val="00F906E0"/>
    <w:rsid w:val="00F976B6"/>
    <w:rsid w:val="00FA1819"/>
    <w:rsid w:val="00FA4F0A"/>
    <w:rsid w:val="00FA5380"/>
    <w:rsid w:val="00FA6CC8"/>
    <w:rsid w:val="00FB038E"/>
    <w:rsid w:val="00FB3F63"/>
    <w:rsid w:val="00FB66D7"/>
    <w:rsid w:val="00FC22C2"/>
    <w:rsid w:val="00FC2AA5"/>
    <w:rsid w:val="00FC6A19"/>
    <w:rsid w:val="00FC7C6E"/>
    <w:rsid w:val="00FE1782"/>
    <w:rsid w:val="00FE4646"/>
    <w:rsid w:val="00FE5B9B"/>
    <w:rsid w:val="00FE7BA8"/>
    <w:rsid w:val="00FF1E84"/>
    <w:rsid w:val="3885790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EA5F203"/>
  <w15:chartTrackingRefBased/>
  <w15:docId w15:val="{0D46B40C-E831-406E-8428-37B4CE969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paragraph" w:styleId="Heading1">
    <w:name w:val="heading 1"/>
    <w:basedOn w:val="Normal"/>
    <w:next w:val="Normal"/>
    <w:link w:val="Heading1Char"/>
    <w:uiPriority w:val="9"/>
    <w:qFormat/>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iPriority w:val="9"/>
    <w:qFormat/>
    <w:rsid w:val="00E14A5A"/>
    <w:pPr>
      <w:keepNext/>
      <w:keepLines/>
      <w:spacing w:before="200" w:after="0"/>
      <w:outlineLvl w:val="1"/>
    </w:pPr>
    <w:rPr>
      <w:rFonts w:ascii="Cambria" w:hAnsi="Cambria"/>
      <w:b/>
      <w:bCs/>
      <w:color w:val="000000" w:themeColor="text1"/>
      <w:sz w:val="26"/>
      <w:szCs w:val="26"/>
    </w:rPr>
  </w:style>
  <w:style w:type="paragraph" w:styleId="Heading3">
    <w:name w:val="heading 3"/>
    <w:basedOn w:val="Normal"/>
    <w:next w:val="Normal"/>
    <w:link w:val="Heading3Char"/>
    <w:qFormat/>
    <w:pPr>
      <w:keepNext/>
      <w:numPr>
        <w:ilvl w:val="2"/>
        <w:numId w:val="1"/>
      </w:numPr>
      <w:tabs>
        <w:tab w:val="left" w:pos="360"/>
      </w:tabs>
      <w:spacing w:before="240" w:after="60" w:line="240" w:lineRule="auto"/>
      <w:outlineLvl w:val="2"/>
    </w:pPr>
    <w:rPr>
      <w:rFonts w:ascii="Arial" w:eastAsia="SimSun" w:hAnsi="Arial" w:cs="Arial"/>
      <w:b/>
      <w:bCs/>
      <w:sz w:val="26"/>
      <w:szCs w:val="26"/>
      <w:lang w:val="en-AU" w:eastAsia="zh-CN"/>
    </w:rPr>
  </w:style>
  <w:style w:type="paragraph" w:styleId="Heading4">
    <w:name w:val="heading 4"/>
    <w:basedOn w:val="Normal"/>
    <w:next w:val="Normal"/>
    <w:link w:val="Heading4Char"/>
    <w:uiPriority w:val="9"/>
    <w:qFormat/>
    <w:pPr>
      <w:keepNext/>
      <w:keepLines/>
      <w:spacing w:before="200" w:after="0"/>
      <w:outlineLvl w:val="3"/>
    </w:pPr>
    <w:rPr>
      <w:rFonts w:ascii="Cambria"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000FF"/>
      <w:u w:val="single"/>
    </w:rPr>
  </w:style>
  <w:style w:type="character" w:styleId="Strong">
    <w:name w:val="Strong"/>
    <w:uiPriority w:val="22"/>
    <w:qFormat/>
    <w:rPr>
      <w:b/>
      <w:bCs/>
    </w:rPr>
  </w:style>
  <w:style w:type="character" w:customStyle="1" w:styleId="HeaderChar">
    <w:name w:val="Header Char"/>
    <w:link w:val="Header"/>
    <w:uiPriority w:val="99"/>
    <w:rPr>
      <w:rFonts w:ascii="Calibri" w:eastAsia="Calibri" w:hAnsi="Calibri" w:cs="Times New Roman"/>
    </w:rPr>
  </w:style>
  <w:style w:type="character" w:customStyle="1" w:styleId="SubtitleChar">
    <w:name w:val="Subtitle Char"/>
    <w:link w:val="Subtitle"/>
    <w:uiPriority w:val="11"/>
    <w:rPr>
      <w:rFonts w:ascii="Cambria" w:eastAsia="Times New Roman" w:hAnsi="Cambria" w:cs="Times New Roman"/>
      <w:i/>
      <w:iCs/>
      <w:color w:val="4F81BD"/>
      <w:spacing w:val="15"/>
      <w:sz w:val="24"/>
      <w:szCs w:val="24"/>
    </w:rPr>
  </w:style>
  <w:style w:type="character" w:customStyle="1" w:styleId="Heading1Char">
    <w:name w:val="Heading 1 Char"/>
    <w:link w:val="Heading1"/>
    <w:uiPriority w:val="9"/>
    <w:rPr>
      <w:rFonts w:ascii="Cambria" w:eastAsia="Times New Roman" w:hAnsi="Cambria" w:cs="Times New Roman"/>
      <w:b/>
      <w:bCs/>
      <w:kern w:val="32"/>
      <w:sz w:val="32"/>
      <w:szCs w:val="32"/>
    </w:rPr>
  </w:style>
  <w:style w:type="character" w:customStyle="1" w:styleId="IEEEParagraphChar">
    <w:name w:val="IEEE Paragraph Char"/>
    <w:link w:val="IEEEParagraph"/>
    <w:rPr>
      <w:rFonts w:ascii="Times New Roman" w:eastAsia="SimSun" w:hAnsi="Times New Roman"/>
      <w:szCs w:val="24"/>
      <w:lang w:val="en-AU" w:eastAsia="zh-CN"/>
    </w:rPr>
  </w:style>
  <w:style w:type="character" w:customStyle="1" w:styleId="Heading3Char">
    <w:name w:val="Heading 3 Char"/>
    <w:link w:val="Heading3"/>
    <w:rPr>
      <w:rFonts w:ascii="Arial" w:eastAsia="SimSun" w:hAnsi="Arial" w:cs="Arial"/>
      <w:b/>
      <w:bCs/>
      <w:sz w:val="26"/>
      <w:szCs w:val="26"/>
      <w:lang w:val="en-AU" w:eastAsia="zh-CN"/>
    </w:rPr>
  </w:style>
  <w:style w:type="character" w:styleId="IntenseEmphasis">
    <w:name w:val="Intense Emphasis"/>
    <w:uiPriority w:val="21"/>
    <w:qFormat/>
    <w:rPr>
      <w:b/>
      <w:bCs/>
      <w:i/>
      <w:iCs/>
      <w:color w:val="4F81BD"/>
    </w:rPr>
  </w:style>
  <w:style w:type="character" w:customStyle="1" w:styleId="FooterChar">
    <w:name w:val="Footer Char"/>
    <w:link w:val="Footer"/>
    <w:uiPriority w:val="99"/>
    <w:rPr>
      <w:rFonts w:ascii="Calibri" w:eastAsia="Calibri" w:hAnsi="Calibri" w:cs="Times New Roman"/>
    </w:rPr>
  </w:style>
  <w:style w:type="character" w:customStyle="1" w:styleId="Heading4Char">
    <w:name w:val="Heading 4 Char"/>
    <w:link w:val="Heading4"/>
    <w:uiPriority w:val="9"/>
    <w:rPr>
      <w:rFonts w:ascii="Cambria" w:eastAsia="Times New Roman" w:hAnsi="Cambria" w:cs="Times New Roman"/>
      <w:b/>
      <w:bCs/>
      <w:i/>
      <w:iCs/>
      <w:color w:val="4F81BD"/>
    </w:rPr>
  </w:style>
  <w:style w:type="character" w:customStyle="1" w:styleId="BalloonTextChar">
    <w:name w:val="Balloon Text Char"/>
    <w:link w:val="BalloonText"/>
    <w:uiPriority w:val="99"/>
    <w:semiHidden/>
    <w:rPr>
      <w:rFonts w:ascii="Tahoma" w:hAnsi="Tahoma" w:cs="Tahoma"/>
      <w:sz w:val="16"/>
      <w:szCs w:val="16"/>
    </w:rPr>
  </w:style>
  <w:style w:type="character" w:customStyle="1" w:styleId="BodyTextChar">
    <w:name w:val="Body Text Char"/>
    <w:link w:val="BodyText"/>
    <w:uiPriority w:val="99"/>
    <w:rPr>
      <w:rFonts w:ascii="Times New Roman" w:eastAsia="MS Mincho" w:hAnsi="Times New Roman"/>
      <w:spacing w:val="-1"/>
    </w:rPr>
  </w:style>
  <w:style w:type="character" w:customStyle="1" w:styleId="Heading2Char">
    <w:name w:val="Heading 2 Char"/>
    <w:link w:val="Heading2"/>
    <w:uiPriority w:val="9"/>
    <w:rsid w:val="00E14A5A"/>
    <w:rPr>
      <w:rFonts w:ascii="Cambria" w:hAnsi="Cambria"/>
      <w:b/>
      <w:bCs/>
      <w:color w:val="000000" w:themeColor="text1"/>
      <w:sz w:val="26"/>
      <w:szCs w:val="26"/>
      <w:lang w:eastAsia="en-US"/>
    </w:rPr>
  </w:style>
  <w:style w:type="character" w:customStyle="1" w:styleId="StyleIJARCSAbstractItalicChar">
    <w:name w:val="Style IJARCS Abstract + Italic Char"/>
    <w:link w:val="StyleIJARCSAbstractItalic"/>
    <w:rPr>
      <w:rFonts w:ascii="Times New Roman" w:eastAsia="SimSun" w:hAnsi="Times New Roman"/>
      <w:b/>
      <w:bCs/>
      <w:i/>
      <w:iCs/>
      <w:color w:val="333333"/>
      <w:sz w:val="18"/>
      <w:szCs w:val="24"/>
      <w:lang w:val="en-GB" w:eastAsia="en-GB"/>
    </w:rPr>
  </w:style>
  <w:style w:type="paragraph" w:styleId="BodyText">
    <w:name w:val="Body Text"/>
    <w:basedOn w:val="Normal"/>
    <w:link w:val="BodyTextChar"/>
    <w:uiPriority w:val="99"/>
    <w:pPr>
      <w:tabs>
        <w:tab w:val="left" w:pos="288"/>
      </w:tabs>
      <w:spacing w:after="120" w:line="228" w:lineRule="auto"/>
      <w:ind w:firstLine="288"/>
      <w:jc w:val="both"/>
    </w:pPr>
    <w:rPr>
      <w:rFonts w:ascii="Times New Roman" w:eastAsia="MS Mincho" w:hAnsi="Times New Roman"/>
      <w:spacing w:val="-1"/>
      <w:sz w:val="20"/>
      <w:szCs w:val="20"/>
    </w:rPr>
  </w:style>
  <w:style w:type="paragraph" w:styleId="BalloonText">
    <w:name w:val="Balloon Text"/>
    <w:basedOn w:val="Normal"/>
    <w:link w:val="BalloonTextChar"/>
    <w:uiPriority w:val="99"/>
    <w:unhideWhenUsed/>
    <w:pPr>
      <w:spacing w:after="0"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after="0" w:line="240" w:lineRule="auto"/>
    </w:pPr>
    <w:rPr>
      <w:rFonts w:eastAsia="Calibri"/>
    </w:rPr>
  </w:style>
  <w:style w:type="paragraph" w:styleId="Subtitle">
    <w:name w:val="Subtitle"/>
    <w:basedOn w:val="Normal"/>
    <w:next w:val="Normal"/>
    <w:link w:val="SubtitleChar"/>
    <w:uiPriority w:val="11"/>
    <w:qFormat/>
    <w:pPr>
      <w:numPr>
        <w:ilvl w:val="1"/>
      </w:numPr>
    </w:pPr>
    <w:rPr>
      <w:rFonts w:ascii="Cambria" w:hAnsi="Cambria"/>
      <w:i/>
      <w:iCs/>
      <w:color w:val="4F81BD"/>
      <w:spacing w:val="15"/>
      <w:sz w:val="24"/>
      <w:szCs w:val="24"/>
    </w:rPr>
  </w:style>
  <w:style w:type="paragraph" w:styleId="Header">
    <w:name w:val="header"/>
    <w:basedOn w:val="Normal"/>
    <w:link w:val="HeaderChar"/>
    <w:uiPriority w:val="99"/>
    <w:unhideWhenUsed/>
    <w:pPr>
      <w:tabs>
        <w:tab w:val="center" w:pos="4680"/>
        <w:tab w:val="right" w:pos="9360"/>
      </w:tabs>
      <w:spacing w:after="0" w:line="240" w:lineRule="auto"/>
    </w:pPr>
    <w:rPr>
      <w:rFonts w:eastAsia="Calibri"/>
    </w:rPr>
  </w:style>
  <w:style w:type="paragraph" w:styleId="NormalWeb">
    <w:name w:val="Normal (Web)"/>
    <w:basedOn w:val="Normal"/>
    <w:uiPriority w:val="99"/>
    <w:unhideWhenUsed/>
    <w:pPr>
      <w:spacing w:before="100" w:beforeAutospacing="1" w:after="100" w:afterAutospacing="1" w:line="240" w:lineRule="auto"/>
    </w:pPr>
    <w:rPr>
      <w:rFonts w:ascii="Times New Roman" w:hAnsi="Times New Roman"/>
      <w:sz w:val="24"/>
      <w:szCs w:val="24"/>
    </w:rPr>
  </w:style>
  <w:style w:type="paragraph" w:customStyle="1" w:styleId="references">
    <w:name w:val="references"/>
    <w:pPr>
      <w:numPr>
        <w:numId w:val="2"/>
      </w:numPr>
      <w:tabs>
        <w:tab w:val="left" w:pos="360"/>
      </w:tabs>
      <w:spacing w:after="60" w:line="200" w:lineRule="exact"/>
      <w:jc w:val="both"/>
    </w:pPr>
    <w:rPr>
      <w:rFonts w:ascii="Times New Roman" w:eastAsia="MS Mincho" w:hAnsi="Times New Roman"/>
      <w:szCs w:val="16"/>
      <w:lang w:eastAsia="en-US"/>
    </w:rPr>
  </w:style>
  <w:style w:type="paragraph" w:customStyle="1" w:styleId="StyleIJARCSAbstractItalic">
    <w:name w:val="Style IJARCS Abstract + Italic"/>
    <w:basedOn w:val="Normal"/>
    <w:link w:val="StyleIJARCSAbstractItalicChar"/>
    <w:pPr>
      <w:pBdr>
        <w:top w:val="single" w:sz="4" w:space="1" w:color="333333"/>
        <w:bottom w:val="single" w:sz="4" w:space="1" w:color="333333"/>
      </w:pBdr>
      <w:adjustRightInd w:val="0"/>
      <w:snapToGrid w:val="0"/>
      <w:spacing w:after="0" w:line="240" w:lineRule="auto"/>
      <w:jc w:val="both"/>
    </w:pPr>
    <w:rPr>
      <w:rFonts w:ascii="Times New Roman" w:eastAsia="SimSun" w:hAnsi="Times New Roman"/>
      <w:b/>
      <w:bCs/>
      <w:i/>
      <w:iCs/>
      <w:color w:val="333333"/>
      <w:sz w:val="18"/>
      <w:szCs w:val="24"/>
      <w:lang w:val="en-GB" w:eastAsia="en-GB"/>
    </w:rPr>
  </w:style>
  <w:style w:type="paragraph" w:styleId="NoSpacing">
    <w:name w:val="No Spacing"/>
    <w:uiPriority w:val="1"/>
    <w:qFormat/>
    <w:rPr>
      <w:rFonts w:eastAsia="Calibri"/>
      <w:sz w:val="22"/>
      <w:szCs w:val="22"/>
      <w:lang w:eastAsia="en-US"/>
    </w:rPr>
  </w:style>
  <w:style w:type="paragraph" w:customStyle="1" w:styleId="IEEEReferenceItem">
    <w:name w:val="IEEE Reference Item"/>
    <w:basedOn w:val="Normal"/>
    <w:pPr>
      <w:numPr>
        <w:numId w:val="1"/>
      </w:numPr>
      <w:adjustRightInd w:val="0"/>
      <w:snapToGrid w:val="0"/>
      <w:spacing w:after="0" w:line="240" w:lineRule="auto"/>
      <w:jc w:val="both"/>
    </w:pPr>
    <w:rPr>
      <w:rFonts w:ascii="Times New Roman" w:eastAsia="SimSun" w:hAnsi="Times New Roman"/>
      <w:sz w:val="16"/>
      <w:szCs w:val="24"/>
      <w:lang w:eastAsia="zh-CN"/>
    </w:rPr>
  </w:style>
  <w:style w:type="paragraph" w:customStyle="1" w:styleId="Abstract">
    <w:name w:val="Abstract"/>
    <w:pPr>
      <w:spacing w:after="454"/>
      <w:ind w:left="1418"/>
      <w:jc w:val="both"/>
    </w:pPr>
    <w:rPr>
      <w:rFonts w:ascii="Times" w:hAnsi="Times"/>
      <w:color w:val="000000"/>
      <w:lang w:val="en-GB" w:eastAsia="en-US"/>
    </w:rPr>
  </w:style>
  <w:style w:type="paragraph" w:customStyle="1" w:styleId="IEEEAuthorAffiliation">
    <w:name w:val="IEEE Author Affiliation"/>
    <w:basedOn w:val="Normal"/>
    <w:next w:val="Normal"/>
    <w:pPr>
      <w:spacing w:after="60" w:line="240" w:lineRule="auto"/>
      <w:jc w:val="center"/>
    </w:pPr>
    <w:rPr>
      <w:rFonts w:ascii="Times New Roman" w:hAnsi="Times New Roman"/>
      <w:i/>
      <w:sz w:val="20"/>
      <w:szCs w:val="24"/>
      <w:lang w:val="en-GB" w:eastAsia="en-GB"/>
    </w:rPr>
  </w:style>
  <w:style w:type="paragraph" w:customStyle="1" w:styleId="IEEEParagraph">
    <w:name w:val="IEEE Paragraph"/>
    <w:basedOn w:val="Normal"/>
    <w:link w:val="IEEEParagraphChar"/>
    <w:pPr>
      <w:adjustRightInd w:val="0"/>
      <w:snapToGrid w:val="0"/>
      <w:spacing w:after="0" w:line="240" w:lineRule="auto"/>
      <w:ind w:firstLine="216"/>
      <w:jc w:val="both"/>
    </w:pPr>
    <w:rPr>
      <w:rFonts w:ascii="Times New Roman" w:eastAsia="SimSun" w:hAnsi="Times New Roman"/>
      <w:sz w:val="20"/>
      <w:szCs w:val="24"/>
      <w:lang w:val="en-AU" w:eastAsia="zh-CN"/>
    </w:rPr>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Equation">
    <w:name w:val="Equation"/>
    <w:basedOn w:val="Normal"/>
    <w:rsid w:val="00D76179"/>
    <w:pPr>
      <w:snapToGrid w:val="0"/>
      <w:spacing w:after="0" w:line="240" w:lineRule="auto"/>
      <w:jc w:val="both"/>
    </w:pPr>
    <w:rPr>
      <w:rFonts w:ascii="Times New Roman" w:eastAsia="BatangChe" w:hAnsi="Times New Roman"/>
      <w:sz w:val="20"/>
      <w:szCs w:val="20"/>
      <w:lang w:eastAsia="ko-KR"/>
    </w:rPr>
  </w:style>
  <w:style w:type="paragraph" w:styleId="ListParagraph">
    <w:name w:val="List Paragraph"/>
    <w:basedOn w:val="Normal"/>
    <w:uiPriority w:val="99"/>
    <w:qFormat/>
    <w:rsid w:val="009458BA"/>
    <w:pPr>
      <w:ind w:left="720"/>
      <w:contextualSpacing/>
    </w:pPr>
  </w:style>
  <w:style w:type="character" w:styleId="PlaceholderText">
    <w:name w:val="Placeholder Text"/>
    <w:basedOn w:val="DefaultParagraphFont"/>
    <w:uiPriority w:val="99"/>
    <w:unhideWhenUsed/>
    <w:rsid w:val="00927C49"/>
    <w:rPr>
      <w:color w:val="808080"/>
    </w:rPr>
  </w:style>
  <w:style w:type="character" w:styleId="UnresolvedMention">
    <w:name w:val="Unresolved Mention"/>
    <w:basedOn w:val="DefaultParagraphFont"/>
    <w:uiPriority w:val="99"/>
    <w:semiHidden/>
    <w:unhideWhenUsed/>
    <w:rsid w:val="006E737A"/>
    <w:rPr>
      <w:color w:val="605E5C"/>
      <w:shd w:val="clear" w:color="auto" w:fill="E1DFDD"/>
    </w:rPr>
  </w:style>
  <w:style w:type="paragraph" w:styleId="Caption">
    <w:name w:val="caption"/>
    <w:basedOn w:val="Normal"/>
    <w:next w:val="Normal"/>
    <w:uiPriority w:val="35"/>
    <w:unhideWhenUsed/>
    <w:qFormat/>
    <w:rsid w:val="00204C8C"/>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0837">
      <w:bodyDiv w:val="1"/>
      <w:marLeft w:val="0"/>
      <w:marRight w:val="0"/>
      <w:marTop w:val="0"/>
      <w:marBottom w:val="0"/>
      <w:divBdr>
        <w:top w:val="none" w:sz="0" w:space="0" w:color="auto"/>
        <w:left w:val="none" w:sz="0" w:space="0" w:color="auto"/>
        <w:bottom w:val="none" w:sz="0" w:space="0" w:color="auto"/>
        <w:right w:val="none" w:sz="0" w:space="0" w:color="auto"/>
      </w:divBdr>
    </w:div>
    <w:div w:id="152962868">
      <w:bodyDiv w:val="1"/>
      <w:marLeft w:val="0"/>
      <w:marRight w:val="0"/>
      <w:marTop w:val="0"/>
      <w:marBottom w:val="0"/>
      <w:divBdr>
        <w:top w:val="none" w:sz="0" w:space="0" w:color="auto"/>
        <w:left w:val="none" w:sz="0" w:space="0" w:color="auto"/>
        <w:bottom w:val="none" w:sz="0" w:space="0" w:color="auto"/>
        <w:right w:val="none" w:sz="0" w:space="0" w:color="auto"/>
      </w:divBdr>
    </w:div>
    <w:div w:id="321396798">
      <w:bodyDiv w:val="1"/>
      <w:marLeft w:val="0"/>
      <w:marRight w:val="0"/>
      <w:marTop w:val="0"/>
      <w:marBottom w:val="0"/>
      <w:divBdr>
        <w:top w:val="none" w:sz="0" w:space="0" w:color="auto"/>
        <w:left w:val="none" w:sz="0" w:space="0" w:color="auto"/>
        <w:bottom w:val="none" w:sz="0" w:space="0" w:color="auto"/>
        <w:right w:val="none" w:sz="0" w:space="0" w:color="auto"/>
      </w:divBdr>
      <w:divsChild>
        <w:div w:id="1528057839">
          <w:marLeft w:val="0"/>
          <w:marRight w:val="0"/>
          <w:marTop w:val="0"/>
          <w:marBottom w:val="0"/>
          <w:divBdr>
            <w:top w:val="none" w:sz="0" w:space="0" w:color="auto"/>
            <w:left w:val="none" w:sz="0" w:space="0" w:color="auto"/>
            <w:bottom w:val="none" w:sz="0" w:space="0" w:color="auto"/>
            <w:right w:val="none" w:sz="0" w:space="0" w:color="auto"/>
          </w:divBdr>
          <w:divsChild>
            <w:div w:id="2042970606">
              <w:marLeft w:val="0"/>
              <w:marRight w:val="0"/>
              <w:marTop w:val="0"/>
              <w:marBottom w:val="0"/>
              <w:divBdr>
                <w:top w:val="none" w:sz="0" w:space="0" w:color="auto"/>
                <w:left w:val="none" w:sz="0" w:space="0" w:color="auto"/>
                <w:bottom w:val="none" w:sz="0" w:space="0" w:color="auto"/>
                <w:right w:val="none" w:sz="0" w:space="0" w:color="auto"/>
              </w:divBdr>
              <w:divsChild>
                <w:div w:id="96685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958800">
      <w:bodyDiv w:val="1"/>
      <w:marLeft w:val="0"/>
      <w:marRight w:val="0"/>
      <w:marTop w:val="0"/>
      <w:marBottom w:val="0"/>
      <w:divBdr>
        <w:top w:val="none" w:sz="0" w:space="0" w:color="auto"/>
        <w:left w:val="none" w:sz="0" w:space="0" w:color="auto"/>
        <w:bottom w:val="none" w:sz="0" w:space="0" w:color="auto"/>
        <w:right w:val="none" w:sz="0" w:space="0" w:color="auto"/>
      </w:divBdr>
    </w:div>
    <w:div w:id="538201777">
      <w:bodyDiv w:val="1"/>
      <w:marLeft w:val="0"/>
      <w:marRight w:val="0"/>
      <w:marTop w:val="0"/>
      <w:marBottom w:val="0"/>
      <w:divBdr>
        <w:top w:val="none" w:sz="0" w:space="0" w:color="auto"/>
        <w:left w:val="none" w:sz="0" w:space="0" w:color="auto"/>
        <w:bottom w:val="none" w:sz="0" w:space="0" w:color="auto"/>
        <w:right w:val="none" w:sz="0" w:space="0" w:color="auto"/>
      </w:divBdr>
    </w:div>
    <w:div w:id="588731833">
      <w:bodyDiv w:val="1"/>
      <w:marLeft w:val="0"/>
      <w:marRight w:val="0"/>
      <w:marTop w:val="0"/>
      <w:marBottom w:val="0"/>
      <w:divBdr>
        <w:top w:val="none" w:sz="0" w:space="0" w:color="auto"/>
        <w:left w:val="none" w:sz="0" w:space="0" w:color="auto"/>
        <w:bottom w:val="none" w:sz="0" w:space="0" w:color="auto"/>
        <w:right w:val="none" w:sz="0" w:space="0" w:color="auto"/>
      </w:divBdr>
    </w:div>
    <w:div w:id="592200299">
      <w:bodyDiv w:val="1"/>
      <w:marLeft w:val="0"/>
      <w:marRight w:val="0"/>
      <w:marTop w:val="0"/>
      <w:marBottom w:val="0"/>
      <w:divBdr>
        <w:top w:val="none" w:sz="0" w:space="0" w:color="auto"/>
        <w:left w:val="none" w:sz="0" w:space="0" w:color="auto"/>
        <w:bottom w:val="none" w:sz="0" w:space="0" w:color="auto"/>
        <w:right w:val="none" w:sz="0" w:space="0" w:color="auto"/>
      </w:divBdr>
    </w:div>
    <w:div w:id="607783869">
      <w:bodyDiv w:val="1"/>
      <w:marLeft w:val="0"/>
      <w:marRight w:val="0"/>
      <w:marTop w:val="0"/>
      <w:marBottom w:val="0"/>
      <w:divBdr>
        <w:top w:val="none" w:sz="0" w:space="0" w:color="auto"/>
        <w:left w:val="none" w:sz="0" w:space="0" w:color="auto"/>
        <w:bottom w:val="none" w:sz="0" w:space="0" w:color="auto"/>
        <w:right w:val="none" w:sz="0" w:space="0" w:color="auto"/>
      </w:divBdr>
    </w:div>
    <w:div w:id="637301619">
      <w:bodyDiv w:val="1"/>
      <w:marLeft w:val="0"/>
      <w:marRight w:val="0"/>
      <w:marTop w:val="0"/>
      <w:marBottom w:val="0"/>
      <w:divBdr>
        <w:top w:val="none" w:sz="0" w:space="0" w:color="auto"/>
        <w:left w:val="none" w:sz="0" w:space="0" w:color="auto"/>
        <w:bottom w:val="none" w:sz="0" w:space="0" w:color="auto"/>
        <w:right w:val="none" w:sz="0" w:space="0" w:color="auto"/>
      </w:divBdr>
    </w:div>
    <w:div w:id="680356030">
      <w:bodyDiv w:val="1"/>
      <w:marLeft w:val="0"/>
      <w:marRight w:val="0"/>
      <w:marTop w:val="0"/>
      <w:marBottom w:val="0"/>
      <w:divBdr>
        <w:top w:val="none" w:sz="0" w:space="0" w:color="auto"/>
        <w:left w:val="none" w:sz="0" w:space="0" w:color="auto"/>
        <w:bottom w:val="none" w:sz="0" w:space="0" w:color="auto"/>
        <w:right w:val="none" w:sz="0" w:space="0" w:color="auto"/>
      </w:divBdr>
    </w:div>
    <w:div w:id="765344223">
      <w:bodyDiv w:val="1"/>
      <w:marLeft w:val="0"/>
      <w:marRight w:val="0"/>
      <w:marTop w:val="0"/>
      <w:marBottom w:val="0"/>
      <w:divBdr>
        <w:top w:val="none" w:sz="0" w:space="0" w:color="auto"/>
        <w:left w:val="none" w:sz="0" w:space="0" w:color="auto"/>
        <w:bottom w:val="none" w:sz="0" w:space="0" w:color="auto"/>
        <w:right w:val="none" w:sz="0" w:space="0" w:color="auto"/>
      </w:divBdr>
    </w:div>
    <w:div w:id="775323464">
      <w:bodyDiv w:val="1"/>
      <w:marLeft w:val="0"/>
      <w:marRight w:val="0"/>
      <w:marTop w:val="0"/>
      <w:marBottom w:val="0"/>
      <w:divBdr>
        <w:top w:val="none" w:sz="0" w:space="0" w:color="auto"/>
        <w:left w:val="none" w:sz="0" w:space="0" w:color="auto"/>
        <w:bottom w:val="none" w:sz="0" w:space="0" w:color="auto"/>
        <w:right w:val="none" w:sz="0" w:space="0" w:color="auto"/>
      </w:divBdr>
    </w:div>
    <w:div w:id="1030839418">
      <w:bodyDiv w:val="1"/>
      <w:marLeft w:val="0"/>
      <w:marRight w:val="0"/>
      <w:marTop w:val="0"/>
      <w:marBottom w:val="0"/>
      <w:divBdr>
        <w:top w:val="none" w:sz="0" w:space="0" w:color="auto"/>
        <w:left w:val="none" w:sz="0" w:space="0" w:color="auto"/>
        <w:bottom w:val="none" w:sz="0" w:space="0" w:color="auto"/>
        <w:right w:val="none" w:sz="0" w:space="0" w:color="auto"/>
      </w:divBdr>
    </w:div>
    <w:div w:id="1036540631">
      <w:bodyDiv w:val="1"/>
      <w:marLeft w:val="0"/>
      <w:marRight w:val="0"/>
      <w:marTop w:val="0"/>
      <w:marBottom w:val="0"/>
      <w:divBdr>
        <w:top w:val="none" w:sz="0" w:space="0" w:color="auto"/>
        <w:left w:val="none" w:sz="0" w:space="0" w:color="auto"/>
        <w:bottom w:val="none" w:sz="0" w:space="0" w:color="auto"/>
        <w:right w:val="none" w:sz="0" w:space="0" w:color="auto"/>
      </w:divBdr>
    </w:div>
    <w:div w:id="1133132281">
      <w:bodyDiv w:val="1"/>
      <w:marLeft w:val="0"/>
      <w:marRight w:val="0"/>
      <w:marTop w:val="0"/>
      <w:marBottom w:val="0"/>
      <w:divBdr>
        <w:top w:val="none" w:sz="0" w:space="0" w:color="auto"/>
        <w:left w:val="none" w:sz="0" w:space="0" w:color="auto"/>
        <w:bottom w:val="none" w:sz="0" w:space="0" w:color="auto"/>
        <w:right w:val="none" w:sz="0" w:space="0" w:color="auto"/>
      </w:divBdr>
    </w:div>
    <w:div w:id="1152599232">
      <w:bodyDiv w:val="1"/>
      <w:marLeft w:val="0"/>
      <w:marRight w:val="0"/>
      <w:marTop w:val="0"/>
      <w:marBottom w:val="0"/>
      <w:divBdr>
        <w:top w:val="none" w:sz="0" w:space="0" w:color="auto"/>
        <w:left w:val="none" w:sz="0" w:space="0" w:color="auto"/>
        <w:bottom w:val="none" w:sz="0" w:space="0" w:color="auto"/>
        <w:right w:val="none" w:sz="0" w:space="0" w:color="auto"/>
      </w:divBdr>
    </w:div>
    <w:div w:id="1179126014">
      <w:bodyDiv w:val="1"/>
      <w:marLeft w:val="0"/>
      <w:marRight w:val="0"/>
      <w:marTop w:val="0"/>
      <w:marBottom w:val="0"/>
      <w:divBdr>
        <w:top w:val="none" w:sz="0" w:space="0" w:color="auto"/>
        <w:left w:val="none" w:sz="0" w:space="0" w:color="auto"/>
        <w:bottom w:val="none" w:sz="0" w:space="0" w:color="auto"/>
        <w:right w:val="none" w:sz="0" w:space="0" w:color="auto"/>
      </w:divBdr>
    </w:div>
    <w:div w:id="1455179079">
      <w:bodyDiv w:val="1"/>
      <w:marLeft w:val="0"/>
      <w:marRight w:val="0"/>
      <w:marTop w:val="0"/>
      <w:marBottom w:val="0"/>
      <w:divBdr>
        <w:top w:val="none" w:sz="0" w:space="0" w:color="auto"/>
        <w:left w:val="none" w:sz="0" w:space="0" w:color="auto"/>
        <w:bottom w:val="none" w:sz="0" w:space="0" w:color="auto"/>
        <w:right w:val="none" w:sz="0" w:space="0" w:color="auto"/>
      </w:divBdr>
    </w:div>
    <w:div w:id="1488092421">
      <w:bodyDiv w:val="1"/>
      <w:marLeft w:val="0"/>
      <w:marRight w:val="0"/>
      <w:marTop w:val="0"/>
      <w:marBottom w:val="0"/>
      <w:divBdr>
        <w:top w:val="none" w:sz="0" w:space="0" w:color="auto"/>
        <w:left w:val="none" w:sz="0" w:space="0" w:color="auto"/>
        <w:bottom w:val="none" w:sz="0" w:space="0" w:color="auto"/>
        <w:right w:val="none" w:sz="0" w:space="0" w:color="auto"/>
      </w:divBdr>
    </w:div>
    <w:div w:id="1496653607">
      <w:bodyDiv w:val="1"/>
      <w:marLeft w:val="0"/>
      <w:marRight w:val="0"/>
      <w:marTop w:val="0"/>
      <w:marBottom w:val="0"/>
      <w:divBdr>
        <w:top w:val="none" w:sz="0" w:space="0" w:color="auto"/>
        <w:left w:val="none" w:sz="0" w:space="0" w:color="auto"/>
        <w:bottom w:val="none" w:sz="0" w:space="0" w:color="auto"/>
        <w:right w:val="none" w:sz="0" w:space="0" w:color="auto"/>
      </w:divBdr>
    </w:div>
    <w:div w:id="1568488712">
      <w:bodyDiv w:val="1"/>
      <w:marLeft w:val="0"/>
      <w:marRight w:val="0"/>
      <w:marTop w:val="0"/>
      <w:marBottom w:val="0"/>
      <w:divBdr>
        <w:top w:val="none" w:sz="0" w:space="0" w:color="auto"/>
        <w:left w:val="none" w:sz="0" w:space="0" w:color="auto"/>
        <w:bottom w:val="none" w:sz="0" w:space="0" w:color="auto"/>
        <w:right w:val="none" w:sz="0" w:space="0" w:color="auto"/>
      </w:divBdr>
    </w:div>
    <w:div w:id="1645234543">
      <w:bodyDiv w:val="1"/>
      <w:marLeft w:val="0"/>
      <w:marRight w:val="0"/>
      <w:marTop w:val="0"/>
      <w:marBottom w:val="0"/>
      <w:divBdr>
        <w:top w:val="none" w:sz="0" w:space="0" w:color="auto"/>
        <w:left w:val="none" w:sz="0" w:space="0" w:color="auto"/>
        <w:bottom w:val="none" w:sz="0" w:space="0" w:color="auto"/>
        <w:right w:val="none" w:sz="0" w:space="0" w:color="auto"/>
      </w:divBdr>
    </w:div>
    <w:div w:id="1804804803">
      <w:bodyDiv w:val="1"/>
      <w:marLeft w:val="0"/>
      <w:marRight w:val="0"/>
      <w:marTop w:val="0"/>
      <w:marBottom w:val="0"/>
      <w:divBdr>
        <w:top w:val="none" w:sz="0" w:space="0" w:color="auto"/>
        <w:left w:val="none" w:sz="0" w:space="0" w:color="auto"/>
        <w:bottom w:val="none" w:sz="0" w:space="0" w:color="auto"/>
        <w:right w:val="none" w:sz="0" w:space="0" w:color="auto"/>
      </w:divBdr>
    </w:div>
    <w:div w:id="2126073646">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1" ma:contentTypeDescription="Create a new document." ma:contentTypeScope="" ma:versionID="b47c6d071baee29b9a4513f828121b80">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6a704abfb0882c6486cea0d6c0198dfc"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8e8b8cd-314c-4bc9-b9bb-63827a76b119}"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documentManagement>
</p:properties>
</file>

<file path=customXml/itemProps1.xml><?xml version="1.0" encoding="utf-8"?>
<ds:datastoreItem xmlns:ds="http://schemas.openxmlformats.org/officeDocument/2006/customXml" ds:itemID="{3E417F30-C2B3-4191-8AF8-35600DAC1710}">
  <ds:schemaRefs>
    <ds:schemaRef ds:uri="http://schemas.microsoft.com/sharepoint/v3/contenttype/forms"/>
  </ds:schemaRefs>
</ds:datastoreItem>
</file>

<file path=customXml/itemProps2.xml><?xml version="1.0" encoding="utf-8"?>
<ds:datastoreItem xmlns:ds="http://schemas.openxmlformats.org/officeDocument/2006/customXml" ds:itemID="{C1F23746-0384-419E-9E39-61C63C669DE0}">
  <ds:schemaRefs>
    <ds:schemaRef ds:uri="http://schemas.openxmlformats.org/officeDocument/2006/bibliography"/>
  </ds:schemaRefs>
</ds:datastoreItem>
</file>

<file path=customXml/itemProps3.xml><?xml version="1.0" encoding="utf-8"?>
<ds:datastoreItem xmlns:ds="http://schemas.openxmlformats.org/officeDocument/2006/customXml" ds:itemID="{03E802B9-5EE3-4C35-81FC-11799ACEA9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0A96CF-3B3F-431D-8A33-477F3DF8EA20}">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docProps/app.xml><?xml version="1.0" encoding="utf-8"?>
<Properties xmlns="http://schemas.openxmlformats.org/officeDocument/2006/extended-properties" xmlns:vt="http://schemas.openxmlformats.org/officeDocument/2006/docPropsVTypes">
  <Template>Normal.dotm</Template>
  <TotalTime>466</TotalTime>
  <Pages>10</Pages>
  <Words>2793</Words>
  <Characters>15924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Windows User</Company>
  <LinksUpToDate>false</LinksUpToDate>
  <CharactersWithSpaces>18680</CharactersWithSpaces>
  <SharedDoc>false</SharedDoc>
  <HLinks>
    <vt:vector size="6" baseType="variant">
      <vt:variant>
        <vt:i4>2162767</vt:i4>
      </vt:variant>
      <vt:variant>
        <vt:i4>3</vt:i4>
      </vt:variant>
      <vt:variant>
        <vt:i4>0</vt:i4>
      </vt:variant>
      <vt:variant>
        <vt:i4>5</vt:i4>
      </vt:variant>
      <vt:variant>
        <vt:lpwstr>https://uwtsd.ac.uk/media/uwtsd-website/content-assets/documents/library-and-learning-resources/infoskills/IEEE-eng_v.1.2.pdf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dc:creator>
  <cp:keywords/>
  <cp:lastModifiedBy>Maya Myer</cp:lastModifiedBy>
  <cp:revision>10</cp:revision>
  <cp:lastPrinted>2018-10-03T10:39:00Z</cp:lastPrinted>
  <dcterms:created xsi:type="dcterms:W3CDTF">2023-04-25T13:09:00Z</dcterms:created>
  <dcterms:modified xsi:type="dcterms:W3CDTF">2023-04-25T20:54:00Z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