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6805" w:type="dxa"/>
        <w:tblInd w:w="-856" w:type="dxa"/>
        <w:tblLook w:val="04A0" w:firstRow="1" w:lastRow="0" w:firstColumn="1" w:lastColumn="0" w:noHBand="0" w:noVBand="1"/>
      </w:tblPr>
      <w:tblGrid>
        <w:gridCol w:w="1418"/>
        <w:gridCol w:w="5387"/>
      </w:tblGrid>
      <w:tr w:rsidR="008852B0" w:rsidRPr="003B5D4C" w14:paraId="70820B30" w14:textId="77777777" w:rsidTr="008852B0">
        <w:tc>
          <w:tcPr>
            <w:tcW w:w="1418" w:type="dxa"/>
          </w:tcPr>
          <w:p w14:paraId="35174489" w14:textId="4E1F243F" w:rsidR="008852B0" w:rsidRPr="003B5D4C" w:rsidRDefault="008852B0">
            <w:pPr>
              <w:spacing w:line="360" w:lineRule="auto"/>
              <w:rPr>
                <w:rFonts w:ascii="Arial" w:hAnsi="Arial"/>
                <w:b/>
                <w:bCs/>
              </w:rPr>
            </w:pPr>
          </w:p>
        </w:tc>
        <w:tc>
          <w:tcPr>
            <w:tcW w:w="5387" w:type="dxa"/>
          </w:tcPr>
          <w:p w14:paraId="58AD007A" w14:textId="0549C7FB" w:rsidR="008852B0" w:rsidRPr="003B5D4C" w:rsidRDefault="00B17B16" w:rsidP="00B17B16">
            <w:pPr>
              <w:spacing w:line="360" w:lineRule="auto"/>
              <w:jc w:val="center"/>
              <w:rPr>
                <w:rFonts w:ascii="Arial" w:hAnsi="Arial"/>
                <w:b/>
                <w:bCs/>
              </w:rPr>
            </w:pPr>
            <w:r>
              <w:rPr>
                <w:rFonts w:ascii="Arial" w:hAnsi="Arial"/>
                <w:b/>
                <w:bCs/>
              </w:rPr>
              <w:t>Targets</w:t>
            </w:r>
          </w:p>
        </w:tc>
      </w:tr>
      <w:tr w:rsidR="008852B0" w:rsidRPr="003B5D4C" w14:paraId="2E7C8234" w14:textId="77777777" w:rsidTr="008852B0">
        <w:tc>
          <w:tcPr>
            <w:tcW w:w="1418" w:type="dxa"/>
          </w:tcPr>
          <w:p w14:paraId="47F42E8B" w14:textId="77777777" w:rsidR="008852B0" w:rsidRPr="003B5D4C" w:rsidRDefault="008852B0">
            <w:pPr>
              <w:spacing w:line="360" w:lineRule="auto"/>
              <w:rPr>
                <w:rFonts w:ascii="Arial" w:hAnsi="Arial"/>
                <w:b/>
                <w:bCs/>
              </w:rPr>
            </w:pPr>
            <w:r w:rsidRPr="003B5D4C">
              <w:rPr>
                <w:rFonts w:ascii="Arial" w:hAnsi="Arial"/>
                <w:b/>
                <w:bCs/>
              </w:rPr>
              <w:t>Target 1</w:t>
            </w:r>
          </w:p>
          <w:p w14:paraId="7DAA58F1" w14:textId="77777777" w:rsidR="008852B0" w:rsidRPr="003B5D4C" w:rsidRDefault="008852B0">
            <w:pPr>
              <w:spacing w:line="360" w:lineRule="auto"/>
              <w:rPr>
                <w:rFonts w:ascii="Arial" w:hAnsi="Arial" w:cs="Arial"/>
              </w:rPr>
            </w:pPr>
          </w:p>
        </w:tc>
        <w:tc>
          <w:tcPr>
            <w:tcW w:w="5387" w:type="dxa"/>
          </w:tcPr>
          <w:p w14:paraId="0B231C93" w14:textId="00E99478" w:rsidR="008852B0" w:rsidRPr="003B5D4C" w:rsidRDefault="008852B0" w:rsidP="008852B0">
            <w:pPr>
              <w:spacing w:line="360" w:lineRule="auto"/>
              <w:jc w:val="center"/>
              <w:rPr>
                <w:rFonts w:ascii="Arial" w:hAnsi="Arial"/>
              </w:rPr>
            </w:pPr>
            <w:r>
              <w:rPr>
                <w:rFonts w:ascii="Arial" w:hAnsi="Arial"/>
              </w:rPr>
              <w:t>Refer to the Harvard Referencing Guide.</w:t>
            </w:r>
          </w:p>
        </w:tc>
      </w:tr>
      <w:tr w:rsidR="008852B0" w:rsidRPr="003B5D4C" w14:paraId="05C37D8E" w14:textId="77777777" w:rsidTr="008852B0">
        <w:tc>
          <w:tcPr>
            <w:tcW w:w="1418" w:type="dxa"/>
          </w:tcPr>
          <w:p w14:paraId="799BC699" w14:textId="77777777" w:rsidR="008852B0" w:rsidRPr="003B5D4C" w:rsidRDefault="008852B0">
            <w:pPr>
              <w:spacing w:line="360" w:lineRule="auto"/>
              <w:rPr>
                <w:rFonts w:ascii="Arial" w:hAnsi="Arial"/>
                <w:b/>
                <w:bCs/>
              </w:rPr>
            </w:pPr>
            <w:r w:rsidRPr="003B5D4C">
              <w:rPr>
                <w:rFonts w:ascii="Arial" w:hAnsi="Arial"/>
                <w:b/>
                <w:bCs/>
              </w:rPr>
              <w:t>Target 2</w:t>
            </w:r>
          </w:p>
          <w:p w14:paraId="681EE73F" w14:textId="77777777" w:rsidR="008852B0" w:rsidRPr="003B5D4C" w:rsidRDefault="008852B0">
            <w:pPr>
              <w:spacing w:line="360" w:lineRule="auto"/>
              <w:rPr>
                <w:rFonts w:ascii="Arial" w:hAnsi="Arial"/>
              </w:rPr>
            </w:pPr>
            <w:r w:rsidRPr="003B5D4C">
              <w:rPr>
                <w:rFonts w:ascii="Arial" w:hAnsi="Arial"/>
              </w:rPr>
              <w:t>.</w:t>
            </w:r>
          </w:p>
        </w:tc>
        <w:tc>
          <w:tcPr>
            <w:tcW w:w="5387" w:type="dxa"/>
          </w:tcPr>
          <w:p w14:paraId="049A4BE9" w14:textId="19EF1EAC" w:rsidR="008852B0" w:rsidRPr="003B5D4C" w:rsidRDefault="008852B0" w:rsidP="008852B0">
            <w:pPr>
              <w:spacing w:line="360" w:lineRule="auto"/>
              <w:jc w:val="center"/>
              <w:rPr>
                <w:rFonts w:ascii="Arial" w:hAnsi="Arial"/>
              </w:rPr>
            </w:pPr>
            <w:r>
              <w:rPr>
                <w:rFonts w:ascii="Arial" w:hAnsi="Arial"/>
              </w:rPr>
              <w:t>Proofread your work.</w:t>
            </w:r>
          </w:p>
        </w:tc>
      </w:tr>
    </w:tbl>
    <w:p w14:paraId="37B45441" w14:textId="77777777" w:rsidR="00F447D5" w:rsidRDefault="00F447D5" w:rsidP="00F447D5">
      <w:pPr>
        <w:spacing w:line="360" w:lineRule="auto"/>
        <w:jc w:val="center"/>
        <w:rPr>
          <w:rFonts w:ascii="Arial" w:hAnsi="Arial" w:cs="Arial"/>
          <w:b/>
          <w:bCs/>
          <w:sz w:val="36"/>
          <w:szCs w:val="36"/>
          <w:u w:val="single"/>
        </w:rPr>
      </w:pPr>
    </w:p>
    <w:p w14:paraId="7E6D22C6" w14:textId="5C299521" w:rsidR="00A81A9E" w:rsidRDefault="00A81A9E" w:rsidP="00F447D5">
      <w:pPr>
        <w:spacing w:line="360" w:lineRule="auto"/>
        <w:jc w:val="center"/>
        <w:rPr>
          <w:rFonts w:ascii="Arial" w:hAnsi="Arial" w:cs="Arial"/>
          <w:b/>
          <w:bCs/>
          <w:sz w:val="36"/>
          <w:szCs w:val="36"/>
          <w:u w:val="single"/>
        </w:rPr>
      </w:pPr>
      <w:r w:rsidRPr="00A81A9E">
        <w:rPr>
          <w:rFonts w:ascii="Arial" w:hAnsi="Arial" w:cs="Arial"/>
          <w:b/>
          <w:bCs/>
          <w:sz w:val="36"/>
          <w:szCs w:val="36"/>
          <w:u w:val="single"/>
        </w:rPr>
        <w:t>Research Project: Case Study based on an Electives Experience</w:t>
      </w:r>
    </w:p>
    <w:p w14:paraId="5E1EDD40" w14:textId="5BD46680" w:rsidR="00A81A9E" w:rsidRDefault="00A81A9E" w:rsidP="00A81A9E">
      <w:pPr>
        <w:spacing w:line="360" w:lineRule="auto"/>
        <w:jc w:val="center"/>
        <w:rPr>
          <w:rFonts w:ascii="Arial" w:hAnsi="Arial" w:cs="Arial"/>
          <w:b/>
          <w:bCs/>
          <w:sz w:val="36"/>
          <w:szCs w:val="36"/>
          <w:u w:val="single"/>
        </w:rPr>
      </w:pPr>
      <w:r w:rsidRPr="00A81A9E">
        <w:rPr>
          <w:rFonts w:ascii="Arial" w:hAnsi="Arial" w:cs="Arial"/>
          <w:b/>
          <w:bCs/>
          <w:sz w:val="36"/>
          <w:szCs w:val="36"/>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028AFC09" w14:textId="05785AE8" w:rsidR="00A81A9E" w:rsidRPr="00A81A9E" w:rsidRDefault="00A81A9E" w:rsidP="00A81A9E">
      <w:pPr>
        <w:spacing w:line="360" w:lineRule="auto"/>
        <w:rPr>
          <w:rFonts w:ascii="Arial" w:hAnsi="Arial" w:cs="Arial"/>
          <w:b/>
          <w:bCs/>
          <w:sz w:val="36"/>
          <w:szCs w:val="36"/>
          <w:u w:val="single"/>
        </w:rPr>
      </w:pPr>
      <w:r>
        <w:rPr>
          <w:rFonts w:ascii="Arial" w:hAnsi="Arial" w:cs="Arial"/>
          <w:b/>
          <w:bCs/>
          <w:sz w:val="36"/>
          <w:szCs w:val="36"/>
          <w:u w:val="single"/>
        </w:rPr>
        <w:t>Research Question: “</w:t>
      </w:r>
      <w:r w:rsidR="008852B0">
        <w:rPr>
          <w:rFonts w:ascii="Arial" w:hAnsi="Arial" w:cs="Arial"/>
          <w:b/>
          <w:bCs/>
          <w:sz w:val="36"/>
          <w:szCs w:val="36"/>
          <w:u w:val="single"/>
        </w:rPr>
        <w:t xml:space="preserve"> </w:t>
      </w:r>
    </w:p>
    <w:p w14:paraId="5C221657" w14:textId="77777777" w:rsidR="00A81A9E" w:rsidRDefault="00A81A9E" w:rsidP="00B266BC">
      <w:pPr>
        <w:spacing w:line="360" w:lineRule="auto"/>
        <w:rPr>
          <w:rFonts w:ascii="Arial" w:hAnsi="Arial" w:cs="Arial"/>
          <w:b/>
          <w:bCs/>
        </w:rPr>
      </w:pPr>
    </w:p>
    <w:p w14:paraId="3A1297BA" w14:textId="77777777" w:rsidR="00A81A9E" w:rsidRDefault="00A81A9E" w:rsidP="00B266BC">
      <w:pPr>
        <w:spacing w:line="360" w:lineRule="auto"/>
        <w:rPr>
          <w:rFonts w:ascii="Arial" w:hAnsi="Arial" w:cs="Arial"/>
          <w:b/>
          <w:bCs/>
        </w:rPr>
      </w:pPr>
    </w:p>
    <w:p w14:paraId="00432861" w14:textId="77777777" w:rsidR="00A81A9E" w:rsidRDefault="00A81A9E" w:rsidP="00B266BC">
      <w:pPr>
        <w:spacing w:line="360" w:lineRule="auto"/>
        <w:rPr>
          <w:rFonts w:ascii="Arial" w:hAnsi="Arial" w:cs="Arial"/>
          <w:b/>
          <w:bCs/>
        </w:rPr>
      </w:pPr>
    </w:p>
    <w:p w14:paraId="2111E854" w14:textId="77777777" w:rsidR="00A81A9E" w:rsidRDefault="00A81A9E" w:rsidP="00B266BC">
      <w:pPr>
        <w:spacing w:line="360" w:lineRule="auto"/>
        <w:rPr>
          <w:rFonts w:ascii="Arial" w:hAnsi="Arial" w:cs="Arial"/>
          <w:b/>
          <w:bCs/>
        </w:rPr>
      </w:pPr>
    </w:p>
    <w:p w14:paraId="7CB4C1C0" w14:textId="77777777" w:rsidR="00A81A9E" w:rsidRDefault="00A81A9E" w:rsidP="00B266BC">
      <w:pPr>
        <w:spacing w:line="360" w:lineRule="auto"/>
        <w:rPr>
          <w:rFonts w:ascii="Arial" w:hAnsi="Arial" w:cs="Arial"/>
          <w:b/>
          <w:bCs/>
        </w:rPr>
      </w:pPr>
    </w:p>
    <w:p w14:paraId="49C6C30D" w14:textId="77777777" w:rsidR="00A81A9E" w:rsidRDefault="00A81A9E" w:rsidP="00B266BC">
      <w:pPr>
        <w:spacing w:line="360" w:lineRule="auto"/>
        <w:rPr>
          <w:rFonts w:ascii="Arial" w:hAnsi="Arial" w:cs="Arial"/>
          <w:b/>
          <w:bCs/>
        </w:rPr>
      </w:pPr>
    </w:p>
    <w:p w14:paraId="0DF4EF0B" w14:textId="77777777" w:rsidR="00F447D5" w:rsidRDefault="00F447D5" w:rsidP="00B266BC">
      <w:pPr>
        <w:spacing w:line="360" w:lineRule="auto"/>
        <w:rPr>
          <w:rFonts w:ascii="Arial" w:hAnsi="Arial" w:cs="Arial"/>
          <w:b/>
          <w:bCs/>
        </w:rPr>
      </w:pPr>
    </w:p>
    <w:p w14:paraId="4A82D4F7" w14:textId="77777777" w:rsidR="00A81A9E" w:rsidRDefault="00A81A9E" w:rsidP="00B266BC">
      <w:pPr>
        <w:spacing w:line="360" w:lineRule="auto"/>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1792124938"/>
        <w:docPartObj>
          <w:docPartGallery w:val="Table of Contents"/>
          <w:docPartUnique/>
        </w:docPartObj>
      </w:sdtPr>
      <w:sdtEndPr>
        <w:rPr>
          <w:b/>
          <w:bCs/>
          <w:noProof/>
        </w:rPr>
      </w:sdtEndPr>
      <w:sdtContent>
        <w:p w14:paraId="3437E1D5" w14:textId="77777777" w:rsidR="00F447D5" w:rsidRPr="00A30C1E" w:rsidRDefault="00F447D5" w:rsidP="00F447D5">
          <w:pPr>
            <w:pStyle w:val="TOCHeading"/>
            <w:jc w:val="center"/>
            <w:rPr>
              <w:rFonts w:ascii="Arial" w:hAnsi="Arial" w:cs="Arial"/>
              <w:b/>
              <w:bCs/>
              <w:color w:val="auto"/>
              <w:sz w:val="22"/>
              <w:szCs w:val="22"/>
              <w:u w:val="single"/>
            </w:rPr>
          </w:pPr>
          <w:r w:rsidRPr="00A30C1E">
            <w:rPr>
              <w:rFonts w:ascii="Arial" w:hAnsi="Arial" w:cs="Arial"/>
              <w:b/>
              <w:bCs/>
              <w:color w:val="auto"/>
              <w:sz w:val="22"/>
              <w:szCs w:val="22"/>
              <w:u w:val="single"/>
            </w:rPr>
            <w:t>Table of Contents</w:t>
          </w:r>
        </w:p>
        <w:p w14:paraId="5EDF7960" w14:textId="77777777" w:rsidR="00F447D5" w:rsidRPr="00A30C1E" w:rsidRDefault="00F447D5" w:rsidP="00F447D5">
          <w:pPr>
            <w:rPr>
              <w:rFonts w:ascii="Arial" w:hAnsi="Arial" w:cs="Arial"/>
              <w:b/>
              <w:bCs/>
            </w:rPr>
          </w:pPr>
          <w:r w:rsidRPr="00A30C1E">
            <w:rPr>
              <w:rFonts w:ascii="Arial" w:hAnsi="Arial" w:cs="Arial"/>
              <w:b/>
              <w:bCs/>
            </w:rPr>
            <w:t>Part One</w:t>
          </w:r>
        </w:p>
        <w:p w14:paraId="3E403F47" w14:textId="77777777" w:rsidR="00F447D5" w:rsidRPr="00A30C1E" w:rsidRDefault="00F447D5" w:rsidP="00F447D5">
          <w:pPr>
            <w:rPr>
              <w:rFonts w:ascii="Arial" w:hAnsi="Arial" w:cs="Arial"/>
            </w:rPr>
          </w:pPr>
          <w:r w:rsidRPr="00A30C1E">
            <w:rPr>
              <w:rFonts w:ascii="Arial" w:hAnsi="Arial" w:cs="Arial"/>
              <w:b/>
              <w:bCs/>
              <w:i/>
              <w:iCs/>
            </w:rPr>
            <w:t>Written</w:t>
          </w:r>
          <w:r>
            <w:rPr>
              <w:rFonts w:ascii="Arial" w:hAnsi="Arial" w:cs="Arial"/>
              <w:b/>
              <w:bCs/>
              <w:i/>
              <w:iCs/>
            </w:rPr>
            <w:t xml:space="preserve"> </w:t>
          </w:r>
          <w:r w:rsidRPr="00A30C1E">
            <w:rPr>
              <w:rFonts w:ascii="Arial" w:hAnsi="Arial" w:cs="Arial"/>
              <w:b/>
              <w:bCs/>
              <w:i/>
              <w:iCs/>
            </w:rPr>
            <w:t>Extract</w:t>
          </w:r>
          <w:r w:rsidRPr="00A30C1E">
            <w:rPr>
              <w:rFonts w:ascii="Arial" w:hAnsi="Arial" w:cs="Arial"/>
            </w:rPr>
            <w:t xml:space="preserve">…………………………………………………………………………………… </w:t>
          </w:r>
          <w:r w:rsidRPr="00A30C1E">
            <w:rPr>
              <w:rFonts w:ascii="Arial" w:hAnsi="Arial" w:cs="Arial"/>
              <w:b/>
              <w:bCs/>
            </w:rPr>
            <w:t>3</w:t>
          </w:r>
        </w:p>
        <w:p w14:paraId="41C853BF" w14:textId="3ED63ACA" w:rsidR="00F447D5" w:rsidRPr="00A30C1E" w:rsidRDefault="00F447D5" w:rsidP="00F447D5">
          <w:pPr>
            <w:rPr>
              <w:rFonts w:ascii="Arial" w:hAnsi="Arial" w:cs="Arial"/>
            </w:rPr>
          </w:pPr>
          <w:r w:rsidRPr="00A30C1E">
            <w:rPr>
              <w:rFonts w:ascii="Arial" w:hAnsi="Arial" w:cs="Arial"/>
              <w:b/>
              <w:bCs/>
              <w:i/>
              <w:iCs/>
            </w:rPr>
            <w:t>Reference</w:t>
          </w:r>
          <w:r>
            <w:rPr>
              <w:rFonts w:ascii="Arial" w:hAnsi="Arial" w:cs="Arial"/>
              <w:b/>
              <w:bCs/>
              <w:i/>
              <w:iCs/>
            </w:rPr>
            <w:t xml:space="preserve"> </w:t>
          </w:r>
          <w:r w:rsidRPr="00A30C1E">
            <w:rPr>
              <w:rFonts w:ascii="Arial" w:hAnsi="Arial" w:cs="Arial"/>
              <w:b/>
              <w:bCs/>
              <w:i/>
              <w:iCs/>
            </w:rPr>
            <w:t>List</w:t>
          </w:r>
          <w:r w:rsidRPr="00A30C1E">
            <w:rPr>
              <w:rFonts w:ascii="Arial" w:hAnsi="Arial" w:cs="Arial"/>
            </w:rPr>
            <w:t>……………………………………………………………………………………</w:t>
          </w:r>
          <w:r>
            <w:rPr>
              <w:rFonts w:ascii="Arial" w:hAnsi="Arial" w:cs="Arial"/>
            </w:rPr>
            <w:t xml:space="preserve"> </w:t>
          </w:r>
        </w:p>
        <w:p w14:paraId="3D418EC5" w14:textId="77777777" w:rsidR="00F447D5" w:rsidRDefault="00EE505D" w:rsidP="00F447D5">
          <w:pPr>
            <w:rPr>
              <w:b/>
              <w:bCs/>
              <w:noProof/>
            </w:rPr>
          </w:pPr>
        </w:p>
      </w:sdtContent>
    </w:sdt>
    <w:p w14:paraId="282D59FC" w14:textId="77777777" w:rsidR="00A81A9E" w:rsidRDefault="00A81A9E" w:rsidP="00B266BC">
      <w:pPr>
        <w:spacing w:line="360" w:lineRule="auto"/>
        <w:rPr>
          <w:rFonts w:ascii="Arial" w:hAnsi="Arial" w:cs="Arial"/>
          <w:b/>
          <w:bCs/>
        </w:rPr>
      </w:pPr>
    </w:p>
    <w:p w14:paraId="6CC65584" w14:textId="77777777" w:rsidR="00A81A9E" w:rsidRDefault="00A81A9E" w:rsidP="00B266BC">
      <w:pPr>
        <w:spacing w:line="360" w:lineRule="auto"/>
        <w:rPr>
          <w:rFonts w:ascii="Arial" w:hAnsi="Arial" w:cs="Arial"/>
          <w:b/>
          <w:bCs/>
        </w:rPr>
      </w:pPr>
    </w:p>
    <w:p w14:paraId="0E9BE987" w14:textId="77777777" w:rsidR="00A81A9E" w:rsidRDefault="00A81A9E" w:rsidP="00B266BC">
      <w:pPr>
        <w:spacing w:line="360" w:lineRule="auto"/>
        <w:rPr>
          <w:rFonts w:ascii="Arial" w:hAnsi="Arial" w:cs="Arial"/>
          <w:b/>
          <w:bCs/>
        </w:rPr>
      </w:pPr>
    </w:p>
    <w:p w14:paraId="471EA15B" w14:textId="77777777" w:rsidR="00A81A9E" w:rsidRDefault="00A81A9E" w:rsidP="00B266BC">
      <w:pPr>
        <w:spacing w:line="360" w:lineRule="auto"/>
        <w:rPr>
          <w:rFonts w:ascii="Arial" w:hAnsi="Arial" w:cs="Arial"/>
          <w:b/>
          <w:bCs/>
        </w:rPr>
      </w:pPr>
    </w:p>
    <w:p w14:paraId="73903033" w14:textId="77777777" w:rsidR="00A81A9E" w:rsidRDefault="00A81A9E" w:rsidP="00B266BC">
      <w:pPr>
        <w:spacing w:line="360" w:lineRule="auto"/>
        <w:rPr>
          <w:rFonts w:ascii="Arial" w:hAnsi="Arial" w:cs="Arial"/>
          <w:b/>
          <w:bCs/>
        </w:rPr>
      </w:pPr>
    </w:p>
    <w:p w14:paraId="013320DC" w14:textId="77777777" w:rsidR="00A81A9E" w:rsidRDefault="00A81A9E" w:rsidP="00B266BC">
      <w:pPr>
        <w:spacing w:line="360" w:lineRule="auto"/>
        <w:rPr>
          <w:rFonts w:ascii="Arial" w:hAnsi="Arial" w:cs="Arial"/>
          <w:b/>
          <w:bCs/>
        </w:rPr>
      </w:pPr>
    </w:p>
    <w:p w14:paraId="4ECB7CE7" w14:textId="77777777" w:rsidR="00A81A9E" w:rsidRDefault="00A81A9E" w:rsidP="00B266BC">
      <w:pPr>
        <w:spacing w:line="360" w:lineRule="auto"/>
        <w:rPr>
          <w:rFonts w:ascii="Arial" w:hAnsi="Arial" w:cs="Arial"/>
          <w:b/>
          <w:bCs/>
        </w:rPr>
      </w:pPr>
    </w:p>
    <w:p w14:paraId="264C69A1" w14:textId="77777777" w:rsidR="00A81A9E" w:rsidRDefault="00A81A9E" w:rsidP="00B266BC">
      <w:pPr>
        <w:spacing w:line="360" w:lineRule="auto"/>
        <w:rPr>
          <w:rFonts w:ascii="Arial" w:hAnsi="Arial" w:cs="Arial"/>
          <w:b/>
          <w:bCs/>
        </w:rPr>
      </w:pPr>
    </w:p>
    <w:p w14:paraId="4292DFF4" w14:textId="77777777" w:rsidR="00A81A9E" w:rsidRDefault="00A81A9E" w:rsidP="00B266BC">
      <w:pPr>
        <w:spacing w:line="360" w:lineRule="auto"/>
        <w:rPr>
          <w:rFonts w:ascii="Arial" w:hAnsi="Arial" w:cs="Arial"/>
          <w:b/>
          <w:bCs/>
        </w:rPr>
      </w:pPr>
    </w:p>
    <w:p w14:paraId="65B4A583" w14:textId="77777777" w:rsidR="00A81A9E" w:rsidRDefault="00A81A9E" w:rsidP="00B266BC">
      <w:pPr>
        <w:spacing w:line="360" w:lineRule="auto"/>
        <w:rPr>
          <w:rFonts w:ascii="Arial" w:hAnsi="Arial" w:cs="Arial"/>
          <w:b/>
          <w:bCs/>
        </w:rPr>
      </w:pPr>
    </w:p>
    <w:p w14:paraId="1C5103F2" w14:textId="77777777" w:rsidR="00A81A9E" w:rsidRDefault="00A81A9E" w:rsidP="00B266BC">
      <w:pPr>
        <w:spacing w:line="360" w:lineRule="auto"/>
        <w:rPr>
          <w:rFonts w:ascii="Arial" w:hAnsi="Arial" w:cs="Arial"/>
          <w:b/>
          <w:bCs/>
        </w:rPr>
      </w:pPr>
    </w:p>
    <w:p w14:paraId="163B6F14" w14:textId="77777777" w:rsidR="00F447D5" w:rsidRDefault="00F447D5" w:rsidP="00B266BC">
      <w:pPr>
        <w:spacing w:line="360" w:lineRule="auto"/>
        <w:rPr>
          <w:rFonts w:ascii="Arial" w:hAnsi="Arial" w:cs="Arial"/>
        </w:rPr>
      </w:pPr>
    </w:p>
    <w:p w14:paraId="69A9E9EB" w14:textId="77777777" w:rsidR="00F447D5" w:rsidRDefault="00F447D5" w:rsidP="00B266BC">
      <w:pPr>
        <w:spacing w:line="360" w:lineRule="auto"/>
        <w:rPr>
          <w:rFonts w:ascii="Arial" w:hAnsi="Arial" w:cs="Arial"/>
        </w:rPr>
      </w:pPr>
    </w:p>
    <w:p w14:paraId="611E5D78" w14:textId="77777777" w:rsidR="00F447D5" w:rsidRDefault="00F447D5" w:rsidP="00B266BC">
      <w:pPr>
        <w:spacing w:line="360" w:lineRule="auto"/>
        <w:rPr>
          <w:rFonts w:ascii="Arial" w:hAnsi="Arial" w:cs="Arial"/>
        </w:rPr>
      </w:pPr>
    </w:p>
    <w:p w14:paraId="1A6E5778" w14:textId="77777777" w:rsidR="00F447D5" w:rsidRDefault="00F447D5" w:rsidP="00B266BC">
      <w:pPr>
        <w:spacing w:line="360" w:lineRule="auto"/>
        <w:rPr>
          <w:rFonts w:ascii="Arial" w:hAnsi="Arial" w:cs="Arial"/>
        </w:rPr>
      </w:pPr>
    </w:p>
    <w:p w14:paraId="24CFB1E9" w14:textId="77777777" w:rsidR="00F447D5" w:rsidRDefault="00F447D5" w:rsidP="00B266BC">
      <w:pPr>
        <w:spacing w:line="360" w:lineRule="auto"/>
        <w:rPr>
          <w:rFonts w:ascii="Arial" w:hAnsi="Arial" w:cs="Arial"/>
        </w:rPr>
      </w:pPr>
    </w:p>
    <w:p w14:paraId="5945EDC9" w14:textId="77777777" w:rsidR="00F447D5" w:rsidRDefault="00F447D5" w:rsidP="00B266BC">
      <w:pPr>
        <w:spacing w:line="360" w:lineRule="auto"/>
        <w:rPr>
          <w:rFonts w:ascii="Arial" w:hAnsi="Arial" w:cs="Arial"/>
        </w:rPr>
      </w:pPr>
    </w:p>
    <w:p w14:paraId="66BEC7FA" w14:textId="77777777" w:rsidR="00F447D5" w:rsidRDefault="00F447D5" w:rsidP="00B266BC">
      <w:pPr>
        <w:spacing w:line="360" w:lineRule="auto"/>
        <w:rPr>
          <w:rFonts w:ascii="Arial" w:hAnsi="Arial" w:cs="Arial"/>
        </w:rPr>
      </w:pPr>
    </w:p>
    <w:p w14:paraId="76E4DBCE" w14:textId="77777777" w:rsidR="00F447D5" w:rsidRDefault="00F447D5" w:rsidP="00B266BC">
      <w:pPr>
        <w:spacing w:line="360" w:lineRule="auto"/>
        <w:rPr>
          <w:rFonts w:ascii="Arial" w:hAnsi="Arial" w:cs="Arial"/>
        </w:rPr>
      </w:pPr>
    </w:p>
    <w:p w14:paraId="32F5961B" w14:textId="77777777" w:rsidR="00F447D5" w:rsidRDefault="00F447D5" w:rsidP="00B266BC">
      <w:pPr>
        <w:spacing w:line="360" w:lineRule="auto"/>
        <w:rPr>
          <w:rFonts w:ascii="Arial" w:hAnsi="Arial" w:cs="Arial"/>
        </w:rPr>
      </w:pPr>
    </w:p>
    <w:p w14:paraId="2D1FDCC4" w14:textId="77777777" w:rsidR="00F447D5" w:rsidRDefault="00F447D5" w:rsidP="00B266BC">
      <w:pPr>
        <w:spacing w:line="360" w:lineRule="auto"/>
        <w:rPr>
          <w:rFonts w:ascii="Arial" w:hAnsi="Arial" w:cs="Arial"/>
        </w:rPr>
      </w:pPr>
    </w:p>
    <w:p w14:paraId="3E382100" w14:textId="77777777" w:rsidR="00F447D5" w:rsidRDefault="00F447D5" w:rsidP="00B266BC">
      <w:pPr>
        <w:spacing w:line="360" w:lineRule="auto"/>
        <w:rPr>
          <w:rFonts w:ascii="Arial" w:hAnsi="Arial" w:cs="Arial"/>
        </w:rPr>
      </w:pPr>
    </w:p>
    <w:p w14:paraId="0C7A0B7A" w14:textId="4F325072" w:rsidR="00E123DA" w:rsidRPr="001B0C9B" w:rsidRDefault="00E123DA" w:rsidP="00E123DA">
      <w:pPr>
        <w:spacing w:line="360" w:lineRule="auto"/>
        <w:jc w:val="center"/>
        <w:rPr>
          <w:rFonts w:ascii="Arial" w:hAnsi="Arial" w:cs="Arial"/>
          <w:b/>
          <w:bCs/>
          <w:sz w:val="36"/>
          <w:szCs w:val="36"/>
          <w:u w:val="single"/>
        </w:rPr>
      </w:pPr>
      <w:r w:rsidRPr="001B0C9B">
        <w:rPr>
          <w:rFonts w:ascii="Arial" w:hAnsi="Arial" w:cs="Arial"/>
          <w:b/>
          <w:bCs/>
          <w:sz w:val="36"/>
          <w:szCs w:val="36"/>
          <w:u w:val="single"/>
        </w:rPr>
        <w:lastRenderedPageBreak/>
        <w:t>Part One</w:t>
      </w:r>
    </w:p>
    <w:p w14:paraId="5C0F65F8" w14:textId="46D6B13F"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This assignment will present the research that has been conducted in a primary school </w:t>
      </w:r>
      <w:r w:rsidR="000619EC">
        <w:rPr>
          <w:rFonts w:ascii="Arial" w:hAnsi="Arial" w:cs="Arial"/>
          <w:color w:val="252525"/>
          <w:sz w:val="22"/>
          <w:szCs w:val="22"/>
        </w:rPr>
        <w:t xml:space="preserve">setting, </w:t>
      </w:r>
      <w:r w:rsidRPr="001B1EAA">
        <w:rPr>
          <w:rFonts w:ascii="Arial" w:hAnsi="Arial" w:cs="Arial"/>
          <w:color w:val="252525"/>
          <w:sz w:val="22"/>
          <w:szCs w:val="22"/>
        </w:rPr>
        <w:t xml:space="preserve">while critically examining current literature on children's reading habits at home with their parents and carers. It will also provide an image of the methods employed to collect the data. The motivation to investigate this subject arises from previous teaching practice within another school; the previous school had a high percentage of pupils who engaged in home reading with their parents, whereas this school does not. The primary objective of this research study is to investigate the teachers' perspectives regarding the impact of pupils' reading at home with their parents or carers on pupils' reading progression. </w:t>
      </w:r>
      <w:r w:rsidR="007146D3" w:rsidRPr="001B1EAA">
        <w:rPr>
          <w:rFonts w:ascii="Arial" w:hAnsi="Arial" w:cs="Arial"/>
          <w:color w:val="252525"/>
          <w:sz w:val="22"/>
          <w:szCs w:val="22"/>
        </w:rPr>
        <w:t>Thus,</w:t>
      </w:r>
      <w:r w:rsidRPr="001B1EAA">
        <w:rPr>
          <w:rFonts w:ascii="Arial" w:hAnsi="Arial" w:cs="Arial"/>
          <w:color w:val="252525"/>
          <w:sz w:val="22"/>
          <w:szCs w:val="22"/>
        </w:rPr>
        <w:t xml:space="preserve"> ascertains whether a correlation exists between pupils who read at home and any potential disparities in their reading age compared to those who do not read with parents or carers. The setting in which the research took place was a small primary school situated in South Wales, which is an English-medium setting. The school’s 2016 Estyn report identified 325 pupils on record, aged between 3 and 11, and among these ages, a division of 13 classes was present (Estyn, 2016).</w:t>
      </w:r>
    </w:p>
    <w:p w14:paraId="55C7C4AB"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Butter (2018) argues that having a low socioeconomic status alone is not a reliable indicator of reading achievement. However, when combined with other factors like a home environment lacking in literacy resources, insufficient school instruction, or being an English language learner, the likelihood of experiencing difficulties in reading increases (Butter, 2018). These findings suggest that households with lower socioeconomic status are less inclined to engage in home reading, but they may not be definitive and should not be considered the sole factor that contributes to pupils' lack of at-home reading. Reading Mate (2020) contends that children's lack of interest in reading stems from their perception that it is not enjoyable; thus, these perceptions contribute to the baseline of this research.</w:t>
      </w:r>
    </w:p>
    <w:p w14:paraId="6BD0AB56" w14:textId="3C3BD752"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Maslow's (1943) hierarchy of needs theory states that children cannot reach their maximum potential unless their fundamental physiological and safety requirements are fulfilled. Children can pursue additional accomplishments and self-actualization only once these needs are addressed. Additionally, bolstering Butter's (2018) perspective that their socioeconomic position can significantly impact parental involvement in their child's reading, thus influencing their academic </w:t>
      </w:r>
      <w:r w:rsidR="007146D3" w:rsidRPr="001B1EAA">
        <w:rPr>
          <w:rFonts w:ascii="Arial" w:hAnsi="Arial" w:cs="Arial"/>
          <w:color w:val="252525"/>
          <w:sz w:val="22"/>
          <w:szCs w:val="22"/>
        </w:rPr>
        <w:t>advancement.</w:t>
      </w:r>
    </w:p>
    <w:p w14:paraId="3F49EC91" w14:textId="7548222F"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Research and surveys conducted by the National Literacy Trust in 2023 identified that 52.9% of individuals between the ages of 8 and 18 receive encouragement from their parents or carers to read. Additionally, 58.4% reported witnessing their parents or carers engage in </w:t>
      </w:r>
      <w:r w:rsidRPr="001B1EAA">
        <w:rPr>
          <w:rFonts w:ascii="Arial" w:hAnsi="Arial" w:cs="Arial"/>
          <w:color w:val="252525"/>
          <w:sz w:val="22"/>
          <w:szCs w:val="22"/>
        </w:rPr>
        <w:lastRenderedPageBreak/>
        <w:t xml:space="preserve">reading activities, while 19.9% reported participating in reading activities with their family. Additionally, according to the National Literacy Trust (2023), 43.4% of children and young people between the ages of 8 and 18 expressed a preference for reading in their free time. This represents the minimum level seen since the survey's inception in 2005. The significance of this study is substantial since it provides a comprehensive overview of the number of pupils in the United Kingdom who genuinely enjoy reading and actively participate in reading activities at home (National Literacy Trust, 2023). </w:t>
      </w:r>
      <w:r w:rsidR="00A22E2A">
        <w:rPr>
          <w:rFonts w:ascii="Arial" w:hAnsi="Arial" w:cs="Arial"/>
          <w:color w:val="252525"/>
          <w:sz w:val="22"/>
          <w:szCs w:val="22"/>
        </w:rPr>
        <w:t>A</w:t>
      </w:r>
      <w:r w:rsidRPr="001B1EAA">
        <w:rPr>
          <w:rFonts w:ascii="Arial" w:hAnsi="Arial" w:cs="Arial"/>
          <w:color w:val="252525"/>
          <w:sz w:val="22"/>
          <w:szCs w:val="22"/>
        </w:rPr>
        <w:t>lthough this source presents indisputable statistics, it lacks an explanation for the reasoning behind pupils' sentiments and the significant decline in the nation's reading enjoyment.</w:t>
      </w:r>
    </w:p>
    <w:p w14:paraId="120546ED" w14:textId="254D2728"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Consequently, one can infer that fewer pupils are engaging in reading activities with their parents or guardians at home, which may result in reduced progress in reading and learning. Similarly, according to Cole, Clark, and Picton's (2022, p</w:t>
      </w:r>
      <w:r w:rsidR="00541CD9">
        <w:rPr>
          <w:rFonts w:ascii="Arial" w:hAnsi="Arial" w:cs="Arial"/>
          <w:color w:val="252525"/>
          <w:sz w:val="22"/>
          <w:szCs w:val="22"/>
        </w:rPr>
        <w:t>.</w:t>
      </w:r>
      <w:r w:rsidRPr="001B1EAA">
        <w:rPr>
          <w:rFonts w:ascii="Arial" w:hAnsi="Arial" w:cs="Arial"/>
          <w:color w:val="252525"/>
          <w:sz w:val="22"/>
          <w:szCs w:val="22"/>
        </w:rPr>
        <w:t xml:space="preserve"> 1) findings, approximately 6.5% of young individuals, or 1 in 15, lack a personal reading book. Furthermore, the proportion of individuals without a book is 5.8% among those who do not receive </w:t>
      </w:r>
      <w:r w:rsidR="008852B0">
        <w:rPr>
          <w:rFonts w:ascii="Arial" w:hAnsi="Arial" w:cs="Arial"/>
          <w:color w:val="252525"/>
          <w:sz w:val="22"/>
          <w:szCs w:val="22"/>
        </w:rPr>
        <w:t>F</w:t>
      </w:r>
      <w:r w:rsidRPr="001B1EAA">
        <w:rPr>
          <w:rFonts w:ascii="Arial" w:hAnsi="Arial" w:cs="Arial"/>
          <w:color w:val="252525"/>
          <w:sz w:val="22"/>
          <w:szCs w:val="22"/>
        </w:rPr>
        <w:t xml:space="preserve">ree </w:t>
      </w:r>
      <w:r w:rsidR="008852B0">
        <w:rPr>
          <w:rFonts w:ascii="Arial" w:hAnsi="Arial" w:cs="Arial"/>
          <w:color w:val="252525"/>
          <w:sz w:val="22"/>
          <w:szCs w:val="22"/>
        </w:rPr>
        <w:t>S</w:t>
      </w:r>
      <w:r w:rsidRPr="001B1EAA">
        <w:rPr>
          <w:rFonts w:ascii="Arial" w:hAnsi="Arial" w:cs="Arial"/>
          <w:color w:val="252525"/>
          <w:sz w:val="22"/>
          <w:szCs w:val="22"/>
        </w:rPr>
        <w:t xml:space="preserve">chool </w:t>
      </w:r>
      <w:r w:rsidR="008852B0">
        <w:rPr>
          <w:rFonts w:ascii="Arial" w:hAnsi="Arial" w:cs="Arial"/>
          <w:color w:val="252525"/>
          <w:sz w:val="22"/>
          <w:szCs w:val="22"/>
        </w:rPr>
        <w:t>M</w:t>
      </w:r>
      <w:r w:rsidRPr="001B1EAA">
        <w:rPr>
          <w:rFonts w:ascii="Arial" w:hAnsi="Arial" w:cs="Arial"/>
          <w:color w:val="252525"/>
          <w:sz w:val="22"/>
          <w:szCs w:val="22"/>
        </w:rPr>
        <w:t>eals (FSMs), but it increases to 9.7% among those who do receive FSMs (National Literacy Trust, 2023).</w:t>
      </w:r>
    </w:p>
    <w:p w14:paraId="6F7EBA2D"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Reinforcing Butter's (2018) perspective, pupils from lower socioeconomic backgrounds have less involvement in reading at home with their parents or guardians. One explanation could be the limited availability of reading materials for those households because of budgetary constraints.</w:t>
      </w:r>
    </w:p>
    <w:p w14:paraId="6BB94682"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Shaffi (2023) states that research shows that due to current economic hardship, 20% of parents and carers are reducing their expenditure on books for their children. While there is a distinct disparity in the reading habits of pupils according to their FSM status, there is also a discernible association between gender and reading engagement. Contrastingly, Cole et al. (2022, p. 8) studied that the proportion of boys receiving free school meals is 39.8%, which translates to only 2 out of 5 boys who expressed their enjoyment of reading, in contrast to around 46.0% of girls who receive free school lunches. Hence, it is proposed that numerous diverse circumstances, including pupils with dyslexia, can impact a pupil's involvement in reading, particularly within the home environment. Research by the NHS (2019) suggests that children with dyslexia may avoid reading and tasks associated with reading.</w:t>
      </w:r>
    </w:p>
    <w:p w14:paraId="3DD2D44D" w14:textId="1DAB2F29"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McCombes (2019) defined a case study as an extensive investigation into a particular subject, such as an individual, group, place, event, organisation, or phenomenon. Case studies are commonly employed in social, educational, clinical, and business-oriented </w:t>
      </w:r>
      <w:r w:rsidRPr="001B1EAA">
        <w:rPr>
          <w:rFonts w:ascii="Arial" w:hAnsi="Arial" w:cs="Arial"/>
          <w:color w:val="252525"/>
          <w:sz w:val="22"/>
          <w:szCs w:val="22"/>
        </w:rPr>
        <w:lastRenderedPageBreak/>
        <w:t xml:space="preserve">research. Hassan (2023) specifies case study research as a strategy that involves a comprehensive assessment and examination of a particular phenomenon or instance, such as an individual, organisation, community, event, or scenario. Case studies typically yield qualitative data, although they can occasionally be used to generate quantitative data. Rebolj (2013) adds </w:t>
      </w:r>
      <w:r w:rsidR="006B4706">
        <w:rPr>
          <w:rFonts w:ascii="Arial" w:hAnsi="Arial" w:cs="Arial"/>
          <w:color w:val="252525"/>
          <w:sz w:val="22"/>
          <w:szCs w:val="22"/>
        </w:rPr>
        <w:t>c</w:t>
      </w:r>
      <w:r w:rsidRPr="001B1EAA">
        <w:rPr>
          <w:rFonts w:ascii="Arial" w:hAnsi="Arial" w:cs="Arial"/>
          <w:color w:val="252525"/>
          <w:sz w:val="22"/>
          <w:szCs w:val="22"/>
        </w:rPr>
        <w:t>ase studies were among the initial forms of research employed in the realm of qualitative analysis. Qualitative research involves the collection of non-numerical data, including words, images, and sounds.</w:t>
      </w:r>
    </w:p>
    <w:p w14:paraId="5C27572D"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The primary focus of this case study is to examine an individual's subjective experiences, beliefs, and attitudes, typically achieved through the methods of observation and interviews (McLeod, 2023). Hiter (2021) consolidates that quantitative data refers to the gathering of numerical information. Case study research is commonly employed to examine genuine, real-world situations to gain a more profound and comprehensive understanding of what and how inquiries may arise. Incorporating any research strategy within research as a methodology can have drawbacks as well as advantages.</w:t>
      </w:r>
    </w:p>
    <w:p w14:paraId="6C4844F1"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McLeod (2022) discusses the possibility of researcher bias regarding case studies. Deviations from the truth in research lead to distorted outcomes and inaccurate conclusions. </w:t>
      </w:r>
      <w:proofErr w:type="spellStart"/>
      <w:r w:rsidRPr="001B1EAA">
        <w:rPr>
          <w:rFonts w:ascii="Arial" w:hAnsi="Arial" w:cs="Arial"/>
          <w:color w:val="252525"/>
          <w:sz w:val="22"/>
          <w:szCs w:val="22"/>
        </w:rPr>
        <w:t>Šimundić</w:t>
      </w:r>
      <w:proofErr w:type="spellEnd"/>
      <w:r w:rsidRPr="001B1EAA">
        <w:rPr>
          <w:rFonts w:ascii="Arial" w:hAnsi="Arial" w:cs="Arial"/>
          <w:color w:val="252525"/>
          <w:sz w:val="22"/>
          <w:szCs w:val="22"/>
        </w:rPr>
        <w:t xml:space="preserve"> (2013) supports the notion that bias refers to any systematic tendency or deviation from accuracy in the process of collecting, analysing, interpreting, and publishing data, which can lead to erroneous findings. Biases can manifest at any stage of the research process, encompassing data collection, data analysis, interpretation, and publication. Research bias can manifest in both qualitative and quantitative studies (</w:t>
      </w:r>
      <w:proofErr w:type="spellStart"/>
      <w:r w:rsidRPr="001B1EAA">
        <w:rPr>
          <w:rFonts w:ascii="Arial" w:hAnsi="Arial" w:cs="Arial"/>
          <w:color w:val="252525"/>
          <w:sz w:val="22"/>
          <w:szCs w:val="22"/>
        </w:rPr>
        <w:t>Scribbr</w:t>
      </w:r>
      <w:proofErr w:type="spellEnd"/>
      <w:r w:rsidRPr="001B1EAA">
        <w:rPr>
          <w:rFonts w:ascii="Arial" w:hAnsi="Arial" w:cs="Arial"/>
          <w:color w:val="252525"/>
          <w:sz w:val="22"/>
          <w:szCs w:val="22"/>
        </w:rPr>
        <w:t>, 2022). Another potential constraint of case study research arises from its infrequent occurrence, leading to reduced reliability due to the unlikelihood of achieving perfect replication (Tutor2u, 2020). While it is vital to acknowledge the limitations of applying case study research, it is also crucial to recognise its significant benefits.</w:t>
      </w:r>
    </w:p>
    <w:p w14:paraId="2B89CB76"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Case-study research can enable researchers to thoroughly investigate intricate situations and conditions. Researchers can uncover intricate insights and deep levels of comprehension that may be overlooked by other research methods, such as large-scale survey studies, which tend to concentrate on a specific occurrence or event (Drew, 2023). Case studies allow the researchers to scrutinise phenomena that may be arduous or unfeasible to replicate inside a controlled laboratory setting (Very Well Mind, 2023). While previously mentioned as a drawback, this can also be viewed as a benefit, as it allows research to be conducted outside of controlled laboratory settings and in genuine real-world situations. </w:t>
      </w:r>
      <w:proofErr w:type="spellStart"/>
      <w:r w:rsidRPr="001B1EAA">
        <w:rPr>
          <w:rFonts w:ascii="Arial" w:hAnsi="Arial" w:cs="Arial"/>
          <w:color w:val="252525"/>
          <w:sz w:val="22"/>
          <w:szCs w:val="22"/>
        </w:rPr>
        <w:t>Tetnowski</w:t>
      </w:r>
      <w:proofErr w:type="spellEnd"/>
      <w:r w:rsidRPr="001B1EAA">
        <w:rPr>
          <w:rFonts w:ascii="Arial" w:hAnsi="Arial" w:cs="Arial"/>
          <w:color w:val="252525"/>
          <w:sz w:val="22"/>
          <w:szCs w:val="22"/>
        </w:rPr>
        <w:t xml:space="preserve"> (2015, p. 39) further explains that experimental designs are highly </w:t>
      </w:r>
      <w:r w:rsidRPr="001B1EAA">
        <w:rPr>
          <w:rFonts w:ascii="Arial" w:hAnsi="Arial" w:cs="Arial"/>
          <w:color w:val="252525"/>
          <w:sz w:val="22"/>
          <w:szCs w:val="22"/>
        </w:rPr>
        <w:lastRenderedPageBreak/>
        <w:t>effective in establishing causal relationships. However, it is not feasible to conduct all investigations in controlled scenarios.</w:t>
      </w:r>
    </w:p>
    <w:p w14:paraId="604F35B9"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During the current investigation at a primary school in South Wales, six pupils were participating from a Year Six class, along with six teachers who taught across both phases. Pupil participants were involved in a focus group as an informal interview, during which they were asked questions about their individual opinions and their level of involvement in reading. They were asked about their reading habits outside of school. The teacher participants were provided with an online questionnaire and asked to complete the anonymous form using a link sent by the school headteacher.</w:t>
      </w:r>
    </w:p>
    <w:p w14:paraId="59CCDB76" w14:textId="10399AF8"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The research first utilised a focus group as the research methodology. Focus groups act as a research methodology that gathers a small group of people in a controlled environment to answer questions related to a specific topic (</w:t>
      </w:r>
      <w:proofErr w:type="spellStart"/>
      <w:r w:rsidRPr="001B1EAA">
        <w:rPr>
          <w:rFonts w:ascii="Arial" w:hAnsi="Arial" w:cs="Arial"/>
          <w:color w:val="252525"/>
          <w:sz w:val="22"/>
          <w:szCs w:val="22"/>
        </w:rPr>
        <w:t>Scribbr</w:t>
      </w:r>
      <w:proofErr w:type="spellEnd"/>
      <w:r w:rsidRPr="001B1EAA">
        <w:rPr>
          <w:rFonts w:ascii="Arial" w:hAnsi="Arial" w:cs="Arial"/>
          <w:color w:val="252525"/>
          <w:sz w:val="22"/>
          <w:szCs w:val="22"/>
        </w:rPr>
        <w:t xml:space="preserve">, 2022b). </w:t>
      </w:r>
      <w:r w:rsidR="007146D3" w:rsidRPr="001B1EAA">
        <w:rPr>
          <w:rFonts w:ascii="Arial" w:hAnsi="Arial" w:cs="Arial"/>
          <w:color w:val="252525"/>
          <w:sz w:val="22"/>
          <w:szCs w:val="22"/>
        </w:rPr>
        <w:t>Similarly,</w:t>
      </w:r>
      <w:r w:rsidRPr="001B1EAA">
        <w:rPr>
          <w:rFonts w:ascii="Arial" w:hAnsi="Arial" w:cs="Arial"/>
          <w:color w:val="252525"/>
          <w:sz w:val="22"/>
          <w:szCs w:val="22"/>
        </w:rPr>
        <w:t xml:space="preserve"> to other research methods, focus groups offer both benefits and drawbacks when used in a research study. According to the Office for Health Improvement and Disparities (2020), group dynamics have the potential to improve communication, facilitate the exchange of ideas, and stimulate debate. Promoting the use of focus groups, specifically in the context of involving children, Kruger (2014, p. 2) agrees and additionally proposes that a methodically structured dialogue focused on collecting viewpoints regarding a particular issue of interest in a permissive and non-intimidating environment can improve the credibility of the collected data.</w:t>
      </w:r>
    </w:p>
    <w:p w14:paraId="230C353B"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According to Shaw, Brady, and Davey (2011), focus groups can create a safe environment for children to interact with their peers. Focus groups can help alleviate power imbalances that may occur between researchers and participants, particularly in situations involving an adult-child or teacher-pupil relationship, as observed in one-on-one interviews (Shaw, Brady, and Davey, 2011). Illustrating the effectiveness of focus groups in obtaining and gathering information, specifically from children.</w:t>
      </w:r>
    </w:p>
    <w:p w14:paraId="2662D979"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However, the use of focus groups cannot be considered free from limitations and challenges. Preserving anonymity and guaranteeing confidentiality is a limitation of this research methodology. Wellings et al. (2000, p. 255) state that within a group situation, people are compelled to publicly disclose information that they typically consider private. The group's response and level of discretion cannot be reliably anticipated. Ensuring confidentiality and anonymity might be challenging for researchers due to their limited control over members' communication outside the group (Sim, J., and Waterfield, J., 2019).</w:t>
      </w:r>
    </w:p>
    <w:p w14:paraId="393DC3E9"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lastRenderedPageBreak/>
        <w:t xml:space="preserve">Utilising focus groups as an interview style might raise questions about validity, as participants may be influenced to conform and make incorrect responses, thus undermining the integrity of the collected data. </w:t>
      </w:r>
      <w:proofErr w:type="spellStart"/>
      <w:r w:rsidRPr="001B1EAA">
        <w:rPr>
          <w:rFonts w:ascii="Arial" w:hAnsi="Arial" w:cs="Arial"/>
          <w:color w:val="252525"/>
          <w:sz w:val="22"/>
          <w:szCs w:val="22"/>
        </w:rPr>
        <w:t>Mcleod</w:t>
      </w:r>
      <w:proofErr w:type="spellEnd"/>
      <w:r w:rsidRPr="001B1EAA">
        <w:rPr>
          <w:rFonts w:ascii="Arial" w:hAnsi="Arial" w:cs="Arial"/>
          <w:color w:val="252525"/>
          <w:sz w:val="22"/>
          <w:szCs w:val="22"/>
        </w:rPr>
        <w:t xml:space="preserve"> (2022) argues that the validity of group interviews may be affected because participants may engage in impression management, adhere to peer influence, and provide incorrect responses. Additionally, this may inadvertently influence the responses of participants who are hesitant to express opposing views and instead choose to conform to the prevalent atmosphere (Roller and </w:t>
      </w:r>
      <w:proofErr w:type="spellStart"/>
      <w:r w:rsidRPr="001B1EAA">
        <w:rPr>
          <w:rFonts w:ascii="Arial" w:hAnsi="Arial" w:cs="Arial"/>
          <w:color w:val="252525"/>
          <w:sz w:val="22"/>
          <w:szCs w:val="22"/>
        </w:rPr>
        <w:t>Lavrakas</w:t>
      </w:r>
      <w:proofErr w:type="spellEnd"/>
      <w:r w:rsidRPr="001B1EAA">
        <w:rPr>
          <w:rFonts w:ascii="Arial" w:hAnsi="Arial" w:cs="Arial"/>
          <w:color w:val="252525"/>
          <w:sz w:val="22"/>
          <w:szCs w:val="22"/>
        </w:rPr>
        <w:t>, 2015, p. 112).</w:t>
      </w:r>
    </w:p>
    <w:p w14:paraId="11918A07"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The research extensively examined the correlation between parental engagement and reading. Focus groups are used for data collection in participatory research, particularly when young individuals are included (Bagnoli and Clark, 2010). The research method of focus groups was used to examine the correlation between parental engagement and reading. This choice was made due to the method's open-ended questioning style, which is particularly advantageous when working with children. Fargas-Malet et al. (2010, p. 180) state that the use of open-ended questions can provide richer data, especially when working with children. Tay-Lim and Lim (2013, p. 72) further add that by employing open-ended inquiries, the children are prompted to engage in profound introspection about their surroundings and are provided with the freedom to explore their ideas.</w:t>
      </w:r>
    </w:p>
    <w:p w14:paraId="1768F3DB"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Through the collection of data from pupils regarding their reading behaviours and preferences, the objective was to acquire a more profound comprehension of their engagement with reading, both within and beyond the classroom environment. This data will be invaluable for formulating future interventions and strategies to enhance reading engagement among pupils. Based on past teaching experiences, gathering feedback from learners regarding their level of engagement with their learning has proven to be a crucial factor in shaping interventions that aim to foster active participation and promote advancement.</w:t>
      </w:r>
    </w:p>
    <w:p w14:paraId="305FCCB6" w14:textId="279D2908"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The focus group interviews consisted of six participants, specifically six pupils in </w:t>
      </w:r>
      <w:r w:rsidR="00B73B99">
        <w:rPr>
          <w:rFonts w:ascii="Arial" w:hAnsi="Arial" w:cs="Arial"/>
          <w:color w:val="252525"/>
          <w:sz w:val="22"/>
          <w:szCs w:val="22"/>
        </w:rPr>
        <w:t>Y</w:t>
      </w:r>
      <w:r w:rsidRPr="001B1EAA">
        <w:rPr>
          <w:rFonts w:ascii="Arial" w:hAnsi="Arial" w:cs="Arial"/>
          <w:color w:val="252525"/>
          <w:sz w:val="22"/>
          <w:szCs w:val="22"/>
        </w:rPr>
        <w:t xml:space="preserve">ear </w:t>
      </w:r>
      <w:r w:rsidR="00B73B99">
        <w:rPr>
          <w:rFonts w:ascii="Arial" w:hAnsi="Arial" w:cs="Arial"/>
          <w:color w:val="252525"/>
          <w:sz w:val="22"/>
          <w:szCs w:val="22"/>
        </w:rPr>
        <w:t>S</w:t>
      </w:r>
      <w:r w:rsidRPr="001B1EAA">
        <w:rPr>
          <w:rFonts w:ascii="Arial" w:hAnsi="Arial" w:cs="Arial"/>
          <w:color w:val="252525"/>
          <w:sz w:val="22"/>
          <w:szCs w:val="22"/>
        </w:rPr>
        <w:t>ix, with an equal distribution of three boys and three girls. The focus group interviews comprised unstructured questions that facilitated the participants in articulating their thoughts and viewpoints regarding their reading habits and preferences. Examples of questions include: "What genres of books do you get the most pleasure from?" and "How often do you engage in reading activities outside of school?" (Refer to Appendix Two.) The discussions had a duration of around 30 minutes and were conducted in an intervention classroom with the presence of two additional researchers. The door was slightly open to comply with both school protocols regarding safety and ethical considerations.</w:t>
      </w:r>
    </w:p>
    <w:p w14:paraId="663D25C7"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lastRenderedPageBreak/>
        <w:t>The researchers ensured the establishment of a conducive and tranquil setting for the participants, fostering an atmosphere that encouraged them to freely express their opinions. Clark (2011a, p. 13) supports the statement about conducting interviews in a familiar environment. The use of open-ended questions facilitated a more profound comprehension of the pupil's reading habits and preferences, yielding useful perspectives for further interventions and tactics aimed at fostering reading involvement among pupils. Although focus groups were selected as the research methodology for investigating the correlation between parental engagement and reading, it is crucial to recognise certain constraints associated with this strategy.</w:t>
      </w:r>
    </w:p>
    <w:p w14:paraId="52DF1DF5" w14:textId="6B8F8488"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Firstly, focus groups depend on the participants' inclination to candidly express their views and viewpoints, which may not always occur. Clark (2011) also states that certain children will exclusively respond when questioned collectively, while others only give answers in a one-on-one setting. The presence of fellow group members may elicit discomfort in certain participants, hindering their ability to express their genuine opinions or exerting an influence on them. Furthermore, the limited sample size of only six pupils in </w:t>
      </w:r>
      <w:r w:rsidR="00B73B99">
        <w:rPr>
          <w:rFonts w:ascii="Arial" w:hAnsi="Arial" w:cs="Arial"/>
          <w:color w:val="252525"/>
          <w:sz w:val="22"/>
          <w:szCs w:val="22"/>
        </w:rPr>
        <w:t>Y</w:t>
      </w:r>
      <w:r w:rsidRPr="001B1EAA">
        <w:rPr>
          <w:rFonts w:ascii="Arial" w:hAnsi="Arial" w:cs="Arial"/>
          <w:color w:val="252525"/>
          <w:sz w:val="22"/>
          <w:szCs w:val="22"/>
        </w:rPr>
        <w:t xml:space="preserve">ear </w:t>
      </w:r>
      <w:r w:rsidR="00B73B99">
        <w:rPr>
          <w:rFonts w:ascii="Arial" w:hAnsi="Arial" w:cs="Arial"/>
          <w:color w:val="252525"/>
          <w:sz w:val="22"/>
          <w:szCs w:val="22"/>
        </w:rPr>
        <w:t>S</w:t>
      </w:r>
      <w:r w:rsidRPr="001B1EAA">
        <w:rPr>
          <w:rFonts w:ascii="Arial" w:hAnsi="Arial" w:cs="Arial"/>
          <w:color w:val="252525"/>
          <w:sz w:val="22"/>
          <w:szCs w:val="22"/>
        </w:rPr>
        <w:t>ix may not accurately reflect the overall pupil population.</w:t>
      </w:r>
    </w:p>
    <w:p w14:paraId="548D119A"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Emmel (2013, p. 141) argues that the primary factor to be considered is the validity, meaningfulness, and insights derived from qualitative research, rather than the size of the sample. Nevertheless, the objective of this study was to acquire a more profound comprehension of the reading behaviours and preferences of a particular cohort of pupils rather than extrapolating the results to encompass every pupil. Although there were limits, the insights obtained from the focus group interviews offered useful information for creating approaches and methods to enhance reading engagement among pupils.</w:t>
      </w:r>
    </w:p>
    <w:p w14:paraId="42E9135E"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An online questionnaire was employed as a further research tool for gathering data from the teacher participants. The use of the online questionnaire for teachers facilitated the inclusion of a larger sample size, hence enabling a more extensive and all-encompassing examination of the reading habits and preferences of the pupils. By employing this strategy, a wide array of viewpoints was included, thus enhancing the credibility of the results.</w:t>
      </w:r>
    </w:p>
    <w:p w14:paraId="0298CF80"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Questionnaires, like other research tools, possess both advantages and constraints when employed in a study. An important advantage of utilising online questionnaires is their ability to be disseminated and finished promptly and efficiently. The average duration for completing an online survey is almost two-thirds shorter compared to other research methodologies (Mahmutovic, 2021). An additional advantage of online surveys is the ability to anonymize participant details from the beginning, ensuring the anonymity of participants </w:t>
      </w:r>
      <w:r w:rsidRPr="001B1EAA">
        <w:rPr>
          <w:rFonts w:ascii="Arial" w:hAnsi="Arial" w:cs="Arial"/>
          <w:color w:val="252525"/>
          <w:sz w:val="22"/>
          <w:szCs w:val="22"/>
        </w:rPr>
        <w:lastRenderedPageBreak/>
        <w:t>and adhering to the rules set by the British Ethical Regulation Association (2018) for study completion. Researchers must acknowledge the legitimate rights of both institutions and individual participants to privacy and should respect their entitlement to secrecy and anonymity (BERA, 2018). Employing an anonymous questionnaire format reduces the likelihood of participant information being acquired or shared without consent.</w:t>
      </w:r>
    </w:p>
    <w:p w14:paraId="5056616D" w14:textId="77777777" w:rsidR="008F7E91"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Although viewed as an advantageous research methodology, questionnaires have limitations. Self-reporting bias is a disadvantage of using questionnaires as a means of collecting data. Demetriou, Ozer, and Essau (2015, p. 1) state that an issue that arises in self-reporting questionnaires is response bias, which refers to an individual's inclination to consistently reply in a particular manner, regardless of the specific topic being asked. Bias refers to any factor that can introduce a distortion in the findings of a study (Polit and Beck, 2021, p. 17). Moreover, this can lead to participants giving inaccurate or socially desired answers, which could undermine the validity and dependability of the obtained data. Furthermore, questionnaires can potentially give rise to challenges in interpretation due to their solitary completion and the participants' freedom to respond as they deem appropriate. </w:t>
      </w:r>
    </w:p>
    <w:p w14:paraId="3B5D0684" w14:textId="56B3F1F6"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Hardy and Ford (2014) suggest that varied interpretations of the questionnaire questions by participants can result in validity concerns regarding their responses, particularly if their understanding of the questions differs from the researcher's. Researchers must categorise responses to open-ended questions, which might result in misinterpretation problems when analysing the data. McLoed (2023) examines open-ended responses as a necessity for meticulous scrutiny and may entail subjective assessments by the researcher. This can inherently cause bias throughout the data analysis, further affecting the validity of the conclusions. Hence, researchers must be meticulous in their methodology to guarantee precise interpretation and mitigate any biases that may emerge during the analysis phase.</w:t>
      </w:r>
    </w:p>
    <w:p w14:paraId="7ACFC573"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School administrators distributed the questionnaire for this study via email. The questionnaire consisted of inquiries such as, 'Do you incorporate reading into your regular classroom regime?' and 'To what extent do you perceive reading as crucial in facilitating student progress?' (Refer to Appendix Three.).</w:t>
      </w:r>
    </w:p>
    <w:p w14:paraId="0FD6D945"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The questionnaire facilitated the gathering of both qualitative and quantitative data. When conducting the questionnaire, the researcher encountered a minor issue when sharing the survey link, as it had been issued before the arrival at the setting. Consequently, there was no oversight regarding which staff members received the link and participated in the questionnaire. Data was obtained in each educational phase in which the teachers were </w:t>
      </w:r>
      <w:r w:rsidRPr="001B1EAA">
        <w:rPr>
          <w:rFonts w:ascii="Arial" w:hAnsi="Arial" w:cs="Arial"/>
          <w:color w:val="252525"/>
          <w:sz w:val="22"/>
          <w:szCs w:val="22"/>
        </w:rPr>
        <w:lastRenderedPageBreak/>
        <w:t>situated, either the foundation phase or key stage 2. This information was acquired through the initial question in the questionnaire.</w:t>
      </w:r>
    </w:p>
    <w:p w14:paraId="429FD791" w14:textId="77777777" w:rsidR="00157C4B" w:rsidRDefault="001B1EAA" w:rsidP="00157C4B">
      <w:pPr>
        <w:pStyle w:val="NormalWeb"/>
        <w:spacing w:line="360" w:lineRule="auto"/>
        <w:rPr>
          <w:rFonts w:ascii="Arial" w:hAnsi="Arial" w:cs="Arial"/>
          <w:color w:val="252525"/>
          <w:sz w:val="22"/>
          <w:szCs w:val="22"/>
        </w:rPr>
      </w:pPr>
      <w:r w:rsidRPr="001B1EAA">
        <w:rPr>
          <w:rFonts w:ascii="Arial" w:hAnsi="Arial" w:cs="Arial"/>
          <w:color w:val="252525"/>
          <w:sz w:val="22"/>
          <w:szCs w:val="22"/>
        </w:rPr>
        <w:t>A further constraint was encountered when employing questionnaires as a research instrument, as there were exceedingly low response rates, with only six responses obtained. The limited sample size may undermine the validity of the results and limit their generalisability to the population. Altman (1991) suggests that a limited sample size may hinder the generalisability of the findings. Nevertheless, an advantage of utilising the online questionnaire was that it allowed the participants to complete the form at their convenience and acquire pertinent information. Lefever, Dal, and Matthíasdóttir (2007, p. 578) further conclude that online data collection offers the opportunity to reach a wide and geographically dispersed population while also being efficient in terms of time and money for the researcher.</w:t>
      </w:r>
    </w:p>
    <w:p w14:paraId="378E1FA6" w14:textId="2276CCE9" w:rsidR="001B1EAA" w:rsidRPr="00157C4B" w:rsidRDefault="001B1EAA" w:rsidP="00157C4B">
      <w:pPr>
        <w:pStyle w:val="NormalWeb"/>
        <w:spacing w:line="360" w:lineRule="auto"/>
        <w:jc w:val="center"/>
        <w:rPr>
          <w:rFonts w:ascii="Arial" w:hAnsi="Arial" w:cs="Arial"/>
          <w:color w:val="252525"/>
          <w:sz w:val="22"/>
          <w:szCs w:val="22"/>
        </w:rPr>
      </w:pPr>
      <w:r w:rsidRPr="00157C4B">
        <w:rPr>
          <w:rFonts w:ascii="Arial" w:hAnsi="Arial" w:cs="Arial"/>
          <w:b/>
          <w:bCs/>
          <w:color w:val="252525"/>
          <w:sz w:val="22"/>
          <w:szCs w:val="22"/>
        </w:rPr>
        <w:t>Data Presentation and Analysis Methods</w:t>
      </w:r>
    </w:p>
    <w:p w14:paraId="3B7DC167" w14:textId="173EF6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The research findings will be showcased and analysed using diverse statistical approaches. This will facilitate a comprehensive analysis of the data, ensuring accurate and reliable results. Furthermore, it is feasible to identify and examine any potential trends or patterns in the data to acquire significant insights. Researchers can detect outliers or anomalies in the data that may need further inquiry by employing statistical approaches and software technologies. The thorough examination of the data facilitates a more profound comprehension and bolsters the validity of the research results.</w:t>
      </w:r>
    </w:p>
    <w:p w14:paraId="0316DE3B" w14:textId="77777777" w:rsidR="00062A80"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The results obtained from the staff questionnaire will be presented using quantitative techniques, such as charts and graphs. Graphs and pie charts are popular means of visually depicting relationships within data. The primary objective of a graph is to visually represent material that is excessively abundant or intricate to be sufficiently conveyed within the confines of written language and in a more condensed manner (Slutsky, 2014). Although graphs and charts can capture readers' attention, it is crucial to convey the data accurately and in the most suitable way. As with any data presentation technique, there are both strengths and weaknesses. One of the many strengths of using graphs and charts when presenting data is that they enable readers to visually analyse and compare data by emphasising patterns and relationships, such as variations in frequency distribution and correlation (Grech, 2019, p. 54). Divecha, </w:t>
      </w:r>
      <w:proofErr w:type="spellStart"/>
      <w:r w:rsidRPr="001B1EAA">
        <w:rPr>
          <w:rFonts w:ascii="Arial" w:hAnsi="Arial" w:cs="Arial"/>
          <w:color w:val="252525"/>
          <w:sz w:val="22"/>
          <w:szCs w:val="22"/>
        </w:rPr>
        <w:t>Tullu</w:t>
      </w:r>
      <w:proofErr w:type="spellEnd"/>
      <w:r w:rsidRPr="001B1EAA">
        <w:rPr>
          <w:rFonts w:ascii="Arial" w:hAnsi="Arial" w:cs="Arial"/>
          <w:color w:val="252525"/>
          <w:sz w:val="22"/>
          <w:szCs w:val="22"/>
        </w:rPr>
        <w:t xml:space="preserve">, and </w:t>
      </w:r>
      <w:proofErr w:type="spellStart"/>
      <w:r w:rsidRPr="001B1EAA">
        <w:rPr>
          <w:rFonts w:ascii="Arial" w:hAnsi="Arial" w:cs="Arial"/>
          <w:color w:val="252525"/>
          <w:sz w:val="22"/>
          <w:szCs w:val="22"/>
        </w:rPr>
        <w:t>Karande</w:t>
      </w:r>
      <w:proofErr w:type="spellEnd"/>
      <w:r w:rsidRPr="001B1EAA">
        <w:rPr>
          <w:rFonts w:ascii="Arial" w:hAnsi="Arial" w:cs="Arial"/>
          <w:color w:val="252525"/>
          <w:sz w:val="22"/>
          <w:szCs w:val="22"/>
        </w:rPr>
        <w:t xml:space="preserve"> (2023) agree that graphs and pie charts can provide key benefits when implemented as a technique for presenting data, stating that they provide the most accurate representation of the data in its raw form. However, there are also several constraints that should be considered when choosing </w:t>
      </w:r>
      <w:r w:rsidRPr="001B1EAA">
        <w:rPr>
          <w:rFonts w:ascii="Arial" w:hAnsi="Arial" w:cs="Arial"/>
          <w:color w:val="252525"/>
          <w:sz w:val="22"/>
          <w:szCs w:val="22"/>
        </w:rPr>
        <w:lastRenderedPageBreak/>
        <w:t>graphs and pie charts as a data presentation method. For example, pie charts fail to reveal key assumptions, causes, effects, or patterns (MWAIKUSA, 2018).</w:t>
      </w:r>
    </w:p>
    <w:p w14:paraId="2FEB5A0C" w14:textId="5AEE4D43"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The qualitative data gathered from the pupil focus group will be analysed through a thematic approach. Boyatzis (1998, p. 12) explains that thematic analysis serves as a mediator between qualitative and quantitative analysis, facilitating communication among researchers employing different research methodologies. Thematic analysis can be used as a technique to analyse qualitative data by carefully examining the data and identifying recurring patterns in the underlying meaning, which are referred to as themes. Braun and Clarke (2006, p. 77) state that thematic analysis is a versatile method that may be adapted to suit various research requirements, delivering a comprehensive and rich, yet complex, representation of data. Cassel, Symon, and King (2004, p. 277) further agree that utilising thematic analysis is valuable for condensing important characteristics of a substantial dataset, as it compels the researcher to adopt a methodical approach to managing data. </w:t>
      </w:r>
      <w:r w:rsidR="007146D3" w:rsidRPr="001B1EAA">
        <w:rPr>
          <w:rFonts w:ascii="Arial" w:hAnsi="Arial" w:cs="Arial"/>
          <w:color w:val="252525"/>
          <w:sz w:val="22"/>
          <w:szCs w:val="22"/>
        </w:rPr>
        <w:t>Thus,</w:t>
      </w:r>
      <w:r w:rsidRPr="001B1EAA">
        <w:rPr>
          <w:rFonts w:ascii="Arial" w:hAnsi="Arial" w:cs="Arial"/>
          <w:color w:val="252525"/>
          <w:sz w:val="22"/>
          <w:szCs w:val="22"/>
        </w:rPr>
        <w:t xml:space="preserve"> facilitating the creation of a coherent and orderly final report.</w:t>
      </w:r>
    </w:p>
    <w:p w14:paraId="0AF28919" w14:textId="2F5D7E01" w:rsidR="001B1EAA" w:rsidRPr="00607C3C" w:rsidRDefault="001B1EAA" w:rsidP="00607C3C">
      <w:pPr>
        <w:pStyle w:val="NormalWeb"/>
        <w:spacing w:line="360" w:lineRule="auto"/>
        <w:jc w:val="center"/>
        <w:rPr>
          <w:rFonts w:ascii="Arial" w:hAnsi="Arial" w:cs="Arial"/>
          <w:b/>
          <w:bCs/>
          <w:color w:val="252525"/>
          <w:sz w:val="22"/>
          <w:szCs w:val="22"/>
        </w:rPr>
      </w:pPr>
      <w:r w:rsidRPr="00607C3C">
        <w:rPr>
          <w:rFonts w:ascii="Arial" w:hAnsi="Arial" w:cs="Arial"/>
          <w:b/>
          <w:bCs/>
          <w:color w:val="252525"/>
          <w:sz w:val="22"/>
          <w:szCs w:val="22"/>
        </w:rPr>
        <w:t>ETHICAL CONSIDERATIONS</w:t>
      </w:r>
    </w:p>
    <w:p w14:paraId="1582335D" w14:textId="4729902F"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Prior to conducting a research project, researchers must possess a comprehensive understanding of the ethical considerations that need to be considered. BERA (2018) states that their recommendations aim to assist educational researchers in doing research with the utmost adherence to ethical guidelines in all circumstances. The BERA guidelines consist of many different aspects, including but not limited to</w:t>
      </w:r>
      <w:r w:rsidR="007146D3">
        <w:rPr>
          <w:rFonts w:ascii="Arial" w:hAnsi="Arial" w:cs="Arial"/>
          <w:color w:val="252525"/>
          <w:sz w:val="22"/>
          <w:szCs w:val="22"/>
        </w:rPr>
        <w:t xml:space="preserve"> </w:t>
      </w:r>
      <w:r w:rsidRPr="001B1EAA">
        <w:rPr>
          <w:rFonts w:ascii="Arial" w:hAnsi="Arial" w:cs="Arial"/>
          <w:color w:val="252525"/>
          <w:sz w:val="22"/>
          <w:szCs w:val="22"/>
        </w:rPr>
        <w:t>consent, anonymity, confidentiality, and assent. Consent is crucial in research as it enables participants to make educated decisions about their involvement, considering the objectives of the study.</w:t>
      </w:r>
    </w:p>
    <w:p w14:paraId="3EF941DD"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Before engaging with children, it is essential to obtain consent from their parents or legal guardians (General Medical Council, n.d.). As per the NSPCC (2023), consent is required from the parent, guardian, or another suitable adult for children between the ages of 8 and 15. In addition to obtaining consent from parents or guardians, it is also necessary to obtain consent from the child. The United Nations Convention on the Rights of the Child (1989) (UNCRC) comprises 54 globally acknowledged provisions that establish the fundamental rights of children. Article 12 states that every child has the right to express their opinions, feelings, and wishes on matters that affect them and to have their views recognised and taken seriously. Emphasising the significance of obtaining consent from both the child and their parents or guardians.</w:t>
      </w:r>
    </w:p>
    <w:p w14:paraId="7B609545"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lastRenderedPageBreak/>
        <w:t>Hence, the participants were asked about their willingness to participate in a research study on their reading engagement before initiating any questions or discussions. After the focus group, pupils were also asked about their agreement to provide the researcher with permission to utilise the findings and responses derived from the discussions.</w:t>
      </w:r>
    </w:p>
    <w:p w14:paraId="434B7E0A"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Ensuring confidentiality in research is of the utmost importance in maintaining the privacy and rights of participants. It guarantees the confidentiality of sensitive information exchanged during the research, preventing unauthorised parties from accessing or revealing it. In addition, keeping concealment cultivates trust between researchers and participants, promoting candid and transparent responses, ultimately resulting in more accurate findings.</w:t>
      </w:r>
    </w:p>
    <w:p w14:paraId="2389C5A2" w14:textId="036E7267" w:rsidR="001B1EAA" w:rsidRPr="00607C3C" w:rsidRDefault="001B1EAA" w:rsidP="007146D3">
      <w:pPr>
        <w:pStyle w:val="NormalWeb"/>
        <w:spacing w:line="360" w:lineRule="auto"/>
        <w:ind w:left="2160"/>
        <w:rPr>
          <w:rFonts w:ascii="Arial" w:hAnsi="Arial" w:cs="Arial"/>
          <w:b/>
          <w:bCs/>
          <w:color w:val="252525"/>
          <w:sz w:val="22"/>
          <w:szCs w:val="22"/>
        </w:rPr>
      </w:pPr>
      <w:r w:rsidRPr="00607C3C">
        <w:rPr>
          <w:rFonts w:ascii="Arial" w:hAnsi="Arial" w:cs="Arial"/>
          <w:b/>
          <w:bCs/>
          <w:color w:val="252525"/>
          <w:sz w:val="22"/>
          <w:szCs w:val="22"/>
        </w:rPr>
        <w:t>Results, Analysis of Results, and Discussion</w:t>
      </w:r>
    </w:p>
    <w:p w14:paraId="776F9C8F"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The data collected from the online survey indicated that all of the staff members surveyed incorporated reading into their regular classroom schedules (refer to Appendix 4a). According to the data in Appendix 4b, 66% of teachers observed that over half of the students in their class were reading at a level acceptable for their age. In contrast, 33% of teachers reported that less than half of the students were reading below the average reading age for their age. Similarly, only 66% of teachers who took part in the questionnaire observed their pupils engaging in reading outside of the classroom, while the other participants did not (refer to Appendix 4c). When asked how essential they believe reading is to pupils learning and progression, all six respondents agreed that it was extremely important and gave it five stars (refer to Appendix 4d).</w:t>
      </w:r>
    </w:p>
    <w:p w14:paraId="0FD60972"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The participants were also asked about the tactics they employ to stimulate pupils to read outside of school. Many responses highlighted the effectiveness of engaging in conversations with pupils about authors, various genres, and making visits to the school library (refer to Appendix 4e). These activities were found to be advantageous in fostering a pupil's passion for reading.</w:t>
      </w:r>
    </w:p>
    <w:p w14:paraId="213518AF"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Through the analysis of the data, it can be clearly inferred that all teachers view reading as an essential building block for aiding pupils learning and progression. Cekiso (2017, p. 1) added further that literacy is greatly esteemed and plays a crucial role in one's individual, societal, and financial welfare. The findings of the questionnaire also show that not all pupils have acquired a reading age appropriate for their age. The average age for reading proficiency in the United Kingdom population is 9 years, indicating that they have attained the typical reading ability of a 9-year-old (Jim, 2019). Thus, it suggests that the schools reading attainment is above average compared with the rest of the United Kingdom.</w:t>
      </w:r>
    </w:p>
    <w:p w14:paraId="6C755924" w14:textId="695E6242"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lastRenderedPageBreak/>
        <w:t>The focus group answers have also been collected and have been generalised into a list of key findings, providing qualitative data in a simplistic, easily accessible format (refer to Appendix 5a). Despite the diverse composition of the focus group participants in terms of aptitude and gender, their responses to the proposed questions remained consistently similar and hardly deviated from one another. 83.33% of participants reported experiencing pleasure when engaging in reading. Likewise, every participant confirmed that they often read at home, with a minimum frequency of three times per week. Two individuals even reported reading daily. One participant also stated their preference for reading to parents, while the rest concurred that they would rather read to themselves. The consensus across all participants was that the ability to exercise independence in selecting books from the school or classroom library served as an encouragement for their own reading habits.</w:t>
      </w:r>
    </w:p>
    <w:p w14:paraId="6CE9BE40"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The statistics obtained by the National Literacy Trust (2023) provide an alternative perspective on students' reading habits. The trust asserts that the proportion of children who report enjoying reading is only 2 out of 5, which contradicts the findings obtained from the focus group. The survey reveals that fewer than 30% of children engage in daily reading, which is a significant contrast to the 33.3% of pupils who reported reading daily. Half of the children reported being motivated to read by their parents and carers, making it the ultimate comparable comparison.</w:t>
      </w:r>
    </w:p>
    <w:p w14:paraId="681991F5" w14:textId="77777777" w:rsidR="00062A80"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While the participants had comparable perspectives and comprehension of their reading habits, the limited diversity in terms of geography and age range may impede the ability to generalise the collected data. Enlisting a heterogeneous group of participants from different geographical regions and age brackets will yield a more comprehensive outlook and enhance the credibility of the results. Furthermore, considering diverse cultural backgrounds and varying socioeconomic positions could augment the overall comprehension of reading patterns.</w:t>
      </w:r>
    </w:p>
    <w:p w14:paraId="286D99A0" w14:textId="061B8067" w:rsidR="001B1EAA" w:rsidRPr="00062A80" w:rsidRDefault="001B1EAA" w:rsidP="00062A80">
      <w:pPr>
        <w:pStyle w:val="NormalWeb"/>
        <w:spacing w:line="360" w:lineRule="auto"/>
        <w:jc w:val="center"/>
        <w:rPr>
          <w:rFonts w:ascii="Arial" w:hAnsi="Arial" w:cs="Arial"/>
          <w:b/>
          <w:bCs/>
          <w:color w:val="252525"/>
          <w:sz w:val="22"/>
          <w:szCs w:val="22"/>
        </w:rPr>
      </w:pPr>
      <w:r w:rsidRPr="00062A80">
        <w:rPr>
          <w:rFonts w:ascii="Arial" w:hAnsi="Arial" w:cs="Arial"/>
          <w:b/>
          <w:bCs/>
          <w:color w:val="252525"/>
          <w:sz w:val="22"/>
          <w:szCs w:val="22"/>
        </w:rPr>
        <w:t>Conclusions and recommendations</w:t>
      </w:r>
    </w:p>
    <w:p w14:paraId="0FAB5BEE" w14:textId="444F8112"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 xml:space="preserve">In conclusion, this assignment has clearly demonstrated the significance of reading in the progression and development of pupils. While the study was limited for ethical reasons and did not directly address the research question on teachers' perspectives on the impact of pupils' reading at home with their parents or carers on reading advancement, it still provided valuable insights. These observations, which also have support from literature from around the world, demonstrate the significance of reading for progression in the Welsh Curriculum. Moreover, the results of this study indicate that encouraging reading at home might significantly enhance a pupil's overall academic achievement. This underscores the </w:t>
      </w:r>
      <w:r w:rsidRPr="001B1EAA">
        <w:rPr>
          <w:rFonts w:ascii="Arial" w:hAnsi="Arial" w:cs="Arial"/>
          <w:color w:val="252525"/>
          <w:sz w:val="22"/>
          <w:szCs w:val="22"/>
        </w:rPr>
        <w:lastRenderedPageBreak/>
        <w:t>necessity for additional research to examine educators' viewpoints and strategies for promoting parental engagement in cultivating a literary environment beyond the confines of the educational institution. Understanding the perspectives of educators and their strategies for promoting parental engagement can help in developing effective interventions and programmes. Furthermore, investigating the probable obstacles and difficulties encountered by parents in cultivating a literary atmosphere at home might offer significant perspectives for developing focused support systems</w:t>
      </w:r>
      <w:r w:rsidR="00A50C98">
        <w:rPr>
          <w:rFonts w:ascii="Arial" w:hAnsi="Arial" w:cs="Arial"/>
          <w:color w:val="252525"/>
          <w:sz w:val="22"/>
          <w:szCs w:val="22"/>
        </w:rPr>
        <w:t>.</w:t>
      </w:r>
    </w:p>
    <w:p w14:paraId="3BF273E8"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Although all ethical considerations were thoroughly addressed and followed, many aspects of the research could not be fully conducted. The limited diversity of replies in both the staff questionnaire and the pupil focus group may compromise the generalizability of the results, thereby raising concerns about their validity.</w:t>
      </w:r>
    </w:p>
    <w:p w14:paraId="5F5558D5" w14:textId="77777777"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In terms of the Qualified Teaching Standards (QTS), the process of conducting and reporting data collected within the educational field relates to continuing professional development and professional networks and communities (Welsh Government, 2019). These standards emphasise the importance of teachers engaging in ongoing learning and collaboration with their peers. By participating in professional networks and communities, educators can stay updated on best practices, exchange ideas, and enhance their teaching skills. This continuous professional development ensures that teachers are equipped with the knowledge and resources needed to provide high-quality education to their pupils.</w:t>
      </w:r>
    </w:p>
    <w:p w14:paraId="683DBD24" w14:textId="11DF6349" w:rsidR="001B1EAA" w:rsidRPr="001B1EAA" w:rsidRDefault="001B1EAA" w:rsidP="001B1EAA">
      <w:pPr>
        <w:pStyle w:val="NormalWeb"/>
        <w:spacing w:line="360" w:lineRule="auto"/>
        <w:rPr>
          <w:rFonts w:ascii="Arial" w:hAnsi="Arial" w:cs="Arial"/>
          <w:color w:val="252525"/>
          <w:sz w:val="22"/>
          <w:szCs w:val="22"/>
        </w:rPr>
      </w:pPr>
      <w:r w:rsidRPr="001B1EAA">
        <w:rPr>
          <w:rFonts w:ascii="Arial" w:hAnsi="Arial" w:cs="Arial"/>
          <w:color w:val="252525"/>
          <w:sz w:val="22"/>
          <w:szCs w:val="22"/>
        </w:rPr>
        <w:t>As a concluding suggestion for the school where the research was conducted, it is recommended to grant children of all age groups access to the local library and organise a competition for each grade level to determine who can read the highest number of books within a term. The enclosed sheet is intended for joint completion by parents and pupils every time a pupil borrows a book from the local library (refer to Appendix 6). This will not only cultivate a passion for reading but also promote a positive sense of competition among the pupils. In addition, scheduling frequent visits to the library and arranging book-centric activities can augment the reading culture inside the school and foster a lifetime inclination towards reading among the pupils.</w:t>
      </w:r>
      <w:r w:rsidR="00DF00EC">
        <w:rPr>
          <w:rFonts w:ascii="Arial" w:hAnsi="Arial" w:cs="Arial"/>
          <w:color w:val="252525"/>
          <w:sz w:val="22"/>
          <w:szCs w:val="22"/>
        </w:rPr>
        <w:t xml:space="preserve"> </w:t>
      </w:r>
    </w:p>
    <w:p w14:paraId="17F700B6" w14:textId="4E93F84B" w:rsidR="009345A3" w:rsidRPr="009345A3" w:rsidRDefault="009345A3" w:rsidP="1FEE78F0">
      <w:pPr>
        <w:spacing w:line="360" w:lineRule="auto"/>
        <w:rPr>
          <w:rFonts w:ascii="Arial" w:hAnsi="Arial" w:cs="Arial"/>
          <w:u w:val="single"/>
        </w:rPr>
      </w:pPr>
    </w:p>
    <w:p w14:paraId="38AC8729" w14:textId="77777777" w:rsidR="00D676AB" w:rsidRDefault="00D676AB" w:rsidP="1FEE78F0">
      <w:pPr>
        <w:spacing w:line="360" w:lineRule="auto"/>
        <w:rPr>
          <w:rFonts w:ascii="Arial" w:hAnsi="Arial" w:cs="Arial"/>
        </w:rPr>
      </w:pPr>
    </w:p>
    <w:p w14:paraId="587FFE84" w14:textId="77777777" w:rsidR="00D676AB" w:rsidRDefault="00D676AB" w:rsidP="1FEE78F0">
      <w:pPr>
        <w:spacing w:line="360" w:lineRule="auto"/>
        <w:rPr>
          <w:rFonts w:ascii="Arial" w:hAnsi="Arial" w:cs="Arial"/>
        </w:rPr>
      </w:pPr>
    </w:p>
    <w:p w14:paraId="5D555959" w14:textId="41634D9B" w:rsidR="1FEE78F0" w:rsidRPr="00155632" w:rsidRDefault="1FEE78F0" w:rsidP="00155632">
      <w:pPr>
        <w:spacing w:line="360" w:lineRule="auto"/>
        <w:rPr>
          <w:rFonts w:ascii="Arial" w:hAnsi="Arial" w:cs="Arial"/>
        </w:rPr>
      </w:pPr>
    </w:p>
    <w:sectPr w:rsidR="1FEE78F0" w:rsidRPr="0015563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DC8A7" w14:textId="77777777" w:rsidR="00F82172" w:rsidRDefault="00F82172" w:rsidP="00A81A9E">
      <w:pPr>
        <w:spacing w:after="0" w:line="240" w:lineRule="auto"/>
      </w:pPr>
      <w:r>
        <w:separator/>
      </w:r>
    </w:p>
  </w:endnote>
  <w:endnote w:type="continuationSeparator" w:id="0">
    <w:p w14:paraId="5EDDC45C" w14:textId="77777777" w:rsidR="00F82172" w:rsidRDefault="00F82172" w:rsidP="00A81A9E">
      <w:pPr>
        <w:spacing w:after="0" w:line="240" w:lineRule="auto"/>
      </w:pPr>
      <w:r>
        <w:continuationSeparator/>
      </w:r>
    </w:p>
  </w:endnote>
  <w:endnote w:type="continuationNotice" w:id="1">
    <w:p w14:paraId="5C2A5B98" w14:textId="77777777" w:rsidR="00F82172" w:rsidRDefault="00F8217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2EEC1" w14:textId="77777777" w:rsidR="00A81A9E" w:rsidRPr="00A81A9E" w:rsidRDefault="00A81A9E">
    <w:pPr>
      <w:pStyle w:val="Footer"/>
      <w:jc w:val="center"/>
      <w:rPr>
        <w:rFonts w:ascii="Arial" w:hAnsi="Arial" w:cs="Arial"/>
        <w:caps/>
        <w:noProof/>
      </w:rPr>
    </w:pPr>
    <w:r w:rsidRPr="00A81A9E">
      <w:rPr>
        <w:rFonts w:ascii="Arial" w:hAnsi="Arial" w:cs="Arial"/>
        <w:caps/>
      </w:rPr>
      <w:fldChar w:fldCharType="begin"/>
    </w:r>
    <w:r w:rsidRPr="00A81A9E">
      <w:rPr>
        <w:rFonts w:ascii="Arial" w:hAnsi="Arial" w:cs="Arial"/>
        <w:caps/>
      </w:rPr>
      <w:instrText xml:space="preserve"> PAGE   \* MERGEFORMAT </w:instrText>
    </w:r>
    <w:r w:rsidRPr="00A81A9E">
      <w:rPr>
        <w:rFonts w:ascii="Arial" w:hAnsi="Arial" w:cs="Arial"/>
        <w:caps/>
      </w:rPr>
      <w:fldChar w:fldCharType="separate"/>
    </w:r>
    <w:r w:rsidRPr="00A81A9E">
      <w:rPr>
        <w:rFonts w:ascii="Arial" w:hAnsi="Arial" w:cs="Arial"/>
        <w:caps/>
        <w:noProof/>
      </w:rPr>
      <w:t>2</w:t>
    </w:r>
    <w:r w:rsidRPr="00A81A9E">
      <w:rPr>
        <w:rFonts w:ascii="Arial" w:hAnsi="Arial" w:cs="Arial"/>
        <w:caps/>
        <w:noProof/>
      </w:rPr>
      <w:fldChar w:fldCharType="end"/>
    </w:r>
  </w:p>
  <w:p w14:paraId="7B5FA905" w14:textId="77777777" w:rsidR="00A81A9E" w:rsidRDefault="00A81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B8FA0" w14:textId="77777777" w:rsidR="00F82172" w:rsidRDefault="00F82172" w:rsidP="00A81A9E">
      <w:pPr>
        <w:spacing w:after="0" w:line="240" w:lineRule="auto"/>
      </w:pPr>
      <w:r>
        <w:separator/>
      </w:r>
    </w:p>
  </w:footnote>
  <w:footnote w:type="continuationSeparator" w:id="0">
    <w:p w14:paraId="0BF65DD8" w14:textId="77777777" w:rsidR="00F82172" w:rsidRDefault="00F82172" w:rsidP="00A81A9E">
      <w:pPr>
        <w:spacing w:after="0" w:line="240" w:lineRule="auto"/>
      </w:pPr>
      <w:r>
        <w:continuationSeparator/>
      </w:r>
    </w:p>
  </w:footnote>
  <w:footnote w:type="continuationNotice" w:id="1">
    <w:p w14:paraId="574D8F24" w14:textId="77777777" w:rsidR="00F82172" w:rsidRDefault="00F8217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925C9" w14:textId="3B8040CA" w:rsidR="00A81A9E" w:rsidRDefault="00A81A9E">
    <w:pPr>
      <w:pStyle w:val="Header"/>
    </w:pPr>
    <w:r w:rsidRPr="00A81A9E">
      <w:rPr>
        <w:rFonts w:ascii="Arial" w:hAnsi="Arial" w:cs="Arial"/>
      </w:rPr>
      <w:t>Meg Ward</w:t>
    </w:r>
    <w:r w:rsidRPr="00A81A9E">
      <w:rPr>
        <w:rFonts w:ascii="Arial" w:hAnsi="Arial" w:cs="Arial"/>
      </w:rPr>
      <w:ptab w:relativeTo="margin" w:alignment="center" w:leader="none"/>
    </w:r>
    <w:r w:rsidRPr="00A81A9E">
      <w:rPr>
        <w:rFonts w:ascii="Arial" w:hAnsi="Arial" w:cs="Arial"/>
      </w:rPr>
      <w:t>ECAD6010</w:t>
    </w:r>
    <w:r w:rsidRPr="00A81A9E">
      <w:rPr>
        <w:rFonts w:ascii="Arial" w:hAnsi="Arial" w:cs="Arial"/>
      </w:rPr>
      <w:ptab w:relativeTo="margin" w:alignment="right" w:leader="none"/>
    </w:r>
    <w:r w:rsidRPr="00A81A9E">
      <w:rPr>
        <w:rFonts w:ascii="Arial" w:hAnsi="Arial" w:cs="Arial"/>
      </w:rPr>
      <w:t>Student Number: 2004861</w:t>
    </w:r>
  </w:p>
</w:hdr>
</file>

<file path=word/intelligence2.xml><?xml version="1.0" encoding="utf-8"?>
<int2:intelligence xmlns:int2="http://schemas.microsoft.com/office/intelligence/2020/intelligence" xmlns:oel="http://schemas.microsoft.com/office/2019/extlst">
  <int2:observations>
    <int2:textHash int2:hashCode="RY2PSKR7+SifCj" int2:id="5cHMOqYf">
      <int2:state int2:value="Rejected" int2:type="AugLoop_Text_Critique"/>
    </int2:textHash>
    <int2:textHash int2:hashCode="QSrlqS80j7p9EE" int2:id="ZDxGHE5Z">
      <int2:state int2:value="Rejected" int2:type="AugLoop_Text_Critique"/>
    </int2:textHash>
    <int2:textHash int2:hashCode="Jlubcrbd7KYVNY" int2:id="xsNffwoT">
      <int2:state int2:value="Rejected" int2:type="AugLoop_Text_Critique"/>
    </int2:textHash>
    <int2:textHash int2:hashCode="krmrVfwh1Fbb39" int2:id="y8dzNZzW">
      <int2:state int2:value="Rejected" int2:type="AugLoop_Text_Critique"/>
    </int2:textHash>
    <int2:textHash int2:hashCode="RkekJF7GLVitAC" int2:id="djSa187N">
      <int2:state int2:value="Rejected" int2:type="AugLoop_Text_Critique"/>
    </int2:textHash>
    <int2:textHash int2:hashCode="7fwVlk9FRrLPVO" int2:id="QKkDTaud">
      <int2:state int2:value="Rejected" int2:type="AugLoop_Text_Critique"/>
    </int2:textHash>
    <int2:textHash int2:hashCode="7lQnIipmreFe40" int2:id="khaPWIO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293D4"/>
    <w:multiLevelType w:val="hybridMultilevel"/>
    <w:tmpl w:val="F41447FC"/>
    <w:lvl w:ilvl="0" w:tplc="1B5CEEC0">
      <w:start w:val="1"/>
      <w:numFmt w:val="bullet"/>
      <w:lvlText w:val="-"/>
      <w:lvlJc w:val="left"/>
      <w:pPr>
        <w:ind w:left="720" w:hanging="360"/>
      </w:pPr>
      <w:rPr>
        <w:rFonts w:ascii="Calibri" w:hAnsi="Calibri" w:hint="default"/>
      </w:rPr>
    </w:lvl>
    <w:lvl w:ilvl="1" w:tplc="C39CEDBA">
      <w:start w:val="1"/>
      <w:numFmt w:val="bullet"/>
      <w:lvlText w:val="o"/>
      <w:lvlJc w:val="left"/>
      <w:pPr>
        <w:ind w:left="1440" w:hanging="360"/>
      </w:pPr>
      <w:rPr>
        <w:rFonts w:ascii="Courier New" w:hAnsi="Courier New" w:hint="default"/>
      </w:rPr>
    </w:lvl>
    <w:lvl w:ilvl="2" w:tplc="7712675E">
      <w:start w:val="1"/>
      <w:numFmt w:val="bullet"/>
      <w:lvlText w:val=""/>
      <w:lvlJc w:val="left"/>
      <w:pPr>
        <w:ind w:left="2160" w:hanging="360"/>
      </w:pPr>
      <w:rPr>
        <w:rFonts w:ascii="Wingdings" w:hAnsi="Wingdings" w:hint="default"/>
      </w:rPr>
    </w:lvl>
    <w:lvl w:ilvl="3" w:tplc="10AC154C">
      <w:start w:val="1"/>
      <w:numFmt w:val="bullet"/>
      <w:lvlText w:val=""/>
      <w:lvlJc w:val="left"/>
      <w:pPr>
        <w:ind w:left="2880" w:hanging="360"/>
      </w:pPr>
      <w:rPr>
        <w:rFonts w:ascii="Symbol" w:hAnsi="Symbol" w:hint="default"/>
      </w:rPr>
    </w:lvl>
    <w:lvl w:ilvl="4" w:tplc="7CAA0BB4">
      <w:start w:val="1"/>
      <w:numFmt w:val="bullet"/>
      <w:lvlText w:val="o"/>
      <w:lvlJc w:val="left"/>
      <w:pPr>
        <w:ind w:left="3600" w:hanging="360"/>
      </w:pPr>
      <w:rPr>
        <w:rFonts w:ascii="Courier New" w:hAnsi="Courier New" w:hint="default"/>
      </w:rPr>
    </w:lvl>
    <w:lvl w:ilvl="5" w:tplc="488467AA">
      <w:start w:val="1"/>
      <w:numFmt w:val="bullet"/>
      <w:lvlText w:val=""/>
      <w:lvlJc w:val="left"/>
      <w:pPr>
        <w:ind w:left="4320" w:hanging="360"/>
      </w:pPr>
      <w:rPr>
        <w:rFonts w:ascii="Wingdings" w:hAnsi="Wingdings" w:hint="default"/>
      </w:rPr>
    </w:lvl>
    <w:lvl w:ilvl="6" w:tplc="6562F8B8">
      <w:start w:val="1"/>
      <w:numFmt w:val="bullet"/>
      <w:lvlText w:val=""/>
      <w:lvlJc w:val="left"/>
      <w:pPr>
        <w:ind w:left="5040" w:hanging="360"/>
      </w:pPr>
      <w:rPr>
        <w:rFonts w:ascii="Symbol" w:hAnsi="Symbol" w:hint="default"/>
      </w:rPr>
    </w:lvl>
    <w:lvl w:ilvl="7" w:tplc="2EB40DE0">
      <w:start w:val="1"/>
      <w:numFmt w:val="bullet"/>
      <w:lvlText w:val="o"/>
      <w:lvlJc w:val="left"/>
      <w:pPr>
        <w:ind w:left="5760" w:hanging="360"/>
      </w:pPr>
      <w:rPr>
        <w:rFonts w:ascii="Courier New" w:hAnsi="Courier New" w:hint="default"/>
      </w:rPr>
    </w:lvl>
    <w:lvl w:ilvl="8" w:tplc="A6B8905C">
      <w:start w:val="1"/>
      <w:numFmt w:val="bullet"/>
      <w:lvlText w:val=""/>
      <w:lvlJc w:val="left"/>
      <w:pPr>
        <w:ind w:left="6480" w:hanging="360"/>
      </w:pPr>
      <w:rPr>
        <w:rFonts w:ascii="Wingdings" w:hAnsi="Wingdings" w:hint="default"/>
      </w:rPr>
    </w:lvl>
  </w:abstractNum>
  <w:abstractNum w:abstractNumId="1" w15:restartNumberingAfterBreak="0">
    <w:nsid w:val="412D1F2F"/>
    <w:multiLevelType w:val="hybridMultilevel"/>
    <w:tmpl w:val="EF8EC0CC"/>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 w15:restartNumberingAfterBreak="0">
    <w:nsid w:val="51FB88F1"/>
    <w:multiLevelType w:val="hybridMultilevel"/>
    <w:tmpl w:val="6BA89DF8"/>
    <w:lvl w:ilvl="0" w:tplc="A90CA8C8">
      <w:start w:val="1"/>
      <w:numFmt w:val="bullet"/>
      <w:lvlText w:val="-"/>
      <w:lvlJc w:val="left"/>
      <w:pPr>
        <w:ind w:left="720" w:hanging="360"/>
      </w:pPr>
      <w:rPr>
        <w:rFonts w:ascii="Calibri" w:hAnsi="Calibri" w:hint="default"/>
      </w:rPr>
    </w:lvl>
    <w:lvl w:ilvl="1" w:tplc="804C8600">
      <w:start w:val="1"/>
      <w:numFmt w:val="bullet"/>
      <w:lvlText w:val="o"/>
      <w:lvlJc w:val="left"/>
      <w:pPr>
        <w:ind w:left="1440" w:hanging="360"/>
      </w:pPr>
      <w:rPr>
        <w:rFonts w:ascii="Courier New" w:hAnsi="Courier New" w:hint="default"/>
      </w:rPr>
    </w:lvl>
    <w:lvl w:ilvl="2" w:tplc="57C6DC20">
      <w:start w:val="1"/>
      <w:numFmt w:val="bullet"/>
      <w:lvlText w:val=""/>
      <w:lvlJc w:val="left"/>
      <w:pPr>
        <w:ind w:left="2160" w:hanging="360"/>
      </w:pPr>
      <w:rPr>
        <w:rFonts w:ascii="Wingdings" w:hAnsi="Wingdings" w:hint="default"/>
      </w:rPr>
    </w:lvl>
    <w:lvl w:ilvl="3" w:tplc="4E8A69CC">
      <w:start w:val="1"/>
      <w:numFmt w:val="bullet"/>
      <w:lvlText w:val=""/>
      <w:lvlJc w:val="left"/>
      <w:pPr>
        <w:ind w:left="2880" w:hanging="360"/>
      </w:pPr>
      <w:rPr>
        <w:rFonts w:ascii="Symbol" w:hAnsi="Symbol" w:hint="default"/>
      </w:rPr>
    </w:lvl>
    <w:lvl w:ilvl="4" w:tplc="1DE4F610">
      <w:start w:val="1"/>
      <w:numFmt w:val="bullet"/>
      <w:lvlText w:val="o"/>
      <w:lvlJc w:val="left"/>
      <w:pPr>
        <w:ind w:left="3600" w:hanging="360"/>
      </w:pPr>
      <w:rPr>
        <w:rFonts w:ascii="Courier New" w:hAnsi="Courier New" w:hint="default"/>
      </w:rPr>
    </w:lvl>
    <w:lvl w:ilvl="5" w:tplc="83143098">
      <w:start w:val="1"/>
      <w:numFmt w:val="bullet"/>
      <w:lvlText w:val=""/>
      <w:lvlJc w:val="left"/>
      <w:pPr>
        <w:ind w:left="4320" w:hanging="360"/>
      </w:pPr>
      <w:rPr>
        <w:rFonts w:ascii="Wingdings" w:hAnsi="Wingdings" w:hint="default"/>
      </w:rPr>
    </w:lvl>
    <w:lvl w:ilvl="6" w:tplc="B4EC5486">
      <w:start w:val="1"/>
      <w:numFmt w:val="bullet"/>
      <w:lvlText w:val=""/>
      <w:lvlJc w:val="left"/>
      <w:pPr>
        <w:ind w:left="5040" w:hanging="360"/>
      </w:pPr>
      <w:rPr>
        <w:rFonts w:ascii="Symbol" w:hAnsi="Symbol" w:hint="default"/>
      </w:rPr>
    </w:lvl>
    <w:lvl w:ilvl="7" w:tplc="EDE6363A">
      <w:start w:val="1"/>
      <w:numFmt w:val="bullet"/>
      <w:lvlText w:val="o"/>
      <w:lvlJc w:val="left"/>
      <w:pPr>
        <w:ind w:left="5760" w:hanging="360"/>
      </w:pPr>
      <w:rPr>
        <w:rFonts w:ascii="Courier New" w:hAnsi="Courier New" w:hint="default"/>
      </w:rPr>
    </w:lvl>
    <w:lvl w:ilvl="8" w:tplc="C5807A14">
      <w:start w:val="1"/>
      <w:numFmt w:val="bullet"/>
      <w:lvlText w:val=""/>
      <w:lvlJc w:val="left"/>
      <w:pPr>
        <w:ind w:left="6480" w:hanging="360"/>
      </w:pPr>
      <w:rPr>
        <w:rFonts w:ascii="Wingdings" w:hAnsi="Wingdings" w:hint="default"/>
      </w:rPr>
    </w:lvl>
  </w:abstractNum>
  <w:abstractNum w:abstractNumId="3" w15:restartNumberingAfterBreak="0">
    <w:nsid w:val="69412FB9"/>
    <w:multiLevelType w:val="multilevel"/>
    <w:tmpl w:val="12220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95132652">
    <w:abstractNumId w:val="2"/>
  </w:num>
  <w:num w:numId="2" w16cid:durableId="2103716033">
    <w:abstractNumId w:val="0"/>
  </w:num>
  <w:num w:numId="3" w16cid:durableId="2124493698">
    <w:abstractNumId w:val="3"/>
  </w:num>
  <w:num w:numId="4" w16cid:durableId="509876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6BC"/>
    <w:rsid w:val="00020880"/>
    <w:rsid w:val="000339C1"/>
    <w:rsid w:val="000412DA"/>
    <w:rsid w:val="00046D48"/>
    <w:rsid w:val="0005378A"/>
    <w:rsid w:val="00053B93"/>
    <w:rsid w:val="00056CC8"/>
    <w:rsid w:val="0006013E"/>
    <w:rsid w:val="000619EC"/>
    <w:rsid w:val="00062A80"/>
    <w:rsid w:val="00081F7F"/>
    <w:rsid w:val="000C47A0"/>
    <w:rsid w:val="000C7C9A"/>
    <w:rsid w:val="000E2D21"/>
    <w:rsid w:val="000F6F64"/>
    <w:rsid w:val="00100B01"/>
    <w:rsid w:val="001026FA"/>
    <w:rsid w:val="0012001E"/>
    <w:rsid w:val="00131D90"/>
    <w:rsid w:val="00135F0D"/>
    <w:rsid w:val="00147264"/>
    <w:rsid w:val="00151E77"/>
    <w:rsid w:val="00155632"/>
    <w:rsid w:val="00157C4B"/>
    <w:rsid w:val="0018115F"/>
    <w:rsid w:val="00187000"/>
    <w:rsid w:val="001A1D0D"/>
    <w:rsid w:val="001B0C9B"/>
    <w:rsid w:val="001B1EAA"/>
    <w:rsid w:val="001E23B2"/>
    <w:rsid w:val="001F6D4E"/>
    <w:rsid w:val="001F6D99"/>
    <w:rsid w:val="00200553"/>
    <w:rsid w:val="0020665D"/>
    <w:rsid w:val="00206C09"/>
    <w:rsid w:val="00211AAE"/>
    <w:rsid w:val="00221A96"/>
    <w:rsid w:val="00224218"/>
    <w:rsid w:val="002463C1"/>
    <w:rsid w:val="00262794"/>
    <w:rsid w:val="002978DB"/>
    <w:rsid w:val="002A5229"/>
    <w:rsid w:val="002A5BA5"/>
    <w:rsid w:val="002A5D8C"/>
    <w:rsid w:val="002B1A27"/>
    <w:rsid w:val="002D26D8"/>
    <w:rsid w:val="00313312"/>
    <w:rsid w:val="003201C3"/>
    <w:rsid w:val="00326059"/>
    <w:rsid w:val="00342E46"/>
    <w:rsid w:val="0038064C"/>
    <w:rsid w:val="003A0163"/>
    <w:rsid w:val="003A7E45"/>
    <w:rsid w:val="003D2925"/>
    <w:rsid w:val="003E1674"/>
    <w:rsid w:val="003F0127"/>
    <w:rsid w:val="003F12BD"/>
    <w:rsid w:val="003F52DA"/>
    <w:rsid w:val="00411C3A"/>
    <w:rsid w:val="00413267"/>
    <w:rsid w:val="00421F23"/>
    <w:rsid w:val="00433279"/>
    <w:rsid w:val="00434D15"/>
    <w:rsid w:val="004442BE"/>
    <w:rsid w:val="0046223E"/>
    <w:rsid w:val="0046520D"/>
    <w:rsid w:val="00475942"/>
    <w:rsid w:val="004774A6"/>
    <w:rsid w:val="00480F92"/>
    <w:rsid w:val="0048310E"/>
    <w:rsid w:val="0049183A"/>
    <w:rsid w:val="00495E1C"/>
    <w:rsid w:val="004A127B"/>
    <w:rsid w:val="004C1DAE"/>
    <w:rsid w:val="004C4D6A"/>
    <w:rsid w:val="004D1EE1"/>
    <w:rsid w:val="004D3C25"/>
    <w:rsid w:val="004D5A7F"/>
    <w:rsid w:val="004E3E8A"/>
    <w:rsid w:val="004F15E5"/>
    <w:rsid w:val="004F2225"/>
    <w:rsid w:val="004F4A0D"/>
    <w:rsid w:val="00500AC9"/>
    <w:rsid w:val="00503BFE"/>
    <w:rsid w:val="00511A4C"/>
    <w:rsid w:val="0053001B"/>
    <w:rsid w:val="00541CD9"/>
    <w:rsid w:val="0055151F"/>
    <w:rsid w:val="00557618"/>
    <w:rsid w:val="005610A8"/>
    <w:rsid w:val="005705C1"/>
    <w:rsid w:val="00580088"/>
    <w:rsid w:val="005B7E97"/>
    <w:rsid w:val="005C1A96"/>
    <w:rsid w:val="005D2977"/>
    <w:rsid w:val="005E416A"/>
    <w:rsid w:val="005E67A7"/>
    <w:rsid w:val="005F300E"/>
    <w:rsid w:val="005F376C"/>
    <w:rsid w:val="006068F3"/>
    <w:rsid w:val="00607C3C"/>
    <w:rsid w:val="006273A7"/>
    <w:rsid w:val="00627674"/>
    <w:rsid w:val="00630D75"/>
    <w:rsid w:val="00636A04"/>
    <w:rsid w:val="00653F79"/>
    <w:rsid w:val="00665FBF"/>
    <w:rsid w:val="006813EF"/>
    <w:rsid w:val="00681C95"/>
    <w:rsid w:val="00685194"/>
    <w:rsid w:val="00692D20"/>
    <w:rsid w:val="006976FA"/>
    <w:rsid w:val="006A0811"/>
    <w:rsid w:val="006B4706"/>
    <w:rsid w:val="006C46FC"/>
    <w:rsid w:val="006D420B"/>
    <w:rsid w:val="006E6305"/>
    <w:rsid w:val="0070439F"/>
    <w:rsid w:val="007146D3"/>
    <w:rsid w:val="007218E6"/>
    <w:rsid w:val="0072684B"/>
    <w:rsid w:val="00732C2B"/>
    <w:rsid w:val="007330ED"/>
    <w:rsid w:val="00734FDD"/>
    <w:rsid w:val="00744A3E"/>
    <w:rsid w:val="00747CE7"/>
    <w:rsid w:val="00751D59"/>
    <w:rsid w:val="00762614"/>
    <w:rsid w:val="00770905"/>
    <w:rsid w:val="00773B64"/>
    <w:rsid w:val="00774796"/>
    <w:rsid w:val="00792642"/>
    <w:rsid w:val="007959A9"/>
    <w:rsid w:val="007A3B3F"/>
    <w:rsid w:val="007A507F"/>
    <w:rsid w:val="007A5ACF"/>
    <w:rsid w:val="007A651F"/>
    <w:rsid w:val="007B22FC"/>
    <w:rsid w:val="007B596D"/>
    <w:rsid w:val="007D2C9D"/>
    <w:rsid w:val="007D46A8"/>
    <w:rsid w:val="007D6146"/>
    <w:rsid w:val="007E2CE2"/>
    <w:rsid w:val="007E461F"/>
    <w:rsid w:val="007E55B6"/>
    <w:rsid w:val="007E6C40"/>
    <w:rsid w:val="007E749F"/>
    <w:rsid w:val="007F0940"/>
    <w:rsid w:val="007F4F8C"/>
    <w:rsid w:val="008202A2"/>
    <w:rsid w:val="00826EE1"/>
    <w:rsid w:val="0085457A"/>
    <w:rsid w:val="00863A72"/>
    <w:rsid w:val="0087736E"/>
    <w:rsid w:val="008852B0"/>
    <w:rsid w:val="00887883"/>
    <w:rsid w:val="008935D2"/>
    <w:rsid w:val="008B1F8B"/>
    <w:rsid w:val="008F0156"/>
    <w:rsid w:val="008F046F"/>
    <w:rsid w:val="008F0F6B"/>
    <w:rsid w:val="008F5453"/>
    <w:rsid w:val="008F5A60"/>
    <w:rsid w:val="008F7821"/>
    <w:rsid w:val="008F7E91"/>
    <w:rsid w:val="00922446"/>
    <w:rsid w:val="00924DC2"/>
    <w:rsid w:val="009309EF"/>
    <w:rsid w:val="009338DE"/>
    <w:rsid w:val="009345A3"/>
    <w:rsid w:val="00946D40"/>
    <w:rsid w:val="00984C51"/>
    <w:rsid w:val="009862EF"/>
    <w:rsid w:val="009A00ED"/>
    <w:rsid w:val="009B1933"/>
    <w:rsid w:val="009B27FE"/>
    <w:rsid w:val="009B409D"/>
    <w:rsid w:val="009B7343"/>
    <w:rsid w:val="009B7EA3"/>
    <w:rsid w:val="009C2808"/>
    <w:rsid w:val="009C7D3C"/>
    <w:rsid w:val="009D4280"/>
    <w:rsid w:val="009E470F"/>
    <w:rsid w:val="009F1DA0"/>
    <w:rsid w:val="009F3FFF"/>
    <w:rsid w:val="00A21F2A"/>
    <w:rsid w:val="00A22E2A"/>
    <w:rsid w:val="00A277B0"/>
    <w:rsid w:val="00A36619"/>
    <w:rsid w:val="00A477B2"/>
    <w:rsid w:val="00A50C98"/>
    <w:rsid w:val="00A676E2"/>
    <w:rsid w:val="00A710D3"/>
    <w:rsid w:val="00A81A9E"/>
    <w:rsid w:val="00AB09EE"/>
    <w:rsid w:val="00AB303B"/>
    <w:rsid w:val="00AC7656"/>
    <w:rsid w:val="00AD01A1"/>
    <w:rsid w:val="00B01E6B"/>
    <w:rsid w:val="00B14714"/>
    <w:rsid w:val="00B173A7"/>
    <w:rsid w:val="00B17B16"/>
    <w:rsid w:val="00B266BC"/>
    <w:rsid w:val="00B523FA"/>
    <w:rsid w:val="00B61A79"/>
    <w:rsid w:val="00B721D8"/>
    <w:rsid w:val="00B73B99"/>
    <w:rsid w:val="00B74292"/>
    <w:rsid w:val="00B94962"/>
    <w:rsid w:val="00BA4744"/>
    <w:rsid w:val="00BA76F9"/>
    <w:rsid w:val="00BC0C4D"/>
    <w:rsid w:val="00BC1B86"/>
    <w:rsid w:val="00BC76A5"/>
    <w:rsid w:val="00BE24DE"/>
    <w:rsid w:val="00BF1930"/>
    <w:rsid w:val="00BF4996"/>
    <w:rsid w:val="00BF6B3C"/>
    <w:rsid w:val="00BF77ED"/>
    <w:rsid w:val="00C01346"/>
    <w:rsid w:val="00C04830"/>
    <w:rsid w:val="00C05EDD"/>
    <w:rsid w:val="00C06E68"/>
    <w:rsid w:val="00C1158F"/>
    <w:rsid w:val="00C15080"/>
    <w:rsid w:val="00C16DF7"/>
    <w:rsid w:val="00C22EB5"/>
    <w:rsid w:val="00C23CA1"/>
    <w:rsid w:val="00C3212C"/>
    <w:rsid w:val="00C332E9"/>
    <w:rsid w:val="00C44B14"/>
    <w:rsid w:val="00C51774"/>
    <w:rsid w:val="00C51926"/>
    <w:rsid w:val="00C54FB1"/>
    <w:rsid w:val="00C55433"/>
    <w:rsid w:val="00C574FF"/>
    <w:rsid w:val="00C83372"/>
    <w:rsid w:val="00CA6BBA"/>
    <w:rsid w:val="00CB393B"/>
    <w:rsid w:val="00CB3EAA"/>
    <w:rsid w:val="00CC0CD5"/>
    <w:rsid w:val="00CC2D2E"/>
    <w:rsid w:val="00CD1230"/>
    <w:rsid w:val="00CD5245"/>
    <w:rsid w:val="00CE471C"/>
    <w:rsid w:val="00CF2972"/>
    <w:rsid w:val="00CF5A59"/>
    <w:rsid w:val="00D10EEF"/>
    <w:rsid w:val="00D230A0"/>
    <w:rsid w:val="00D42702"/>
    <w:rsid w:val="00D46A19"/>
    <w:rsid w:val="00D676AB"/>
    <w:rsid w:val="00D97AD2"/>
    <w:rsid w:val="00DC202B"/>
    <w:rsid w:val="00DD6496"/>
    <w:rsid w:val="00DD7F32"/>
    <w:rsid w:val="00DE51D1"/>
    <w:rsid w:val="00DF00EC"/>
    <w:rsid w:val="00DF0D5E"/>
    <w:rsid w:val="00E01317"/>
    <w:rsid w:val="00E02D4B"/>
    <w:rsid w:val="00E123DA"/>
    <w:rsid w:val="00E25F72"/>
    <w:rsid w:val="00E34C83"/>
    <w:rsid w:val="00E36010"/>
    <w:rsid w:val="00E75F2F"/>
    <w:rsid w:val="00EB349C"/>
    <w:rsid w:val="00EB4214"/>
    <w:rsid w:val="00EE13F4"/>
    <w:rsid w:val="00EE4690"/>
    <w:rsid w:val="00EE601F"/>
    <w:rsid w:val="00F00B07"/>
    <w:rsid w:val="00F0286A"/>
    <w:rsid w:val="00F24378"/>
    <w:rsid w:val="00F26A0C"/>
    <w:rsid w:val="00F447D5"/>
    <w:rsid w:val="00F53DD2"/>
    <w:rsid w:val="00F60DCF"/>
    <w:rsid w:val="00F620F9"/>
    <w:rsid w:val="00F63D3B"/>
    <w:rsid w:val="00F64A52"/>
    <w:rsid w:val="00F669FF"/>
    <w:rsid w:val="00F76CEA"/>
    <w:rsid w:val="00F82172"/>
    <w:rsid w:val="00F917AF"/>
    <w:rsid w:val="00FD406E"/>
    <w:rsid w:val="00FD6A4B"/>
    <w:rsid w:val="00FE1E9A"/>
    <w:rsid w:val="00FE2587"/>
    <w:rsid w:val="00FF3E6B"/>
    <w:rsid w:val="00FF6FDF"/>
    <w:rsid w:val="02E32645"/>
    <w:rsid w:val="0569FA32"/>
    <w:rsid w:val="08FB79F2"/>
    <w:rsid w:val="0A4E8CB3"/>
    <w:rsid w:val="0C4FA7A7"/>
    <w:rsid w:val="0DCFC08E"/>
    <w:rsid w:val="0F7230FD"/>
    <w:rsid w:val="172AC497"/>
    <w:rsid w:val="1A5A31AF"/>
    <w:rsid w:val="1FEE78F0"/>
    <w:rsid w:val="232619B2"/>
    <w:rsid w:val="31678E24"/>
    <w:rsid w:val="32ADF941"/>
    <w:rsid w:val="40E940AA"/>
    <w:rsid w:val="41A9E3A0"/>
    <w:rsid w:val="4F779C09"/>
    <w:rsid w:val="52AF3CCB"/>
    <w:rsid w:val="55346C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AAC9D1"/>
  <w15:chartTrackingRefBased/>
  <w15:docId w15:val="{D18A2447-1D1F-4DA0-8961-C90286669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7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A9E"/>
  </w:style>
  <w:style w:type="paragraph" w:styleId="Footer">
    <w:name w:val="footer"/>
    <w:basedOn w:val="Normal"/>
    <w:link w:val="FooterChar"/>
    <w:uiPriority w:val="99"/>
    <w:unhideWhenUsed/>
    <w:rsid w:val="00A81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A9E"/>
  </w:style>
  <w:style w:type="character" w:customStyle="1" w:styleId="Heading1Char">
    <w:name w:val="Heading 1 Char"/>
    <w:basedOn w:val="DefaultParagraphFont"/>
    <w:link w:val="Heading1"/>
    <w:uiPriority w:val="9"/>
    <w:rsid w:val="00F447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47D5"/>
    <w:pPr>
      <w:outlineLvl w:val="9"/>
    </w:pPr>
    <w:rPr>
      <w:kern w:val="0"/>
      <w:lang w:val="en-US"/>
      <w14:ligatures w14:val="none"/>
    </w:rPr>
  </w:style>
  <w:style w:type="table" w:styleId="TableGrid">
    <w:name w:val="Table Grid"/>
    <w:basedOn w:val="TableNormal"/>
    <w:uiPriority w:val="39"/>
    <w:rsid w:val="00F447D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4F15E5"/>
    <w:rPr>
      <w:sz w:val="16"/>
      <w:szCs w:val="16"/>
    </w:rPr>
  </w:style>
  <w:style w:type="paragraph" w:styleId="CommentText">
    <w:name w:val="annotation text"/>
    <w:basedOn w:val="Normal"/>
    <w:link w:val="CommentTextChar"/>
    <w:uiPriority w:val="99"/>
    <w:unhideWhenUsed/>
    <w:rsid w:val="004F15E5"/>
    <w:pPr>
      <w:spacing w:line="240" w:lineRule="auto"/>
    </w:pPr>
    <w:rPr>
      <w:sz w:val="20"/>
      <w:szCs w:val="20"/>
    </w:rPr>
  </w:style>
  <w:style w:type="character" w:customStyle="1" w:styleId="CommentTextChar">
    <w:name w:val="Comment Text Char"/>
    <w:basedOn w:val="DefaultParagraphFont"/>
    <w:link w:val="CommentText"/>
    <w:uiPriority w:val="99"/>
    <w:rsid w:val="004F15E5"/>
    <w:rPr>
      <w:sz w:val="20"/>
      <w:szCs w:val="20"/>
    </w:rPr>
  </w:style>
  <w:style w:type="paragraph" w:styleId="CommentSubject">
    <w:name w:val="annotation subject"/>
    <w:basedOn w:val="CommentText"/>
    <w:next w:val="CommentText"/>
    <w:link w:val="CommentSubjectChar"/>
    <w:uiPriority w:val="99"/>
    <w:semiHidden/>
    <w:unhideWhenUsed/>
    <w:rsid w:val="004F15E5"/>
    <w:rPr>
      <w:b/>
      <w:bCs/>
    </w:rPr>
  </w:style>
  <w:style w:type="character" w:customStyle="1" w:styleId="CommentSubjectChar">
    <w:name w:val="Comment Subject Char"/>
    <w:basedOn w:val="CommentTextChar"/>
    <w:link w:val="CommentSubject"/>
    <w:uiPriority w:val="99"/>
    <w:semiHidden/>
    <w:rsid w:val="004F15E5"/>
    <w:rPr>
      <w:b/>
      <w:bCs/>
      <w:sz w:val="20"/>
      <w:szCs w:val="20"/>
    </w:rPr>
  </w:style>
  <w:style w:type="paragraph" w:styleId="NormalWeb">
    <w:name w:val="Normal (Web)"/>
    <w:basedOn w:val="Normal"/>
    <w:uiPriority w:val="99"/>
    <w:semiHidden/>
    <w:unhideWhenUsed/>
    <w:rsid w:val="00495E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190170">
      <w:bodyDiv w:val="1"/>
      <w:marLeft w:val="0"/>
      <w:marRight w:val="0"/>
      <w:marTop w:val="0"/>
      <w:marBottom w:val="0"/>
      <w:divBdr>
        <w:top w:val="none" w:sz="0" w:space="0" w:color="auto"/>
        <w:left w:val="none" w:sz="0" w:space="0" w:color="auto"/>
        <w:bottom w:val="none" w:sz="0" w:space="0" w:color="auto"/>
        <w:right w:val="none" w:sz="0" w:space="0" w:color="auto"/>
      </w:divBdr>
    </w:div>
    <w:div w:id="610599109">
      <w:bodyDiv w:val="1"/>
      <w:marLeft w:val="0"/>
      <w:marRight w:val="0"/>
      <w:marTop w:val="0"/>
      <w:marBottom w:val="0"/>
      <w:divBdr>
        <w:top w:val="none" w:sz="0" w:space="0" w:color="auto"/>
        <w:left w:val="none" w:sz="0" w:space="0" w:color="auto"/>
        <w:bottom w:val="none" w:sz="0" w:space="0" w:color="auto"/>
        <w:right w:val="none" w:sz="0" w:space="0" w:color="auto"/>
      </w:divBdr>
    </w:div>
    <w:div w:id="966817409">
      <w:bodyDiv w:val="1"/>
      <w:marLeft w:val="0"/>
      <w:marRight w:val="0"/>
      <w:marTop w:val="0"/>
      <w:marBottom w:val="0"/>
      <w:divBdr>
        <w:top w:val="none" w:sz="0" w:space="0" w:color="auto"/>
        <w:left w:val="none" w:sz="0" w:space="0" w:color="auto"/>
        <w:bottom w:val="none" w:sz="0" w:space="0" w:color="auto"/>
        <w:right w:val="none" w:sz="0" w:space="0" w:color="auto"/>
      </w:divBdr>
    </w:div>
    <w:div w:id="1181625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EDE452-EE95-4230-9382-0228D8314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5084</Words>
  <Characters>28979</Characters>
  <Application>Microsoft Office Word</Application>
  <DocSecurity>0</DocSecurity>
  <Lines>241</Lines>
  <Paragraphs>67</Paragraphs>
  <ScaleCrop>false</ScaleCrop>
  <Company/>
  <LinksUpToDate>false</LinksUpToDate>
  <CharactersWithSpaces>33996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Evans (2000871)</dc:creator>
  <cp:keywords/>
  <dc:description/>
  <cp:lastModifiedBy>Meg Ward (2004861)</cp:lastModifiedBy>
  <cp:revision>2</cp:revision>
  <dcterms:created xsi:type="dcterms:W3CDTF">2024-01-04T19:56:00Z</dcterms:created>
  <dcterms:modified xsi:type="dcterms:W3CDTF">2024-01-04T19:56:00Z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cd6cd38b2f5d0bea468f71ba56f7da3559ecd9374a4bb75e3ee8c01876278eec</vt:lpwstr>
  </property>
</Properties>
</file>