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F5EFC" w14:textId="6C7F76FB" w:rsidR="000141B7" w:rsidRPr="00A274D1" w:rsidRDefault="00783EAE" w:rsidP="000141B7">
      <w:pPr>
        <w:spacing w:before="100" w:beforeAutospacing="1" w:after="100" w:afterAutospacing="1" w:line="240" w:lineRule="auto"/>
        <w:jc w:val="center"/>
        <w:rPr>
          <w:rFonts w:ascii="Arial" w:eastAsia="Times New Roman" w:hAnsi="Arial" w:cs="Arial"/>
          <w:b/>
          <w:bCs/>
          <w:color w:val="000000"/>
          <w:kern w:val="0"/>
          <w:sz w:val="20"/>
          <w:szCs w:val="20"/>
          <w:lang w:eastAsia="en-GB"/>
          <w14:ligatures w14:val="none"/>
        </w:rPr>
      </w:pPr>
      <w:r w:rsidRPr="00A274D1">
        <w:rPr>
          <w:rFonts w:ascii="Arial" w:eastAsia="Times New Roman" w:hAnsi="Arial" w:cs="Arial"/>
          <w:b/>
          <w:bCs/>
          <w:color w:val="000000"/>
          <w:kern w:val="0"/>
          <w:sz w:val="20"/>
          <w:szCs w:val="20"/>
          <w:lang w:eastAsia="en-GB"/>
          <w14:ligatures w14:val="none"/>
        </w:rPr>
        <w:t>Studen</w:t>
      </w:r>
      <w:r w:rsidR="000C40AB" w:rsidRPr="00A274D1">
        <w:rPr>
          <w:rFonts w:ascii="Arial" w:eastAsia="Times New Roman" w:hAnsi="Arial" w:cs="Arial"/>
          <w:b/>
          <w:bCs/>
          <w:color w:val="000000"/>
          <w:kern w:val="0"/>
          <w:sz w:val="20"/>
          <w:szCs w:val="20"/>
          <w:lang w:eastAsia="en-GB"/>
          <w14:ligatures w14:val="none"/>
        </w:rPr>
        <w:t xml:space="preserve">t Name Sara </w:t>
      </w:r>
      <w:r w:rsidR="00023280" w:rsidRPr="00A274D1">
        <w:rPr>
          <w:rFonts w:ascii="Arial" w:eastAsia="Times New Roman" w:hAnsi="Arial" w:cs="Arial"/>
          <w:b/>
          <w:bCs/>
          <w:color w:val="000000"/>
          <w:kern w:val="0"/>
          <w:sz w:val="20"/>
          <w:szCs w:val="20"/>
          <w:lang w:eastAsia="en-GB"/>
          <w14:ligatures w14:val="none"/>
        </w:rPr>
        <w:t>Botfield</w:t>
      </w:r>
    </w:p>
    <w:p w14:paraId="2494B13D" w14:textId="38F6D836" w:rsidR="000C40AB" w:rsidRPr="00A274D1" w:rsidRDefault="000C40AB" w:rsidP="000141B7">
      <w:pPr>
        <w:spacing w:before="100" w:beforeAutospacing="1" w:after="100" w:afterAutospacing="1" w:line="240" w:lineRule="auto"/>
        <w:jc w:val="center"/>
        <w:rPr>
          <w:rFonts w:ascii="Arial" w:eastAsia="Times New Roman" w:hAnsi="Arial" w:cs="Arial"/>
          <w:b/>
          <w:bCs/>
          <w:color w:val="000000"/>
          <w:kern w:val="0"/>
          <w:sz w:val="20"/>
          <w:szCs w:val="20"/>
          <w:lang w:eastAsia="en-GB"/>
          <w14:ligatures w14:val="none"/>
        </w:rPr>
      </w:pPr>
      <w:r w:rsidRPr="00A274D1">
        <w:rPr>
          <w:rFonts w:ascii="Arial" w:eastAsia="Times New Roman" w:hAnsi="Arial" w:cs="Arial"/>
          <w:b/>
          <w:bCs/>
          <w:color w:val="000000"/>
          <w:kern w:val="0"/>
          <w:sz w:val="20"/>
          <w:szCs w:val="20"/>
          <w:lang w:eastAsia="en-GB"/>
          <w14:ligatures w14:val="none"/>
        </w:rPr>
        <w:t>Student Number 2116845</w:t>
      </w:r>
    </w:p>
    <w:p w14:paraId="20928AC2" w14:textId="10042A22" w:rsidR="00F155BF" w:rsidRPr="00A274D1" w:rsidRDefault="00F155BF" w:rsidP="000141B7">
      <w:pPr>
        <w:spacing w:before="100" w:beforeAutospacing="1" w:after="100" w:afterAutospacing="1" w:line="240" w:lineRule="auto"/>
        <w:jc w:val="center"/>
        <w:rPr>
          <w:rFonts w:ascii="Arial" w:eastAsia="Times New Roman" w:hAnsi="Arial" w:cs="Arial"/>
          <w:b/>
          <w:bCs/>
          <w:color w:val="000000"/>
          <w:kern w:val="0"/>
          <w:sz w:val="20"/>
          <w:szCs w:val="20"/>
          <w:lang w:eastAsia="en-GB"/>
          <w14:ligatures w14:val="none"/>
        </w:rPr>
      </w:pPr>
      <w:r w:rsidRPr="00A274D1">
        <w:rPr>
          <w:rFonts w:ascii="Arial" w:eastAsia="Times New Roman" w:hAnsi="Arial" w:cs="Arial"/>
          <w:b/>
          <w:bCs/>
          <w:color w:val="000000"/>
          <w:kern w:val="0"/>
          <w:sz w:val="20"/>
          <w:szCs w:val="20"/>
          <w:lang w:eastAsia="en-GB"/>
          <w14:ligatures w14:val="none"/>
        </w:rPr>
        <w:t>BMPH-6020</w:t>
      </w:r>
      <w:r w:rsidR="00173525" w:rsidRPr="00A274D1">
        <w:rPr>
          <w:rFonts w:ascii="Arial" w:eastAsia="Times New Roman" w:hAnsi="Arial" w:cs="Arial"/>
          <w:b/>
          <w:bCs/>
          <w:color w:val="000000"/>
          <w:kern w:val="0"/>
          <w:sz w:val="20"/>
          <w:szCs w:val="20"/>
          <w:lang w:eastAsia="en-GB"/>
          <w14:ligatures w14:val="none"/>
        </w:rPr>
        <w:t xml:space="preserve"> Independent</w:t>
      </w:r>
      <w:r w:rsidR="00A274D1" w:rsidRPr="00A274D1">
        <w:rPr>
          <w:rFonts w:ascii="Arial" w:eastAsia="Times New Roman" w:hAnsi="Arial" w:cs="Arial"/>
          <w:b/>
          <w:bCs/>
          <w:color w:val="000000"/>
          <w:kern w:val="0"/>
          <w:sz w:val="20"/>
          <w:szCs w:val="20"/>
          <w:lang w:eastAsia="en-GB"/>
          <w14:ligatures w14:val="none"/>
        </w:rPr>
        <w:t xml:space="preserve"> Project</w:t>
      </w:r>
    </w:p>
    <w:p w14:paraId="13F4CE32" w14:textId="07511668" w:rsidR="00A274D1" w:rsidRPr="00A274D1" w:rsidRDefault="00A274D1" w:rsidP="000141B7">
      <w:pPr>
        <w:spacing w:before="100" w:beforeAutospacing="1" w:after="100" w:afterAutospacing="1" w:line="240" w:lineRule="auto"/>
        <w:jc w:val="center"/>
        <w:rPr>
          <w:rFonts w:ascii="Arial" w:eastAsia="Times New Roman" w:hAnsi="Arial" w:cs="Arial"/>
          <w:b/>
          <w:bCs/>
          <w:color w:val="000000"/>
          <w:kern w:val="0"/>
          <w:sz w:val="20"/>
          <w:szCs w:val="20"/>
          <w:lang w:eastAsia="en-GB"/>
          <w14:ligatures w14:val="none"/>
        </w:rPr>
      </w:pPr>
      <w:r w:rsidRPr="00A274D1">
        <w:rPr>
          <w:rFonts w:ascii="Arial" w:eastAsia="Times New Roman" w:hAnsi="Arial" w:cs="Arial"/>
          <w:b/>
          <w:bCs/>
          <w:color w:val="000000"/>
          <w:kern w:val="0"/>
          <w:sz w:val="20"/>
          <w:szCs w:val="20"/>
          <w:lang w:eastAsia="en-GB"/>
          <w14:ligatures w14:val="none"/>
        </w:rPr>
        <w:t xml:space="preserve">Lecture-Joanne Davies </w:t>
      </w:r>
    </w:p>
    <w:p w14:paraId="0B2611F8" w14:textId="77777777" w:rsidR="000141B7" w:rsidRDefault="000141B7" w:rsidP="000141B7">
      <w:pPr>
        <w:spacing w:before="100" w:beforeAutospacing="1" w:after="100" w:afterAutospacing="1" w:line="240" w:lineRule="auto"/>
        <w:jc w:val="center"/>
        <w:rPr>
          <w:rFonts w:ascii="Arial-BoldMT" w:eastAsia="Times New Roman" w:hAnsi="Arial-BoldMT" w:cs="Arial"/>
          <w:b/>
          <w:bCs/>
          <w:color w:val="000000"/>
          <w:kern w:val="0"/>
          <w:lang w:eastAsia="en-GB"/>
          <w14:ligatures w14:val="none"/>
        </w:rPr>
      </w:pPr>
    </w:p>
    <w:p w14:paraId="6D813494" w14:textId="77777777" w:rsidR="000141B7" w:rsidRDefault="000141B7" w:rsidP="000141B7">
      <w:pPr>
        <w:spacing w:before="100" w:beforeAutospacing="1" w:after="100" w:afterAutospacing="1" w:line="240" w:lineRule="auto"/>
        <w:jc w:val="center"/>
        <w:rPr>
          <w:rFonts w:ascii="Arial-BoldMT" w:eastAsia="Times New Roman" w:hAnsi="Arial-BoldMT" w:cs="Arial"/>
          <w:b/>
          <w:bCs/>
          <w:color w:val="000000"/>
          <w:kern w:val="0"/>
          <w:lang w:eastAsia="en-GB"/>
          <w14:ligatures w14:val="none"/>
        </w:rPr>
      </w:pPr>
    </w:p>
    <w:p w14:paraId="58CDD0CE" w14:textId="77777777" w:rsidR="000141B7" w:rsidRDefault="000141B7" w:rsidP="000141B7">
      <w:pPr>
        <w:spacing w:before="100" w:beforeAutospacing="1" w:after="100" w:afterAutospacing="1" w:line="240" w:lineRule="auto"/>
        <w:jc w:val="center"/>
        <w:rPr>
          <w:rFonts w:ascii="Arial-BoldMT" w:eastAsia="Times New Roman" w:hAnsi="Arial-BoldMT" w:cs="Arial"/>
          <w:b/>
          <w:bCs/>
          <w:color w:val="000000"/>
          <w:kern w:val="0"/>
          <w:lang w:eastAsia="en-GB"/>
          <w14:ligatures w14:val="none"/>
        </w:rPr>
      </w:pPr>
    </w:p>
    <w:p w14:paraId="52F40CDB" w14:textId="77777777" w:rsidR="000141B7" w:rsidRDefault="000141B7" w:rsidP="000141B7">
      <w:pPr>
        <w:spacing w:before="100" w:beforeAutospacing="1" w:after="100" w:afterAutospacing="1" w:line="240" w:lineRule="auto"/>
        <w:jc w:val="center"/>
        <w:rPr>
          <w:rFonts w:ascii="Arial-BoldMT" w:eastAsia="Times New Roman" w:hAnsi="Arial-BoldMT" w:cs="Arial"/>
          <w:b/>
          <w:bCs/>
          <w:color w:val="000000"/>
          <w:kern w:val="0"/>
          <w:lang w:eastAsia="en-GB"/>
          <w14:ligatures w14:val="none"/>
        </w:rPr>
      </w:pPr>
    </w:p>
    <w:p w14:paraId="060454EB" w14:textId="77777777" w:rsidR="000141B7" w:rsidRDefault="000141B7" w:rsidP="000141B7">
      <w:pPr>
        <w:spacing w:before="100" w:beforeAutospacing="1" w:after="100" w:afterAutospacing="1" w:line="240" w:lineRule="auto"/>
        <w:jc w:val="center"/>
        <w:rPr>
          <w:rFonts w:ascii="Arial-BoldMT" w:eastAsia="Times New Roman" w:hAnsi="Arial-BoldMT" w:cs="Arial"/>
          <w:b/>
          <w:bCs/>
          <w:color w:val="000000"/>
          <w:kern w:val="0"/>
          <w:lang w:eastAsia="en-GB"/>
          <w14:ligatures w14:val="none"/>
        </w:rPr>
      </w:pPr>
    </w:p>
    <w:p w14:paraId="4799ACD5" w14:textId="779E1123" w:rsidR="000141B7" w:rsidRPr="000141B7" w:rsidRDefault="000141B7" w:rsidP="000141B7">
      <w:pPr>
        <w:spacing w:before="100" w:beforeAutospacing="1" w:after="100" w:afterAutospacing="1" w:line="240" w:lineRule="auto"/>
        <w:jc w:val="center"/>
        <w:rPr>
          <w:rFonts w:ascii="Arial" w:eastAsia="Times New Roman" w:hAnsi="Arial" w:cs="Arial"/>
          <w:color w:val="000000"/>
          <w:kern w:val="0"/>
          <w:lang w:eastAsia="en-GB"/>
          <w14:ligatures w14:val="none"/>
        </w:rPr>
      </w:pPr>
      <w:r w:rsidRPr="000141B7">
        <w:rPr>
          <w:rFonts w:ascii="Arial-BoldMT" w:eastAsia="Times New Roman" w:hAnsi="Arial-BoldMT" w:cs="Arial"/>
          <w:b/>
          <w:bCs/>
          <w:color w:val="000000"/>
          <w:kern w:val="0"/>
          <w:lang w:eastAsia="en-GB"/>
          <w14:ligatures w14:val="none"/>
        </w:rPr>
        <w:t>CHAPTER 4</w:t>
      </w:r>
    </w:p>
    <w:p w14:paraId="6D883F58" w14:textId="77777777" w:rsidR="000141B7" w:rsidRPr="000141B7" w:rsidRDefault="000141B7" w:rsidP="000141B7">
      <w:pPr>
        <w:spacing w:before="100" w:beforeAutospacing="1" w:after="100" w:afterAutospacing="1" w:line="240" w:lineRule="auto"/>
        <w:jc w:val="center"/>
        <w:rPr>
          <w:rFonts w:ascii="Arial" w:eastAsia="Times New Roman" w:hAnsi="Arial" w:cs="Arial"/>
          <w:color w:val="000000"/>
          <w:kern w:val="0"/>
          <w:lang w:eastAsia="en-GB"/>
          <w14:ligatures w14:val="none"/>
        </w:rPr>
      </w:pPr>
      <w:r w:rsidRPr="000141B7">
        <w:rPr>
          <w:rFonts w:ascii="Arial-BoldMT" w:eastAsia="Times New Roman" w:hAnsi="Arial-BoldMT" w:cs="Arial"/>
          <w:b/>
          <w:bCs/>
          <w:color w:val="000000"/>
          <w:kern w:val="0"/>
          <w:lang w:eastAsia="en-GB"/>
          <w14:ligatures w14:val="none"/>
        </w:rPr>
        <w:t>Results and Discussion</w:t>
      </w:r>
    </w:p>
    <w:p w14:paraId="1EF2F640"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4.1 Introduction</w:t>
      </w:r>
    </w:p>
    <w:p w14:paraId="69DDC2A6"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 xml:space="preserve">This chapter presents the qualitative findings from the study conducted by </w:t>
      </w:r>
      <w:proofErr w:type="spellStart"/>
      <w:r w:rsidRPr="000141B7">
        <w:rPr>
          <w:rFonts w:ascii="Arial" w:eastAsia="Times New Roman" w:hAnsi="Arial" w:cs="Arial"/>
          <w:color w:val="000000"/>
          <w:kern w:val="0"/>
          <w:sz w:val="17"/>
          <w:szCs w:val="17"/>
          <w:lang w:eastAsia="en-GB"/>
          <w14:ligatures w14:val="none"/>
        </w:rPr>
        <w:t>Balki</w:t>
      </w:r>
      <w:proofErr w:type="spellEnd"/>
      <w:r w:rsidRPr="000141B7">
        <w:rPr>
          <w:rFonts w:ascii="Arial" w:eastAsia="Times New Roman" w:hAnsi="Arial" w:cs="Arial"/>
          <w:color w:val="000000"/>
          <w:kern w:val="0"/>
          <w:sz w:val="17"/>
          <w:szCs w:val="17"/>
          <w:lang w:eastAsia="en-GB"/>
          <w14:ligatures w14:val="none"/>
        </w:rPr>
        <w:t xml:space="preserve"> et al. (2023), which explored how older adults use and accept digital communication tools to stay connected with others. I have analysed these findings thematically and discussed them in relation to the research objectives I set out in Chapter 1. To remind you, those objectives were: (1) to identify what digital tools are currently used in care homes and what residents think of them; (2) to understand what stops residents from using these tools, whether that is confidence, support, or design problems; (3) to explore how residents feel about AI features like voice assistants or automated reminders; and (4) to identify what training and support help residents engage with technology.</w:t>
      </w:r>
    </w:p>
    <w:p w14:paraId="7B814C7E"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 xml:space="preserve">From the participant narratives, four themes emerged that shape how older adults use technology for social connection digital communication tools can help reduce loneliness for older adults in residential care, and what influences whether they accept AI-enabled features. Three of </w:t>
      </w:r>
      <w:proofErr w:type="gramStart"/>
      <w:r w:rsidRPr="000141B7">
        <w:rPr>
          <w:rFonts w:ascii="Arial" w:eastAsia="Times New Roman" w:hAnsi="Arial" w:cs="Arial"/>
          <w:color w:val="000000"/>
          <w:kern w:val="0"/>
          <w:sz w:val="17"/>
          <w:szCs w:val="17"/>
          <w:lang w:eastAsia="en-GB"/>
          <w14:ligatures w14:val="none"/>
        </w:rPr>
        <w:t>these fit</w:t>
      </w:r>
      <w:proofErr w:type="gramEnd"/>
      <w:r w:rsidRPr="000141B7">
        <w:rPr>
          <w:rFonts w:ascii="Arial" w:eastAsia="Times New Roman" w:hAnsi="Arial" w:cs="Arial"/>
          <w:color w:val="000000"/>
          <w:kern w:val="0"/>
          <w:sz w:val="17"/>
          <w:szCs w:val="17"/>
          <w:lang w:eastAsia="en-GB"/>
          <w14:ligatures w14:val="none"/>
        </w:rPr>
        <w:t xml:space="preserve"> with the Technology Acceptance Model (TAM) perceived usefulness, perceived ease of use, and behavioural intention. Two additional themes came through strongly as well: privacy and security concerns, and the impact of the situation people find themselves in. These findings give us useful insights into how residential care homes might go about introducing technology in a way that </w:t>
      </w:r>
      <w:proofErr w:type="gramStart"/>
      <w:r w:rsidRPr="000141B7">
        <w:rPr>
          <w:rFonts w:ascii="Arial" w:eastAsia="Times New Roman" w:hAnsi="Arial" w:cs="Arial"/>
          <w:color w:val="000000"/>
          <w:kern w:val="0"/>
          <w:sz w:val="17"/>
          <w:szCs w:val="17"/>
          <w:lang w:eastAsia="en-GB"/>
          <w14:ligatures w14:val="none"/>
        </w:rPr>
        <w:t>actually helps</w:t>
      </w:r>
      <w:proofErr w:type="gramEnd"/>
      <w:r w:rsidRPr="000141B7">
        <w:rPr>
          <w:rFonts w:ascii="Arial" w:eastAsia="Times New Roman" w:hAnsi="Arial" w:cs="Arial"/>
          <w:color w:val="000000"/>
          <w:kern w:val="0"/>
          <w:sz w:val="17"/>
          <w:szCs w:val="17"/>
          <w:lang w:eastAsia="en-GB"/>
          <w14:ligatures w14:val="none"/>
        </w:rPr>
        <w:t xml:space="preserve"> residents feel more connected rather than more isolated. Throughout this chapter, I will draw connections between what the participants said and what this might mean for older adults living in care homes.</w:t>
      </w:r>
    </w:p>
    <w:p w14:paraId="2A607716"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4.2 Theme 1: What Digital Tools Are Used and What Residents Think of Them</w:t>
      </w:r>
    </w:p>
    <w:p w14:paraId="51C53D77"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This theme addresses the first research objective: identifying what digital tools are currently used and what residents think of them. The findings reveal that not all digital tools are viewed equally. Participants had clear preferences, and these preferences were shaped by how well the tools helped them feel connected to others.</w:t>
      </w:r>
    </w:p>
    <w:p w14:paraId="16D3DA18"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4.2.1 Videoconferencing, A Most Valued Tool</w:t>
      </w:r>
    </w:p>
    <w:p w14:paraId="586298B8"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Videoconferencing apps like WhatsApp and Zoom received the most positive feedback. Participants valued these tools because they could see the person they were talking to, which felt like the next best thing to being together in person. One participant summed this up well:</w:t>
      </w:r>
    </w:p>
    <w:p w14:paraId="5989A80E"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"These days, yes definitely, it's the closest thing you have to meeting someone in-person, so definitely helps."</w:t>
      </w:r>
    </w:p>
    <w:p w14:paraId="1100F96E"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 xml:space="preserve">What came through in the interviews was that this was not just about convenience. For some participants, being able to see family members on screen made a real difference to how isolated they felt. Another participant talked about loving the "quick and easy on-demand nature" of these apps, explaining that they could just call people and sometimes they </w:t>
      </w:r>
      <w:r w:rsidRPr="000141B7">
        <w:rPr>
          <w:rFonts w:ascii="Arial" w:eastAsia="Times New Roman" w:hAnsi="Arial" w:cs="Arial"/>
          <w:color w:val="000000"/>
          <w:kern w:val="0"/>
          <w:sz w:val="17"/>
          <w:szCs w:val="17"/>
          <w:lang w:eastAsia="en-GB"/>
          <w14:ligatures w14:val="none"/>
        </w:rPr>
        <w:lastRenderedPageBreak/>
        <w:t>picked up, sometimes they did not, but just having the ability to do that felt amazing. This flexibility matters. Unlike a scheduled phone call, video calling allows for more spontaneous connection, which can feel more natural.</w:t>
      </w:r>
    </w:p>
    <w:p w14:paraId="6D6DAA5B"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Another participant added:</w:t>
      </w:r>
    </w:p>
    <w:p w14:paraId="232D4425"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"It's not the same as having them in the room with you, but it's the next best thing. When you haven't seen your daughter for weeks because she lives so far away, seeing her face on that screen means everything."</w:t>
      </w:r>
    </w:p>
    <w:p w14:paraId="1A9C0640"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Some participants also mentioned using video calls to connect with healthcare services. One participant said:</w:t>
      </w:r>
    </w:p>
    <w:p w14:paraId="6EA891AD"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"Sometimes getting out is difficult. Being able to have my appointments from home has been a lifesaver. I don't have to worry about arranging transport or waiting in a cold surgery."</w:t>
      </w:r>
    </w:p>
    <w:p w14:paraId="53E97E2D"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proofErr w:type="gramStart"/>
      <w:r w:rsidRPr="000141B7">
        <w:rPr>
          <w:rFonts w:ascii="Arial" w:eastAsia="Times New Roman" w:hAnsi="Arial" w:cs="Arial"/>
          <w:color w:val="000000"/>
          <w:kern w:val="0"/>
          <w:sz w:val="17"/>
          <w:szCs w:val="17"/>
          <w:lang w:eastAsia="en-GB"/>
          <w14:ligatures w14:val="none"/>
        </w:rPr>
        <w:t>So</w:t>
      </w:r>
      <w:proofErr w:type="gramEnd"/>
      <w:r w:rsidRPr="000141B7">
        <w:rPr>
          <w:rFonts w:ascii="Arial" w:eastAsia="Times New Roman" w:hAnsi="Arial" w:cs="Arial"/>
          <w:color w:val="000000"/>
          <w:kern w:val="0"/>
          <w:sz w:val="17"/>
          <w:szCs w:val="17"/>
          <w:lang w:eastAsia="en-GB"/>
          <w14:ligatures w14:val="none"/>
        </w:rPr>
        <w:t xml:space="preserve"> these tools were doing double duty, helping people stay socially connected while also giving them access to services they needed. This backs up what Anisha et al. (2025) found about technology helping older adults maintain independence. For residents in care homes, who may find it difficult to get out for appointments, this could be a significant benefit.</w:t>
      </w:r>
    </w:p>
    <w:p w14:paraId="3F9A6694"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4.2.2 Mixed Response from Email Usage</w:t>
      </w:r>
    </w:p>
    <w:p w14:paraId="215E1AA1"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Email received a more mixed response. Some participants loved how quick and easy it was compared to writing letters. One person said:</w:t>
      </w:r>
    </w:p>
    <w:p w14:paraId="32304451"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"Imagine the days when we would be sitting in front of a typewriter typing up letters. Those days are gone, and it's made things so much more efficient."</w:t>
      </w:r>
    </w:p>
    <w:p w14:paraId="00B9A940"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Another participant described how email had become a lifeline:</w:t>
      </w:r>
    </w:p>
    <w:p w14:paraId="6D9EBD36"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"My daughter sends me pictures of the grandchildren every week. I print them out and put them on my fridge. It makes me feel like I'm still part of their lives even though I can't be there."</w:t>
      </w:r>
    </w:p>
    <w:p w14:paraId="7DCDACF6"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However, other participants expressed frustration with spam and impersonal content. One participant said:</w:t>
      </w:r>
    </w:p>
    <w:p w14:paraId="567157C5"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"Every day, I have to delete dozens of emails trying to sell me things I don't need. The few emails from friends get lost in all that noise. It's exhausting."</w:t>
      </w:r>
    </w:p>
    <w:p w14:paraId="55410AE4"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This shows that whether someone finds a tool useful is not just about the tool itself; it is also about their personal experience with it. If someone only ever gets bills and spam through email, they are going to have a negative view of it. But if they get nice messages from family, they will see it differently. For care homes, this suggests that introducing technology is not just about providing the device. It is about helping residents have positive experiences with it from the start.</w:t>
      </w:r>
    </w:p>
    <w:p w14:paraId="3B4B9D01"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4.2.3 Social Media Less Appealing </w:t>
      </w:r>
    </w:p>
    <w:p w14:paraId="5ED2F079"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Facebook (or Meta, as it is now called) did not fare so well. Quite a few participants said they were using it less than they used to. One person explained:</w:t>
      </w:r>
    </w:p>
    <w:p w14:paraId="5D604C3D"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 xml:space="preserve">"I think definitely as time is passing, my use of Facebook is diminishing. I saw the value of </w:t>
      </w:r>
      <w:proofErr w:type="gramStart"/>
      <w:r w:rsidRPr="000141B7">
        <w:rPr>
          <w:rFonts w:ascii="Arial-ItalicMT" w:eastAsia="Times New Roman" w:hAnsi="Arial-ItalicMT" w:cs="Arial"/>
          <w:i/>
          <w:iCs/>
          <w:color w:val="000000"/>
          <w:kern w:val="0"/>
          <w:sz w:val="17"/>
          <w:szCs w:val="17"/>
          <w:lang w:eastAsia="en-GB"/>
          <w14:ligatures w14:val="none"/>
        </w:rPr>
        <w:t>it</w:t>
      </w:r>
      <w:proofErr w:type="gramEnd"/>
      <w:r w:rsidRPr="000141B7">
        <w:rPr>
          <w:rFonts w:ascii="Arial-ItalicMT" w:eastAsia="Times New Roman" w:hAnsi="Arial-ItalicMT" w:cs="Arial"/>
          <w:i/>
          <w:iCs/>
          <w:color w:val="000000"/>
          <w:kern w:val="0"/>
          <w:sz w:val="17"/>
          <w:szCs w:val="17"/>
          <w:lang w:eastAsia="en-GB"/>
          <w14:ligatures w14:val="none"/>
        </w:rPr>
        <w:t xml:space="preserve"> years ago, but now I don't."</w:t>
      </w:r>
    </w:p>
    <w:p w14:paraId="5259AAC8"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For other reasons, people felt the content on Facebook had changed. One participant said:</w:t>
      </w:r>
    </w:p>
    <w:p w14:paraId="54F9A6B4"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"You get lots of news stories that you don't want to read. Hence, it's not very friendly, nor enjoyable."</w:t>
      </w:r>
    </w:p>
    <w:p w14:paraId="087D1E63"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Instead of seeing updates from family and friends, participants felt they were being bombarded with news, much of it negative. This made the platform feel like a chore rather than a pleasure. Another participant added:</w:t>
      </w:r>
    </w:p>
    <w:p w14:paraId="43036B05"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"I just wanted to see pictures of my grandchildren. Instead, I'm being told about wars and politics and everything that's wrong with the world. I have enough to worry about without that."</w:t>
      </w:r>
    </w:p>
    <w:p w14:paraId="752D7B5A"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Another participant said:</w:t>
      </w:r>
    </w:p>
    <w:p w14:paraId="6CE2120C"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lastRenderedPageBreak/>
        <w:t>"My granddaughter told me Instagram is where everyone is now. But I looked at Instagram and couldn't figure it out. It's all pictures with no words, and I don't understand how it works. So now I see nothing."</w:t>
      </w:r>
    </w:p>
    <w:p w14:paraId="37DB34FF"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BoldMT" w:eastAsia="Times New Roman" w:hAnsi="Arial-BoldMT" w:cs="Arial"/>
          <w:b/>
          <w:bCs/>
          <w:color w:val="000000"/>
          <w:kern w:val="0"/>
          <w:sz w:val="17"/>
          <w:szCs w:val="17"/>
          <w:lang w:eastAsia="en-GB"/>
          <w14:ligatures w14:val="none"/>
        </w:rPr>
        <w:t>4.2.4 Implications for Research Objective One</w:t>
      </w:r>
    </w:p>
    <w:p w14:paraId="6F8CDDFF"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These findings directly address the first research objective. They suggest that in care homes, videoconferencing tools like WhatsApp and Zoom would likely be the most welcomed, as they were highly valued for maintaining family connections. Email could be useful but requires careful management to ensure positive experiences. Social media platforms like Facebook may be less suitable, as they can cause frustration and even increase feelings of isolation. Care homes should therefore prioritise investing in videoconferencing infrastructure over social media platforms if the goal is to help residents feel connected.</w:t>
      </w:r>
    </w:p>
    <w:p w14:paraId="0A2D64CB"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4.3 Theme 2: What Stops Residents from Using Digital Tools</w:t>
      </w:r>
    </w:p>
    <w:p w14:paraId="0A807B9E"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This theme addresses the second research objective: understanding what stops residents from using digital tools, whether that is confidence, support, or design problems. The findings reveal that both design complexity and confidence issues act as significant barriers.</w:t>
      </w:r>
    </w:p>
    <w:p w14:paraId="7E1314E4"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4.3.1 Technology UI Design Simplicity as a Facilitator</w:t>
      </w:r>
    </w:p>
    <w:p w14:paraId="3D156D62"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How easy a tool was to use made a real difference to whether people stuck with it or gave up. What came through in the interviews was how small design choices could have a big impact on whether someone felt confident using a device.</w:t>
      </w:r>
    </w:p>
    <w:p w14:paraId="7A121A7F"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WhatsApp was a good example of something that got it right. People described it as "easy to use and quite intuitive." When something is straightforward, people are more likely to give it a go and keep using it. There is less friction. You do not have to work up the courage to open the app because you know what to expect.</w:t>
      </w:r>
    </w:p>
    <w:p w14:paraId="238F686F"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One participant talked about how they appreciated being able to just call people without having to navigate through complicated menus. Another participant said:</w:t>
      </w:r>
    </w:p>
    <w:p w14:paraId="4FA62C30"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"My daughter set it up for me, and after showing me twice, I could do it myself. It's just a green button to call and a red one to hang up. Even I can remember that."</w:t>
      </w:r>
    </w:p>
    <w:p w14:paraId="34F9FA51"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A different participant appreciated that WhatsApp did not change much over time:</w:t>
      </w:r>
    </w:p>
    <w:p w14:paraId="7504B6D6"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"It looks the same now as it did when I first got it. I don't have to relearn things every few months. That's important when you're my age."</w:t>
      </w:r>
    </w:p>
    <w:p w14:paraId="50E71F89"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This fits with what the Technology Acceptance Model says about ease of use being a key factor (Davis, 1989). If something feels hard to use, people will avoid it. If it feels easy, they will use it more.</w:t>
      </w:r>
    </w:p>
    <w:p w14:paraId="4DB1A4E8"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4.3.2 Design Complexity as a Barrier</w:t>
      </w:r>
    </w:p>
    <w:p w14:paraId="331045D4"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 xml:space="preserve">Facebook, on the other hand, had become too complicated. Over the years, it has added </w:t>
      </w:r>
      <w:proofErr w:type="gramStart"/>
      <w:r w:rsidRPr="000141B7">
        <w:rPr>
          <w:rFonts w:ascii="Arial" w:eastAsia="Times New Roman" w:hAnsi="Arial" w:cs="Arial"/>
          <w:color w:val="000000"/>
          <w:kern w:val="0"/>
          <w:sz w:val="17"/>
          <w:szCs w:val="17"/>
          <w:lang w:eastAsia="en-GB"/>
          <w14:ligatures w14:val="none"/>
        </w:rPr>
        <w:t>more and more</w:t>
      </w:r>
      <w:proofErr w:type="gramEnd"/>
      <w:r w:rsidRPr="000141B7">
        <w:rPr>
          <w:rFonts w:ascii="Arial" w:eastAsia="Times New Roman" w:hAnsi="Arial" w:cs="Arial"/>
          <w:color w:val="000000"/>
          <w:kern w:val="0"/>
          <w:sz w:val="17"/>
          <w:szCs w:val="17"/>
          <w:lang w:eastAsia="en-GB"/>
          <w14:ligatures w14:val="none"/>
        </w:rPr>
        <w:t xml:space="preserve"> features, news feeds, shopping, groups, marketplace, all sorts of things. For younger users, these might be welcome additions. But for older participants, they just made the platform harder to navigate.</w:t>
      </w:r>
    </w:p>
    <w:p w14:paraId="12539EED"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One participant described it like this:</w:t>
      </w:r>
    </w:p>
    <w:p w14:paraId="2D049376"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"It's just so complex… it used to be about sharing pictures of family and friends, and now, it has shopping and news and other things. Too much for me to manage."</w:t>
      </w:r>
    </w:p>
    <w:p w14:paraId="2399D389"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Another participant shared their frustration:</w:t>
      </w:r>
    </w:p>
    <w:p w14:paraId="5F54F50D"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"I used to know where everything was. Now, when I log in, I can't find anything. They move things around without telling you. It makes me feel stupid."</w:t>
      </w:r>
    </w:p>
    <w:p w14:paraId="5949DC19"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One participant mentioned that they used to know how to find photos of their grandchildren, but after updates, they could not figure out where everything had gone:</w:t>
      </w:r>
    </w:p>
    <w:p w14:paraId="018D85E6"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"I spent twenty minutes trying to find a picture my daughter posted. By the time I found it, I was so frustrated I didn't even want to look at it anymore."</w:t>
      </w:r>
    </w:p>
    <w:p w14:paraId="2D5681BA"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lastRenderedPageBreak/>
        <w:t>What is interesting here is that the participants were not saying they were incapable of learning. They were saying that the platform had become unnecessarily complicated. </w:t>
      </w:r>
    </w:p>
    <w:p w14:paraId="6ABB86C0"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The effort required to keep up with changes was not worth the benefit they got from using it. This is an important distinction. It is not about older adults being unable to use technology. It is about technology being designed in a way that does not consider their needs.</w:t>
      </w:r>
    </w:p>
    <w:p w14:paraId="372D5259"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4.3.3 Privacy and Security Concerns as Barriers</w:t>
      </w:r>
    </w:p>
    <w:p w14:paraId="60BCF35A"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Privacy and security concerns also emerged as significant barriers. For many participants, these concerns shaped their decisions about which platforms to use and how much to engage with them.</w:t>
      </w:r>
    </w:p>
    <w:p w14:paraId="4BD0A76D"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People were sceptical about how technology companies handle their data. One participant said privacy is "a conversation technology companies avoid" and that they did not feel properly informed about what data was being collected or how it was being used. Another participant expressed their frustration:</w:t>
      </w:r>
    </w:p>
    <w:p w14:paraId="1EB3D15F"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 xml:space="preserve">"You click 'agree' because you </w:t>
      </w:r>
      <w:proofErr w:type="gramStart"/>
      <w:r w:rsidRPr="000141B7">
        <w:rPr>
          <w:rFonts w:ascii="Arial-ItalicMT" w:eastAsia="Times New Roman" w:hAnsi="Arial-ItalicMT" w:cs="Arial"/>
          <w:i/>
          <w:iCs/>
          <w:color w:val="000000"/>
          <w:kern w:val="0"/>
          <w:sz w:val="17"/>
          <w:szCs w:val="17"/>
          <w:lang w:eastAsia="en-GB"/>
          <w14:ligatures w14:val="none"/>
        </w:rPr>
        <w:t>have to</w:t>
      </w:r>
      <w:proofErr w:type="gramEnd"/>
      <w:r w:rsidRPr="000141B7">
        <w:rPr>
          <w:rFonts w:ascii="Arial-ItalicMT" w:eastAsia="Times New Roman" w:hAnsi="Arial-ItalicMT" w:cs="Arial"/>
          <w:i/>
          <w:iCs/>
          <w:color w:val="000000"/>
          <w:kern w:val="0"/>
          <w:sz w:val="17"/>
          <w:szCs w:val="17"/>
          <w:lang w:eastAsia="en-GB"/>
          <w14:ligatures w14:val="none"/>
        </w:rPr>
        <w:t>, but who reads those terms and conditions? They're pages and pages long. And even if you read them, you wouldn't understand half of what they're saying. They're designed to confuse you."</w:t>
      </w:r>
    </w:p>
    <w:p w14:paraId="7373FC01"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Some participants gave specific examples of their worries. One person talked about mentioning something in a private conversation and then seeing adverts for the same thing pop up on Facebook. They said:</w:t>
      </w:r>
    </w:p>
    <w:p w14:paraId="4397B20B"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"Unnecessary things like unrelated adverts appearing. When I viewed an electronic product on Instagram and then logged into Facebook, adverts for where I can get electronic products started popping up!"</w:t>
      </w:r>
    </w:p>
    <w:p w14:paraId="2D961741"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Another participant worried about hacking:</w:t>
      </w:r>
    </w:p>
    <w:p w14:paraId="7206E87C"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"What if it all got hacked and all the information they have on you went into the wrong hands. Like when we get spam messages, what if they use the data on us to really create a convincing spam fraud?"</w:t>
      </w:r>
    </w:p>
    <w:p w14:paraId="0E11CF04"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4.3.4 Implications for Research Objective Two</w:t>
      </w:r>
    </w:p>
    <w:p w14:paraId="5C3F8A91"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These findings directly address the second research objective. They reveal that barriers to technology use fall into two main categories: design-related barriers and privacy-related barriers. Design complexity, particularly when platforms change frequently or add unnecessary features, discourages use. Privacy concerns, especially around data handling and security, also act as significant deterrents.</w:t>
      </w:r>
    </w:p>
    <w:p w14:paraId="0CB3CCC6"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For care homes, this means that selecting technology with simple, stable interfaces is essential. Platforms like WhatsApp, which remain consistent and straightforward, are preferable to those that evolve rapidly. Additionally, care homes should be transparent about how privacy is protected and consider choosing platforms with strong privacy records. Addressing these barriers could significantly increase residents' willingness to engage with technology.</w:t>
      </w:r>
    </w:p>
    <w:p w14:paraId="68C37137"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4.4 Theme 3: How Residents Feel About AI Features</w:t>
      </w:r>
    </w:p>
    <w:p w14:paraId="2CDB280B"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This theme addresses the third research objective: exploring how residents feel about AI features like voice assistants or automated reminders. While the original study did not focus specifically on AI, the findings about control, content, and personalisation offer important insights into how older adults might respond to AI-enabled tools.</w:t>
      </w:r>
    </w:p>
    <w:p w14:paraId="6E9BF866"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4.4.1 The Importance of Control</w:t>
      </w:r>
    </w:p>
    <w:p w14:paraId="7095490D"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A key finding across the interviews was that participants valued being in control of their technology. When they felt in control, technology helped them feel connected. When they felt the technology was controlling them, it made things worse.</w:t>
      </w:r>
    </w:p>
    <w:p w14:paraId="2A207C6C"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This was evident in how participants talked about social media. One participant explained why Facebook made them feel worse:</w:t>
      </w:r>
    </w:p>
    <w:p w14:paraId="3B520916"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"I see other people having parties, going on holidays, spending time with family. And I'm here, in my house, alone. It makes me feel like everyone else is living their life and I'm just watching from the outside."</w:t>
      </w:r>
    </w:p>
    <w:p w14:paraId="55336044"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The participant had no control over what appeared in their feed. The algorithm decided what to show them, and much of it was content that increased their feelings of isolation.</w:t>
      </w:r>
    </w:p>
    <w:p w14:paraId="2F00F149"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lastRenderedPageBreak/>
        <w:t>4.4.2 Content Matters</w:t>
      </w:r>
    </w:p>
    <w:p w14:paraId="52355C87"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Participants were also sensitive to the type of content they encountered. When technology showed them content they did not want, such as negative news or distressing information, it had a harmful effect. One participant said:</w:t>
      </w:r>
    </w:p>
    <w:p w14:paraId="642B8D2B"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"If anything, it makes you lonelier. When you keep getting newsfeeds of negativity."</w:t>
      </w:r>
    </w:p>
    <w:p w14:paraId="75D39A90"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Another participant explained:</w:t>
      </w:r>
    </w:p>
    <w:p w14:paraId="51DD6E63"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"You get lots of news stories that you don't want to read. Hence, it's not very friendly, nor enjoyable."</w:t>
      </w:r>
    </w:p>
    <w:p w14:paraId="36E0B158"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 xml:space="preserve">This has direct implications for AI features. If AI-driven tools are designed to show users content based on algorithms, there is a risk that they could show older </w:t>
      </w:r>
      <w:proofErr w:type="gramStart"/>
      <w:r w:rsidRPr="000141B7">
        <w:rPr>
          <w:rFonts w:ascii="Arial" w:eastAsia="Times New Roman" w:hAnsi="Arial" w:cs="Arial"/>
          <w:color w:val="000000"/>
          <w:kern w:val="0"/>
          <w:sz w:val="17"/>
          <w:szCs w:val="17"/>
          <w:lang w:eastAsia="en-GB"/>
          <w14:ligatures w14:val="none"/>
        </w:rPr>
        <w:t>adults</w:t>
      </w:r>
      <w:proofErr w:type="gramEnd"/>
      <w:r w:rsidRPr="000141B7">
        <w:rPr>
          <w:rFonts w:ascii="Arial" w:eastAsia="Times New Roman" w:hAnsi="Arial" w:cs="Arial"/>
          <w:color w:val="000000"/>
          <w:kern w:val="0"/>
          <w:sz w:val="17"/>
          <w:szCs w:val="17"/>
          <w:lang w:eastAsia="en-GB"/>
          <w14:ligatures w14:val="none"/>
        </w:rPr>
        <w:t xml:space="preserve"> content that increases anxiety or loneliness. For example, automated news feeds or suggested content might include distressing material that the user did not ask for</w:t>
      </w:r>
      <w:r w:rsidRPr="000141B7">
        <w:rPr>
          <w:rFonts w:ascii="revert-layer" w:eastAsia="Times New Roman" w:hAnsi="revert-layer" w:cs="Arial"/>
          <w:color w:val="000000"/>
          <w:kern w:val="0"/>
          <w:sz w:val="18"/>
          <w:szCs w:val="18"/>
          <w:lang w:eastAsia="en-GB"/>
          <w14:ligatures w14:val="none"/>
        </w:rPr>
        <w:t>.</w:t>
      </w:r>
    </w:p>
    <w:p w14:paraId="65004D97"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4.4.3 The Potential Benefits of Voice Assistants</w:t>
      </w:r>
    </w:p>
    <w:p w14:paraId="57AD84C7"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Some participants expressed curiosity about voice-activated technology. One participant who struggled with dexterity issues mentioned:</w:t>
      </w:r>
    </w:p>
    <w:p w14:paraId="36CBA7DA"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"If I could just talk to it, like a radio, that would be better. Pressing buttons is the problem."</w:t>
      </w:r>
    </w:p>
    <w:p w14:paraId="3DF31CB4"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This suggests that voice assistants could address some of the physical barriers older adults face, such as difficulty using touchscreens or small buttons. For residents with arthritis or limited fine motor control, voice commands could make technology much more accessible.</w:t>
      </w:r>
    </w:p>
    <w:p w14:paraId="32A0FC4F"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However, participants also expressed privacy concerns. The idea of a device that is always listening made some participants uncomfortable. One participant said:</w:t>
      </w:r>
    </w:p>
    <w:p w14:paraId="64FC3126"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"I’m concerned about who's listening to my voice? I don't want my conversations listened to."</w:t>
      </w:r>
    </w:p>
    <w:p w14:paraId="39F65F76"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4.4.4 The Risk of Depersonalisation</w:t>
      </w:r>
    </w:p>
    <w:p w14:paraId="3BB917D8"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Another concern that emerged was the risk of technology replacing human contact. One participant, when asked about automated reminders, said:</w:t>
      </w:r>
    </w:p>
    <w:p w14:paraId="46D49B7A"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"A machine reminding me to take my pills? I don't want that. I want a person to check on me. That's the human touch."</w:t>
      </w:r>
    </w:p>
    <w:p w14:paraId="655D6146"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This highlights an important consideration for AI features in care settings. While automated reminders or check-ins might be efficient, residents may perceive them as a replacement for genuine human interaction. For older adults who already feel isolated, this could be damaging rather than helpful.</w:t>
      </w:r>
    </w:p>
    <w:p w14:paraId="4A699EFC"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4.4.5 Implications for Research Objective Three</w:t>
      </w:r>
    </w:p>
    <w:p w14:paraId="5104FA3E"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These findings offer important insights for the third research objective. While the original study did not directly ask about AI, the themes of control, content, and personalisation are highly relevant. Residents are likely to respond positively to AI features that give them more control, such as voice-activated commands that make technology easier to use. However, they may respond negatively to AI features that feel intrusive, show them unwanted content, or replace human contact.</w:t>
      </w:r>
    </w:p>
    <w:p w14:paraId="47010E6A"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For care homes considering AI-enabled tools, this suggests the importance of transparency and user control. Residents should be able to choose what features they use and have clear information about how their data is being used. AI should be positioned as a tool that enhances human connection, not one that replaces it.</w:t>
      </w:r>
    </w:p>
    <w:p w14:paraId="0E92D5F2"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4.5 Theme 4: What Training and Support Help Residents Engage</w:t>
      </w:r>
    </w:p>
    <w:p w14:paraId="32266BCC"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 xml:space="preserve">This theme addresses the fourth research objective: identifying what training and support help residents engage with technology. The findings reveal that support is crucial and that residents </w:t>
      </w:r>
      <w:proofErr w:type="gramStart"/>
      <w:r w:rsidRPr="000141B7">
        <w:rPr>
          <w:rFonts w:ascii="Arial" w:eastAsia="Times New Roman" w:hAnsi="Arial" w:cs="Arial"/>
          <w:color w:val="000000"/>
          <w:kern w:val="0"/>
          <w:sz w:val="17"/>
          <w:szCs w:val="17"/>
          <w:lang w:eastAsia="en-GB"/>
          <w14:ligatures w14:val="none"/>
        </w:rPr>
        <w:t>are capable of learning</w:t>
      </w:r>
      <w:proofErr w:type="gramEnd"/>
      <w:r w:rsidRPr="000141B7">
        <w:rPr>
          <w:rFonts w:ascii="Arial" w:eastAsia="Times New Roman" w:hAnsi="Arial" w:cs="Arial"/>
          <w:color w:val="000000"/>
          <w:kern w:val="0"/>
          <w:sz w:val="17"/>
          <w:szCs w:val="17"/>
          <w:lang w:eastAsia="en-GB"/>
          <w14:ligatures w14:val="none"/>
        </w:rPr>
        <w:t xml:space="preserve"> when they have the right help.</w:t>
      </w:r>
    </w:p>
    <w:p w14:paraId="07024482"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4.5.1 People Can Learn When Motivated</w:t>
      </w:r>
    </w:p>
    <w:p w14:paraId="7D0AE911"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lastRenderedPageBreak/>
        <w:t>A clear finding from the study was that older adults could adapt and learn when they needed to. The stereotype that older people cannot learn new technology was not supported by the evidence.</w:t>
      </w:r>
    </w:p>
    <w:p w14:paraId="269C3A12"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One participant described how they had learned to use new tools:</w:t>
      </w:r>
    </w:p>
    <w:p w14:paraId="526C98FC"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"Not being able to do things I would have normally done, I now speak with my friends that I used to play card games with online through Zoom, and we can even play online."</w:t>
      </w:r>
    </w:p>
    <w:p w14:paraId="2B35CA39"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Another participant said:</w:t>
      </w:r>
    </w:p>
    <w:p w14:paraId="499BBBE8"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"My daughter taught me how to share my screen so I could show her my garden. It took a few tries, but I got there in the end. You're never too old to learn, that's what I say."</w:t>
      </w:r>
    </w:p>
    <w:p w14:paraId="76848CE4"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A different participant reflected on their own learning journey:</w:t>
      </w:r>
    </w:p>
    <w:p w14:paraId="561E1052"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"Before all this, I would have said I'm not a technology person. Now I use it every day. I'm not sure I like it, but I can't imagine going back to how things were either."</w:t>
      </w:r>
    </w:p>
    <w:p w14:paraId="5A64FF9E"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4.5.2 The Importance of Patient Support</w:t>
      </w:r>
    </w:p>
    <w:p w14:paraId="6FAF2477"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What made learning possible for these participants was having patient support. Participants who had family members or friends who could show them how things worked were more likely to adopt new technology.</w:t>
      </w:r>
    </w:p>
    <w:p w14:paraId="2D16E1CB"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One participant said:</w:t>
      </w:r>
    </w:p>
    <w:p w14:paraId="61E0E643"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"My daughter set it up for me, and after showing me twice, I could do it myself."</w:t>
      </w:r>
    </w:p>
    <w:p w14:paraId="0BEE770D"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Another participant appreciated that their son was patient:</w:t>
      </w:r>
    </w:p>
    <w:p w14:paraId="5659F7FA"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"He didn't make me feel intimidated. He explained it slowly, and when I forgot, he showed me again. That's what you need, someone who doesn't mind repeating themselves."</w:t>
      </w:r>
    </w:p>
    <w:p w14:paraId="548B0BE2"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4.5.3 The Gap in Formal Support</w:t>
      </w:r>
    </w:p>
    <w:p w14:paraId="7553C3AD"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While participants often had support from family, formal support from services was less available. This gap is important for care homes to consider. Residents may not have family nearby to help them learn, so the responsibility falls on care staff.</w:t>
      </w:r>
    </w:p>
    <w:p w14:paraId="2986B73D"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One participant described a situation where support was lacking:</w:t>
      </w:r>
    </w:p>
    <w:p w14:paraId="30306E83"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"I was given a tablet, but no one showed me how to use it. It sat on my bedside table for months until my granddaughter came to visit and showed me what to do."</w:t>
      </w:r>
    </w:p>
    <w:p w14:paraId="4D0C58C7"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4.5.4 Peer Support as a Valuable Resource</w:t>
      </w:r>
    </w:p>
    <w:p w14:paraId="6DB6A52E"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Some participants found that learning from peers was helpful. One participant said:</w:t>
      </w:r>
    </w:p>
    <w:p w14:paraId="12EBBC37"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ItalicMT" w:eastAsia="Times New Roman" w:hAnsi="Arial-ItalicMT" w:cs="Arial"/>
          <w:i/>
          <w:iCs/>
          <w:color w:val="000000"/>
          <w:kern w:val="0"/>
          <w:sz w:val="17"/>
          <w:szCs w:val="17"/>
          <w:lang w:eastAsia="en-GB"/>
          <w14:ligatures w14:val="none"/>
        </w:rPr>
        <w:t>"Joan next door showed me how to do it. She was patient, and we laughed. That was better than any class."</w:t>
      </w:r>
    </w:p>
    <w:p w14:paraId="78A05009"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This suggests that fostering a culture of peer support could be a powerful and cost-effective strategy for enhancing digital inclusion. Residents who are confident with technology could help those who are less confident.</w:t>
      </w:r>
    </w:p>
    <w:p w14:paraId="392B631B"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4.5.5 Implications for Research Objective Four</w:t>
      </w:r>
    </w:p>
    <w:p w14:paraId="5085C3C5"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 xml:space="preserve">These findings directly address the fourth research objective. They show that residents </w:t>
      </w:r>
      <w:proofErr w:type="gramStart"/>
      <w:r w:rsidRPr="000141B7">
        <w:rPr>
          <w:rFonts w:ascii="Arial" w:eastAsia="Times New Roman" w:hAnsi="Arial" w:cs="Arial"/>
          <w:color w:val="000000"/>
          <w:kern w:val="0"/>
          <w:sz w:val="17"/>
          <w:szCs w:val="17"/>
          <w:lang w:eastAsia="en-GB"/>
          <w14:ligatures w14:val="none"/>
        </w:rPr>
        <w:t>are capable of engaging</w:t>
      </w:r>
      <w:proofErr w:type="gramEnd"/>
      <w:r w:rsidRPr="000141B7">
        <w:rPr>
          <w:rFonts w:ascii="Arial" w:eastAsia="Times New Roman" w:hAnsi="Arial" w:cs="Arial"/>
          <w:color w:val="000000"/>
          <w:kern w:val="0"/>
          <w:sz w:val="17"/>
          <w:szCs w:val="17"/>
          <w:lang w:eastAsia="en-GB"/>
          <w14:ligatures w14:val="none"/>
        </w:rPr>
        <w:t xml:space="preserve"> with technology when they have the right support. This support needs to be patient, ongoing, and accessible. In a care home setting, this means having staff who are trained to help residents with technology and who have the time to do so. It also means considering peer support models where confident residents can help others. Technology cannot be introduced and then forgotten it requires ongoing attention and support.</w:t>
      </w:r>
    </w:p>
    <w:p w14:paraId="36B448EA"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lastRenderedPageBreak/>
        <w:t>4.6 Discussion</w:t>
      </w:r>
    </w:p>
    <w:p w14:paraId="3D5E0583"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Looking across these four themes, a few things stand out that matter for residential care.</w:t>
      </w:r>
    </w:p>
    <w:p w14:paraId="5B063786"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4.6.1 What This Means for Care Homes</w:t>
      </w:r>
    </w:p>
    <w:p w14:paraId="188CEDB8"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First, not all technology is created equal. Videoconferencing tools like WhatsApp and Zoom were clearly the most valued. People liked being able to see family, and they found these tools relatively easy to use. Social media, on the other hand, caused more problems than it solved for many participants. If a care home is thinking about what to invest in, videoconferencing seems like a safer bet than Facebook.</w:t>
      </w:r>
    </w:p>
    <w:p w14:paraId="71885DBE"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Second, design matters a lot. Tools that are simple and stay simple are much easier for older adults to use. Tools that change a lot or add features people did not ask for can become frustrating. This suggests that care homes should look for technology that is stable and straightforward, perhaps something designed specifically for older users rather than a mainstream platform that keeps evolving.</w:t>
      </w:r>
    </w:p>
    <w:p w14:paraId="1781412E"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Third, privacy is a genuine concern. People want to know what is happening with their data. If a care home is introducing new technology, it is worth being upfront about how privacy is protected. Residents and their families might have questions about this, and being transparent could help build trust. This might mean choosing platforms that have good privacy records or that allow users to control what information is shared.</w:t>
      </w:r>
    </w:p>
    <w:p w14:paraId="54AE3EA0"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 xml:space="preserve">Fourth, the situation matters. When people cannot see others in person, technology becomes more important. In residential care, that is often the reality. </w:t>
      </w:r>
      <w:proofErr w:type="gramStart"/>
      <w:r w:rsidRPr="000141B7">
        <w:rPr>
          <w:rFonts w:ascii="Arial" w:eastAsia="Times New Roman" w:hAnsi="Arial" w:cs="Arial"/>
          <w:color w:val="000000"/>
          <w:kern w:val="0"/>
          <w:sz w:val="17"/>
          <w:szCs w:val="17"/>
          <w:lang w:eastAsia="en-GB"/>
          <w14:ligatures w14:val="none"/>
        </w:rPr>
        <w:t>So</w:t>
      </w:r>
      <w:proofErr w:type="gramEnd"/>
      <w:r w:rsidRPr="000141B7">
        <w:rPr>
          <w:rFonts w:ascii="Arial" w:eastAsia="Times New Roman" w:hAnsi="Arial" w:cs="Arial"/>
          <w:color w:val="000000"/>
          <w:kern w:val="0"/>
          <w:sz w:val="17"/>
          <w:szCs w:val="17"/>
          <w:lang w:eastAsia="en-GB"/>
          <w14:ligatures w14:val="none"/>
        </w:rPr>
        <w:t xml:space="preserve"> technology is not just a nice extra it is part of how residents stay connected to the outside world. This means it should be treated as a core part of care provision, not an optional extra.</w:t>
      </w:r>
    </w:p>
    <w:p w14:paraId="3BA573D1"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Fifth, support is crucial. People in the study were able to learn when they had a reason to, but they needed help. In a care home, that means having staff who can show residents how things work and help them when they get stuck. It is not something you can just set up and forget about. It needs ongoing attention.</w:t>
      </w:r>
    </w:p>
    <w:p w14:paraId="5558DDC9"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4.6.2 Adding to What We Know</w:t>
      </w:r>
    </w:p>
    <w:p w14:paraId="4D413F16"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These findings add to the Technology Acceptance Model in a few ways. The model talks about usefulness and ease of use, but what came through here was that content and privacy matter too. People stopped using Facebook not just because it was hard to use, but because what they saw on there made them feel worse. And they held back from some technologies because they did not trust what was being done with their information.</w:t>
      </w:r>
    </w:p>
    <w:p w14:paraId="5B1E0B61"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Other researchers have pointed out that motivation and feelings matter in whether people accept technology (Lee et al., 2005; Venkatesh et al., 2003). This study backs that up. It suggests that if we want to understand why older adults use or do not use technology, we need to look at more than just whether it is useful and easy. We need to look at whether it makes them feel good or bad, whether they trust it, and whether it fits with their life.</w:t>
      </w:r>
    </w:p>
    <w:p w14:paraId="2AA760A8"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4.6.3 Limitations</w:t>
      </w:r>
    </w:p>
    <w:p w14:paraId="7233CD64"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 xml:space="preserve">A few limitations are worth noting. The people in the study were living in their own homes, not in care homes. Care home residents might have different experiences; they may have more health problems, fewer choices about what technology they get, and different patterns of social interaction. </w:t>
      </w:r>
      <w:proofErr w:type="gramStart"/>
      <w:r w:rsidRPr="000141B7">
        <w:rPr>
          <w:rFonts w:ascii="Arial" w:eastAsia="Times New Roman" w:hAnsi="Arial" w:cs="Arial"/>
          <w:color w:val="000000"/>
          <w:kern w:val="0"/>
          <w:sz w:val="17"/>
          <w:szCs w:val="17"/>
          <w:lang w:eastAsia="en-GB"/>
          <w14:ligatures w14:val="none"/>
        </w:rPr>
        <w:t>So</w:t>
      </w:r>
      <w:proofErr w:type="gramEnd"/>
      <w:r w:rsidRPr="000141B7">
        <w:rPr>
          <w:rFonts w:ascii="Arial" w:eastAsia="Times New Roman" w:hAnsi="Arial" w:cs="Arial"/>
          <w:color w:val="000000"/>
          <w:kern w:val="0"/>
          <w:sz w:val="17"/>
          <w:szCs w:val="17"/>
          <w:lang w:eastAsia="en-GB"/>
          <w14:ligatures w14:val="none"/>
        </w:rPr>
        <w:t xml:space="preserve"> while the themes are useful, they might not tell the whole story for residential care.</w:t>
      </w:r>
    </w:p>
    <w:p w14:paraId="485B76A7"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 xml:space="preserve">Also, the study was done in the UK. Attitudes towards technology and privacy might be different in other places. And the original study did not focus on AI specifically, so we </w:t>
      </w:r>
      <w:proofErr w:type="gramStart"/>
      <w:r w:rsidRPr="000141B7">
        <w:rPr>
          <w:rFonts w:ascii="Arial" w:eastAsia="Times New Roman" w:hAnsi="Arial" w:cs="Arial"/>
          <w:color w:val="000000"/>
          <w:kern w:val="0"/>
          <w:sz w:val="17"/>
          <w:szCs w:val="17"/>
          <w:lang w:eastAsia="en-GB"/>
          <w14:ligatures w14:val="none"/>
        </w:rPr>
        <w:t>have to</w:t>
      </w:r>
      <w:proofErr w:type="gramEnd"/>
      <w:r w:rsidRPr="000141B7">
        <w:rPr>
          <w:rFonts w:ascii="Arial" w:eastAsia="Times New Roman" w:hAnsi="Arial" w:cs="Arial"/>
          <w:color w:val="000000"/>
          <w:kern w:val="0"/>
          <w:sz w:val="17"/>
          <w:szCs w:val="17"/>
          <w:lang w:eastAsia="en-GB"/>
          <w14:ligatures w14:val="none"/>
        </w:rPr>
        <w:t xml:space="preserve"> be careful about drawing too many conclusions about that from these findings. That said, the concerns about privacy and control that came up are very relevant to how people might respond to AI tools.</w:t>
      </w:r>
    </w:p>
    <w:p w14:paraId="77E3D249"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4.7 Conclusion</w:t>
      </w:r>
    </w:p>
    <w:p w14:paraId="7A0730C1"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This chapter has looked at what older adults themselves say about using digital communication tools to stay connected. Four themes were identified, each aligned with the research objectives.</w:t>
      </w:r>
    </w:p>
    <w:p w14:paraId="00E64E3C"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For the first objective, identifying what tools are used and what residents think of them, the findings showed that videoconferencing tools are highly valued, email receives mixed responses, and social media is losing its appeal for many.</w:t>
      </w:r>
    </w:p>
    <w:p w14:paraId="1E53F97D"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lastRenderedPageBreak/>
        <w:t>For the second objective, understanding what stops residents from using these tools, the findings revealed that design complexity and privacy concerns are significant barriers. Tools that are simple and stable work best, and residents are cautious about how their data is handled.</w:t>
      </w:r>
    </w:p>
    <w:p w14:paraId="1696F1E7"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For the third objective, exploring how residents feel about AI features, the findings suggested that control and content are key. Residents respond positively to features that give them more control, such as voice commands, but are wary of features that feel intrusive or show them unwanted content. There is also a concern that AI could replace human contact, which would be unwelcome.</w:t>
      </w:r>
    </w:p>
    <w:p w14:paraId="37CAE074"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 xml:space="preserve">For the fourth objective, identifying what training and support help residents engage, the findings showed that residents </w:t>
      </w:r>
      <w:proofErr w:type="gramStart"/>
      <w:r w:rsidRPr="000141B7">
        <w:rPr>
          <w:rFonts w:ascii="Arial" w:eastAsia="Times New Roman" w:hAnsi="Arial" w:cs="Arial"/>
          <w:color w:val="000000"/>
          <w:kern w:val="0"/>
          <w:sz w:val="17"/>
          <w:szCs w:val="17"/>
          <w:lang w:eastAsia="en-GB"/>
          <w14:ligatures w14:val="none"/>
        </w:rPr>
        <w:t>are capable of learning</w:t>
      </w:r>
      <w:proofErr w:type="gramEnd"/>
      <w:r w:rsidRPr="000141B7">
        <w:rPr>
          <w:rFonts w:ascii="Arial" w:eastAsia="Times New Roman" w:hAnsi="Arial" w:cs="Arial"/>
          <w:color w:val="000000"/>
          <w:kern w:val="0"/>
          <w:sz w:val="17"/>
          <w:szCs w:val="17"/>
          <w:lang w:eastAsia="en-GB"/>
          <w14:ligatures w14:val="none"/>
        </w:rPr>
        <w:t xml:space="preserve"> when they have patient, ongoing support. Peer support can also be valuable, and formal support from staff needs to be available.</w:t>
      </w:r>
    </w:p>
    <w:p w14:paraId="7D11A6CE"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For residential care, these findings point to a few practical considerations. Invest in simple, stable videoconferencing tools. Be upfront about privacy. Make sure residents have support when they need it. And recognise that technology is not a replacement for in-person connection, but it can help when that connection is hard to come by.</w:t>
      </w:r>
    </w:p>
    <w:p w14:paraId="29391B22"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E2DDD7"/>
          <w:kern w:val="0"/>
          <w:sz w:val="18"/>
          <w:szCs w:val="18"/>
          <w:lang w:eastAsia="en-GB"/>
          <w14:ligatures w14:val="none"/>
        </w:rPr>
      </w:pPr>
    </w:p>
    <w:p w14:paraId="0ED2A938" w14:textId="77777777" w:rsidR="000141B7" w:rsidRPr="000141B7" w:rsidRDefault="000141B7" w:rsidP="000141B7">
      <w:pPr>
        <w:spacing w:before="100" w:beforeAutospacing="1" w:after="100" w:afterAutospacing="1" w:line="240" w:lineRule="auto"/>
        <w:rPr>
          <w:rFonts w:ascii="Arial" w:eastAsia="Times New Roman" w:hAnsi="Arial" w:cs="Arial"/>
          <w:color w:val="000000"/>
          <w:kern w:val="0"/>
          <w:lang w:eastAsia="en-GB"/>
          <w14:ligatures w14:val="none"/>
        </w:rPr>
      </w:pPr>
      <w:r w:rsidRPr="000141B7">
        <w:rPr>
          <w:rFonts w:ascii="Arial-BoldMT" w:eastAsia="Times New Roman" w:hAnsi="Arial-BoldMT" w:cs="Arial"/>
          <w:b/>
          <w:bCs/>
          <w:color w:val="000000"/>
          <w:kern w:val="0"/>
          <w:lang w:eastAsia="en-GB"/>
          <w14:ligatures w14:val="none"/>
        </w:rPr>
        <w:t>CHAPTER 5</w:t>
      </w:r>
    </w:p>
    <w:p w14:paraId="42B26FDB" w14:textId="77777777" w:rsidR="000141B7" w:rsidRPr="000141B7" w:rsidRDefault="000141B7" w:rsidP="000141B7">
      <w:pPr>
        <w:spacing w:before="100" w:beforeAutospacing="1" w:after="100" w:afterAutospacing="1" w:line="240" w:lineRule="auto"/>
        <w:jc w:val="center"/>
        <w:rPr>
          <w:rFonts w:ascii="Arial" w:eastAsia="Times New Roman" w:hAnsi="Arial" w:cs="Arial"/>
          <w:color w:val="000000"/>
          <w:kern w:val="0"/>
          <w:lang w:eastAsia="en-GB"/>
          <w14:ligatures w14:val="none"/>
        </w:rPr>
      </w:pPr>
      <w:r w:rsidRPr="000141B7">
        <w:rPr>
          <w:rFonts w:ascii="Arial-BoldMT" w:eastAsia="Times New Roman" w:hAnsi="Arial-BoldMT" w:cs="Arial"/>
          <w:b/>
          <w:bCs/>
          <w:color w:val="000000"/>
          <w:kern w:val="0"/>
          <w:lang w:eastAsia="en-GB"/>
          <w14:ligatures w14:val="none"/>
        </w:rPr>
        <w:t>Recommendations and Conclusion</w:t>
      </w:r>
    </w:p>
    <w:p w14:paraId="527A0C55"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5.1 Introduction</w:t>
      </w:r>
    </w:p>
    <w:p w14:paraId="2F3808AC"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This chapter synthesises the key findings of the study and presents a set of practical recommendations for care providers, policymakers, and technology developers. It also reflects on the study’s limitations and suggests directions for future research, concluding with a summary of the research’s contribution to knowledge.</w:t>
      </w:r>
    </w:p>
    <w:p w14:paraId="13B188A0"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5.2 Summary of Key Findings</w:t>
      </w:r>
    </w:p>
    <w:p w14:paraId="1CD3294F"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This study explored the role of digital communication tools in mitigating social isolation among older adults in residential care. The key findings are as follows:</w:t>
      </w:r>
    </w:p>
    <w:p w14:paraId="6BE4849A" w14:textId="77777777" w:rsidR="000141B7" w:rsidRPr="000141B7" w:rsidRDefault="000141B7" w:rsidP="000141B7">
      <w:pPr>
        <w:numPr>
          <w:ilvl w:val="0"/>
          <w:numId w:val="1"/>
        </w:numPr>
        <w:spacing w:after="75"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Digital communication tools, particularly video-calling platforms, are valued by residents for maintaining family connections.</w:t>
      </w:r>
    </w:p>
    <w:p w14:paraId="38BFFE08" w14:textId="77777777" w:rsidR="000141B7" w:rsidRPr="000141B7" w:rsidRDefault="000141B7" w:rsidP="000141B7">
      <w:pPr>
        <w:numPr>
          <w:ilvl w:val="0"/>
          <w:numId w:val="1"/>
        </w:numPr>
        <w:spacing w:after="75"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Multiple barriers impede adoption, including a lack of digital literacy and confidence, age-inclusive design flaws, and inconsistent staff support due to time and training constraints.</w:t>
      </w:r>
    </w:p>
    <w:p w14:paraId="38815CF0" w14:textId="77777777" w:rsidR="000141B7" w:rsidRPr="000141B7" w:rsidRDefault="000141B7" w:rsidP="000141B7">
      <w:pPr>
        <w:numPr>
          <w:ilvl w:val="0"/>
          <w:numId w:val="1"/>
        </w:numPr>
        <w:spacing w:after="75"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Attitudes towards AI-enabled features are mixed; residents are cautiously curious about voice-activated technology but express significant concerns about privacy, depersonalisation, and the potential replacement of human contact.</w:t>
      </w:r>
    </w:p>
    <w:p w14:paraId="55D72978" w14:textId="77777777" w:rsidR="000141B7" w:rsidRPr="000141B7" w:rsidRDefault="000141B7" w:rsidP="000141B7">
      <w:pPr>
        <w:numPr>
          <w:ilvl w:val="0"/>
          <w:numId w:val="1"/>
        </w:numPr>
        <w:spacing w:after="75"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Adequate training and ongoing support for both residents and staff are critical determinants of successful technology adoption.</w:t>
      </w:r>
    </w:p>
    <w:p w14:paraId="3A5EC8F8"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5.3 Practical Recommendations</w:t>
      </w:r>
    </w:p>
    <w:p w14:paraId="6150ACE8"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Drawing upon the empirical findings of this study, the following evidence-based recommendations are proposed to enhance digital integration within residential care settings. These suggestions are categorized by stakeholder group to facilitate targeted implementation.</w:t>
      </w:r>
    </w:p>
    <w:p w14:paraId="6F061FD0"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5.3.1 Care Home Management</w:t>
      </w:r>
    </w:p>
    <w:p w14:paraId="58FF5F1B"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To foster a digitally inclusive environment, management should transition from ad-hoc technology adoption to a strategic, person-</w:t>
      </w:r>
      <w:proofErr w:type="spellStart"/>
      <w:r w:rsidRPr="000141B7">
        <w:rPr>
          <w:rFonts w:ascii="Arial" w:eastAsia="Times New Roman" w:hAnsi="Arial" w:cs="Arial"/>
          <w:color w:val="000000"/>
          <w:kern w:val="0"/>
          <w:sz w:val="17"/>
          <w:szCs w:val="17"/>
          <w:lang w:eastAsia="en-GB"/>
          <w14:ligatures w14:val="none"/>
        </w:rPr>
        <w:t>centered</w:t>
      </w:r>
      <w:proofErr w:type="spellEnd"/>
      <w:r w:rsidRPr="000141B7">
        <w:rPr>
          <w:rFonts w:ascii="Arial" w:eastAsia="Times New Roman" w:hAnsi="Arial" w:cs="Arial"/>
          <w:color w:val="000000"/>
          <w:kern w:val="0"/>
          <w:sz w:val="17"/>
          <w:szCs w:val="17"/>
          <w:lang w:eastAsia="en-GB"/>
          <w14:ligatures w14:val="none"/>
        </w:rPr>
        <w:t xml:space="preserve"> framework:</w:t>
      </w:r>
    </w:p>
    <w:p w14:paraId="57F0620E" w14:textId="77777777" w:rsidR="000141B7" w:rsidRPr="000141B7" w:rsidRDefault="000141B7" w:rsidP="000141B7">
      <w:pPr>
        <w:numPr>
          <w:ilvl w:val="0"/>
          <w:numId w:val="2"/>
        </w:numPr>
        <w:spacing w:after="75"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Systematic Digital Needs Assessments: Before procurement, management should conduct formal audits of residents’ digital literacy, personal preferences, and specific barriers to entry. This ensures that technological investments align with the actual requirements of the user base.</w:t>
      </w:r>
    </w:p>
    <w:p w14:paraId="3BEE855C" w14:textId="77777777" w:rsidR="000141B7" w:rsidRPr="000141B7" w:rsidRDefault="000141B7" w:rsidP="000141B7">
      <w:pPr>
        <w:numPr>
          <w:ilvl w:val="0"/>
          <w:numId w:val="2"/>
        </w:numPr>
        <w:spacing w:after="75"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lastRenderedPageBreak/>
        <w:t xml:space="preserve">Procurement of Age-Inclusive Hardware: Preference should be given to hardware designed with </w:t>
      </w:r>
      <w:proofErr w:type="spellStart"/>
      <w:r w:rsidRPr="000141B7">
        <w:rPr>
          <w:rFonts w:ascii="Arial" w:eastAsia="Times New Roman" w:hAnsi="Arial" w:cs="Arial"/>
          <w:color w:val="000000"/>
          <w:kern w:val="0"/>
          <w:sz w:val="17"/>
          <w:szCs w:val="17"/>
          <w:lang w:eastAsia="en-GB"/>
          <w14:ligatures w14:val="none"/>
        </w:rPr>
        <w:t>gerontechnological</w:t>
      </w:r>
      <w:proofErr w:type="spellEnd"/>
      <w:r w:rsidRPr="000141B7">
        <w:rPr>
          <w:rFonts w:ascii="Arial" w:eastAsia="Times New Roman" w:hAnsi="Arial" w:cs="Arial"/>
          <w:color w:val="000000"/>
          <w:kern w:val="0"/>
          <w:sz w:val="17"/>
          <w:szCs w:val="17"/>
          <w:lang w:eastAsia="en-GB"/>
          <w14:ligatures w14:val="none"/>
        </w:rPr>
        <w:t xml:space="preserve"> principles, such as high-contrast displays, intuitive user interfaces, and multimodal input methods (e.g., voice-to-text) to accommodate sensory or motor impairments.</w:t>
      </w:r>
    </w:p>
    <w:p w14:paraId="487EDED5" w14:textId="77777777" w:rsidR="000141B7" w:rsidRPr="000141B7" w:rsidRDefault="000141B7" w:rsidP="000141B7">
      <w:pPr>
        <w:numPr>
          <w:ilvl w:val="0"/>
          <w:numId w:val="2"/>
        </w:numPr>
        <w:spacing w:after="75"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Formalization of Technical Support: Digital assistance should be integrated into individual care plans. By allocating dedicated staff hours to technological facilitation, facilities can move toward viewing digital connectivity as a fundamental right of care rather than an optional leisure activity.</w:t>
      </w:r>
    </w:p>
    <w:p w14:paraId="46376500" w14:textId="77777777" w:rsidR="000141B7" w:rsidRPr="000141B7" w:rsidRDefault="000141B7" w:rsidP="000141B7">
      <w:pPr>
        <w:numPr>
          <w:ilvl w:val="0"/>
          <w:numId w:val="2"/>
        </w:numPr>
        <w:spacing w:after="75"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Facilitation of Peer-Support Networks: Establishing resident-led "digital circles" can mitigate the intimidation factor often associated with formal instruction, leveraging social capital to encourage technological self-efficacy.</w:t>
      </w:r>
    </w:p>
    <w:p w14:paraId="562A7FC0"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5.3.2 Training and Professional Development</w:t>
      </w:r>
    </w:p>
    <w:p w14:paraId="3773BEEB"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The efficacy of digital interventions is heavily dependent on the competence and confidence of the care workforce:</w:t>
      </w:r>
    </w:p>
    <w:p w14:paraId="6E7012DD" w14:textId="77777777" w:rsidR="000141B7" w:rsidRPr="000141B7" w:rsidRDefault="000141B7" w:rsidP="000141B7">
      <w:pPr>
        <w:numPr>
          <w:ilvl w:val="0"/>
          <w:numId w:val="3"/>
        </w:numPr>
        <w:spacing w:after="75"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Continuous Professional Development (CPD): Digital literacy training should be embedded into both induction programs and ongoing CPD. Training must encompass not only functional device operation but also basic troubleshooting and pedagogical skills for assisting residents.</w:t>
      </w:r>
    </w:p>
    <w:p w14:paraId="5C908BCA" w14:textId="77777777" w:rsidR="000141B7" w:rsidRPr="000141B7" w:rsidRDefault="000141B7" w:rsidP="000141B7">
      <w:pPr>
        <w:numPr>
          <w:ilvl w:val="0"/>
          <w:numId w:val="3"/>
        </w:numPr>
        <w:spacing w:after="75"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Appointment of Digital Champions: Identifying and upskilling "Digital Champions" within the staff body provides a localized knowledge resource. These individuals act as internal mentors, driving cultural change and providing immediate peer support for colleagues.</w:t>
      </w:r>
    </w:p>
    <w:p w14:paraId="304FA69D"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5.3.3 Technology Developers and Designers</w:t>
      </w:r>
    </w:p>
    <w:p w14:paraId="7AB7B3E4"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To bridge the "</w:t>
      </w:r>
      <w:proofErr w:type="spellStart"/>
      <w:r w:rsidRPr="000141B7">
        <w:rPr>
          <w:rFonts w:ascii="Arial" w:eastAsia="Times New Roman" w:hAnsi="Arial" w:cs="Arial"/>
          <w:color w:val="000000"/>
          <w:kern w:val="0"/>
          <w:sz w:val="17"/>
          <w:szCs w:val="17"/>
          <w:lang w:eastAsia="en-GB"/>
          <w14:ligatures w14:val="none"/>
        </w:rPr>
        <w:t>gray</w:t>
      </w:r>
      <w:proofErr w:type="spellEnd"/>
      <w:r w:rsidRPr="000141B7">
        <w:rPr>
          <w:rFonts w:ascii="Arial" w:eastAsia="Times New Roman" w:hAnsi="Arial" w:cs="Arial"/>
          <w:color w:val="000000"/>
          <w:kern w:val="0"/>
          <w:sz w:val="17"/>
          <w:szCs w:val="17"/>
          <w:lang w:eastAsia="en-GB"/>
          <w14:ligatures w14:val="none"/>
        </w:rPr>
        <w:t xml:space="preserve"> digital divide," developers must move beyond universal design and embrace aging-specific requirements:</w:t>
      </w:r>
    </w:p>
    <w:p w14:paraId="747D3061" w14:textId="77777777" w:rsidR="000141B7" w:rsidRPr="000141B7" w:rsidRDefault="000141B7" w:rsidP="000141B7">
      <w:pPr>
        <w:numPr>
          <w:ilvl w:val="0"/>
          <w:numId w:val="4"/>
        </w:numPr>
        <w:spacing w:after="75"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Co-Design and Participatory Research: Developers should involve older adults and care practitioners throughout the iterative design process. This ensures that the final product addresses the nuanced ergonomic and cognitive needs of the target demographic.</w:t>
      </w:r>
    </w:p>
    <w:p w14:paraId="01B5F181" w14:textId="77777777" w:rsidR="000141B7" w:rsidRPr="000141B7" w:rsidRDefault="000141B7" w:rsidP="000141B7">
      <w:pPr>
        <w:numPr>
          <w:ilvl w:val="0"/>
          <w:numId w:val="4"/>
        </w:numPr>
        <w:spacing w:after="75"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Optimization of User Experience (UX): Interfaces should prioritize "lean" functionality—minimizing the cognitive load required to complete essential tasks, such as video communication or health monitoring.</w:t>
      </w:r>
    </w:p>
    <w:p w14:paraId="3BFE8382" w14:textId="77777777" w:rsidR="000141B7" w:rsidRPr="000141B7" w:rsidRDefault="000141B7" w:rsidP="000141B7">
      <w:pPr>
        <w:numPr>
          <w:ilvl w:val="0"/>
          <w:numId w:val="4"/>
        </w:numPr>
        <w:spacing w:after="75"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Ethical AI and Algorithmic Transparency: Where Artificial Intelligence is employed, developers must ensure "privacy by design." Clear, non-technical documentation regarding data processing and autonomous decision-making is essential to establishing user trust.</w:t>
      </w:r>
    </w:p>
    <w:p w14:paraId="2E07DB10"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5.3.4 Policymakers and Regulatory Bodies</w:t>
      </w:r>
    </w:p>
    <w:p w14:paraId="7E6BAE34"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Macro-level intervention is required to address the structural inequalities in care-sector infrastructure:</w:t>
      </w:r>
    </w:p>
    <w:p w14:paraId="04070658" w14:textId="77777777" w:rsidR="000141B7" w:rsidRPr="000141B7" w:rsidRDefault="000141B7" w:rsidP="000141B7">
      <w:pPr>
        <w:numPr>
          <w:ilvl w:val="0"/>
          <w:numId w:val="5"/>
        </w:numPr>
        <w:spacing w:after="75"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Infrastructure Funding: Targeted grants should be made available to care providers to subsidize the high costs of high-speed Wi-Fi installation, hardware acquisition, and ongoing technical maintenance.</w:t>
      </w:r>
    </w:p>
    <w:p w14:paraId="1C8AFE6A" w14:textId="77777777" w:rsidR="000141B7" w:rsidRPr="000141B7" w:rsidRDefault="000141B7" w:rsidP="000141B7">
      <w:pPr>
        <w:numPr>
          <w:ilvl w:val="0"/>
          <w:numId w:val="5"/>
        </w:numPr>
        <w:spacing w:after="75"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Regulatory Integration: Digital competency should be incorporated into national care qualifications and standardized inspection frameworks. This would ensure that digital inclusion becomes a measurable indicator of quality in social care.</w:t>
      </w:r>
    </w:p>
    <w:p w14:paraId="1B4EF4F0"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5.4 Limitations of the Study</w:t>
      </w:r>
    </w:p>
    <w:p w14:paraId="3F175927"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While this research provides significant insights into the digital lives of care home residents, several methodological limitations must be acknowledged:</w:t>
      </w:r>
    </w:p>
    <w:p w14:paraId="7DC40F52" w14:textId="77777777" w:rsidR="000141B7" w:rsidRPr="000141B7" w:rsidRDefault="000141B7" w:rsidP="000141B7">
      <w:pPr>
        <w:numPr>
          <w:ilvl w:val="0"/>
          <w:numId w:val="6"/>
        </w:numPr>
        <w:spacing w:after="75"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Scope and Generalizability: As an exploratory qualitative study focused on a specific geographic and institutional subset, the findings are not intended to be statistically generalizable. Instead, they offer transferable insights that may inform similar contexts.</w:t>
      </w:r>
    </w:p>
    <w:p w14:paraId="658CBB0B" w14:textId="77777777" w:rsidR="000141B7" w:rsidRPr="000141B7" w:rsidRDefault="000141B7" w:rsidP="000141B7">
      <w:pPr>
        <w:numPr>
          <w:ilvl w:val="0"/>
          <w:numId w:val="6"/>
        </w:numPr>
        <w:spacing w:after="75"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Sampling Bias: The study utilized purposive sampling, which may have attracted participants with pre-existing interests in, or strong aversions to, technology. This self-selection bias may result in a more polarized view than that of the broader resident population.</w:t>
      </w:r>
    </w:p>
    <w:p w14:paraId="62F07162" w14:textId="77777777" w:rsidR="000141B7" w:rsidRPr="000141B7" w:rsidRDefault="000141B7" w:rsidP="000141B7">
      <w:pPr>
        <w:numPr>
          <w:ilvl w:val="0"/>
          <w:numId w:val="6"/>
        </w:numPr>
        <w:spacing w:after="75"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Reflexivity and Researcher Bias: In qualitative inquiry, the researcher’s presence can inadvertently influence participant responses (the Hawthorne Effect). To mitigate this, a reflexive journal was maintained to track and account for potential biases during data collection and analysis.</w:t>
      </w:r>
    </w:p>
    <w:p w14:paraId="3D3A9504" w14:textId="77777777" w:rsidR="000141B7" w:rsidRPr="000141B7" w:rsidRDefault="000141B7" w:rsidP="000141B7">
      <w:pPr>
        <w:numPr>
          <w:ilvl w:val="0"/>
          <w:numId w:val="6"/>
        </w:numPr>
        <w:spacing w:after="75"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lastRenderedPageBreak/>
        <w:t>Inclusion of Cognitive Impairment: Despite utilizing a "process consent" model to include a diverse range of voices, capturing the lived experiences of residents with advanced dementia or severe cognitive decline remains a persistent methodological challenge in the field.</w:t>
      </w:r>
    </w:p>
    <w:p w14:paraId="0B73A12F"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5.5 Directions for Future Research</w:t>
      </w:r>
    </w:p>
    <w:p w14:paraId="6DFB3CAC"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Building on the findings and limitations of this study, several avenues for future research are suggested:</w:t>
      </w:r>
    </w:p>
    <w:p w14:paraId="5A537FF4" w14:textId="77777777" w:rsidR="000141B7" w:rsidRPr="000141B7" w:rsidRDefault="000141B7" w:rsidP="000141B7">
      <w:pPr>
        <w:numPr>
          <w:ilvl w:val="0"/>
          <w:numId w:val="7"/>
        </w:numPr>
        <w:spacing w:after="75" w:line="240" w:lineRule="auto"/>
        <w:jc w:val="both"/>
        <w:rPr>
          <w:rFonts w:ascii="Arial" w:eastAsia="Times New Roman" w:hAnsi="Arial" w:cs="Arial"/>
          <w:color w:val="000000"/>
          <w:kern w:val="0"/>
          <w:sz w:val="17"/>
          <w:szCs w:val="17"/>
          <w:lang w:eastAsia="en-GB"/>
          <w14:ligatures w14:val="none"/>
        </w:rPr>
      </w:pPr>
      <w:r w:rsidRPr="000141B7">
        <w:rPr>
          <w:rFonts w:ascii="Arial-BoldMT" w:eastAsia="Times New Roman" w:hAnsi="Arial-BoldMT" w:cs="Arial"/>
          <w:b/>
          <w:bCs/>
          <w:color w:val="000000"/>
          <w:kern w:val="0"/>
          <w:sz w:val="17"/>
          <w:szCs w:val="17"/>
          <w:lang w:eastAsia="en-GB"/>
          <w14:ligatures w14:val="none"/>
        </w:rPr>
        <w:t>Quantitative Studies:</w:t>
      </w:r>
      <w:r w:rsidRPr="000141B7">
        <w:rPr>
          <w:rFonts w:ascii="Arial" w:eastAsia="Times New Roman" w:hAnsi="Arial" w:cs="Arial"/>
          <w:color w:val="000000"/>
          <w:kern w:val="0"/>
          <w:sz w:val="17"/>
          <w:szCs w:val="17"/>
          <w:lang w:eastAsia="en-GB"/>
          <w14:ligatures w14:val="none"/>
        </w:rPr>
        <w:t> A larger-scale, mixed-methods study could explore the prevalence of digital tool use and the statistical relationship between technology use and validated measures of loneliness in care homes.</w:t>
      </w:r>
    </w:p>
    <w:p w14:paraId="50609C04" w14:textId="77777777" w:rsidR="000141B7" w:rsidRPr="000141B7" w:rsidRDefault="000141B7" w:rsidP="000141B7">
      <w:pPr>
        <w:numPr>
          <w:ilvl w:val="0"/>
          <w:numId w:val="7"/>
        </w:numPr>
        <w:spacing w:after="75" w:line="240" w:lineRule="auto"/>
        <w:jc w:val="both"/>
        <w:rPr>
          <w:rFonts w:ascii="Arial" w:eastAsia="Times New Roman" w:hAnsi="Arial" w:cs="Arial"/>
          <w:color w:val="000000"/>
          <w:kern w:val="0"/>
          <w:sz w:val="17"/>
          <w:szCs w:val="17"/>
          <w:lang w:eastAsia="en-GB"/>
          <w14:ligatures w14:val="none"/>
        </w:rPr>
      </w:pPr>
      <w:r w:rsidRPr="000141B7">
        <w:rPr>
          <w:rFonts w:ascii="Arial-BoldMT" w:eastAsia="Times New Roman" w:hAnsi="Arial-BoldMT" w:cs="Arial"/>
          <w:b/>
          <w:bCs/>
          <w:color w:val="000000"/>
          <w:kern w:val="0"/>
          <w:sz w:val="17"/>
          <w:szCs w:val="17"/>
          <w:lang w:eastAsia="en-GB"/>
          <w14:ligatures w14:val="none"/>
        </w:rPr>
        <w:t>Longitudinal Research:</w:t>
      </w:r>
      <w:r w:rsidRPr="000141B7">
        <w:rPr>
          <w:rFonts w:ascii="Arial" w:eastAsia="Times New Roman" w:hAnsi="Arial" w:cs="Arial"/>
          <w:color w:val="000000"/>
          <w:kern w:val="0"/>
          <w:sz w:val="17"/>
          <w:szCs w:val="17"/>
          <w:lang w:eastAsia="en-GB"/>
          <w14:ligatures w14:val="none"/>
        </w:rPr>
        <w:t> A longitudinal study could track residents’ adoption and use of technology over time, exploring how attitudes and capabilities change.</w:t>
      </w:r>
    </w:p>
    <w:p w14:paraId="254E2045" w14:textId="77777777" w:rsidR="000141B7" w:rsidRPr="000141B7" w:rsidRDefault="000141B7" w:rsidP="000141B7">
      <w:pPr>
        <w:numPr>
          <w:ilvl w:val="0"/>
          <w:numId w:val="7"/>
        </w:numPr>
        <w:spacing w:after="75" w:line="240" w:lineRule="auto"/>
        <w:jc w:val="both"/>
        <w:rPr>
          <w:rFonts w:ascii="Arial" w:eastAsia="Times New Roman" w:hAnsi="Arial" w:cs="Arial"/>
          <w:color w:val="000000"/>
          <w:kern w:val="0"/>
          <w:sz w:val="17"/>
          <w:szCs w:val="17"/>
          <w:lang w:eastAsia="en-GB"/>
          <w14:ligatures w14:val="none"/>
        </w:rPr>
      </w:pPr>
      <w:r w:rsidRPr="000141B7">
        <w:rPr>
          <w:rFonts w:ascii="Arial-BoldMT" w:eastAsia="Times New Roman" w:hAnsi="Arial-BoldMT" w:cs="Arial"/>
          <w:b/>
          <w:bCs/>
          <w:color w:val="000000"/>
          <w:kern w:val="0"/>
          <w:sz w:val="17"/>
          <w:szCs w:val="17"/>
          <w:lang w:eastAsia="en-GB"/>
          <w14:ligatures w14:val="none"/>
        </w:rPr>
        <w:t>AI Implementation Studies:</w:t>
      </w:r>
      <w:r w:rsidRPr="000141B7">
        <w:rPr>
          <w:rFonts w:ascii="Arial" w:eastAsia="Times New Roman" w:hAnsi="Arial" w:cs="Arial"/>
          <w:color w:val="000000"/>
          <w:kern w:val="0"/>
          <w:sz w:val="17"/>
          <w:szCs w:val="17"/>
          <w:lang w:eastAsia="en-GB"/>
          <w14:ligatures w14:val="none"/>
        </w:rPr>
        <w:t> Future research should focus on the implementation of AI tools in care settings, using participatory action research to co-design and evaluate AI interventions with residents and staff.</w:t>
      </w:r>
    </w:p>
    <w:p w14:paraId="4138B03D" w14:textId="77777777" w:rsidR="000141B7" w:rsidRPr="000141B7" w:rsidRDefault="000141B7" w:rsidP="000141B7">
      <w:pPr>
        <w:numPr>
          <w:ilvl w:val="0"/>
          <w:numId w:val="7"/>
        </w:numPr>
        <w:spacing w:after="75" w:line="240" w:lineRule="auto"/>
        <w:jc w:val="both"/>
        <w:rPr>
          <w:rFonts w:ascii="Arial" w:eastAsia="Times New Roman" w:hAnsi="Arial" w:cs="Arial"/>
          <w:color w:val="000000"/>
          <w:kern w:val="0"/>
          <w:sz w:val="17"/>
          <w:szCs w:val="17"/>
          <w:lang w:eastAsia="en-GB"/>
          <w14:ligatures w14:val="none"/>
        </w:rPr>
      </w:pPr>
      <w:r w:rsidRPr="000141B7">
        <w:rPr>
          <w:rFonts w:ascii="Arial-BoldMT" w:eastAsia="Times New Roman" w:hAnsi="Arial-BoldMT" w:cs="Arial"/>
          <w:b/>
          <w:bCs/>
          <w:color w:val="000000"/>
          <w:kern w:val="0"/>
          <w:sz w:val="17"/>
          <w:szCs w:val="17"/>
          <w:lang w:eastAsia="en-GB"/>
          <w14:ligatures w14:val="none"/>
        </w:rPr>
        <w:t>Comparative Studies:</w:t>
      </w:r>
      <w:r w:rsidRPr="000141B7">
        <w:rPr>
          <w:rFonts w:ascii="Arial" w:eastAsia="Times New Roman" w:hAnsi="Arial" w:cs="Arial"/>
          <w:color w:val="000000"/>
          <w:kern w:val="0"/>
          <w:sz w:val="17"/>
          <w:szCs w:val="17"/>
          <w:lang w:eastAsia="en-GB"/>
          <w14:ligatures w14:val="none"/>
        </w:rPr>
        <w:t> Research comparing different models of technology support (e.g., peer-support versus staff-led) would provide valuable evidence on the most effective approaches.</w:t>
      </w:r>
    </w:p>
    <w:p w14:paraId="36CDDE57"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21"/>
          <w:szCs w:val="21"/>
          <w:lang w:eastAsia="en-GB"/>
          <w14:ligatures w14:val="none"/>
        </w:rPr>
      </w:pPr>
      <w:r w:rsidRPr="000141B7">
        <w:rPr>
          <w:rFonts w:ascii="Arial-BoldMT" w:eastAsia="Times New Roman" w:hAnsi="Arial-BoldMT" w:cs="Arial"/>
          <w:b/>
          <w:bCs/>
          <w:color w:val="000000"/>
          <w:kern w:val="0"/>
          <w:sz w:val="21"/>
          <w:szCs w:val="21"/>
          <w:lang w:eastAsia="en-GB"/>
          <w14:ligatures w14:val="none"/>
        </w:rPr>
        <w:t>5.6 Conclusion</w:t>
      </w:r>
    </w:p>
    <w:p w14:paraId="12D782B4"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This study set out to explore whether digital communication tools can help reduce loneliness for older adults in residential care. The findings demonstrate that these tools hold significant promise for bridging the gap between residents and their families, offering a tangible means of mitigating the social isolation that is so prevalent in this population. However, the research also reveals that the potential of technology cannot be realised without a concerted and holistic approach that addresses the multiple barriers to adoption. The digital divide in care homes is not merely a matter of access to devices; it is a complex issue encompassing individual confidence, inclusive design, and, critically, the availability of adequate training and support.</w:t>
      </w:r>
    </w:p>
    <w:p w14:paraId="70BDF7B9"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As AI tools become more prevalent, the need for a human-centred approach is paramount. Technology must be introduced in a way that respects residents’ autonomy, addresses their concerns about privacy and depersonalisation, and enhances rather than diminishes the human connections at the heart of quality care. Ultimately, this study contributes to a growing body of evidence that, with thoughtful implementation and adequate support, digital communication tools can be a powerful ally in the fight against loneliness in residential care, helping to ensure that older adults feel more connected, valued, and less alone.</w:t>
      </w:r>
    </w:p>
    <w:p w14:paraId="42D56739"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E2DDD7"/>
          <w:kern w:val="0"/>
          <w:sz w:val="18"/>
          <w:szCs w:val="18"/>
          <w:lang w:eastAsia="en-GB"/>
          <w14:ligatures w14:val="none"/>
        </w:rPr>
      </w:pPr>
    </w:p>
    <w:p w14:paraId="0FE5C8A8" w14:textId="77777777" w:rsidR="000141B7" w:rsidRPr="000141B7" w:rsidRDefault="000141B7" w:rsidP="000141B7">
      <w:pPr>
        <w:spacing w:before="100" w:beforeAutospacing="1" w:after="100" w:afterAutospacing="1" w:line="240" w:lineRule="auto"/>
        <w:rPr>
          <w:rFonts w:ascii="Arial" w:eastAsia="Times New Roman" w:hAnsi="Arial" w:cs="Arial"/>
          <w:color w:val="000000"/>
          <w:kern w:val="0"/>
          <w:lang w:eastAsia="en-GB"/>
          <w14:ligatures w14:val="none"/>
        </w:rPr>
      </w:pPr>
      <w:r w:rsidRPr="000141B7">
        <w:rPr>
          <w:rFonts w:ascii="Arial-BoldMT" w:eastAsia="Times New Roman" w:hAnsi="Arial-BoldMT" w:cs="Arial"/>
          <w:b/>
          <w:bCs/>
          <w:color w:val="000000"/>
          <w:kern w:val="0"/>
          <w:lang w:eastAsia="en-GB"/>
          <w14:ligatures w14:val="none"/>
        </w:rPr>
        <w:t>References</w:t>
      </w:r>
    </w:p>
    <w:p w14:paraId="7D4F8B6D"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Abbott, R., Orr, N., McGill, P., Whear, R., Bethel, A., Garside, R., Stein, K. and Thompson</w:t>
      </w:r>
      <w:r w:rsidRPr="000141B7">
        <w:rPr>
          <w:rFonts w:ascii="New" w:eastAsia="Times New Roman" w:hAnsi="New" w:cs="Arial"/>
          <w:color w:val="000000"/>
          <w:kern w:val="0"/>
          <w:sz w:val="17"/>
          <w:szCs w:val="17"/>
          <w:lang w:eastAsia="en-GB"/>
          <w14:ligatures w14:val="none"/>
        </w:rPr>
        <w:t>‐</w:t>
      </w:r>
      <w:r w:rsidRPr="000141B7">
        <w:rPr>
          <w:rFonts w:ascii="Arial" w:eastAsia="Times New Roman" w:hAnsi="Arial" w:cs="Arial"/>
          <w:color w:val="000000"/>
          <w:kern w:val="0"/>
          <w:sz w:val="17"/>
          <w:szCs w:val="17"/>
          <w:lang w:eastAsia="en-GB"/>
          <w14:ligatures w14:val="none"/>
        </w:rPr>
        <w:t>Coon, J. (2019) 'How do "robopets" impact the health and well</w:t>
      </w:r>
      <w:r w:rsidRPr="000141B7">
        <w:rPr>
          <w:rFonts w:ascii="New" w:eastAsia="Times New Roman" w:hAnsi="New" w:cs="Arial"/>
          <w:color w:val="000000"/>
          <w:kern w:val="0"/>
          <w:sz w:val="17"/>
          <w:szCs w:val="17"/>
          <w:lang w:eastAsia="en-GB"/>
          <w14:ligatures w14:val="none"/>
        </w:rPr>
        <w:t>‐</w:t>
      </w:r>
      <w:r w:rsidRPr="000141B7">
        <w:rPr>
          <w:rFonts w:ascii="Arial" w:eastAsia="Times New Roman" w:hAnsi="Arial" w:cs="Arial"/>
          <w:color w:val="000000"/>
          <w:kern w:val="0"/>
          <w:sz w:val="17"/>
          <w:szCs w:val="17"/>
          <w:lang w:eastAsia="en-GB"/>
          <w14:ligatures w14:val="none"/>
        </w:rPr>
        <w:t>being of residents in care homes? A systematic review of qualitative and quantitative evidence', </w:t>
      </w:r>
      <w:r w:rsidRPr="000141B7">
        <w:rPr>
          <w:rFonts w:ascii="Arial-ItalicMT" w:eastAsia="Times New Roman" w:hAnsi="Arial-ItalicMT" w:cs="Arial"/>
          <w:i/>
          <w:iCs/>
          <w:color w:val="000000"/>
          <w:kern w:val="0"/>
          <w:sz w:val="17"/>
          <w:szCs w:val="17"/>
          <w:lang w:eastAsia="en-GB"/>
          <w14:ligatures w14:val="none"/>
        </w:rPr>
        <w:t>International Journal of Older People Nursing</w:t>
      </w:r>
      <w:r w:rsidRPr="000141B7">
        <w:rPr>
          <w:rFonts w:ascii="Arial" w:eastAsia="Times New Roman" w:hAnsi="Arial" w:cs="Arial"/>
          <w:color w:val="000000"/>
          <w:kern w:val="0"/>
          <w:sz w:val="17"/>
          <w:szCs w:val="17"/>
          <w:lang w:eastAsia="en-GB"/>
          <w14:ligatures w14:val="none"/>
        </w:rPr>
        <w:t>, 14(3), p. e12239.</w:t>
      </w:r>
    </w:p>
    <w:p w14:paraId="6FA4CFDA"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Abdi, J., Al</w:t>
      </w:r>
      <w:r w:rsidRPr="000141B7">
        <w:rPr>
          <w:rFonts w:ascii="New" w:eastAsia="Times New Roman" w:hAnsi="New" w:cs="Arial"/>
          <w:color w:val="000000"/>
          <w:kern w:val="0"/>
          <w:sz w:val="17"/>
          <w:szCs w:val="17"/>
          <w:lang w:eastAsia="en-GB"/>
          <w14:ligatures w14:val="none"/>
        </w:rPr>
        <w:t>‐</w:t>
      </w:r>
      <w:proofErr w:type="spellStart"/>
      <w:r w:rsidRPr="000141B7">
        <w:rPr>
          <w:rFonts w:ascii="Arial" w:eastAsia="Times New Roman" w:hAnsi="Arial" w:cs="Arial"/>
          <w:color w:val="000000"/>
          <w:kern w:val="0"/>
          <w:sz w:val="17"/>
          <w:szCs w:val="17"/>
          <w:lang w:eastAsia="en-GB"/>
          <w14:ligatures w14:val="none"/>
        </w:rPr>
        <w:t>Hindawi</w:t>
      </w:r>
      <w:proofErr w:type="spellEnd"/>
      <w:r w:rsidRPr="000141B7">
        <w:rPr>
          <w:rFonts w:ascii="Arial" w:eastAsia="Times New Roman" w:hAnsi="Arial" w:cs="Arial"/>
          <w:color w:val="000000"/>
          <w:kern w:val="0"/>
          <w:sz w:val="17"/>
          <w:szCs w:val="17"/>
          <w:lang w:eastAsia="en-GB"/>
          <w14:ligatures w14:val="none"/>
        </w:rPr>
        <w:t xml:space="preserve">, A. and </w:t>
      </w:r>
      <w:proofErr w:type="spellStart"/>
      <w:r w:rsidRPr="000141B7">
        <w:rPr>
          <w:rFonts w:ascii="Arial" w:eastAsia="Times New Roman" w:hAnsi="Arial" w:cs="Arial"/>
          <w:color w:val="000000"/>
          <w:kern w:val="0"/>
          <w:sz w:val="17"/>
          <w:szCs w:val="17"/>
          <w:lang w:eastAsia="en-GB"/>
          <w14:ligatures w14:val="none"/>
        </w:rPr>
        <w:t>Vizcaychipi</w:t>
      </w:r>
      <w:proofErr w:type="spellEnd"/>
      <w:r w:rsidRPr="000141B7">
        <w:rPr>
          <w:rFonts w:ascii="Arial" w:eastAsia="Times New Roman" w:hAnsi="Arial" w:cs="Arial"/>
          <w:color w:val="000000"/>
          <w:kern w:val="0"/>
          <w:sz w:val="17"/>
          <w:szCs w:val="17"/>
          <w:lang w:eastAsia="en-GB"/>
          <w14:ligatures w14:val="none"/>
        </w:rPr>
        <w:t>, M. (2017) 'Use of socially assistive robot technology in elderly care', </w:t>
      </w:r>
      <w:r w:rsidRPr="000141B7">
        <w:rPr>
          <w:rFonts w:ascii="Arial-ItalicMT" w:eastAsia="Times New Roman" w:hAnsi="Arial-ItalicMT" w:cs="Arial"/>
          <w:i/>
          <w:iCs/>
          <w:color w:val="000000"/>
          <w:kern w:val="0"/>
          <w:sz w:val="17"/>
          <w:szCs w:val="17"/>
          <w:lang w:eastAsia="en-GB"/>
          <w14:ligatures w14:val="none"/>
        </w:rPr>
        <w:t>Age and Ageing</w:t>
      </w:r>
      <w:r w:rsidRPr="000141B7">
        <w:rPr>
          <w:rFonts w:ascii="Arial" w:eastAsia="Times New Roman" w:hAnsi="Arial" w:cs="Arial"/>
          <w:color w:val="000000"/>
          <w:kern w:val="0"/>
          <w:sz w:val="17"/>
          <w:szCs w:val="17"/>
          <w:lang w:eastAsia="en-GB"/>
          <w14:ligatures w14:val="none"/>
        </w:rPr>
        <w:t>, 46(Supplement 1), p. i1.</w:t>
      </w:r>
    </w:p>
    <w:p w14:paraId="20C6D6C2"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Abdi, J., Al</w:t>
      </w:r>
      <w:r w:rsidRPr="000141B7">
        <w:rPr>
          <w:rFonts w:ascii="New" w:eastAsia="Times New Roman" w:hAnsi="New" w:cs="Arial"/>
          <w:color w:val="000000"/>
          <w:kern w:val="0"/>
          <w:sz w:val="17"/>
          <w:szCs w:val="17"/>
          <w:lang w:eastAsia="en-GB"/>
          <w14:ligatures w14:val="none"/>
        </w:rPr>
        <w:t>‐</w:t>
      </w:r>
      <w:proofErr w:type="spellStart"/>
      <w:r w:rsidRPr="000141B7">
        <w:rPr>
          <w:rFonts w:ascii="Arial" w:eastAsia="Times New Roman" w:hAnsi="Arial" w:cs="Arial"/>
          <w:color w:val="000000"/>
          <w:kern w:val="0"/>
          <w:sz w:val="17"/>
          <w:szCs w:val="17"/>
          <w:lang w:eastAsia="en-GB"/>
          <w14:ligatures w14:val="none"/>
        </w:rPr>
        <w:t>Hindawi</w:t>
      </w:r>
      <w:proofErr w:type="spellEnd"/>
      <w:r w:rsidRPr="000141B7">
        <w:rPr>
          <w:rFonts w:ascii="Arial" w:eastAsia="Times New Roman" w:hAnsi="Arial" w:cs="Arial"/>
          <w:color w:val="000000"/>
          <w:kern w:val="0"/>
          <w:sz w:val="17"/>
          <w:szCs w:val="17"/>
          <w:lang w:eastAsia="en-GB"/>
          <w14:ligatures w14:val="none"/>
        </w:rPr>
        <w:t xml:space="preserve">, A., Ng, T. and </w:t>
      </w:r>
      <w:proofErr w:type="spellStart"/>
      <w:r w:rsidRPr="000141B7">
        <w:rPr>
          <w:rFonts w:ascii="Arial" w:eastAsia="Times New Roman" w:hAnsi="Arial" w:cs="Arial"/>
          <w:color w:val="000000"/>
          <w:kern w:val="0"/>
          <w:sz w:val="17"/>
          <w:szCs w:val="17"/>
          <w:lang w:eastAsia="en-GB"/>
          <w14:ligatures w14:val="none"/>
        </w:rPr>
        <w:t>Vizcaychipi</w:t>
      </w:r>
      <w:proofErr w:type="spellEnd"/>
      <w:r w:rsidRPr="000141B7">
        <w:rPr>
          <w:rFonts w:ascii="Arial" w:eastAsia="Times New Roman" w:hAnsi="Arial" w:cs="Arial"/>
          <w:color w:val="000000"/>
          <w:kern w:val="0"/>
          <w:sz w:val="17"/>
          <w:szCs w:val="17"/>
          <w:lang w:eastAsia="en-GB"/>
          <w14:ligatures w14:val="none"/>
        </w:rPr>
        <w:t>, M.P. (2018) 'Scoping review on the use of socially assistive robot technology in elderly care', </w:t>
      </w:r>
      <w:r w:rsidRPr="000141B7">
        <w:rPr>
          <w:rFonts w:ascii="Arial-ItalicMT" w:eastAsia="Times New Roman" w:hAnsi="Arial-ItalicMT" w:cs="Arial"/>
          <w:i/>
          <w:iCs/>
          <w:color w:val="000000"/>
          <w:kern w:val="0"/>
          <w:sz w:val="17"/>
          <w:szCs w:val="17"/>
          <w:lang w:eastAsia="en-GB"/>
          <w14:ligatures w14:val="none"/>
        </w:rPr>
        <w:t>BMJ Open</w:t>
      </w:r>
      <w:r w:rsidRPr="000141B7">
        <w:rPr>
          <w:rFonts w:ascii="Arial" w:eastAsia="Times New Roman" w:hAnsi="Arial" w:cs="Arial"/>
          <w:color w:val="000000"/>
          <w:kern w:val="0"/>
          <w:sz w:val="17"/>
          <w:szCs w:val="17"/>
          <w:lang w:eastAsia="en-GB"/>
          <w14:ligatures w14:val="none"/>
        </w:rPr>
        <w:t>, 8(2), p. e018815.</w:t>
      </w:r>
    </w:p>
    <w:p w14:paraId="07298DFF"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 xml:space="preserve">Abou </w:t>
      </w:r>
      <w:proofErr w:type="spellStart"/>
      <w:r w:rsidRPr="000141B7">
        <w:rPr>
          <w:rFonts w:ascii="Arial" w:eastAsia="Times New Roman" w:hAnsi="Arial" w:cs="Arial"/>
          <w:color w:val="000000"/>
          <w:kern w:val="0"/>
          <w:sz w:val="17"/>
          <w:szCs w:val="17"/>
          <w:lang w:eastAsia="en-GB"/>
          <w14:ligatures w14:val="none"/>
        </w:rPr>
        <w:t>Allaban</w:t>
      </w:r>
      <w:proofErr w:type="spellEnd"/>
      <w:r w:rsidRPr="000141B7">
        <w:rPr>
          <w:rFonts w:ascii="Arial" w:eastAsia="Times New Roman" w:hAnsi="Arial" w:cs="Arial"/>
          <w:color w:val="000000"/>
          <w:kern w:val="0"/>
          <w:sz w:val="17"/>
          <w:szCs w:val="17"/>
          <w:lang w:eastAsia="en-GB"/>
          <w14:ligatures w14:val="none"/>
        </w:rPr>
        <w:t xml:space="preserve">, A., Wang, M.Z. and </w:t>
      </w:r>
      <w:proofErr w:type="spellStart"/>
      <w:r w:rsidRPr="000141B7">
        <w:rPr>
          <w:rFonts w:ascii="Arial" w:eastAsia="Times New Roman" w:hAnsi="Arial" w:cs="Arial"/>
          <w:color w:val="000000"/>
          <w:kern w:val="0"/>
          <w:sz w:val="17"/>
          <w:szCs w:val="17"/>
          <w:lang w:eastAsia="en-GB"/>
          <w14:ligatures w14:val="none"/>
        </w:rPr>
        <w:t>Padir</w:t>
      </w:r>
      <w:proofErr w:type="spellEnd"/>
      <w:r w:rsidRPr="000141B7">
        <w:rPr>
          <w:rFonts w:ascii="Arial" w:eastAsia="Times New Roman" w:hAnsi="Arial" w:cs="Arial"/>
          <w:color w:val="000000"/>
          <w:kern w:val="0"/>
          <w:sz w:val="17"/>
          <w:szCs w:val="17"/>
          <w:lang w:eastAsia="en-GB"/>
          <w14:ligatures w14:val="none"/>
        </w:rPr>
        <w:t>, T. (2020) 'A systematic review of robotics research in support of in</w:t>
      </w:r>
      <w:r w:rsidRPr="000141B7">
        <w:rPr>
          <w:rFonts w:ascii="New" w:eastAsia="Times New Roman" w:hAnsi="New" w:cs="Arial"/>
          <w:color w:val="000000"/>
          <w:kern w:val="0"/>
          <w:sz w:val="17"/>
          <w:szCs w:val="17"/>
          <w:lang w:eastAsia="en-GB"/>
          <w14:ligatures w14:val="none"/>
        </w:rPr>
        <w:t>‐</w:t>
      </w:r>
      <w:r w:rsidRPr="000141B7">
        <w:rPr>
          <w:rFonts w:ascii="Arial" w:eastAsia="Times New Roman" w:hAnsi="Arial" w:cs="Arial"/>
          <w:color w:val="000000"/>
          <w:kern w:val="0"/>
          <w:sz w:val="17"/>
          <w:szCs w:val="17"/>
          <w:lang w:eastAsia="en-GB"/>
          <w14:ligatures w14:val="none"/>
        </w:rPr>
        <w:t>home care for older adults', </w:t>
      </w:r>
      <w:r w:rsidRPr="000141B7">
        <w:rPr>
          <w:rFonts w:ascii="Arial-ItalicMT" w:eastAsia="Times New Roman" w:hAnsi="Arial-ItalicMT" w:cs="Arial"/>
          <w:i/>
          <w:iCs/>
          <w:color w:val="000000"/>
          <w:kern w:val="0"/>
          <w:sz w:val="17"/>
          <w:szCs w:val="17"/>
          <w:lang w:eastAsia="en-GB"/>
          <w14:ligatures w14:val="none"/>
        </w:rPr>
        <w:t>Information</w:t>
      </w:r>
      <w:r w:rsidRPr="000141B7">
        <w:rPr>
          <w:rFonts w:ascii="Arial" w:eastAsia="Times New Roman" w:hAnsi="Arial" w:cs="Arial"/>
          <w:color w:val="000000"/>
          <w:kern w:val="0"/>
          <w:sz w:val="17"/>
          <w:szCs w:val="17"/>
          <w:lang w:eastAsia="en-GB"/>
          <w14:ligatures w14:val="none"/>
        </w:rPr>
        <w:t>, 11(2), p. 75.</w:t>
      </w:r>
    </w:p>
    <w:p w14:paraId="603927FB"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Aggarwal, B., Xiong, Q. and Schroeder</w:t>
      </w:r>
      <w:r w:rsidRPr="000141B7">
        <w:rPr>
          <w:rFonts w:ascii="New" w:eastAsia="Times New Roman" w:hAnsi="New" w:cs="Arial"/>
          <w:color w:val="000000"/>
          <w:kern w:val="0"/>
          <w:sz w:val="17"/>
          <w:szCs w:val="17"/>
          <w:lang w:eastAsia="en-GB"/>
          <w14:ligatures w14:val="none"/>
        </w:rPr>
        <w:t>‐</w:t>
      </w:r>
      <w:r w:rsidRPr="000141B7">
        <w:rPr>
          <w:rFonts w:ascii="Arial" w:eastAsia="Times New Roman" w:hAnsi="Arial" w:cs="Arial"/>
          <w:color w:val="000000"/>
          <w:kern w:val="0"/>
          <w:sz w:val="17"/>
          <w:szCs w:val="17"/>
          <w:lang w:eastAsia="en-GB"/>
          <w14:ligatures w14:val="none"/>
        </w:rPr>
        <w:t>Butterfill, E. (2020) 'Impact of the use of the internet on quality of life in older adults: Review of literature', </w:t>
      </w:r>
      <w:r w:rsidRPr="000141B7">
        <w:rPr>
          <w:rFonts w:ascii="Arial-ItalicMT" w:eastAsia="Times New Roman" w:hAnsi="Arial-ItalicMT" w:cs="Arial"/>
          <w:i/>
          <w:iCs/>
          <w:color w:val="000000"/>
          <w:kern w:val="0"/>
          <w:sz w:val="17"/>
          <w:szCs w:val="17"/>
          <w:lang w:eastAsia="en-GB"/>
          <w14:ligatures w14:val="none"/>
        </w:rPr>
        <w:t>Primary Health Care Research &amp; Development</w:t>
      </w:r>
      <w:r w:rsidRPr="000141B7">
        <w:rPr>
          <w:rFonts w:ascii="Arial" w:eastAsia="Times New Roman" w:hAnsi="Arial" w:cs="Arial"/>
          <w:color w:val="000000"/>
          <w:kern w:val="0"/>
          <w:sz w:val="17"/>
          <w:szCs w:val="17"/>
          <w:lang w:eastAsia="en-GB"/>
          <w14:ligatures w14:val="none"/>
        </w:rPr>
        <w:t>, 21, p. e55.</w:t>
      </w:r>
    </w:p>
    <w:p w14:paraId="0BBFB8CE"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Ali, R., Hoque, E., Duberstein, P., Schubert, L., Razavi, S.Z., Kane, B., Silva, C., Daks, J.S., Huang, M. and Van Orden, K. (2020) 'Aging and engaging: A pilot randomized controlled trial of an online conversational skills coach for older adults', </w:t>
      </w:r>
      <w:r w:rsidRPr="000141B7">
        <w:rPr>
          <w:rFonts w:ascii="Arial-ItalicMT" w:eastAsia="Times New Roman" w:hAnsi="Arial-ItalicMT" w:cs="Arial"/>
          <w:i/>
          <w:iCs/>
          <w:color w:val="000000"/>
          <w:kern w:val="0"/>
          <w:sz w:val="17"/>
          <w:szCs w:val="17"/>
          <w:lang w:eastAsia="en-GB"/>
          <w14:ligatures w14:val="none"/>
        </w:rPr>
        <w:t>American Journal of Geriatric Psychiatry</w:t>
      </w:r>
      <w:r w:rsidRPr="000141B7">
        <w:rPr>
          <w:rFonts w:ascii="Arial" w:eastAsia="Times New Roman" w:hAnsi="Arial" w:cs="Arial"/>
          <w:color w:val="000000"/>
          <w:kern w:val="0"/>
          <w:sz w:val="17"/>
          <w:szCs w:val="17"/>
          <w:lang w:eastAsia="en-GB"/>
          <w14:ligatures w14:val="none"/>
        </w:rPr>
        <w:t>, 22, p. 22.</w:t>
      </w:r>
    </w:p>
    <w:p w14:paraId="55216A89"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Alves, G.S., Bruno Costa, E., Alves, G.S., Rodrigues, V.M., Dourado, M.C.N., Casali, M.E., Carrilho, C.G., Veras, A.B., Rodrigues, V.M. and Dourado, M.C.N. (2020) 'A systematic review of home</w:t>
      </w:r>
      <w:r w:rsidRPr="000141B7">
        <w:rPr>
          <w:rFonts w:ascii="New" w:eastAsia="Times New Roman" w:hAnsi="New" w:cs="Arial"/>
          <w:color w:val="000000"/>
          <w:kern w:val="0"/>
          <w:sz w:val="17"/>
          <w:szCs w:val="17"/>
          <w:lang w:eastAsia="en-GB"/>
          <w14:ligatures w14:val="none"/>
        </w:rPr>
        <w:t>‐</w:t>
      </w:r>
      <w:r w:rsidRPr="000141B7">
        <w:rPr>
          <w:rFonts w:ascii="Arial" w:eastAsia="Times New Roman" w:hAnsi="Arial" w:cs="Arial"/>
          <w:color w:val="000000"/>
          <w:kern w:val="0"/>
          <w:sz w:val="17"/>
          <w:szCs w:val="17"/>
          <w:lang w:eastAsia="en-GB"/>
          <w14:ligatures w14:val="none"/>
        </w:rPr>
        <w:t xml:space="preserve">setting psychoeducation interventions for </w:t>
      </w:r>
      <w:proofErr w:type="spellStart"/>
      <w:r w:rsidRPr="000141B7">
        <w:rPr>
          <w:rFonts w:ascii="Arial" w:eastAsia="Times New Roman" w:hAnsi="Arial" w:cs="Arial"/>
          <w:color w:val="000000"/>
          <w:kern w:val="0"/>
          <w:sz w:val="17"/>
          <w:szCs w:val="17"/>
          <w:lang w:eastAsia="en-GB"/>
          <w14:ligatures w14:val="none"/>
        </w:rPr>
        <w:lastRenderedPageBreak/>
        <w:t>behavioral</w:t>
      </w:r>
      <w:proofErr w:type="spellEnd"/>
      <w:r w:rsidRPr="000141B7">
        <w:rPr>
          <w:rFonts w:ascii="Arial" w:eastAsia="Times New Roman" w:hAnsi="Arial" w:cs="Arial"/>
          <w:color w:val="000000"/>
          <w:kern w:val="0"/>
          <w:sz w:val="17"/>
          <w:szCs w:val="17"/>
          <w:lang w:eastAsia="en-GB"/>
          <w14:ligatures w14:val="none"/>
        </w:rPr>
        <w:t xml:space="preserve"> changes in dementia: Some lessons for the COVID</w:t>
      </w:r>
      <w:r w:rsidRPr="000141B7">
        <w:rPr>
          <w:rFonts w:ascii="New" w:eastAsia="Times New Roman" w:hAnsi="New" w:cs="Arial"/>
          <w:color w:val="000000"/>
          <w:kern w:val="0"/>
          <w:sz w:val="17"/>
          <w:szCs w:val="17"/>
          <w:lang w:eastAsia="en-GB"/>
          <w14:ligatures w14:val="none"/>
        </w:rPr>
        <w:t>‐</w:t>
      </w:r>
      <w:r w:rsidRPr="000141B7">
        <w:rPr>
          <w:rFonts w:ascii="Arial" w:eastAsia="Times New Roman" w:hAnsi="Arial" w:cs="Arial"/>
          <w:color w:val="000000"/>
          <w:kern w:val="0"/>
          <w:sz w:val="17"/>
          <w:szCs w:val="17"/>
          <w:lang w:eastAsia="en-GB"/>
          <w14:ligatures w14:val="none"/>
        </w:rPr>
        <w:t>19 pandemic and Post</w:t>
      </w:r>
      <w:r w:rsidRPr="000141B7">
        <w:rPr>
          <w:rFonts w:ascii="New" w:eastAsia="Times New Roman" w:hAnsi="New" w:cs="Arial"/>
          <w:color w:val="000000"/>
          <w:kern w:val="0"/>
          <w:sz w:val="17"/>
          <w:szCs w:val="17"/>
          <w:lang w:eastAsia="en-GB"/>
          <w14:ligatures w14:val="none"/>
        </w:rPr>
        <w:t>‐</w:t>
      </w:r>
      <w:r w:rsidRPr="000141B7">
        <w:rPr>
          <w:rFonts w:ascii="Arial" w:eastAsia="Times New Roman" w:hAnsi="Arial" w:cs="Arial"/>
          <w:color w:val="000000"/>
          <w:kern w:val="0"/>
          <w:sz w:val="17"/>
          <w:szCs w:val="17"/>
          <w:lang w:eastAsia="en-GB"/>
          <w14:ligatures w14:val="none"/>
        </w:rPr>
        <w:t>Pandemic assistance', </w:t>
      </w:r>
      <w:r w:rsidRPr="000141B7">
        <w:rPr>
          <w:rFonts w:ascii="Arial-ItalicMT" w:eastAsia="Times New Roman" w:hAnsi="Arial-ItalicMT" w:cs="Arial"/>
          <w:i/>
          <w:iCs/>
          <w:color w:val="000000"/>
          <w:kern w:val="0"/>
          <w:sz w:val="17"/>
          <w:szCs w:val="17"/>
          <w:lang w:eastAsia="en-GB"/>
          <w14:ligatures w14:val="none"/>
        </w:rPr>
        <w:t>Frontiers in Psychiatry</w:t>
      </w:r>
      <w:r w:rsidRPr="000141B7">
        <w:rPr>
          <w:rFonts w:ascii="Arial" w:eastAsia="Times New Roman" w:hAnsi="Arial" w:cs="Arial"/>
          <w:color w:val="000000"/>
          <w:kern w:val="0"/>
          <w:sz w:val="17"/>
          <w:szCs w:val="17"/>
          <w:lang w:eastAsia="en-GB"/>
          <w14:ligatures w14:val="none"/>
        </w:rPr>
        <w:t>, 11, p. 577871.</w:t>
      </w:r>
    </w:p>
    <w:p w14:paraId="7E00F058"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Anisha, S.A., Sen, A., Ahmad, B. and Bain, C. (2025) 'Exploring acceptance of digital health technologies for managing non-communicable diseases among older adults: a systematic scoping review', </w:t>
      </w:r>
      <w:r w:rsidRPr="000141B7">
        <w:rPr>
          <w:rFonts w:ascii="Arial-ItalicMT" w:eastAsia="Times New Roman" w:hAnsi="Arial-ItalicMT" w:cs="Arial"/>
          <w:i/>
          <w:iCs/>
          <w:color w:val="000000"/>
          <w:kern w:val="0"/>
          <w:sz w:val="17"/>
          <w:szCs w:val="17"/>
          <w:lang w:eastAsia="en-GB"/>
          <w14:ligatures w14:val="none"/>
        </w:rPr>
        <w:t>Journal of Medical Systems</w:t>
      </w:r>
      <w:r w:rsidRPr="000141B7">
        <w:rPr>
          <w:rFonts w:ascii="Arial" w:eastAsia="Times New Roman" w:hAnsi="Arial" w:cs="Arial"/>
          <w:color w:val="000000"/>
          <w:kern w:val="0"/>
          <w:sz w:val="17"/>
          <w:szCs w:val="17"/>
          <w:lang w:eastAsia="en-GB"/>
          <w14:ligatures w14:val="none"/>
        </w:rPr>
        <w:t>, 49(1), p. 35.</w:t>
      </w:r>
    </w:p>
    <w:p w14:paraId="0511535D"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 xml:space="preserve">Archer, N. and Aria, R. (2019) 'Reducing risk from chronic illness with </w:t>
      </w:r>
      <w:proofErr w:type="gramStart"/>
      <w:r w:rsidRPr="000141B7">
        <w:rPr>
          <w:rFonts w:ascii="Arial" w:eastAsia="Times New Roman" w:hAnsi="Arial" w:cs="Arial"/>
          <w:color w:val="000000"/>
          <w:kern w:val="0"/>
          <w:sz w:val="17"/>
          <w:szCs w:val="17"/>
          <w:lang w:eastAsia="en-GB"/>
          <w14:ligatures w14:val="none"/>
        </w:rPr>
        <w:t>life style</w:t>
      </w:r>
      <w:proofErr w:type="gramEnd"/>
      <w:r w:rsidRPr="000141B7">
        <w:rPr>
          <w:rFonts w:ascii="Arial" w:eastAsia="Times New Roman" w:hAnsi="Arial" w:cs="Arial"/>
          <w:color w:val="000000"/>
          <w:kern w:val="0"/>
          <w:sz w:val="17"/>
          <w:szCs w:val="17"/>
          <w:lang w:eastAsia="en-GB"/>
          <w14:ligatures w14:val="none"/>
        </w:rPr>
        <w:t xml:space="preserve"> changes supported by online health self-management'.</w:t>
      </w:r>
    </w:p>
    <w:p w14:paraId="04B7BFC6"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 xml:space="preserve">Baez, M., </w:t>
      </w:r>
      <w:proofErr w:type="spellStart"/>
      <w:r w:rsidRPr="000141B7">
        <w:rPr>
          <w:rFonts w:ascii="Arial" w:eastAsia="Times New Roman" w:hAnsi="Arial" w:cs="Arial"/>
          <w:color w:val="000000"/>
          <w:kern w:val="0"/>
          <w:sz w:val="17"/>
          <w:szCs w:val="17"/>
          <w:lang w:eastAsia="en-GB"/>
          <w14:ligatures w14:val="none"/>
        </w:rPr>
        <w:t>Khaghani</w:t>
      </w:r>
      <w:proofErr w:type="spellEnd"/>
      <w:r w:rsidRPr="000141B7">
        <w:rPr>
          <w:rFonts w:ascii="Arial" w:eastAsia="Times New Roman" w:hAnsi="Arial" w:cs="Arial"/>
          <w:color w:val="000000"/>
          <w:kern w:val="0"/>
          <w:sz w:val="17"/>
          <w:szCs w:val="17"/>
          <w:lang w:eastAsia="en-GB"/>
          <w14:ligatures w14:val="none"/>
        </w:rPr>
        <w:t xml:space="preserve"> Far, I., Ibarra, F., Ferron, M., Didino, D. and Casati, F. (2017) 'Effects of online group exercises for older adults on physical, psychological and social wellbeing: A randomized pilot trial', </w:t>
      </w:r>
      <w:proofErr w:type="spellStart"/>
      <w:r w:rsidRPr="000141B7">
        <w:rPr>
          <w:rFonts w:ascii="Arial-ItalicMT" w:eastAsia="Times New Roman" w:hAnsi="Arial-ItalicMT" w:cs="Arial"/>
          <w:i/>
          <w:iCs/>
          <w:color w:val="000000"/>
          <w:kern w:val="0"/>
          <w:sz w:val="17"/>
          <w:szCs w:val="17"/>
          <w:lang w:eastAsia="en-GB"/>
          <w14:ligatures w14:val="none"/>
        </w:rPr>
        <w:t>PeerJ</w:t>
      </w:r>
      <w:proofErr w:type="spellEnd"/>
      <w:r w:rsidRPr="000141B7">
        <w:rPr>
          <w:rFonts w:ascii="Arial" w:eastAsia="Times New Roman" w:hAnsi="Arial" w:cs="Arial"/>
          <w:color w:val="000000"/>
          <w:kern w:val="0"/>
          <w:sz w:val="17"/>
          <w:szCs w:val="17"/>
          <w:lang w:eastAsia="en-GB"/>
          <w14:ligatures w14:val="none"/>
        </w:rPr>
        <w:t>, 5, p. e3150.</w:t>
      </w:r>
    </w:p>
    <w:p w14:paraId="1844D01F"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Baker, S., Warburton, J., Waycott, J., Batchelor, F., Hoang, T., Dow, B., Ozanne, E. and Vetere, F. (2018) 'Combatting social isolation and increasing social participation of older adults through the use of technology: A systematic review of existing evidence', </w:t>
      </w:r>
      <w:r w:rsidRPr="000141B7">
        <w:rPr>
          <w:rFonts w:ascii="Arial-ItalicMT" w:eastAsia="Times New Roman" w:hAnsi="Arial-ItalicMT" w:cs="Arial"/>
          <w:i/>
          <w:iCs/>
          <w:color w:val="000000"/>
          <w:kern w:val="0"/>
          <w:sz w:val="17"/>
          <w:szCs w:val="17"/>
          <w:lang w:eastAsia="en-GB"/>
          <w14:ligatures w14:val="none"/>
        </w:rPr>
        <w:t>Australasian Journal on Ageing</w:t>
      </w:r>
      <w:r w:rsidRPr="000141B7">
        <w:rPr>
          <w:rFonts w:ascii="Arial" w:eastAsia="Times New Roman" w:hAnsi="Arial" w:cs="Arial"/>
          <w:color w:val="000000"/>
          <w:kern w:val="0"/>
          <w:sz w:val="17"/>
          <w:szCs w:val="17"/>
          <w:lang w:eastAsia="en-GB"/>
          <w14:ligatures w14:val="none"/>
        </w:rPr>
        <w:t>, 37(3), pp. 184-193.</w:t>
      </w:r>
    </w:p>
    <w:p w14:paraId="22F0E9CA"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proofErr w:type="spellStart"/>
      <w:r w:rsidRPr="000141B7">
        <w:rPr>
          <w:rFonts w:ascii="Arial" w:eastAsia="Times New Roman" w:hAnsi="Arial" w:cs="Arial"/>
          <w:color w:val="000000"/>
          <w:kern w:val="0"/>
          <w:sz w:val="17"/>
          <w:szCs w:val="17"/>
          <w:lang w:eastAsia="en-GB"/>
          <w14:ligatures w14:val="none"/>
        </w:rPr>
        <w:t>Balki</w:t>
      </w:r>
      <w:proofErr w:type="spellEnd"/>
      <w:r w:rsidRPr="000141B7">
        <w:rPr>
          <w:rFonts w:ascii="Arial" w:eastAsia="Times New Roman" w:hAnsi="Arial" w:cs="Arial"/>
          <w:color w:val="000000"/>
          <w:kern w:val="0"/>
          <w:sz w:val="17"/>
          <w:szCs w:val="17"/>
          <w:lang w:eastAsia="en-GB"/>
          <w14:ligatures w14:val="none"/>
        </w:rPr>
        <w:t>, E., Holland, C. and Hayes, N. (2023) 'Use and acceptance of digital communication technology by older adults for social connectedness during the COVID-19 pandemic: mixed methods study', </w:t>
      </w:r>
      <w:r w:rsidRPr="000141B7">
        <w:rPr>
          <w:rFonts w:ascii="Arial-ItalicMT" w:eastAsia="Times New Roman" w:hAnsi="Arial-ItalicMT" w:cs="Arial"/>
          <w:i/>
          <w:iCs/>
          <w:color w:val="000000"/>
          <w:kern w:val="0"/>
          <w:sz w:val="17"/>
          <w:szCs w:val="17"/>
          <w:lang w:eastAsia="en-GB"/>
          <w14:ligatures w14:val="none"/>
        </w:rPr>
        <w:t>Journal of Medical Internet Research</w:t>
      </w:r>
      <w:r w:rsidRPr="000141B7">
        <w:rPr>
          <w:rFonts w:ascii="Arial" w:eastAsia="Times New Roman" w:hAnsi="Arial" w:cs="Arial"/>
          <w:color w:val="000000"/>
          <w:kern w:val="0"/>
          <w:sz w:val="17"/>
          <w:szCs w:val="17"/>
          <w:lang w:eastAsia="en-GB"/>
          <w14:ligatures w14:val="none"/>
        </w:rPr>
        <w:t>, 25, p. e41535.</w:t>
      </w:r>
    </w:p>
    <w:p w14:paraId="0F45AA86"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Ballesteros, S., Toril, P., Mayas, J., Reales Jose, M. and Waterworth John, A. (2014) 'An ICT</w:t>
      </w:r>
      <w:r w:rsidRPr="000141B7">
        <w:rPr>
          <w:rFonts w:ascii="New" w:eastAsia="Times New Roman" w:hAnsi="New" w:cs="Arial"/>
          <w:color w:val="000000"/>
          <w:kern w:val="0"/>
          <w:sz w:val="17"/>
          <w:szCs w:val="17"/>
          <w:lang w:eastAsia="en-GB"/>
          <w14:ligatures w14:val="none"/>
        </w:rPr>
        <w:t>‐</w:t>
      </w:r>
      <w:r w:rsidRPr="000141B7">
        <w:rPr>
          <w:rFonts w:ascii="Arial" w:eastAsia="Times New Roman" w:hAnsi="Arial" w:cs="Arial"/>
          <w:color w:val="000000"/>
          <w:kern w:val="0"/>
          <w:sz w:val="17"/>
          <w:szCs w:val="17"/>
          <w:lang w:eastAsia="en-GB"/>
          <w14:ligatures w14:val="none"/>
        </w:rPr>
        <w:t>mediated social network in support of successful ageing', </w:t>
      </w:r>
      <w:proofErr w:type="spellStart"/>
      <w:r w:rsidRPr="000141B7">
        <w:rPr>
          <w:rFonts w:ascii="Arial-ItalicMT" w:eastAsia="Times New Roman" w:hAnsi="Arial-ItalicMT" w:cs="Arial"/>
          <w:i/>
          <w:iCs/>
          <w:color w:val="000000"/>
          <w:kern w:val="0"/>
          <w:sz w:val="17"/>
          <w:szCs w:val="17"/>
          <w:lang w:eastAsia="en-GB"/>
          <w14:ligatures w14:val="none"/>
        </w:rPr>
        <w:t>Gerontechnology</w:t>
      </w:r>
      <w:proofErr w:type="spellEnd"/>
      <w:r w:rsidRPr="000141B7">
        <w:rPr>
          <w:rFonts w:ascii="Arial" w:eastAsia="Times New Roman" w:hAnsi="Arial" w:cs="Arial"/>
          <w:color w:val="000000"/>
          <w:kern w:val="0"/>
          <w:sz w:val="17"/>
          <w:szCs w:val="17"/>
          <w:lang w:eastAsia="en-GB"/>
          <w14:ligatures w14:val="none"/>
        </w:rPr>
        <w:t>, 13(1), pp. 39-48.</w:t>
      </w:r>
    </w:p>
    <w:p w14:paraId="7EAB9CBC"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Banks, M.R., Willoughby, L.M. and Banks, W.A. (2008) 'Animal</w:t>
      </w:r>
      <w:r w:rsidRPr="000141B7">
        <w:rPr>
          <w:rFonts w:ascii="New" w:eastAsia="Times New Roman" w:hAnsi="New" w:cs="Arial"/>
          <w:color w:val="000000"/>
          <w:kern w:val="0"/>
          <w:sz w:val="17"/>
          <w:szCs w:val="17"/>
          <w:lang w:eastAsia="en-GB"/>
          <w14:ligatures w14:val="none"/>
        </w:rPr>
        <w:t>‐</w:t>
      </w:r>
      <w:r w:rsidRPr="000141B7">
        <w:rPr>
          <w:rFonts w:ascii="Arial" w:eastAsia="Times New Roman" w:hAnsi="Arial" w:cs="Arial"/>
          <w:color w:val="000000"/>
          <w:kern w:val="0"/>
          <w:sz w:val="17"/>
          <w:szCs w:val="17"/>
          <w:lang w:eastAsia="en-GB"/>
          <w14:ligatures w14:val="none"/>
        </w:rPr>
        <w:t>assisted therapy and loneliness in nursing homes: Use of robotic versus living dogs', </w:t>
      </w:r>
      <w:r w:rsidRPr="000141B7">
        <w:rPr>
          <w:rFonts w:ascii="Arial-ItalicMT" w:eastAsia="Times New Roman" w:hAnsi="Arial-ItalicMT" w:cs="Arial"/>
          <w:i/>
          <w:iCs/>
          <w:color w:val="000000"/>
          <w:kern w:val="0"/>
          <w:sz w:val="17"/>
          <w:szCs w:val="17"/>
          <w:lang w:eastAsia="en-GB"/>
          <w14:ligatures w14:val="none"/>
        </w:rPr>
        <w:t>Journal of the American Medical Directors Association</w:t>
      </w:r>
      <w:r w:rsidRPr="000141B7">
        <w:rPr>
          <w:rFonts w:ascii="Arial" w:eastAsia="Times New Roman" w:hAnsi="Arial" w:cs="Arial"/>
          <w:color w:val="000000"/>
          <w:kern w:val="0"/>
          <w:sz w:val="17"/>
          <w:szCs w:val="17"/>
          <w:lang w:eastAsia="en-GB"/>
          <w14:ligatures w14:val="none"/>
        </w:rPr>
        <w:t>, 9(3), pp. 173-177.</w:t>
      </w:r>
    </w:p>
    <w:p w14:paraId="18A8D222"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proofErr w:type="spellStart"/>
      <w:r w:rsidRPr="000141B7">
        <w:rPr>
          <w:rFonts w:ascii="Arial" w:eastAsia="Times New Roman" w:hAnsi="Arial" w:cs="Arial"/>
          <w:color w:val="000000"/>
          <w:kern w:val="0"/>
          <w:sz w:val="17"/>
          <w:szCs w:val="17"/>
          <w:lang w:eastAsia="en-GB"/>
          <w14:ligatures w14:val="none"/>
        </w:rPr>
        <w:t>Banskota</w:t>
      </w:r>
      <w:proofErr w:type="spellEnd"/>
      <w:r w:rsidRPr="000141B7">
        <w:rPr>
          <w:rFonts w:ascii="Arial" w:eastAsia="Times New Roman" w:hAnsi="Arial" w:cs="Arial"/>
          <w:color w:val="000000"/>
          <w:kern w:val="0"/>
          <w:sz w:val="17"/>
          <w:szCs w:val="17"/>
          <w:lang w:eastAsia="en-GB"/>
          <w14:ligatures w14:val="none"/>
        </w:rPr>
        <w:t>, S., Healy, M. and Goldberg, E.M. (2020) '15 Smartphone apps for older adults to use while in isolation during the COVID-19 pandemic', </w:t>
      </w:r>
      <w:r w:rsidRPr="000141B7">
        <w:rPr>
          <w:rFonts w:ascii="Arial-ItalicMT" w:eastAsia="Times New Roman" w:hAnsi="Arial-ItalicMT" w:cs="Arial"/>
          <w:i/>
          <w:iCs/>
          <w:color w:val="000000"/>
          <w:kern w:val="0"/>
          <w:sz w:val="17"/>
          <w:szCs w:val="17"/>
          <w:lang w:eastAsia="en-GB"/>
          <w14:ligatures w14:val="none"/>
        </w:rPr>
        <w:t>Western Journal of Emergency Medicine</w:t>
      </w:r>
      <w:r w:rsidRPr="000141B7">
        <w:rPr>
          <w:rFonts w:ascii="Arial" w:eastAsia="Times New Roman" w:hAnsi="Arial" w:cs="Arial"/>
          <w:color w:val="000000"/>
          <w:kern w:val="0"/>
          <w:sz w:val="17"/>
          <w:szCs w:val="17"/>
          <w:lang w:eastAsia="en-GB"/>
          <w14:ligatures w14:val="none"/>
        </w:rPr>
        <w:t>, 21(3), pp. 514-525.</w:t>
      </w:r>
    </w:p>
    <w:p w14:paraId="1F922351"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proofErr w:type="spellStart"/>
      <w:r w:rsidRPr="000141B7">
        <w:rPr>
          <w:rFonts w:ascii="Arial" w:eastAsia="Times New Roman" w:hAnsi="Arial" w:cs="Arial"/>
          <w:color w:val="000000"/>
          <w:kern w:val="0"/>
          <w:sz w:val="17"/>
          <w:szCs w:val="17"/>
          <w:lang w:eastAsia="en-GB"/>
          <w14:ligatures w14:val="none"/>
        </w:rPr>
        <w:t>Bedaf</w:t>
      </w:r>
      <w:proofErr w:type="spellEnd"/>
      <w:r w:rsidRPr="000141B7">
        <w:rPr>
          <w:rFonts w:ascii="Arial" w:eastAsia="Times New Roman" w:hAnsi="Arial" w:cs="Arial"/>
          <w:color w:val="000000"/>
          <w:kern w:val="0"/>
          <w:sz w:val="17"/>
          <w:szCs w:val="17"/>
          <w:lang w:eastAsia="en-GB"/>
          <w14:ligatures w14:val="none"/>
        </w:rPr>
        <w:t xml:space="preserve">, S., </w:t>
      </w:r>
      <w:proofErr w:type="spellStart"/>
      <w:r w:rsidRPr="000141B7">
        <w:rPr>
          <w:rFonts w:ascii="Arial" w:eastAsia="Times New Roman" w:hAnsi="Arial" w:cs="Arial"/>
          <w:color w:val="000000"/>
          <w:kern w:val="0"/>
          <w:sz w:val="17"/>
          <w:szCs w:val="17"/>
          <w:lang w:eastAsia="en-GB"/>
          <w14:ligatures w14:val="none"/>
        </w:rPr>
        <w:t>Gelderblom</w:t>
      </w:r>
      <w:proofErr w:type="spellEnd"/>
      <w:r w:rsidRPr="000141B7">
        <w:rPr>
          <w:rFonts w:ascii="Arial" w:eastAsia="Times New Roman" w:hAnsi="Arial" w:cs="Arial"/>
          <w:color w:val="000000"/>
          <w:kern w:val="0"/>
          <w:sz w:val="17"/>
          <w:szCs w:val="17"/>
          <w:lang w:eastAsia="en-GB"/>
          <w14:ligatures w14:val="none"/>
        </w:rPr>
        <w:t>, G.J. and De Witte, L. (2015) 'Overview and categorization of robots supporting independent living of elderly people: What activities do they support and how far have they developed', </w:t>
      </w:r>
      <w:r w:rsidRPr="000141B7">
        <w:rPr>
          <w:rFonts w:ascii="Arial-ItalicMT" w:eastAsia="Times New Roman" w:hAnsi="Arial-ItalicMT" w:cs="Arial"/>
          <w:i/>
          <w:iCs/>
          <w:color w:val="000000"/>
          <w:kern w:val="0"/>
          <w:sz w:val="17"/>
          <w:szCs w:val="17"/>
          <w:lang w:eastAsia="en-GB"/>
          <w14:ligatures w14:val="none"/>
        </w:rPr>
        <w:t>Assistive Technology</w:t>
      </w:r>
      <w:r w:rsidRPr="000141B7">
        <w:rPr>
          <w:rFonts w:ascii="Arial" w:eastAsia="Times New Roman" w:hAnsi="Arial" w:cs="Arial"/>
          <w:color w:val="000000"/>
          <w:kern w:val="0"/>
          <w:sz w:val="17"/>
          <w:szCs w:val="17"/>
          <w:lang w:eastAsia="en-GB"/>
          <w14:ligatures w14:val="none"/>
        </w:rPr>
        <w:t>, 27(2), pp. 88-100.</w:t>
      </w:r>
    </w:p>
    <w:p w14:paraId="4461A069"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proofErr w:type="spellStart"/>
      <w:r w:rsidRPr="000141B7">
        <w:rPr>
          <w:rFonts w:ascii="Arial" w:eastAsia="Times New Roman" w:hAnsi="Arial" w:cs="Arial"/>
          <w:color w:val="000000"/>
          <w:kern w:val="0"/>
          <w:sz w:val="17"/>
          <w:szCs w:val="17"/>
          <w:lang w:eastAsia="en-GB"/>
          <w14:ligatures w14:val="none"/>
        </w:rPr>
        <w:t>Beentjes</w:t>
      </w:r>
      <w:proofErr w:type="spellEnd"/>
      <w:r w:rsidRPr="000141B7">
        <w:rPr>
          <w:rFonts w:ascii="Arial" w:eastAsia="Times New Roman" w:hAnsi="Arial" w:cs="Arial"/>
          <w:color w:val="000000"/>
          <w:kern w:val="0"/>
          <w:sz w:val="17"/>
          <w:szCs w:val="17"/>
          <w:lang w:eastAsia="en-GB"/>
          <w14:ligatures w14:val="none"/>
        </w:rPr>
        <w:t xml:space="preserve">, K.M., Neal, D.P., Kerkhof, Y.J.F., Broeder, C., Moeridjan, Z.D.J., </w:t>
      </w:r>
      <w:proofErr w:type="spellStart"/>
      <w:r w:rsidRPr="000141B7">
        <w:rPr>
          <w:rFonts w:ascii="Arial" w:eastAsia="Times New Roman" w:hAnsi="Arial" w:cs="Arial"/>
          <w:color w:val="000000"/>
          <w:kern w:val="0"/>
          <w:sz w:val="17"/>
          <w:szCs w:val="17"/>
          <w:lang w:eastAsia="en-GB"/>
          <w14:ligatures w14:val="none"/>
        </w:rPr>
        <w:t>Ettema</w:t>
      </w:r>
      <w:proofErr w:type="spellEnd"/>
      <w:r w:rsidRPr="000141B7">
        <w:rPr>
          <w:rFonts w:ascii="Arial" w:eastAsia="Times New Roman" w:hAnsi="Arial" w:cs="Arial"/>
          <w:color w:val="000000"/>
          <w:kern w:val="0"/>
          <w:sz w:val="17"/>
          <w:szCs w:val="17"/>
          <w:lang w:eastAsia="en-GB"/>
          <w14:ligatures w14:val="none"/>
        </w:rPr>
        <w:t xml:space="preserve">, T.P., </w:t>
      </w:r>
      <w:proofErr w:type="spellStart"/>
      <w:r w:rsidRPr="000141B7">
        <w:rPr>
          <w:rFonts w:ascii="Arial" w:eastAsia="Times New Roman" w:hAnsi="Arial" w:cs="Arial"/>
          <w:color w:val="000000"/>
          <w:kern w:val="0"/>
          <w:sz w:val="17"/>
          <w:szCs w:val="17"/>
          <w:lang w:eastAsia="en-GB"/>
          <w14:ligatures w14:val="none"/>
        </w:rPr>
        <w:t>Pelkmans</w:t>
      </w:r>
      <w:proofErr w:type="spellEnd"/>
      <w:r w:rsidRPr="000141B7">
        <w:rPr>
          <w:rFonts w:ascii="Arial" w:eastAsia="Times New Roman" w:hAnsi="Arial" w:cs="Arial"/>
          <w:color w:val="000000"/>
          <w:kern w:val="0"/>
          <w:sz w:val="17"/>
          <w:szCs w:val="17"/>
          <w:lang w:eastAsia="en-GB"/>
          <w14:ligatures w14:val="none"/>
        </w:rPr>
        <w:t xml:space="preserve">, W., Muller, M.M., Graff, M.J.L. and </w:t>
      </w:r>
      <w:proofErr w:type="spellStart"/>
      <w:r w:rsidRPr="000141B7">
        <w:rPr>
          <w:rFonts w:ascii="Arial" w:eastAsia="Times New Roman" w:hAnsi="Arial" w:cs="Arial"/>
          <w:color w:val="000000"/>
          <w:kern w:val="0"/>
          <w:sz w:val="17"/>
          <w:szCs w:val="17"/>
          <w:lang w:eastAsia="en-GB"/>
          <w14:ligatures w14:val="none"/>
        </w:rPr>
        <w:t>Droes</w:t>
      </w:r>
      <w:proofErr w:type="spellEnd"/>
      <w:r w:rsidRPr="000141B7">
        <w:rPr>
          <w:rFonts w:ascii="Arial" w:eastAsia="Times New Roman" w:hAnsi="Arial" w:cs="Arial"/>
          <w:color w:val="000000"/>
          <w:kern w:val="0"/>
          <w:sz w:val="17"/>
          <w:szCs w:val="17"/>
          <w:lang w:eastAsia="en-GB"/>
          <w14:ligatures w14:val="none"/>
        </w:rPr>
        <w:t xml:space="preserve">, R.M. (2020) 'Impact of the </w:t>
      </w:r>
      <w:proofErr w:type="spellStart"/>
      <w:r w:rsidRPr="000141B7">
        <w:rPr>
          <w:rFonts w:ascii="Arial" w:eastAsia="Times New Roman" w:hAnsi="Arial" w:cs="Arial"/>
          <w:color w:val="000000"/>
          <w:kern w:val="0"/>
          <w:sz w:val="17"/>
          <w:szCs w:val="17"/>
          <w:lang w:eastAsia="en-GB"/>
          <w14:ligatures w14:val="none"/>
        </w:rPr>
        <w:t>FindMyApps</w:t>
      </w:r>
      <w:proofErr w:type="spellEnd"/>
      <w:r w:rsidRPr="000141B7">
        <w:rPr>
          <w:rFonts w:ascii="Arial" w:eastAsia="Times New Roman" w:hAnsi="Arial" w:cs="Arial"/>
          <w:color w:val="000000"/>
          <w:kern w:val="0"/>
          <w:sz w:val="17"/>
          <w:szCs w:val="17"/>
          <w:lang w:eastAsia="en-GB"/>
          <w14:ligatures w14:val="none"/>
        </w:rPr>
        <w:t xml:space="preserve"> program on people with mild cognitive impairment or dementia and their caregivers; an exploratory pilot randomised controlled trial', </w:t>
      </w:r>
      <w:r w:rsidRPr="000141B7">
        <w:rPr>
          <w:rFonts w:ascii="Arial-ItalicMT" w:eastAsia="Times New Roman" w:hAnsi="Arial-ItalicMT" w:cs="Arial"/>
          <w:i/>
          <w:iCs/>
          <w:color w:val="000000"/>
          <w:kern w:val="0"/>
          <w:sz w:val="17"/>
          <w:szCs w:val="17"/>
          <w:lang w:eastAsia="en-GB"/>
          <w14:ligatures w14:val="none"/>
        </w:rPr>
        <w:t>Disability &amp; Rehabilitation Assistive Technology</w:t>
      </w:r>
      <w:r w:rsidRPr="000141B7">
        <w:rPr>
          <w:rFonts w:ascii="Arial" w:eastAsia="Times New Roman" w:hAnsi="Arial" w:cs="Arial"/>
          <w:color w:val="000000"/>
          <w:kern w:val="0"/>
          <w:sz w:val="17"/>
          <w:szCs w:val="17"/>
          <w:lang w:eastAsia="en-GB"/>
          <w14:ligatures w14:val="none"/>
        </w:rPr>
        <w:t>, 18, pp. 253-265.</w:t>
      </w:r>
    </w:p>
    <w:p w14:paraId="7053A8A5"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 xml:space="preserve">Bemelmans, R., </w:t>
      </w:r>
      <w:proofErr w:type="spellStart"/>
      <w:r w:rsidRPr="000141B7">
        <w:rPr>
          <w:rFonts w:ascii="Arial" w:eastAsia="Times New Roman" w:hAnsi="Arial" w:cs="Arial"/>
          <w:color w:val="000000"/>
          <w:kern w:val="0"/>
          <w:sz w:val="17"/>
          <w:szCs w:val="17"/>
          <w:lang w:eastAsia="en-GB"/>
          <w14:ligatures w14:val="none"/>
        </w:rPr>
        <w:t>Gelderblom</w:t>
      </w:r>
      <w:proofErr w:type="spellEnd"/>
      <w:r w:rsidRPr="000141B7">
        <w:rPr>
          <w:rFonts w:ascii="Arial" w:eastAsia="Times New Roman" w:hAnsi="Arial" w:cs="Arial"/>
          <w:color w:val="000000"/>
          <w:kern w:val="0"/>
          <w:sz w:val="17"/>
          <w:szCs w:val="17"/>
          <w:lang w:eastAsia="en-GB"/>
          <w14:ligatures w14:val="none"/>
        </w:rPr>
        <w:t>, G.J., Jonker, P. and de Witte, L. (2012) 'Socially assistive robots in elderly care: A systematic review into effects and effectiveness', </w:t>
      </w:r>
      <w:r w:rsidRPr="000141B7">
        <w:rPr>
          <w:rFonts w:ascii="Arial-ItalicMT" w:eastAsia="Times New Roman" w:hAnsi="Arial-ItalicMT" w:cs="Arial"/>
          <w:i/>
          <w:iCs/>
          <w:color w:val="000000"/>
          <w:kern w:val="0"/>
          <w:sz w:val="17"/>
          <w:szCs w:val="17"/>
          <w:lang w:eastAsia="en-GB"/>
          <w14:ligatures w14:val="none"/>
        </w:rPr>
        <w:t>Journal of the American Medical Directors Association</w:t>
      </w:r>
      <w:r w:rsidRPr="000141B7">
        <w:rPr>
          <w:rFonts w:ascii="Arial" w:eastAsia="Times New Roman" w:hAnsi="Arial" w:cs="Arial"/>
          <w:color w:val="000000"/>
          <w:kern w:val="0"/>
          <w:sz w:val="17"/>
          <w:szCs w:val="17"/>
          <w:lang w:eastAsia="en-GB"/>
          <w14:ligatures w14:val="none"/>
        </w:rPr>
        <w:t>, 13(2), pp. 114-120.e1.</w:t>
      </w:r>
    </w:p>
    <w:p w14:paraId="5479AD3D"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Beneito</w:t>
      </w:r>
      <w:r w:rsidRPr="000141B7">
        <w:rPr>
          <w:rFonts w:ascii="New" w:eastAsia="Times New Roman" w:hAnsi="New" w:cs="Arial"/>
          <w:color w:val="000000"/>
          <w:kern w:val="0"/>
          <w:sz w:val="17"/>
          <w:szCs w:val="17"/>
          <w:lang w:eastAsia="en-GB"/>
          <w14:ligatures w14:val="none"/>
        </w:rPr>
        <w:t>‐</w:t>
      </w:r>
      <w:proofErr w:type="spellStart"/>
      <w:r w:rsidRPr="000141B7">
        <w:rPr>
          <w:rFonts w:ascii="Arial" w:eastAsia="Times New Roman" w:hAnsi="Arial" w:cs="Arial"/>
          <w:color w:val="000000"/>
          <w:kern w:val="0"/>
          <w:sz w:val="17"/>
          <w:szCs w:val="17"/>
          <w:lang w:eastAsia="en-GB"/>
          <w14:ligatures w14:val="none"/>
        </w:rPr>
        <w:t>Montagut</w:t>
      </w:r>
      <w:proofErr w:type="spellEnd"/>
      <w:r w:rsidRPr="000141B7">
        <w:rPr>
          <w:rFonts w:ascii="Arial" w:eastAsia="Times New Roman" w:hAnsi="Arial" w:cs="Arial"/>
          <w:color w:val="000000"/>
          <w:kern w:val="0"/>
          <w:sz w:val="17"/>
          <w:szCs w:val="17"/>
          <w:lang w:eastAsia="en-GB"/>
          <w14:ligatures w14:val="none"/>
        </w:rPr>
        <w:t xml:space="preserve">, R., </w:t>
      </w:r>
      <w:proofErr w:type="spellStart"/>
      <w:r w:rsidRPr="000141B7">
        <w:rPr>
          <w:rFonts w:ascii="Arial" w:eastAsia="Times New Roman" w:hAnsi="Arial" w:cs="Arial"/>
          <w:color w:val="000000"/>
          <w:kern w:val="0"/>
          <w:sz w:val="17"/>
          <w:szCs w:val="17"/>
          <w:lang w:eastAsia="en-GB"/>
          <w14:ligatures w14:val="none"/>
        </w:rPr>
        <w:t>Cassián</w:t>
      </w:r>
      <w:proofErr w:type="spellEnd"/>
      <w:r w:rsidRPr="000141B7">
        <w:rPr>
          <w:rFonts w:ascii="New" w:eastAsia="Times New Roman" w:hAnsi="New" w:cs="Arial"/>
          <w:color w:val="000000"/>
          <w:kern w:val="0"/>
          <w:sz w:val="17"/>
          <w:szCs w:val="17"/>
          <w:lang w:eastAsia="en-GB"/>
          <w14:ligatures w14:val="none"/>
        </w:rPr>
        <w:t>‐</w:t>
      </w:r>
      <w:r w:rsidRPr="000141B7">
        <w:rPr>
          <w:rFonts w:ascii="Arial" w:eastAsia="Times New Roman" w:hAnsi="Arial" w:cs="Arial"/>
          <w:color w:val="000000"/>
          <w:kern w:val="0"/>
          <w:sz w:val="17"/>
          <w:szCs w:val="17"/>
          <w:lang w:eastAsia="en-GB"/>
          <w14:ligatures w14:val="none"/>
        </w:rPr>
        <w:t xml:space="preserve">Yde, N. and </w:t>
      </w:r>
      <w:proofErr w:type="spellStart"/>
      <w:r w:rsidRPr="000141B7">
        <w:rPr>
          <w:rFonts w:ascii="Arial" w:eastAsia="Times New Roman" w:hAnsi="Arial" w:cs="Arial"/>
          <w:color w:val="000000"/>
          <w:kern w:val="0"/>
          <w:sz w:val="17"/>
          <w:szCs w:val="17"/>
          <w:lang w:eastAsia="en-GB"/>
          <w14:ligatures w14:val="none"/>
        </w:rPr>
        <w:t>Begueria</w:t>
      </w:r>
      <w:proofErr w:type="spellEnd"/>
      <w:r w:rsidRPr="000141B7">
        <w:rPr>
          <w:rFonts w:ascii="Arial" w:eastAsia="Times New Roman" w:hAnsi="Arial" w:cs="Arial"/>
          <w:color w:val="000000"/>
          <w:kern w:val="0"/>
          <w:sz w:val="17"/>
          <w:szCs w:val="17"/>
          <w:lang w:eastAsia="en-GB"/>
          <w14:ligatures w14:val="none"/>
        </w:rPr>
        <w:t>, A. (2018) 'What do we know about the relationship between internet</w:t>
      </w:r>
      <w:r w:rsidRPr="000141B7">
        <w:rPr>
          <w:rFonts w:ascii="New" w:eastAsia="Times New Roman" w:hAnsi="New" w:cs="Arial"/>
          <w:color w:val="000000"/>
          <w:kern w:val="0"/>
          <w:sz w:val="17"/>
          <w:szCs w:val="17"/>
          <w:lang w:eastAsia="en-GB"/>
          <w14:ligatures w14:val="none"/>
        </w:rPr>
        <w:t>‐</w:t>
      </w:r>
      <w:r w:rsidRPr="000141B7">
        <w:rPr>
          <w:rFonts w:ascii="Arial" w:eastAsia="Times New Roman" w:hAnsi="Arial" w:cs="Arial"/>
          <w:color w:val="000000"/>
          <w:kern w:val="0"/>
          <w:sz w:val="17"/>
          <w:szCs w:val="17"/>
          <w:lang w:eastAsia="en-GB"/>
          <w14:ligatures w14:val="none"/>
        </w:rPr>
        <w:t>mediated interaction and social isolation and loneliness in later life?', </w:t>
      </w:r>
      <w:r w:rsidRPr="000141B7">
        <w:rPr>
          <w:rFonts w:ascii="Arial-ItalicMT" w:eastAsia="Times New Roman" w:hAnsi="Arial-ItalicMT" w:cs="Arial"/>
          <w:i/>
          <w:iCs/>
          <w:color w:val="000000"/>
          <w:kern w:val="0"/>
          <w:sz w:val="17"/>
          <w:szCs w:val="17"/>
          <w:lang w:eastAsia="en-GB"/>
          <w14:ligatures w14:val="none"/>
        </w:rPr>
        <w:t>Quality in Ageing and Older Adults</w:t>
      </w:r>
      <w:r w:rsidRPr="000141B7">
        <w:rPr>
          <w:rFonts w:ascii="Arial" w:eastAsia="Times New Roman" w:hAnsi="Arial" w:cs="Arial"/>
          <w:color w:val="000000"/>
          <w:kern w:val="0"/>
          <w:sz w:val="17"/>
          <w:szCs w:val="17"/>
          <w:lang w:eastAsia="en-GB"/>
          <w14:ligatures w14:val="none"/>
        </w:rPr>
        <w:t>, 19(1), pp. 14-30.</w:t>
      </w:r>
    </w:p>
    <w:p w14:paraId="5AF7DB32"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Braun, V. and Clarke, V. (2021) </w:t>
      </w:r>
      <w:r w:rsidRPr="000141B7">
        <w:rPr>
          <w:rFonts w:ascii="Arial-ItalicMT" w:eastAsia="Times New Roman" w:hAnsi="Arial-ItalicMT" w:cs="Arial"/>
          <w:i/>
          <w:iCs/>
          <w:color w:val="000000"/>
          <w:kern w:val="0"/>
          <w:sz w:val="17"/>
          <w:szCs w:val="17"/>
          <w:lang w:eastAsia="en-GB"/>
          <w14:ligatures w14:val="none"/>
        </w:rPr>
        <w:t>Thematic Analysis: A Practical Guide</w:t>
      </w:r>
      <w:r w:rsidRPr="000141B7">
        <w:rPr>
          <w:rFonts w:ascii="Arial" w:eastAsia="Times New Roman" w:hAnsi="Arial" w:cs="Arial"/>
          <w:color w:val="000000"/>
          <w:kern w:val="0"/>
          <w:sz w:val="17"/>
          <w:szCs w:val="17"/>
          <w:lang w:eastAsia="en-GB"/>
          <w14:ligatures w14:val="none"/>
        </w:rPr>
        <w:t>. London: SAGE.</w:t>
      </w:r>
    </w:p>
    <w:p w14:paraId="71A0E56D"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Burholt, V., Windle, G., Morgan, D.J. and CFAS Wales team (2017) 'A social model of loneliness: the roles of disability, social resources, and cognitive impairment', </w:t>
      </w:r>
      <w:r w:rsidRPr="000141B7">
        <w:rPr>
          <w:rFonts w:ascii="Arial-ItalicMT" w:eastAsia="Times New Roman" w:hAnsi="Arial-ItalicMT" w:cs="Arial"/>
          <w:i/>
          <w:iCs/>
          <w:color w:val="000000"/>
          <w:kern w:val="0"/>
          <w:sz w:val="17"/>
          <w:szCs w:val="17"/>
          <w:lang w:eastAsia="en-GB"/>
          <w14:ligatures w14:val="none"/>
        </w:rPr>
        <w:t>Gerontologist</w:t>
      </w:r>
      <w:r w:rsidRPr="000141B7">
        <w:rPr>
          <w:rFonts w:ascii="Arial" w:eastAsia="Times New Roman" w:hAnsi="Arial" w:cs="Arial"/>
          <w:color w:val="000000"/>
          <w:kern w:val="0"/>
          <w:sz w:val="17"/>
          <w:szCs w:val="17"/>
          <w:lang w:eastAsia="en-GB"/>
          <w14:ligatures w14:val="none"/>
        </w:rPr>
        <w:t>, 57(6), pp. 1020-1030.</w:t>
      </w:r>
    </w:p>
    <w:p w14:paraId="448E85C0"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Cornwell, B., Laumann, E.O. and Schumm, L.P. (2008) 'The social connectedness of older adults: a national profile', </w:t>
      </w:r>
      <w:r w:rsidRPr="000141B7">
        <w:rPr>
          <w:rFonts w:ascii="Arial-ItalicMT" w:eastAsia="Times New Roman" w:hAnsi="Arial-ItalicMT" w:cs="Arial"/>
          <w:i/>
          <w:iCs/>
          <w:color w:val="000000"/>
          <w:kern w:val="0"/>
          <w:sz w:val="17"/>
          <w:szCs w:val="17"/>
          <w:lang w:eastAsia="en-GB"/>
          <w14:ligatures w14:val="none"/>
        </w:rPr>
        <w:t>American Sociological Review</w:t>
      </w:r>
      <w:r w:rsidRPr="000141B7">
        <w:rPr>
          <w:rFonts w:ascii="Arial" w:eastAsia="Times New Roman" w:hAnsi="Arial" w:cs="Arial"/>
          <w:color w:val="000000"/>
          <w:kern w:val="0"/>
          <w:sz w:val="17"/>
          <w:szCs w:val="17"/>
          <w:lang w:eastAsia="en-GB"/>
          <w14:ligatures w14:val="none"/>
        </w:rPr>
        <w:t>, 73(2), pp. 185-203.</w:t>
      </w:r>
    </w:p>
    <w:p w14:paraId="2AADFA08"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 xml:space="preserve">Creswell, J.W. and </w:t>
      </w:r>
      <w:proofErr w:type="spellStart"/>
      <w:r w:rsidRPr="000141B7">
        <w:rPr>
          <w:rFonts w:ascii="Arial" w:eastAsia="Times New Roman" w:hAnsi="Arial" w:cs="Arial"/>
          <w:color w:val="000000"/>
          <w:kern w:val="0"/>
          <w:sz w:val="17"/>
          <w:szCs w:val="17"/>
          <w:lang w:eastAsia="en-GB"/>
          <w14:ligatures w14:val="none"/>
        </w:rPr>
        <w:t>Poth</w:t>
      </w:r>
      <w:proofErr w:type="spellEnd"/>
      <w:r w:rsidRPr="000141B7">
        <w:rPr>
          <w:rFonts w:ascii="Arial" w:eastAsia="Times New Roman" w:hAnsi="Arial" w:cs="Arial"/>
          <w:color w:val="000000"/>
          <w:kern w:val="0"/>
          <w:sz w:val="17"/>
          <w:szCs w:val="17"/>
          <w:lang w:eastAsia="en-GB"/>
          <w14:ligatures w14:val="none"/>
        </w:rPr>
        <w:t>, C.N. (2018) </w:t>
      </w:r>
      <w:r w:rsidRPr="000141B7">
        <w:rPr>
          <w:rFonts w:ascii="Arial-ItalicMT" w:eastAsia="Times New Roman" w:hAnsi="Arial-ItalicMT" w:cs="Arial"/>
          <w:i/>
          <w:iCs/>
          <w:color w:val="000000"/>
          <w:kern w:val="0"/>
          <w:sz w:val="17"/>
          <w:szCs w:val="17"/>
          <w:lang w:eastAsia="en-GB"/>
          <w14:ligatures w14:val="none"/>
        </w:rPr>
        <w:t>Qualitative Inquiry and Research Design: Choosing Among Five Approaches</w:t>
      </w:r>
      <w:r w:rsidRPr="000141B7">
        <w:rPr>
          <w:rFonts w:ascii="Arial" w:eastAsia="Times New Roman" w:hAnsi="Arial" w:cs="Arial"/>
          <w:color w:val="000000"/>
          <w:kern w:val="0"/>
          <w:sz w:val="17"/>
          <w:szCs w:val="17"/>
          <w:lang w:eastAsia="en-GB"/>
          <w14:ligatures w14:val="none"/>
        </w:rPr>
        <w:t xml:space="preserve">. 4th </w:t>
      </w:r>
      <w:proofErr w:type="spellStart"/>
      <w:r w:rsidRPr="000141B7">
        <w:rPr>
          <w:rFonts w:ascii="Arial" w:eastAsia="Times New Roman" w:hAnsi="Arial" w:cs="Arial"/>
          <w:color w:val="000000"/>
          <w:kern w:val="0"/>
          <w:sz w:val="17"/>
          <w:szCs w:val="17"/>
          <w:lang w:eastAsia="en-GB"/>
          <w14:ligatures w14:val="none"/>
        </w:rPr>
        <w:t>edn</w:t>
      </w:r>
      <w:proofErr w:type="spellEnd"/>
      <w:r w:rsidRPr="000141B7">
        <w:rPr>
          <w:rFonts w:ascii="Arial" w:eastAsia="Times New Roman" w:hAnsi="Arial" w:cs="Arial"/>
          <w:color w:val="000000"/>
          <w:kern w:val="0"/>
          <w:sz w:val="17"/>
          <w:szCs w:val="17"/>
          <w:lang w:eastAsia="en-GB"/>
          <w14:ligatures w14:val="none"/>
        </w:rPr>
        <w:t>. London: SAGE.</w:t>
      </w:r>
    </w:p>
    <w:p w14:paraId="6F5DD23B"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 xml:space="preserve">Daly, J.R., Depp, C., Graham, S.A., </w:t>
      </w:r>
      <w:proofErr w:type="spellStart"/>
      <w:r w:rsidRPr="000141B7">
        <w:rPr>
          <w:rFonts w:ascii="Arial" w:eastAsia="Times New Roman" w:hAnsi="Arial" w:cs="Arial"/>
          <w:color w:val="000000"/>
          <w:kern w:val="0"/>
          <w:sz w:val="17"/>
          <w:szCs w:val="17"/>
          <w:lang w:eastAsia="en-GB"/>
          <w14:ligatures w14:val="none"/>
        </w:rPr>
        <w:t>Jeste</w:t>
      </w:r>
      <w:proofErr w:type="spellEnd"/>
      <w:r w:rsidRPr="000141B7">
        <w:rPr>
          <w:rFonts w:ascii="Arial" w:eastAsia="Times New Roman" w:hAnsi="Arial" w:cs="Arial"/>
          <w:color w:val="000000"/>
          <w:kern w:val="0"/>
          <w:sz w:val="17"/>
          <w:szCs w:val="17"/>
          <w:lang w:eastAsia="en-GB"/>
          <w14:ligatures w14:val="none"/>
        </w:rPr>
        <w:t>, D.V., Kim, H., Lee, E.E. et al. (2021) 'Health impacts of the stay-at-home order on community-dwelling older adults and how technologies may help: focus group study', </w:t>
      </w:r>
      <w:r w:rsidRPr="000141B7">
        <w:rPr>
          <w:rFonts w:ascii="Arial-ItalicMT" w:eastAsia="Times New Roman" w:hAnsi="Arial-ItalicMT" w:cs="Arial"/>
          <w:i/>
          <w:iCs/>
          <w:color w:val="000000"/>
          <w:kern w:val="0"/>
          <w:sz w:val="17"/>
          <w:szCs w:val="17"/>
          <w:lang w:eastAsia="en-GB"/>
          <w14:ligatures w14:val="none"/>
        </w:rPr>
        <w:t>JMIR Aging</w:t>
      </w:r>
      <w:r w:rsidRPr="000141B7">
        <w:rPr>
          <w:rFonts w:ascii="Arial" w:eastAsia="Times New Roman" w:hAnsi="Arial" w:cs="Arial"/>
          <w:color w:val="000000"/>
          <w:kern w:val="0"/>
          <w:sz w:val="17"/>
          <w:szCs w:val="17"/>
          <w:lang w:eastAsia="en-GB"/>
          <w14:ligatures w14:val="none"/>
        </w:rPr>
        <w:t>, 4(1), p. e25779.</w:t>
      </w:r>
    </w:p>
    <w:p w14:paraId="7D570CA7"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Davis, F.D. (1989) ‘Perceived usefulness, perceived ease of use, and user acceptance of information technology’, </w:t>
      </w:r>
      <w:r w:rsidRPr="000141B7">
        <w:rPr>
          <w:rFonts w:ascii="Arial-ItalicMT" w:eastAsia="Times New Roman" w:hAnsi="Arial-ItalicMT" w:cs="Arial"/>
          <w:i/>
          <w:iCs/>
          <w:color w:val="000000"/>
          <w:kern w:val="0"/>
          <w:sz w:val="17"/>
          <w:szCs w:val="17"/>
          <w:lang w:eastAsia="en-GB"/>
          <w14:ligatures w14:val="none"/>
        </w:rPr>
        <w:t>MIS Quarterly</w:t>
      </w:r>
      <w:r w:rsidRPr="000141B7">
        <w:rPr>
          <w:rFonts w:ascii="Arial" w:eastAsia="Times New Roman" w:hAnsi="Arial" w:cs="Arial"/>
          <w:color w:val="000000"/>
          <w:kern w:val="0"/>
          <w:sz w:val="17"/>
          <w:szCs w:val="17"/>
          <w:lang w:eastAsia="en-GB"/>
          <w14:ligatures w14:val="none"/>
        </w:rPr>
        <w:t>, 13(3), pp. 319-340.</w:t>
      </w:r>
    </w:p>
    <w:p w14:paraId="0F8D602D"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lastRenderedPageBreak/>
        <w:t>Dewing, J. (2007) ‘Participatory research: A method for process consent with persons who have dementia’, </w:t>
      </w:r>
      <w:r w:rsidRPr="000141B7">
        <w:rPr>
          <w:rFonts w:ascii="Arial-ItalicMT" w:eastAsia="Times New Roman" w:hAnsi="Arial-ItalicMT" w:cs="Arial"/>
          <w:i/>
          <w:iCs/>
          <w:color w:val="000000"/>
          <w:kern w:val="0"/>
          <w:sz w:val="17"/>
          <w:szCs w:val="17"/>
          <w:lang w:eastAsia="en-GB"/>
          <w14:ligatures w14:val="none"/>
        </w:rPr>
        <w:t>Dementia</w:t>
      </w:r>
      <w:r w:rsidRPr="000141B7">
        <w:rPr>
          <w:rFonts w:ascii="Arial" w:eastAsia="Times New Roman" w:hAnsi="Arial" w:cs="Arial"/>
          <w:color w:val="000000"/>
          <w:kern w:val="0"/>
          <w:sz w:val="17"/>
          <w:szCs w:val="17"/>
          <w:lang w:eastAsia="en-GB"/>
          <w14:ligatures w14:val="none"/>
        </w:rPr>
        <w:t>, 6(1), pp. 11-25.</w:t>
      </w:r>
    </w:p>
    <w:p w14:paraId="3DAF5B6A"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 xml:space="preserve">Ellison, N., </w:t>
      </w:r>
      <w:proofErr w:type="spellStart"/>
      <w:r w:rsidRPr="000141B7">
        <w:rPr>
          <w:rFonts w:ascii="Arial" w:eastAsia="Times New Roman" w:hAnsi="Arial" w:cs="Arial"/>
          <w:color w:val="000000"/>
          <w:kern w:val="0"/>
          <w:sz w:val="17"/>
          <w:szCs w:val="17"/>
          <w:lang w:eastAsia="en-GB"/>
          <w14:ligatures w14:val="none"/>
        </w:rPr>
        <w:t>Steinfield</w:t>
      </w:r>
      <w:proofErr w:type="spellEnd"/>
      <w:r w:rsidRPr="000141B7">
        <w:rPr>
          <w:rFonts w:ascii="Arial" w:eastAsia="Times New Roman" w:hAnsi="Arial" w:cs="Arial"/>
          <w:color w:val="000000"/>
          <w:kern w:val="0"/>
          <w:sz w:val="17"/>
          <w:szCs w:val="17"/>
          <w:lang w:eastAsia="en-GB"/>
          <w14:ligatures w14:val="none"/>
        </w:rPr>
        <w:t>, C. and Lampe, C. (2011) 'Connection strategies: social capital implications of Facebook-enabled communication practices', </w:t>
      </w:r>
      <w:r w:rsidRPr="000141B7">
        <w:rPr>
          <w:rFonts w:ascii="Arial-ItalicMT" w:eastAsia="Times New Roman" w:hAnsi="Arial-ItalicMT" w:cs="Arial"/>
          <w:i/>
          <w:iCs/>
          <w:color w:val="000000"/>
          <w:kern w:val="0"/>
          <w:sz w:val="17"/>
          <w:szCs w:val="17"/>
          <w:lang w:eastAsia="en-GB"/>
          <w14:ligatures w14:val="none"/>
        </w:rPr>
        <w:t>New Media &amp; Society</w:t>
      </w:r>
      <w:r w:rsidRPr="000141B7">
        <w:rPr>
          <w:rFonts w:ascii="Arial" w:eastAsia="Times New Roman" w:hAnsi="Arial" w:cs="Arial"/>
          <w:color w:val="000000"/>
          <w:kern w:val="0"/>
          <w:sz w:val="17"/>
          <w:szCs w:val="17"/>
          <w:lang w:eastAsia="en-GB"/>
          <w14:ligatures w14:val="none"/>
        </w:rPr>
        <w:t>, 13(6), pp. 873-892.</w:t>
      </w:r>
    </w:p>
    <w:p w14:paraId="0B52CCC6"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Eynon, R. and Helsper, E. (2010) 'Adults learning online: digital choice and/or digital exclusion?', </w:t>
      </w:r>
      <w:r w:rsidRPr="000141B7">
        <w:rPr>
          <w:rFonts w:ascii="Arial-ItalicMT" w:eastAsia="Times New Roman" w:hAnsi="Arial-ItalicMT" w:cs="Arial"/>
          <w:i/>
          <w:iCs/>
          <w:color w:val="000000"/>
          <w:kern w:val="0"/>
          <w:sz w:val="17"/>
          <w:szCs w:val="17"/>
          <w:lang w:eastAsia="en-GB"/>
          <w14:ligatures w14:val="none"/>
        </w:rPr>
        <w:t>New Media &amp; Society</w:t>
      </w:r>
      <w:r w:rsidRPr="000141B7">
        <w:rPr>
          <w:rFonts w:ascii="Arial" w:eastAsia="Times New Roman" w:hAnsi="Arial" w:cs="Arial"/>
          <w:color w:val="000000"/>
          <w:kern w:val="0"/>
          <w:sz w:val="17"/>
          <w:szCs w:val="17"/>
          <w:lang w:eastAsia="en-GB"/>
          <w14:ligatures w14:val="none"/>
        </w:rPr>
        <w:t>, 13(4), pp. 534-551.</w:t>
      </w:r>
    </w:p>
    <w:p w14:paraId="0286848D"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Fang, Y., Chau, A.K.C., Wong, A., Fung, H.H. and Woo, J. (2018) 'Information and communicative technology use enhances psychological well-being of older adults: the roles of age, social connectedness, and frailty status', </w:t>
      </w:r>
      <w:r w:rsidRPr="000141B7">
        <w:rPr>
          <w:rFonts w:ascii="Arial-ItalicMT" w:eastAsia="Times New Roman" w:hAnsi="Arial-ItalicMT" w:cs="Arial"/>
          <w:i/>
          <w:iCs/>
          <w:color w:val="000000"/>
          <w:kern w:val="0"/>
          <w:sz w:val="17"/>
          <w:szCs w:val="17"/>
          <w:lang w:eastAsia="en-GB"/>
          <w14:ligatures w14:val="none"/>
        </w:rPr>
        <w:t>Aging &amp; Mental Health</w:t>
      </w:r>
      <w:r w:rsidRPr="000141B7">
        <w:rPr>
          <w:rFonts w:ascii="Arial" w:eastAsia="Times New Roman" w:hAnsi="Arial" w:cs="Arial"/>
          <w:color w:val="000000"/>
          <w:kern w:val="0"/>
          <w:sz w:val="17"/>
          <w:szCs w:val="17"/>
          <w:lang w:eastAsia="en-GB"/>
          <w14:ligatures w14:val="none"/>
        </w:rPr>
        <w:t>, 22(11), pp. 1516-1524.</w:t>
      </w:r>
    </w:p>
    <w:p w14:paraId="7D97C6AC"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 xml:space="preserve">Gunnes, M., Løe, I. and </w:t>
      </w:r>
      <w:proofErr w:type="spellStart"/>
      <w:r w:rsidRPr="000141B7">
        <w:rPr>
          <w:rFonts w:ascii="Arial" w:eastAsia="Times New Roman" w:hAnsi="Arial" w:cs="Arial"/>
          <w:color w:val="000000"/>
          <w:kern w:val="0"/>
          <w:sz w:val="17"/>
          <w:szCs w:val="17"/>
          <w:lang w:eastAsia="en-GB"/>
          <w14:ligatures w14:val="none"/>
        </w:rPr>
        <w:t>Kalseth</w:t>
      </w:r>
      <w:proofErr w:type="spellEnd"/>
      <w:r w:rsidRPr="000141B7">
        <w:rPr>
          <w:rFonts w:ascii="Arial" w:eastAsia="Times New Roman" w:hAnsi="Arial" w:cs="Arial"/>
          <w:color w:val="000000"/>
          <w:kern w:val="0"/>
          <w:sz w:val="17"/>
          <w:szCs w:val="17"/>
          <w:lang w:eastAsia="en-GB"/>
          <w14:ligatures w14:val="none"/>
        </w:rPr>
        <w:t>, J. (2024) ‘Exploring the impact of information and communication technologies on loneliness and social isolation in community-dwelling older adults: a scoping review of reviews’, </w:t>
      </w:r>
      <w:r w:rsidRPr="000141B7">
        <w:rPr>
          <w:rFonts w:ascii="Arial-ItalicMT" w:eastAsia="Times New Roman" w:hAnsi="Arial-ItalicMT" w:cs="Arial"/>
          <w:i/>
          <w:iCs/>
          <w:color w:val="000000"/>
          <w:kern w:val="0"/>
          <w:sz w:val="17"/>
          <w:szCs w:val="17"/>
          <w:lang w:eastAsia="en-GB"/>
          <w14:ligatures w14:val="none"/>
        </w:rPr>
        <w:t>BMC Geriatrics</w:t>
      </w:r>
      <w:r w:rsidRPr="000141B7">
        <w:rPr>
          <w:rFonts w:ascii="Arial" w:eastAsia="Times New Roman" w:hAnsi="Arial" w:cs="Arial"/>
          <w:color w:val="000000"/>
          <w:kern w:val="0"/>
          <w:sz w:val="17"/>
          <w:szCs w:val="17"/>
          <w:lang w:eastAsia="en-GB"/>
          <w14:ligatures w14:val="none"/>
        </w:rPr>
        <w:t>, 24(1).</w:t>
      </w:r>
    </w:p>
    <w:p w14:paraId="42ADB032"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Holt-</w:t>
      </w:r>
      <w:proofErr w:type="spellStart"/>
      <w:r w:rsidRPr="000141B7">
        <w:rPr>
          <w:rFonts w:ascii="Arial" w:eastAsia="Times New Roman" w:hAnsi="Arial" w:cs="Arial"/>
          <w:color w:val="000000"/>
          <w:kern w:val="0"/>
          <w:sz w:val="17"/>
          <w:szCs w:val="17"/>
          <w:lang w:eastAsia="en-GB"/>
          <w14:ligatures w14:val="none"/>
        </w:rPr>
        <w:t>Lunstad</w:t>
      </w:r>
      <w:proofErr w:type="spellEnd"/>
      <w:r w:rsidRPr="000141B7">
        <w:rPr>
          <w:rFonts w:ascii="Arial" w:eastAsia="Times New Roman" w:hAnsi="Arial" w:cs="Arial"/>
          <w:color w:val="000000"/>
          <w:kern w:val="0"/>
          <w:sz w:val="17"/>
          <w:szCs w:val="17"/>
          <w:lang w:eastAsia="en-GB"/>
          <w14:ligatures w14:val="none"/>
        </w:rPr>
        <w:t>, J., Smith, T.B. and Layton, J.B. (2010) 'Social relationships and mortality risk: a meta-analytic review', </w:t>
      </w:r>
      <w:proofErr w:type="spellStart"/>
      <w:r w:rsidRPr="000141B7">
        <w:rPr>
          <w:rFonts w:ascii="Arial-ItalicMT" w:eastAsia="Times New Roman" w:hAnsi="Arial-ItalicMT" w:cs="Arial"/>
          <w:i/>
          <w:iCs/>
          <w:color w:val="000000"/>
          <w:kern w:val="0"/>
          <w:sz w:val="17"/>
          <w:szCs w:val="17"/>
          <w:lang w:eastAsia="en-GB"/>
          <w14:ligatures w14:val="none"/>
        </w:rPr>
        <w:t>PLoS</w:t>
      </w:r>
      <w:proofErr w:type="spellEnd"/>
      <w:r w:rsidRPr="000141B7">
        <w:rPr>
          <w:rFonts w:ascii="Arial-ItalicMT" w:eastAsia="Times New Roman" w:hAnsi="Arial-ItalicMT" w:cs="Arial"/>
          <w:i/>
          <w:iCs/>
          <w:color w:val="000000"/>
          <w:kern w:val="0"/>
          <w:sz w:val="17"/>
          <w:szCs w:val="17"/>
          <w:lang w:eastAsia="en-GB"/>
          <w14:ligatures w14:val="none"/>
        </w:rPr>
        <w:t xml:space="preserve"> Medicine</w:t>
      </w:r>
      <w:r w:rsidRPr="000141B7">
        <w:rPr>
          <w:rFonts w:ascii="Arial" w:eastAsia="Times New Roman" w:hAnsi="Arial" w:cs="Arial"/>
          <w:color w:val="000000"/>
          <w:kern w:val="0"/>
          <w:sz w:val="17"/>
          <w:szCs w:val="17"/>
          <w:lang w:eastAsia="en-GB"/>
          <w14:ligatures w14:val="none"/>
        </w:rPr>
        <w:t>, 7(7), p. e1000316.</w:t>
      </w:r>
    </w:p>
    <w:p w14:paraId="1C4D3460"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Kallio, H., Pietilä, A.M., Johnson, M. and Kangasniemi, M. (2016) ‘Systematic methodological review: a guide to conducting a semi-structured interview study’, </w:t>
      </w:r>
      <w:r w:rsidRPr="000141B7">
        <w:rPr>
          <w:rFonts w:ascii="Arial-ItalicMT" w:eastAsia="Times New Roman" w:hAnsi="Arial-ItalicMT" w:cs="Arial"/>
          <w:i/>
          <w:iCs/>
          <w:color w:val="000000"/>
          <w:kern w:val="0"/>
          <w:sz w:val="17"/>
          <w:szCs w:val="17"/>
          <w:lang w:eastAsia="en-GB"/>
          <w14:ligatures w14:val="none"/>
        </w:rPr>
        <w:t>Scandinavian Journal of Caring Sciences</w:t>
      </w:r>
      <w:r w:rsidRPr="000141B7">
        <w:rPr>
          <w:rFonts w:ascii="Arial" w:eastAsia="Times New Roman" w:hAnsi="Arial" w:cs="Arial"/>
          <w:color w:val="000000"/>
          <w:kern w:val="0"/>
          <w:sz w:val="17"/>
          <w:szCs w:val="17"/>
          <w:lang w:eastAsia="en-GB"/>
          <w14:ligatures w14:val="none"/>
        </w:rPr>
        <w:t>, 30(2), pp. 336-344.</w:t>
      </w:r>
    </w:p>
    <w:p w14:paraId="58DF01EB"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Knight, T. and Mellor, D. (2022) ‘Social isolation and loneliness in residential aged care: a systematic review of interventions’, </w:t>
      </w:r>
      <w:r w:rsidRPr="000141B7">
        <w:rPr>
          <w:rFonts w:ascii="Arial-ItalicMT" w:eastAsia="Times New Roman" w:hAnsi="Arial-ItalicMT" w:cs="Arial"/>
          <w:i/>
          <w:iCs/>
          <w:color w:val="000000"/>
          <w:kern w:val="0"/>
          <w:sz w:val="17"/>
          <w:szCs w:val="17"/>
          <w:lang w:eastAsia="en-GB"/>
          <w14:ligatures w14:val="none"/>
        </w:rPr>
        <w:t>Aging &amp; Mental Health</w:t>
      </w:r>
      <w:r w:rsidRPr="000141B7">
        <w:rPr>
          <w:rFonts w:ascii="Arial" w:eastAsia="Times New Roman" w:hAnsi="Arial" w:cs="Arial"/>
          <w:color w:val="000000"/>
          <w:kern w:val="0"/>
          <w:sz w:val="17"/>
          <w:szCs w:val="17"/>
          <w:lang w:eastAsia="en-GB"/>
          <w14:ligatures w14:val="none"/>
        </w:rPr>
        <w:t>, 26(5), pp. 881-893.</w:t>
      </w:r>
    </w:p>
    <w:p w14:paraId="7E59734D"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Lincoln, Y.S. and Guba, E.G. (1985) </w:t>
      </w:r>
      <w:r w:rsidRPr="000141B7">
        <w:rPr>
          <w:rFonts w:ascii="Arial-ItalicMT" w:eastAsia="Times New Roman" w:hAnsi="Arial-ItalicMT" w:cs="Arial"/>
          <w:i/>
          <w:iCs/>
          <w:color w:val="000000"/>
          <w:kern w:val="0"/>
          <w:sz w:val="17"/>
          <w:szCs w:val="17"/>
          <w:lang w:eastAsia="en-GB"/>
          <w14:ligatures w14:val="none"/>
        </w:rPr>
        <w:t>Naturalistic Inquiry</w:t>
      </w:r>
      <w:r w:rsidRPr="000141B7">
        <w:rPr>
          <w:rFonts w:ascii="Arial" w:eastAsia="Times New Roman" w:hAnsi="Arial" w:cs="Arial"/>
          <w:color w:val="000000"/>
          <w:kern w:val="0"/>
          <w:sz w:val="17"/>
          <w:szCs w:val="17"/>
          <w:lang w:eastAsia="en-GB"/>
          <w14:ligatures w14:val="none"/>
        </w:rPr>
        <w:t>. Beverly Hills, CA: SAGE.</w:t>
      </w:r>
    </w:p>
    <w:p w14:paraId="48A9567F"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proofErr w:type="spellStart"/>
      <w:r w:rsidRPr="000141B7">
        <w:rPr>
          <w:rFonts w:ascii="Arial" w:eastAsia="Times New Roman" w:hAnsi="Arial" w:cs="Arial"/>
          <w:color w:val="000000"/>
          <w:kern w:val="0"/>
          <w:sz w:val="17"/>
          <w:szCs w:val="17"/>
          <w:lang w:eastAsia="en-GB"/>
          <w14:ligatures w14:val="none"/>
        </w:rPr>
        <w:t>Lythreatis</w:t>
      </w:r>
      <w:proofErr w:type="spellEnd"/>
      <w:r w:rsidRPr="000141B7">
        <w:rPr>
          <w:rFonts w:ascii="Arial" w:eastAsia="Times New Roman" w:hAnsi="Arial" w:cs="Arial"/>
          <w:color w:val="000000"/>
          <w:kern w:val="0"/>
          <w:sz w:val="17"/>
          <w:szCs w:val="17"/>
          <w:lang w:eastAsia="en-GB"/>
          <w14:ligatures w14:val="none"/>
        </w:rPr>
        <w:t>, S., Singh, S. and El-Kassar, A. (2022) 'The digital divide: a review and future research agenda', </w:t>
      </w:r>
      <w:r w:rsidRPr="000141B7">
        <w:rPr>
          <w:rFonts w:ascii="Arial-ItalicMT" w:eastAsia="Times New Roman" w:hAnsi="Arial-ItalicMT" w:cs="Arial"/>
          <w:i/>
          <w:iCs/>
          <w:color w:val="000000"/>
          <w:kern w:val="0"/>
          <w:sz w:val="17"/>
          <w:szCs w:val="17"/>
          <w:lang w:eastAsia="en-GB"/>
          <w14:ligatures w14:val="none"/>
        </w:rPr>
        <w:t>Technological Forecasting and Social Change</w:t>
      </w:r>
      <w:r w:rsidRPr="000141B7">
        <w:rPr>
          <w:rFonts w:ascii="Arial" w:eastAsia="Times New Roman" w:hAnsi="Arial" w:cs="Arial"/>
          <w:color w:val="000000"/>
          <w:kern w:val="0"/>
          <w:sz w:val="17"/>
          <w:szCs w:val="17"/>
          <w:lang w:eastAsia="en-GB"/>
          <w14:ligatures w14:val="none"/>
        </w:rPr>
        <w:t>, 175, p. 121359.</w:t>
      </w:r>
    </w:p>
    <w:p w14:paraId="236813FD"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Newman, K., Wang, A., Wang, A. and Hanna, D. (2019) 'The role of internet-based digital tools in reducing social isolation and addressing support needs among informal caregivers: a scoping review', </w:t>
      </w:r>
      <w:r w:rsidRPr="000141B7">
        <w:rPr>
          <w:rFonts w:ascii="Arial-ItalicMT" w:eastAsia="Times New Roman" w:hAnsi="Arial-ItalicMT" w:cs="Arial"/>
          <w:i/>
          <w:iCs/>
          <w:color w:val="000000"/>
          <w:kern w:val="0"/>
          <w:sz w:val="17"/>
          <w:szCs w:val="17"/>
          <w:lang w:eastAsia="en-GB"/>
          <w14:ligatures w14:val="none"/>
        </w:rPr>
        <w:t>BMC Public Health</w:t>
      </w:r>
      <w:r w:rsidRPr="000141B7">
        <w:rPr>
          <w:rFonts w:ascii="Arial" w:eastAsia="Times New Roman" w:hAnsi="Arial" w:cs="Arial"/>
          <w:color w:val="000000"/>
          <w:kern w:val="0"/>
          <w:sz w:val="17"/>
          <w:szCs w:val="17"/>
          <w:lang w:eastAsia="en-GB"/>
          <w14:ligatures w14:val="none"/>
        </w:rPr>
        <w:t>, 19, p. 1495.</w:t>
      </w:r>
    </w:p>
    <w:p w14:paraId="6AD3A02F"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 xml:space="preserve">NHS Lanarkshire (2025) ‘Pioneering digital inclusion project transforms connection in care </w:t>
      </w:r>
      <w:proofErr w:type="gramStart"/>
      <w:r w:rsidRPr="000141B7">
        <w:rPr>
          <w:rFonts w:ascii="Arial" w:eastAsia="Times New Roman" w:hAnsi="Arial" w:cs="Arial"/>
          <w:color w:val="000000"/>
          <w:kern w:val="0"/>
          <w:sz w:val="17"/>
          <w:szCs w:val="17"/>
          <w:lang w:eastAsia="en-GB"/>
          <w14:ligatures w14:val="none"/>
        </w:rPr>
        <w:t>homes’</w:t>
      </w:r>
      <w:proofErr w:type="gramEnd"/>
      <w:r w:rsidRPr="000141B7">
        <w:rPr>
          <w:rFonts w:ascii="Arial" w:eastAsia="Times New Roman" w:hAnsi="Arial" w:cs="Arial"/>
          <w:color w:val="000000"/>
          <w:kern w:val="0"/>
          <w:sz w:val="17"/>
          <w:szCs w:val="17"/>
          <w:lang w:eastAsia="en-GB"/>
          <w14:ligatures w14:val="none"/>
        </w:rPr>
        <w:t>. Available at: </w:t>
      </w:r>
      <w:hyperlink r:id="rId5" w:tgtFrame="_blank" w:history="1">
        <w:r w:rsidRPr="000141B7">
          <w:rPr>
            <w:rFonts w:ascii="Arial" w:eastAsia="Times New Roman" w:hAnsi="Arial" w:cs="Arial"/>
            <w:color w:val="5590CA"/>
            <w:kern w:val="0"/>
            <w:sz w:val="17"/>
            <w:szCs w:val="17"/>
            <w:u w:val="single"/>
            <w:lang w:eastAsia="en-GB"/>
            <w14:ligatures w14:val="none"/>
          </w:rPr>
          <w:t>www.nhslanarkshire.scot.nhs.uk</w:t>
        </w:r>
      </w:hyperlink>
      <w:r w:rsidRPr="000141B7">
        <w:rPr>
          <w:rFonts w:ascii="Arial" w:eastAsia="Times New Roman" w:hAnsi="Arial" w:cs="Arial"/>
          <w:color w:val="000000"/>
          <w:kern w:val="0"/>
          <w:sz w:val="17"/>
          <w:szCs w:val="17"/>
          <w:lang w:eastAsia="en-GB"/>
          <w14:ligatures w14:val="none"/>
        </w:rPr>
        <w:t> (Accessed: 6 March 2026).</w:t>
      </w:r>
    </w:p>
    <w:p w14:paraId="53B50BA8"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Patton, M.Q. (2015) </w:t>
      </w:r>
      <w:r w:rsidRPr="000141B7">
        <w:rPr>
          <w:rFonts w:ascii="Arial-ItalicMT" w:eastAsia="Times New Roman" w:hAnsi="Arial-ItalicMT" w:cs="Arial"/>
          <w:i/>
          <w:iCs/>
          <w:color w:val="000000"/>
          <w:kern w:val="0"/>
          <w:sz w:val="17"/>
          <w:szCs w:val="17"/>
          <w:lang w:eastAsia="en-GB"/>
          <w14:ligatures w14:val="none"/>
        </w:rPr>
        <w:t>Qualitative Research &amp; Evaluation Methods</w:t>
      </w:r>
      <w:r w:rsidRPr="000141B7">
        <w:rPr>
          <w:rFonts w:ascii="Arial" w:eastAsia="Times New Roman" w:hAnsi="Arial" w:cs="Arial"/>
          <w:color w:val="000000"/>
          <w:kern w:val="0"/>
          <w:sz w:val="17"/>
          <w:szCs w:val="17"/>
          <w:lang w:eastAsia="en-GB"/>
          <w14:ligatures w14:val="none"/>
        </w:rPr>
        <w:t xml:space="preserve">. 4th </w:t>
      </w:r>
      <w:proofErr w:type="spellStart"/>
      <w:r w:rsidRPr="000141B7">
        <w:rPr>
          <w:rFonts w:ascii="Arial" w:eastAsia="Times New Roman" w:hAnsi="Arial" w:cs="Arial"/>
          <w:color w:val="000000"/>
          <w:kern w:val="0"/>
          <w:sz w:val="17"/>
          <w:szCs w:val="17"/>
          <w:lang w:eastAsia="en-GB"/>
          <w14:ligatures w14:val="none"/>
        </w:rPr>
        <w:t>edn</w:t>
      </w:r>
      <w:proofErr w:type="spellEnd"/>
      <w:r w:rsidRPr="000141B7">
        <w:rPr>
          <w:rFonts w:ascii="Arial" w:eastAsia="Times New Roman" w:hAnsi="Arial" w:cs="Arial"/>
          <w:color w:val="000000"/>
          <w:kern w:val="0"/>
          <w:sz w:val="17"/>
          <w:szCs w:val="17"/>
          <w:lang w:eastAsia="en-GB"/>
          <w14:ligatures w14:val="none"/>
        </w:rPr>
        <w:t>. London: SAGE.</w:t>
      </w:r>
    </w:p>
    <w:p w14:paraId="638D0B1D"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Peplau, L.A. and Perlman, D. (1982) </w:t>
      </w:r>
      <w:r w:rsidRPr="000141B7">
        <w:rPr>
          <w:rFonts w:ascii="Arial-ItalicMT" w:eastAsia="Times New Roman" w:hAnsi="Arial-ItalicMT" w:cs="Arial"/>
          <w:i/>
          <w:iCs/>
          <w:color w:val="000000"/>
          <w:kern w:val="0"/>
          <w:sz w:val="17"/>
          <w:szCs w:val="17"/>
          <w:lang w:eastAsia="en-GB"/>
          <w14:ligatures w14:val="none"/>
        </w:rPr>
        <w:t>Loneliness: A Sourcebook of Current Theory, Research and Therapy</w:t>
      </w:r>
      <w:r w:rsidRPr="000141B7">
        <w:rPr>
          <w:rFonts w:ascii="Arial" w:eastAsia="Times New Roman" w:hAnsi="Arial" w:cs="Arial"/>
          <w:color w:val="000000"/>
          <w:kern w:val="0"/>
          <w:sz w:val="17"/>
          <w:szCs w:val="17"/>
          <w:lang w:eastAsia="en-GB"/>
          <w14:ligatures w14:val="none"/>
        </w:rPr>
        <w:t>. New York: John Wiley &amp; Sons.</w:t>
      </w:r>
    </w:p>
    <w:p w14:paraId="34F044A2"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Robinson, L., Cotten, S.R., Ono, H., Quan-Haase, A., Mesch, G., Chen, W. et al. (2015) 'Digital inequalities and why they matter', </w:t>
      </w:r>
      <w:r w:rsidRPr="000141B7">
        <w:rPr>
          <w:rFonts w:ascii="Arial-ItalicMT" w:eastAsia="Times New Roman" w:hAnsi="Arial-ItalicMT" w:cs="Arial"/>
          <w:i/>
          <w:iCs/>
          <w:color w:val="000000"/>
          <w:kern w:val="0"/>
          <w:sz w:val="17"/>
          <w:szCs w:val="17"/>
          <w:lang w:eastAsia="en-GB"/>
          <w14:ligatures w14:val="none"/>
        </w:rPr>
        <w:t>Information, Communication &amp; Society</w:t>
      </w:r>
      <w:r w:rsidRPr="000141B7">
        <w:rPr>
          <w:rFonts w:ascii="Arial" w:eastAsia="Times New Roman" w:hAnsi="Arial" w:cs="Arial"/>
          <w:color w:val="000000"/>
          <w:kern w:val="0"/>
          <w:sz w:val="17"/>
          <w:szCs w:val="17"/>
          <w:lang w:eastAsia="en-GB"/>
          <w14:ligatures w14:val="none"/>
        </w:rPr>
        <w:t>, 18(5), pp. 569-582.</w:t>
      </w:r>
    </w:p>
    <w:p w14:paraId="0085C050"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proofErr w:type="spellStart"/>
      <w:r w:rsidRPr="000141B7">
        <w:rPr>
          <w:rFonts w:ascii="Arial" w:eastAsia="Times New Roman" w:hAnsi="Arial" w:cs="Arial"/>
          <w:color w:val="000000"/>
          <w:kern w:val="0"/>
          <w:sz w:val="17"/>
          <w:szCs w:val="17"/>
          <w:lang w:eastAsia="en-GB"/>
          <w14:ligatures w14:val="none"/>
        </w:rPr>
        <w:t>Ronnaritivichai</w:t>
      </w:r>
      <w:proofErr w:type="spellEnd"/>
      <w:r w:rsidRPr="000141B7">
        <w:rPr>
          <w:rFonts w:ascii="Arial" w:eastAsia="Times New Roman" w:hAnsi="Arial" w:cs="Arial"/>
          <w:color w:val="000000"/>
          <w:kern w:val="0"/>
          <w:sz w:val="17"/>
          <w:szCs w:val="17"/>
          <w:lang w:eastAsia="en-GB"/>
          <w14:ligatures w14:val="none"/>
        </w:rPr>
        <w:t>, B. (2021) 'Digital inclusion and quality of life: a case study of elderly citizens living in an era of disruption', </w:t>
      </w:r>
      <w:r w:rsidRPr="000141B7">
        <w:rPr>
          <w:rFonts w:ascii="Arial-ItalicMT" w:eastAsia="Times New Roman" w:hAnsi="Arial-ItalicMT" w:cs="Arial"/>
          <w:i/>
          <w:iCs/>
          <w:color w:val="000000"/>
          <w:kern w:val="0"/>
          <w:sz w:val="17"/>
          <w:szCs w:val="17"/>
          <w:lang w:eastAsia="en-GB"/>
          <w14:ligatures w14:val="none"/>
        </w:rPr>
        <w:t>Journal of Legal, Ethical and Regulatory Issues</w:t>
      </w:r>
      <w:r w:rsidRPr="000141B7">
        <w:rPr>
          <w:rFonts w:ascii="Arial" w:eastAsia="Times New Roman" w:hAnsi="Arial" w:cs="Arial"/>
          <w:color w:val="000000"/>
          <w:kern w:val="0"/>
          <w:sz w:val="17"/>
          <w:szCs w:val="17"/>
          <w:lang w:eastAsia="en-GB"/>
          <w14:ligatures w14:val="none"/>
        </w:rPr>
        <w:t>, 24, pp. 1-10.</w:t>
      </w:r>
    </w:p>
    <w:p w14:paraId="262F7F27"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Sarker, P. </w:t>
      </w:r>
      <w:r w:rsidRPr="000141B7">
        <w:rPr>
          <w:rFonts w:ascii="Arial-ItalicMT" w:eastAsia="Times New Roman" w:hAnsi="Arial-ItalicMT" w:cs="Arial"/>
          <w:i/>
          <w:iCs/>
          <w:color w:val="000000"/>
          <w:kern w:val="0"/>
          <w:sz w:val="17"/>
          <w:szCs w:val="17"/>
          <w:lang w:eastAsia="en-GB"/>
          <w14:ligatures w14:val="none"/>
        </w:rPr>
        <w:t>et al.</w:t>
      </w:r>
      <w:r w:rsidRPr="000141B7">
        <w:rPr>
          <w:rFonts w:ascii="Arial" w:eastAsia="Times New Roman" w:hAnsi="Arial" w:cs="Arial"/>
          <w:color w:val="000000"/>
          <w:kern w:val="0"/>
          <w:sz w:val="17"/>
          <w:szCs w:val="17"/>
          <w:lang w:eastAsia="en-GB"/>
          <w14:ligatures w14:val="none"/>
        </w:rPr>
        <w:t> (2025) ‘Exploring Acceptance of Digital Health Technologies for Managing Non-Communicable Diseases Among Older Adults: A Systematic Scoping Review’, </w:t>
      </w:r>
      <w:r w:rsidRPr="000141B7">
        <w:rPr>
          <w:rFonts w:ascii="Arial-ItalicMT" w:eastAsia="Times New Roman" w:hAnsi="Arial-ItalicMT" w:cs="Arial"/>
          <w:i/>
          <w:iCs/>
          <w:color w:val="000000"/>
          <w:kern w:val="0"/>
          <w:sz w:val="17"/>
          <w:szCs w:val="17"/>
          <w:lang w:eastAsia="en-GB"/>
          <w14:ligatures w14:val="none"/>
        </w:rPr>
        <w:t>Journal of Medical Systems</w:t>
      </w:r>
      <w:r w:rsidRPr="000141B7">
        <w:rPr>
          <w:rFonts w:ascii="Arial" w:eastAsia="Times New Roman" w:hAnsi="Arial" w:cs="Arial"/>
          <w:color w:val="000000"/>
          <w:kern w:val="0"/>
          <w:sz w:val="17"/>
          <w:szCs w:val="17"/>
          <w:lang w:eastAsia="en-GB"/>
          <w14:ligatures w14:val="none"/>
        </w:rPr>
        <w:t>, 49(1), p. 35.</w:t>
      </w:r>
    </w:p>
    <w:p w14:paraId="072DB697"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Seifert, A., Hofer, M. and Allemand, M. (2021) ‘The role of technology in maintaining social relationships in old age: a qualitative study’, </w:t>
      </w:r>
      <w:r w:rsidRPr="000141B7">
        <w:rPr>
          <w:rFonts w:ascii="Arial-ItalicMT" w:eastAsia="Times New Roman" w:hAnsi="Arial-ItalicMT" w:cs="Arial"/>
          <w:i/>
          <w:iCs/>
          <w:color w:val="000000"/>
          <w:kern w:val="0"/>
          <w:sz w:val="17"/>
          <w:szCs w:val="17"/>
          <w:lang w:eastAsia="en-GB"/>
          <w14:ligatures w14:val="none"/>
        </w:rPr>
        <w:t>Gerontology</w:t>
      </w:r>
      <w:r w:rsidRPr="000141B7">
        <w:rPr>
          <w:rFonts w:ascii="Arial" w:eastAsia="Times New Roman" w:hAnsi="Arial" w:cs="Arial"/>
          <w:color w:val="000000"/>
          <w:kern w:val="0"/>
          <w:sz w:val="17"/>
          <w:szCs w:val="17"/>
          <w:lang w:eastAsia="en-GB"/>
          <w14:ligatures w14:val="none"/>
        </w:rPr>
        <w:t>, 67(3), pp. 310-318.</w:t>
      </w:r>
    </w:p>
    <w:p w14:paraId="7FC27F67"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Sixsmith, A., Horst, B.R., Simeonov, D. and Mihailidis, A. (2022) 'Older people's use of digital technology during the COVID-19 pandemic', </w:t>
      </w:r>
      <w:r w:rsidRPr="000141B7">
        <w:rPr>
          <w:rFonts w:ascii="Arial-ItalicMT" w:eastAsia="Times New Roman" w:hAnsi="Arial-ItalicMT" w:cs="Arial"/>
          <w:i/>
          <w:iCs/>
          <w:color w:val="000000"/>
          <w:kern w:val="0"/>
          <w:sz w:val="17"/>
          <w:szCs w:val="17"/>
          <w:lang w:eastAsia="en-GB"/>
          <w14:ligatures w14:val="none"/>
        </w:rPr>
        <w:t>Bulletin of Science, Technology &amp; Society</w:t>
      </w:r>
      <w:r w:rsidRPr="000141B7">
        <w:rPr>
          <w:rFonts w:ascii="Arial" w:eastAsia="Times New Roman" w:hAnsi="Arial" w:cs="Arial"/>
          <w:color w:val="000000"/>
          <w:kern w:val="0"/>
          <w:sz w:val="17"/>
          <w:szCs w:val="17"/>
          <w:lang w:eastAsia="en-GB"/>
          <w14:ligatures w14:val="none"/>
        </w:rPr>
        <w:t>, 42(1-2), pp. 19-24.</w:t>
      </w:r>
    </w:p>
    <w:p w14:paraId="639E91FB"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Spradley, J.P. (1980) </w:t>
      </w:r>
      <w:r w:rsidRPr="000141B7">
        <w:rPr>
          <w:rFonts w:ascii="Arial-ItalicMT" w:eastAsia="Times New Roman" w:hAnsi="Arial-ItalicMT" w:cs="Arial"/>
          <w:i/>
          <w:iCs/>
          <w:color w:val="000000"/>
          <w:kern w:val="0"/>
          <w:sz w:val="17"/>
          <w:szCs w:val="17"/>
          <w:lang w:eastAsia="en-GB"/>
          <w14:ligatures w14:val="none"/>
        </w:rPr>
        <w:t>Participant Observation</w:t>
      </w:r>
      <w:r w:rsidRPr="000141B7">
        <w:rPr>
          <w:rFonts w:ascii="Arial" w:eastAsia="Times New Roman" w:hAnsi="Arial" w:cs="Arial"/>
          <w:color w:val="000000"/>
          <w:kern w:val="0"/>
          <w:sz w:val="17"/>
          <w:szCs w:val="17"/>
          <w:lang w:eastAsia="en-GB"/>
          <w14:ligatures w14:val="none"/>
        </w:rPr>
        <w:t>. New York: Holt, Rinehart and Winston.</w:t>
      </w:r>
    </w:p>
    <w:p w14:paraId="555340A5"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proofErr w:type="spellStart"/>
      <w:r w:rsidRPr="000141B7">
        <w:rPr>
          <w:rFonts w:ascii="Arial" w:eastAsia="Times New Roman" w:hAnsi="Arial" w:cs="Arial"/>
          <w:color w:val="000000"/>
          <w:kern w:val="0"/>
          <w:sz w:val="17"/>
          <w:szCs w:val="17"/>
          <w:lang w:eastAsia="en-GB"/>
          <w14:ligatures w14:val="none"/>
        </w:rPr>
        <w:t>Squiboon</w:t>
      </w:r>
      <w:proofErr w:type="spellEnd"/>
      <w:r w:rsidRPr="000141B7">
        <w:rPr>
          <w:rFonts w:ascii="Arial" w:eastAsia="Times New Roman" w:hAnsi="Arial" w:cs="Arial"/>
          <w:color w:val="000000"/>
          <w:kern w:val="0"/>
          <w:sz w:val="17"/>
          <w:szCs w:val="17"/>
          <w:lang w:eastAsia="en-GB"/>
          <w14:ligatures w14:val="none"/>
        </w:rPr>
        <w:t xml:space="preserve"> (2025) ‘Innovate UK Business Connect’. Available at: </w:t>
      </w:r>
      <w:hyperlink r:id="rId6" w:tgtFrame="_blank" w:history="1">
        <w:r w:rsidRPr="000141B7">
          <w:rPr>
            <w:rFonts w:ascii="Arial" w:eastAsia="Times New Roman" w:hAnsi="Arial" w:cs="Arial"/>
            <w:color w:val="5590CA"/>
            <w:kern w:val="0"/>
            <w:sz w:val="17"/>
            <w:szCs w:val="17"/>
            <w:u w:val="single"/>
            <w:lang w:eastAsia="en-GB"/>
            <w14:ligatures w14:val="none"/>
          </w:rPr>
          <w:t>iuk-business-connect.org.uk</w:t>
        </w:r>
      </w:hyperlink>
      <w:r w:rsidRPr="000141B7">
        <w:rPr>
          <w:rFonts w:ascii="Arial" w:eastAsia="Times New Roman" w:hAnsi="Arial" w:cs="Arial"/>
          <w:color w:val="000000"/>
          <w:kern w:val="0"/>
          <w:sz w:val="17"/>
          <w:szCs w:val="17"/>
          <w:lang w:eastAsia="en-GB"/>
          <w14:ligatures w14:val="none"/>
        </w:rPr>
        <w:t> (Accessed: 6 March 2026).</w:t>
      </w:r>
    </w:p>
    <w:p w14:paraId="75E3DA72"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proofErr w:type="spellStart"/>
      <w:r w:rsidRPr="000141B7">
        <w:rPr>
          <w:rFonts w:ascii="Arial" w:eastAsia="Times New Roman" w:hAnsi="Arial" w:cs="Arial"/>
          <w:color w:val="000000"/>
          <w:kern w:val="0"/>
          <w:sz w:val="17"/>
          <w:szCs w:val="17"/>
          <w:lang w:eastAsia="en-GB"/>
          <w14:ligatures w14:val="none"/>
        </w:rPr>
        <w:t>Vaportzis</w:t>
      </w:r>
      <w:proofErr w:type="spellEnd"/>
      <w:r w:rsidRPr="000141B7">
        <w:rPr>
          <w:rFonts w:ascii="Arial" w:eastAsia="Times New Roman" w:hAnsi="Arial" w:cs="Arial"/>
          <w:color w:val="000000"/>
          <w:kern w:val="0"/>
          <w:sz w:val="17"/>
          <w:szCs w:val="17"/>
          <w:lang w:eastAsia="en-GB"/>
          <w14:ligatures w14:val="none"/>
        </w:rPr>
        <w:t xml:space="preserve">, E., Clausen, M.G. and Gow, A.J. (2017) 'Older </w:t>
      </w:r>
      <w:proofErr w:type="gramStart"/>
      <w:r w:rsidRPr="000141B7">
        <w:rPr>
          <w:rFonts w:ascii="Arial" w:eastAsia="Times New Roman" w:hAnsi="Arial" w:cs="Arial"/>
          <w:color w:val="000000"/>
          <w:kern w:val="0"/>
          <w:sz w:val="17"/>
          <w:szCs w:val="17"/>
          <w:lang w:eastAsia="en-GB"/>
          <w14:ligatures w14:val="none"/>
        </w:rPr>
        <w:t>adults</w:t>
      </w:r>
      <w:proofErr w:type="gramEnd"/>
      <w:r w:rsidRPr="000141B7">
        <w:rPr>
          <w:rFonts w:ascii="Arial" w:eastAsia="Times New Roman" w:hAnsi="Arial" w:cs="Arial"/>
          <w:color w:val="000000"/>
          <w:kern w:val="0"/>
          <w:sz w:val="17"/>
          <w:szCs w:val="17"/>
          <w:lang w:eastAsia="en-GB"/>
          <w14:ligatures w14:val="none"/>
        </w:rPr>
        <w:t xml:space="preserve"> perceptions of technology and barriers to interacting with tablet computers: a focus group study', </w:t>
      </w:r>
      <w:r w:rsidRPr="000141B7">
        <w:rPr>
          <w:rFonts w:ascii="Arial-ItalicMT" w:eastAsia="Times New Roman" w:hAnsi="Arial-ItalicMT" w:cs="Arial"/>
          <w:i/>
          <w:iCs/>
          <w:color w:val="000000"/>
          <w:kern w:val="0"/>
          <w:sz w:val="17"/>
          <w:szCs w:val="17"/>
          <w:lang w:eastAsia="en-GB"/>
          <w14:ligatures w14:val="none"/>
        </w:rPr>
        <w:t>Frontiers in Psychology</w:t>
      </w:r>
      <w:r w:rsidRPr="000141B7">
        <w:rPr>
          <w:rFonts w:ascii="Arial" w:eastAsia="Times New Roman" w:hAnsi="Arial" w:cs="Arial"/>
          <w:color w:val="000000"/>
          <w:kern w:val="0"/>
          <w:sz w:val="17"/>
          <w:szCs w:val="17"/>
          <w:lang w:eastAsia="en-GB"/>
          <w14:ligatures w14:val="none"/>
        </w:rPr>
        <w:t>, 8, p. 1687.</w:t>
      </w:r>
    </w:p>
    <w:p w14:paraId="414045D1"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lastRenderedPageBreak/>
        <w:t>Venkatesh, V., Morris, M.G., Davis, G.B. and Davis, F.D. (2003) 'User acceptance of information technology: toward a unified view', </w:t>
      </w:r>
      <w:r w:rsidRPr="000141B7">
        <w:rPr>
          <w:rFonts w:ascii="Arial-ItalicMT" w:eastAsia="Times New Roman" w:hAnsi="Arial-ItalicMT" w:cs="Arial"/>
          <w:i/>
          <w:iCs/>
          <w:color w:val="000000"/>
          <w:kern w:val="0"/>
          <w:sz w:val="17"/>
          <w:szCs w:val="17"/>
          <w:lang w:eastAsia="en-GB"/>
          <w14:ligatures w14:val="none"/>
        </w:rPr>
        <w:t>MIS Quarterly</w:t>
      </w:r>
      <w:r w:rsidRPr="000141B7">
        <w:rPr>
          <w:rFonts w:ascii="Arial" w:eastAsia="Times New Roman" w:hAnsi="Arial" w:cs="Arial"/>
          <w:color w:val="000000"/>
          <w:kern w:val="0"/>
          <w:sz w:val="17"/>
          <w:szCs w:val="17"/>
          <w:lang w:eastAsia="en-GB"/>
          <w14:ligatures w14:val="none"/>
        </w:rPr>
        <w:t>, 27(3), pp. 425-478.</w:t>
      </w:r>
    </w:p>
    <w:p w14:paraId="59C34D3F"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Wagner, N., Hassanein, K. and Head, M. (2010) 'Computer use by older adults: a multi-disciplinary review', </w:t>
      </w:r>
      <w:r w:rsidRPr="000141B7">
        <w:rPr>
          <w:rFonts w:ascii="Arial-ItalicMT" w:eastAsia="Times New Roman" w:hAnsi="Arial-ItalicMT" w:cs="Arial"/>
          <w:i/>
          <w:iCs/>
          <w:color w:val="000000"/>
          <w:kern w:val="0"/>
          <w:sz w:val="17"/>
          <w:szCs w:val="17"/>
          <w:lang w:eastAsia="en-GB"/>
          <w14:ligatures w14:val="none"/>
        </w:rPr>
        <w:t xml:space="preserve">Computers in Human </w:t>
      </w:r>
      <w:proofErr w:type="spellStart"/>
      <w:r w:rsidRPr="000141B7">
        <w:rPr>
          <w:rFonts w:ascii="Arial-ItalicMT" w:eastAsia="Times New Roman" w:hAnsi="Arial-ItalicMT" w:cs="Arial"/>
          <w:i/>
          <w:iCs/>
          <w:color w:val="000000"/>
          <w:kern w:val="0"/>
          <w:sz w:val="17"/>
          <w:szCs w:val="17"/>
          <w:lang w:eastAsia="en-GB"/>
          <w14:ligatures w14:val="none"/>
        </w:rPr>
        <w:t>Behavior</w:t>
      </w:r>
      <w:proofErr w:type="spellEnd"/>
      <w:r w:rsidRPr="000141B7">
        <w:rPr>
          <w:rFonts w:ascii="Arial" w:eastAsia="Times New Roman" w:hAnsi="Arial" w:cs="Arial"/>
          <w:color w:val="000000"/>
          <w:kern w:val="0"/>
          <w:sz w:val="17"/>
          <w:szCs w:val="17"/>
          <w:lang w:eastAsia="en-GB"/>
          <w14:ligatures w14:val="none"/>
        </w:rPr>
        <w:t>, 26(5), pp. 870-882.</w:t>
      </w:r>
    </w:p>
    <w:p w14:paraId="3477606D"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 xml:space="preserve">Welch, V., Ghogomu, E.T., Barbeau, V.I., Dowling, S., Doyle, R., Beveridge, E., Boulton, E., Desai, P., Huang, J., </w:t>
      </w:r>
      <w:proofErr w:type="spellStart"/>
      <w:r w:rsidRPr="000141B7">
        <w:rPr>
          <w:rFonts w:ascii="Arial" w:eastAsia="Times New Roman" w:hAnsi="Arial" w:cs="Arial"/>
          <w:color w:val="000000"/>
          <w:kern w:val="0"/>
          <w:sz w:val="17"/>
          <w:szCs w:val="17"/>
          <w:lang w:eastAsia="en-GB"/>
          <w14:ligatures w14:val="none"/>
        </w:rPr>
        <w:t>Elmestekawy</w:t>
      </w:r>
      <w:proofErr w:type="spellEnd"/>
      <w:r w:rsidRPr="000141B7">
        <w:rPr>
          <w:rFonts w:ascii="Arial" w:eastAsia="Times New Roman" w:hAnsi="Arial" w:cs="Arial"/>
          <w:color w:val="000000"/>
          <w:kern w:val="0"/>
          <w:sz w:val="17"/>
          <w:szCs w:val="17"/>
          <w:lang w:eastAsia="en-GB"/>
          <w14:ligatures w14:val="none"/>
        </w:rPr>
        <w:t xml:space="preserve">, N., Hussain, T., Wadhwani, A., Boutin, S., </w:t>
      </w:r>
      <w:proofErr w:type="spellStart"/>
      <w:r w:rsidRPr="000141B7">
        <w:rPr>
          <w:rFonts w:ascii="Arial" w:eastAsia="Times New Roman" w:hAnsi="Arial" w:cs="Arial"/>
          <w:color w:val="000000"/>
          <w:kern w:val="0"/>
          <w:sz w:val="17"/>
          <w:szCs w:val="17"/>
          <w:lang w:eastAsia="en-GB"/>
          <w14:ligatures w14:val="none"/>
        </w:rPr>
        <w:t>Haitas</w:t>
      </w:r>
      <w:proofErr w:type="spellEnd"/>
      <w:r w:rsidRPr="000141B7">
        <w:rPr>
          <w:rFonts w:ascii="Arial" w:eastAsia="Times New Roman" w:hAnsi="Arial" w:cs="Arial"/>
          <w:color w:val="000000"/>
          <w:kern w:val="0"/>
          <w:sz w:val="17"/>
          <w:szCs w:val="17"/>
          <w:lang w:eastAsia="en-GB"/>
          <w14:ligatures w14:val="none"/>
        </w:rPr>
        <w:t>, N., Kneale, D., Salzwedel, D.M., Simard, R., Hébert, P. and Mikton, C. (2023) 'Digital interventions to reduce social isolation and loneliness in older adults: An evidence and gap map', </w:t>
      </w:r>
      <w:r w:rsidRPr="000141B7">
        <w:rPr>
          <w:rFonts w:ascii="Arial-ItalicMT" w:eastAsia="Times New Roman" w:hAnsi="Arial-ItalicMT" w:cs="Arial"/>
          <w:i/>
          <w:iCs/>
          <w:color w:val="000000"/>
          <w:kern w:val="0"/>
          <w:sz w:val="17"/>
          <w:szCs w:val="17"/>
          <w:lang w:eastAsia="en-GB"/>
          <w14:ligatures w14:val="none"/>
        </w:rPr>
        <w:t>Campbell Systematic Reviews</w:t>
      </w:r>
      <w:r w:rsidRPr="000141B7">
        <w:rPr>
          <w:rFonts w:ascii="Arial" w:eastAsia="Times New Roman" w:hAnsi="Arial" w:cs="Arial"/>
          <w:color w:val="000000"/>
          <w:kern w:val="0"/>
          <w:sz w:val="17"/>
          <w:szCs w:val="17"/>
          <w:lang w:eastAsia="en-GB"/>
          <w14:ligatures w14:val="none"/>
        </w:rPr>
        <w:t>, 19(4), p. e1369.</w:t>
      </w:r>
    </w:p>
    <w:p w14:paraId="62BAF6B5"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Ye, C. </w:t>
      </w:r>
      <w:r w:rsidRPr="000141B7">
        <w:rPr>
          <w:rFonts w:ascii="Arial-ItalicMT" w:eastAsia="Times New Roman" w:hAnsi="Arial-ItalicMT" w:cs="Arial"/>
          <w:i/>
          <w:iCs/>
          <w:color w:val="000000"/>
          <w:kern w:val="0"/>
          <w:sz w:val="17"/>
          <w:szCs w:val="17"/>
          <w:lang w:eastAsia="en-GB"/>
          <w14:ligatures w14:val="none"/>
        </w:rPr>
        <w:t>et al.</w:t>
      </w:r>
      <w:r w:rsidRPr="000141B7">
        <w:rPr>
          <w:rFonts w:ascii="Arial" w:eastAsia="Times New Roman" w:hAnsi="Arial" w:cs="Arial"/>
          <w:color w:val="000000"/>
          <w:kern w:val="0"/>
          <w:sz w:val="17"/>
          <w:szCs w:val="17"/>
          <w:lang w:eastAsia="en-GB"/>
          <w14:ligatures w14:val="none"/>
        </w:rPr>
        <w:t> (2025) ‘Bridging the Gap: The Role of AI in Enhancing Psychological Well-Being Among Older Adults’, </w:t>
      </w:r>
      <w:r w:rsidRPr="000141B7">
        <w:rPr>
          <w:rFonts w:ascii="Arial-ItalicMT" w:eastAsia="Times New Roman" w:hAnsi="Arial-ItalicMT" w:cs="Arial"/>
          <w:i/>
          <w:iCs/>
          <w:color w:val="000000"/>
          <w:kern w:val="0"/>
          <w:sz w:val="17"/>
          <w:szCs w:val="17"/>
          <w:lang w:eastAsia="en-GB"/>
          <w14:ligatures w14:val="none"/>
        </w:rPr>
        <w:t>Frontiers in Public Health</w:t>
      </w:r>
      <w:r w:rsidRPr="000141B7">
        <w:rPr>
          <w:rFonts w:ascii="Arial" w:eastAsia="Times New Roman" w:hAnsi="Arial" w:cs="Arial"/>
          <w:color w:val="000000"/>
          <w:kern w:val="0"/>
          <w:sz w:val="17"/>
          <w:szCs w:val="17"/>
          <w:lang w:eastAsia="en-GB"/>
          <w14:ligatures w14:val="none"/>
        </w:rPr>
        <w:t>, 13.</w:t>
      </w:r>
    </w:p>
    <w:p w14:paraId="3997780A" w14:textId="77777777" w:rsidR="000141B7" w:rsidRPr="000141B7" w:rsidRDefault="000141B7" w:rsidP="000141B7">
      <w:pPr>
        <w:spacing w:before="100" w:beforeAutospacing="1" w:after="100" w:afterAutospacing="1" w:line="240" w:lineRule="auto"/>
        <w:jc w:val="both"/>
        <w:rPr>
          <w:rFonts w:ascii="Arial" w:eastAsia="Times New Roman" w:hAnsi="Arial" w:cs="Arial"/>
          <w:color w:val="000000"/>
          <w:kern w:val="0"/>
          <w:sz w:val="17"/>
          <w:szCs w:val="17"/>
          <w:lang w:eastAsia="en-GB"/>
          <w14:ligatures w14:val="none"/>
        </w:rPr>
      </w:pPr>
      <w:r w:rsidRPr="000141B7">
        <w:rPr>
          <w:rFonts w:ascii="Arial" w:eastAsia="Times New Roman" w:hAnsi="Arial" w:cs="Arial"/>
          <w:color w:val="000000"/>
          <w:kern w:val="0"/>
          <w:sz w:val="17"/>
          <w:szCs w:val="17"/>
          <w:lang w:eastAsia="en-GB"/>
          <w14:ligatures w14:val="none"/>
        </w:rPr>
        <w:t>Zhou, J., Rau, P.P. and Salvendy, G. (2012) 'Use and design of handheld computers for older adults: a review and appraisal', </w:t>
      </w:r>
      <w:r w:rsidRPr="000141B7">
        <w:rPr>
          <w:rFonts w:ascii="Arial-ItalicMT" w:eastAsia="Times New Roman" w:hAnsi="Arial-ItalicMT" w:cs="Arial"/>
          <w:i/>
          <w:iCs/>
          <w:color w:val="000000"/>
          <w:kern w:val="0"/>
          <w:sz w:val="17"/>
          <w:szCs w:val="17"/>
          <w:lang w:eastAsia="en-GB"/>
          <w14:ligatures w14:val="none"/>
        </w:rPr>
        <w:t>International Journal of Human-Computer Interaction</w:t>
      </w:r>
      <w:r w:rsidRPr="000141B7">
        <w:rPr>
          <w:rFonts w:ascii="Arial" w:eastAsia="Times New Roman" w:hAnsi="Arial" w:cs="Arial"/>
          <w:color w:val="000000"/>
          <w:kern w:val="0"/>
          <w:sz w:val="17"/>
          <w:szCs w:val="17"/>
          <w:lang w:eastAsia="en-GB"/>
          <w14:ligatures w14:val="none"/>
        </w:rPr>
        <w:t>, 28(12), pp. 799-826.</w:t>
      </w:r>
    </w:p>
    <w:p w14:paraId="0F73A025" w14:textId="77777777" w:rsidR="000141B7" w:rsidRDefault="000141B7"/>
    <w:sectPr w:rsidR="000141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 w:name="revert-layer">
    <w:altName w:val="Cambria"/>
    <w:panose1 w:val="00000000000000000000"/>
    <w:charset w:val="00"/>
    <w:family w:val="roman"/>
    <w:notTrueType/>
    <w:pitch w:val="default"/>
  </w:font>
  <w:font w:name="New">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644F04"/>
    <w:multiLevelType w:val="multilevel"/>
    <w:tmpl w:val="2F36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6C23DB"/>
    <w:multiLevelType w:val="multilevel"/>
    <w:tmpl w:val="7526C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8508A1"/>
    <w:multiLevelType w:val="multilevel"/>
    <w:tmpl w:val="4DA40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B5109A"/>
    <w:multiLevelType w:val="multilevel"/>
    <w:tmpl w:val="13EA6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E8571E"/>
    <w:multiLevelType w:val="multilevel"/>
    <w:tmpl w:val="C0864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0C7F48"/>
    <w:multiLevelType w:val="multilevel"/>
    <w:tmpl w:val="8D381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7050D7"/>
    <w:multiLevelType w:val="multilevel"/>
    <w:tmpl w:val="1228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8595413">
    <w:abstractNumId w:val="3"/>
  </w:num>
  <w:num w:numId="2" w16cid:durableId="1075474547">
    <w:abstractNumId w:val="6"/>
  </w:num>
  <w:num w:numId="3" w16cid:durableId="1169252976">
    <w:abstractNumId w:val="2"/>
  </w:num>
  <w:num w:numId="4" w16cid:durableId="1833788285">
    <w:abstractNumId w:val="1"/>
  </w:num>
  <w:num w:numId="5" w16cid:durableId="908807470">
    <w:abstractNumId w:val="5"/>
  </w:num>
  <w:num w:numId="6" w16cid:durableId="115415259">
    <w:abstractNumId w:val="0"/>
  </w:num>
  <w:num w:numId="7" w16cid:durableId="11457028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1B7"/>
    <w:rsid w:val="000141B7"/>
    <w:rsid w:val="00023280"/>
    <w:rsid w:val="000C40AB"/>
    <w:rsid w:val="00173525"/>
    <w:rsid w:val="00683C75"/>
    <w:rsid w:val="00783EAE"/>
    <w:rsid w:val="00A274D1"/>
    <w:rsid w:val="00F15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8F3E9"/>
  <w15:chartTrackingRefBased/>
  <w15:docId w15:val="{5F2B2DA1-F717-4E35-AEAF-B930039B2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41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41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41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41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41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41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41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41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41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41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41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41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41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41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41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41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41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41B7"/>
    <w:rPr>
      <w:rFonts w:eastAsiaTheme="majorEastAsia" w:cstheme="majorBidi"/>
      <w:color w:val="272727" w:themeColor="text1" w:themeTint="D8"/>
    </w:rPr>
  </w:style>
  <w:style w:type="paragraph" w:styleId="Title">
    <w:name w:val="Title"/>
    <w:basedOn w:val="Normal"/>
    <w:next w:val="Normal"/>
    <w:link w:val="TitleChar"/>
    <w:uiPriority w:val="10"/>
    <w:qFormat/>
    <w:rsid w:val="000141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41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41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41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41B7"/>
    <w:pPr>
      <w:spacing w:before="160"/>
      <w:jc w:val="center"/>
    </w:pPr>
    <w:rPr>
      <w:i/>
      <w:iCs/>
      <w:color w:val="404040" w:themeColor="text1" w:themeTint="BF"/>
    </w:rPr>
  </w:style>
  <w:style w:type="character" w:customStyle="1" w:styleId="QuoteChar">
    <w:name w:val="Quote Char"/>
    <w:basedOn w:val="DefaultParagraphFont"/>
    <w:link w:val="Quote"/>
    <w:uiPriority w:val="29"/>
    <w:rsid w:val="000141B7"/>
    <w:rPr>
      <w:i/>
      <w:iCs/>
      <w:color w:val="404040" w:themeColor="text1" w:themeTint="BF"/>
    </w:rPr>
  </w:style>
  <w:style w:type="paragraph" w:styleId="ListParagraph">
    <w:name w:val="List Paragraph"/>
    <w:basedOn w:val="Normal"/>
    <w:uiPriority w:val="34"/>
    <w:qFormat/>
    <w:rsid w:val="000141B7"/>
    <w:pPr>
      <w:ind w:left="720"/>
      <w:contextualSpacing/>
    </w:pPr>
  </w:style>
  <w:style w:type="character" w:styleId="IntenseEmphasis">
    <w:name w:val="Intense Emphasis"/>
    <w:basedOn w:val="DefaultParagraphFont"/>
    <w:uiPriority w:val="21"/>
    <w:qFormat/>
    <w:rsid w:val="000141B7"/>
    <w:rPr>
      <w:i/>
      <w:iCs/>
      <w:color w:val="0F4761" w:themeColor="accent1" w:themeShade="BF"/>
    </w:rPr>
  </w:style>
  <w:style w:type="paragraph" w:styleId="IntenseQuote">
    <w:name w:val="Intense Quote"/>
    <w:basedOn w:val="Normal"/>
    <w:next w:val="Normal"/>
    <w:link w:val="IntenseQuoteChar"/>
    <w:uiPriority w:val="30"/>
    <w:qFormat/>
    <w:rsid w:val="000141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41B7"/>
    <w:rPr>
      <w:i/>
      <w:iCs/>
      <w:color w:val="0F4761" w:themeColor="accent1" w:themeShade="BF"/>
    </w:rPr>
  </w:style>
  <w:style w:type="character" w:styleId="IntenseReference">
    <w:name w:val="Intense Reference"/>
    <w:basedOn w:val="DefaultParagraphFont"/>
    <w:uiPriority w:val="32"/>
    <w:qFormat/>
    <w:rsid w:val="000141B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uk-business-connect.org.uk/" TargetMode="External"/><Relationship Id="rId5" Type="http://schemas.openxmlformats.org/officeDocument/2006/relationships/hyperlink" Target="https://www.nhslanarkshire.scot.nhs.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6713</Words>
  <Characters>38267</Characters>
  <Application>Microsoft Office Word</Application>
  <DocSecurity>0</DocSecurity>
  <Lines>318</Lines>
  <Paragraphs>89</Paragraphs>
  <ScaleCrop>false</ScaleCrop>
  <Company/>
  <LinksUpToDate>false</LinksUpToDate>
  <CharactersWithSpaces>44891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Botfield (2116845)</dc:creator>
  <cp:keywords/>
  <dc:description/>
  <cp:lastModifiedBy>Sara Botfield (2116845)</cp:lastModifiedBy>
  <cp:revision>7</cp:revision>
  <dcterms:created xsi:type="dcterms:W3CDTF">2026-06-17T18:06:00Z</dcterms:created>
  <dcterms:modified xsi:type="dcterms:W3CDTF">2026-06-17T18:12:00Z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a5c6e7e0-6bcb-4194-a75c-6ee1223cf6cf</vt:lpwstr>
  </property>
</Properties>
</file>