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FF4883">
        <w:rPr>
          <w:rFonts w:cs="Arial"/>
          <w:b/>
          <w:bCs/>
          <w:sz w:val="22"/>
          <w:szCs w:val="22"/>
          <w:highlight w:val="yellow"/>
        </w:rPr>
        <w:t>8,000 word project</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513862A" w:rsidR="005C6CD8" w:rsidRPr="00493DA7" w:rsidRDefault="005C6CD8" w:rsidP="00D4485A">
            <w:pPr>
              <w:pStyle w:val="BodyText"/>
              <w:jc w:val="both"/>
              <w:rPr>
                <w:rFonts w:cs="Arial"/>
                <w:sz w:val="22"/>
                <w:szCs w:val="22"/>
              </w:rPr>
            </w:pPr>
            <w:r w:rsidRPr="00D012E7">
              <w:rPr>
                <w:rFonts w:cs="Arial"/>
                <w:b/>
                <w:bCs/>
                <w:sz w:val="22"/>
                <w:szCs w:val="22"/>
              </w:rPr>
              <w:t xml:space="preserve">NAME: </w:t>
            </w:r>
            <w:r w:rsidR="00493DA7">
              <w:rPr>
                <w:rFonts w:cs="Arial"/>
                <w:sz w:val="22"/>
                <w:szCs w:val="22"/>
              </w:rPr>
              <w:t>Oakleigh Simcock</w:t>
            </w:r>
            <w:r w:rsidR="00FF4883">
              <w:rPr>
                <w:rFonts w:cs="Arial"/>
                <w:sz w:val="22"/>
                <w:szCs w:val="22"/>
              </w:rPr>
              <w:t>-Jones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48C6EB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8843D6">
              <w:rPr>
                <w:rFonts w:cs="Arial"/>
                <w:b/>
                <w:bCs/>
                <w:sz w:val="22"/>
                <w:szCs w:val="22"/>
              </w:rPr>
              <w:t xml:space="preserve"> 2319844</w:t>
            </w:r>
            <w:r w:rsidR="005C6CD8" w:rsidRPr="00946F49">
              <w:rPr>
                <w:rFonts w:cs="Arial"/>
                <w:b/>
                <w:bCs/>
                <w:sz w:val="22"/>
                <w:szCs w:val="22"/>
              </w:rPr>
              <w:t xml:space="preserve"> </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D24BE69" w14:textId="77777777" w:rsidR="00BA28BE" w:rsidRDefault="00BA28BE" w:rsidP="00BA28BE">
            <w:pPr>
              <w:rPr>
                <w:rFonts w:cs="Arial"/>
                <w:szCs w:val="24"/>
              </w:rPr>
            </w:pPr>
            <w:r w:rsidRPr="00E30BE0">
              <w:rPr>
                <w:rFonts w:cs="Arial"/>
                <w:szCs w:val="24"/>
              </w:rPr>
              <w:t>Evaluating the Impact of Crisis Intervention Training (CIT) on Police Responses to Mental Health Emergencies: Implications for Liaison and Psychological Support Models</w:t>
            </w:r>
          </w:p>
          <w:p w14:paraId="7BEA521F" w14:textId="77777777" w:rsidR="00D2509B" w:rsidRDefault="00D2509B" w:rsidP="00BA28BE">
            <w:pPr>
              <w:rPr>
                <w:rFonts w:cs="Arial"/>
                <w:szCs w:val="24"/>
              </w:rPr>
            </w:pPr>
          </w:p>
          <w:p w14:paraId="7AFA2F06" w14:textId="2732A5AD" w:rsidR="005C6CD8" w:rsidRPr="00D2509B" w:rsidRDefault="00D2509B" w:rsidP="00D2509B">
            <w:pPr>
              <w:rPr>
                <w:rFonts w:cs="Arial"/>
                <w:szCs w:val="24"/>
              </w:rPr>
            </w:pPr>
            <w:r w:rsidRPr="00E30BE0">
              <w:rPr>
                <w:rFonts w:cs="Arial"/>
                <w:szCs w:val="24"/>
              </w:rPr>
              <w:t>Police officers are often recognised as the first point of contact for individuals experiencing mental health crises, including suicidal behaviour, psychosis, or self-harm. In the UK, estimates from the College of Policing (2023) suggest that 20–40% of police time is spent responding to mental health–related incidents. Yet officers receive limited formal training in mental health awareness, de-escalation, or trauma-informed care. This lack of preparation can lead to escalation, unnecessary use of Section 136 of the Mental Health Act (1983), or inappropriate criminalisation of people in psychological distress (HMICFRS, 2018).</w:t>
            </w:r>
            <w:r w:rsidRPr="00E30BE0">
              <w:rPr>
                <w:rFonts w:cs="Arial"/>
                <w:szCs w:val="24"/>
              </w:rPr>
              <w:br/>
            </w:r>
            <w:r w:rsidRPr="00E30BE0">
              <w:rPr>
                <w:rFonts w:cs="Arial"/>
                <w:szCs w:val="24"/>
              </w:rPr>
              <w:br/>
              <w:t>Crisis Intervention Training (CIT), originally developed in Memphis, USA (Dupont et al., 2000), is designed to enhance officers’ ability to recognise mental illness, de-escalate crises safely, and refer individuals to appropriate health services rather than custody. International research indicates that CIT can improve officer empathy, confidence, and inter-agency collaboration (Compton et al., 2014; Taheri, 2016), but evidence from UK policing remains limited.</w:t>
            </w:r>
            <w:r w:rsidRPr="00E30BE0">
              <w:rPr>
                <w:rFonts w:cs="Arial"/>
                <w:szCs w:val="24"/>
              </w:rPr>
              <w:br/>
            </w:r>
            <w:r w:rsidRPr="00E30BE0">
              <w:rPr>
                <w:rFonts w:cs="Arial"/>
                <w:szCs w:val="24"/>
              </w:rPr>
              <w:br/>
              <w:t xml:space="preserve">This topic is worthy of consideration because it sits at the intersection of psychology, policing, and mental health service delivery — areas of increasing importance given the UK’s ongoing Right Care, Right Person (RCRP) policy, which </w:t>
            </w:r>
            <w:r w:rsidRPr="00E30BE0">
              <w:rPr>
                <w:rFonts w:cs="Arial"/>
                <w:szCs w:val="24"/>
              </w:rPr>
              <w:lastRenderedPageBreak/>
              <w:t>transfers crisis responsibilities from police to NHS services. Understanding how training affects officer attitudes and decision-making could improve outcomes for vulnerable individuals and promote compassionate, trauma-informed policing.</w:t>
            </w: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69899F4" w14:textId="47116339" w:rsidR="005C6CD8" w:rsidRPr="00412AB0" w:rsidRDefault="00412AB0" w:rsidP="00412AB0">
            <w:pPr>
              <w:rPr>
                <w:rFonts w:cs="Arial"/>
                <w:szCs w:val="24"/>
              </w:rPr>
            </w:pPr>
            <w:r w:rsidRPr="00E30BE0">
              <w:rPr>
                <w:rFonts w:cs="Arial"/>
                <w:szCs w:val="24"/>
              </w:rPr>
              <w:t>1. To evaluate changes in police officers’ knowledge, attitudes, and confidence following Crisis Intervention Training.</w:t>
            </w:r>
            <w:r w:rsidRPr="00E30BE0">
              <w:rPr>
                <w:rFonts w:cs="Arial"/>
                <w:szCs w:val="24"/>
              </w:rPr>
              <w:br/>
              <w:t>2. To explore officers’ perceptions of how CIT influences their handling of real-world mental health incidents.</w:t>
            </w:r>
            <w:r w:rsidRPr="00E30BE0">
              <w:rPr>
                <w:rFonts w:cs="Arial"/>
                <w:szCs w:val="24"/>
              </w:rPr>
              <w:br/>
              <w:t>3. To examine how CIT aligns with NHS liaison models (e.g., Street Triage, IAPT, and Liaison &amp; Diversion services).</w:t>
            </w:r>
            <w:r w:rsidRPr="00E30BE0">
              <w:rPr>
                <w:rFonts w:cs="Arial"/>
                <w:szCs w:val="24"/>
              </w:rPr>
              <w:br/>
              <w:t>4. To identify barriers and facilitators to implementing CIT principles in operational policing contexts.</w:t>
            </w:r>
            <w:r w:rsidRPr="00E30BE0">
              <w:rPr>
                <w:rFonts w:cs="Arial"/>
                <w:szCs w:val="24"/>
              </w:rPr>
              <w:br/>
            </w:r>
            <w:r w:rsidRPr="00E30BE0">
              <w:rPr>
                <w:rFonts w:cs="Arial"/>
                <w:szCs w:val="24"/>
              </w:rPr>
              <w:br/>
              <w:t>These objectives will be achieved through a mixed-methods design, combining pre- and post-training questionnaires with qualitative interviews to understand both measurable impact and subjective experience.</w:t>
            </w: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EF4567A" w14:textId="77777777" w:rsidR="00540B69" w:rsidRPr="00E30BE0" w:rsidRDefault="00540B69" w:rsidP="00540B69">
            <w:pPr>
              <w:rPr>
                <w:rFonts w:cs="Arial"/>
                <w:szCs w:val="24"/>
              </w:rPr>
            </w:pPr>
            <w:r w:rsidRPr="00E30BE0">
              <w:rPr>
                <w:rFonts w:cs="Arial"/>
                <w:szCs w:val="24"/>
              </w:rPr>
              <w:t>Research indicates that a considerable proportion of police work involves individuals in psychological distress, often due to the under-resourcing of mental health services (Mind, 2018). CIT was developed to bridge this gap by training officers in de-escalation, empathy, and inter-agency collaboration (Dupont et al., 2000).</w:t>
            </w:r>
            <w:r w:rsidRPr="00E30BE0">
              <w:rPr>
                <w:rFonts w:cs="Arial"/>
                <w:szCs w:val="24"/>
              </w:rPr>
              <w:br/>
            </w:r>
            <w:r w:rsidRPr="00E30BE0">
              <w:rPr>
                <w:rFonts w:cs="Arial"/>
                <w:szCs w:val="24"/>
              </w:rPr>
              <w:br/>
              <w:t>Empirical evidence from the U.S. shows CIT reduces arrests and use of force while improving officer knowledge and community relations (Compton et al., 2014; Watson et al., 2019). However, UK-specific evaluations, such as Street Triage schemes, reveal mixed outcomes due to structural and resource limitations (Heslin et al., 2017).</w:t>
            </w:r>
            <w:r w:rsidRPr="00E30BE0">
              <w:rPr>
                <w:rFonts w:cs="Arial"/>
                <w:szCs w:val="24"/>
              </w:rPr>
              <w:br/>
            </w:r>
            <w:r w:rsidRPr="00E30BE0">
              <w:rPr>
                <w:rFonts w:cs="Arial"/>
                <w:szCs w:val="24"/>
              </w:rPr>
              <w:br/>
              <w:t>The theoretical basis for CIT effectiveness draws on Social Learning Theory (Bandura, 1977) — suggesting that behaviour change occurs through observation and reinforcement — and the Theory of Planned Behaviour (Ajzen, 1991), which posits that attitudes, norms, and perceived control influence behaviour.</w:t>
            </w:r>
            <w:r w:rsidRPr="00E30BE0">
              <w:rPr>
                <w:rFonts w:cs="Arial"/>
                <w:szCs w:val="24"/>
              </w:rPr>
              <w:br/>
            </w:r>
            <w:r w:rsidRPr="00E30BE0">
              <w:rPr>
                <w:rFonts w:cs="Arial"/>
                <w:szCs w:val="24"/>
              </w:rPr>
              <w:br/>
              <w:t>The gap in the literature lies in the absence of consistent, UK-based evaluations linking CIT to actual behaviour and referral outcomes. By examining both police and NHS liaison perspectives, this research addresses that gap and contributes to policy-level recommendations under the Right Care, Right Person model.</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5D02A34E" w14:textId="77777777" w:rsidR="006E37C7" w:rsidRPr="00E30BE0" w:rsidRDefault="006E37C7" w:rsidP="006E37C7">
            <w:pPr>
              <w:rPr>
                <w:rFonts w:cs="Arial"/>
                <w:szCs w:val="24"/>
              </w:rPr>
            </w:pPr>
            <w:r w:rsidRPr="00E30BE0">
              <w:rPr>
                <w:rFonts w:cs="Arial"/>
                <w:szCs w:val="24"/>
              </w:rPr>
              <w:t>A mixed-methods approach will be used to balance statistical analysis with qualitative depth:</w:t>
            </w:r>
            <w:r w:rsidRPr="00E30BE0">
              <w:rPr>
                <w:rFonts w:cs="Arial"/>
                <w:szCs w:val="24"/>
              </w:rPr>
              <w:br/>
            </w:r>
            <w:r w:rsidRPr="00E30BE0">
              <w:rPr>
                <w:rFonts w:cs="Arial"/>
                <w:szCs w:val="24"/>
              </w:rPr>
              <w:br/>
              <w:t>Phase 1 – Quantitative:</w:t>
            </w:r>
            <w:r w:rsidRPr="00E30BE0">
              <w:rPr>
                <w:rFonts w:cs="Arial"/>
                <w:szCs w:val="24"/>
              </w:rPr>
              <w:br/>
              <w:t>• Pre- and post-training surveys with officers undergoing CIT.</w:t>
            </w:r>
            <w:r w:rsidRPr="00E30BE0">
              <w:rPr>
                <w:rFonts w:cs="Arial"/>
                <w:szCs w:val="24"/>
              </w:rPr>
              <w:br/>
              <w:t>• Instruments:</w:t>
            </w:r>
            <w:r w:rsidRPr="00E30BE0">
              <w:rPr>
                <w:rFonts w:cs="Arial"/>
                <w:szCs w:val="24"/>
              </w:rPr>
              <w:br/>
            </w:r>
            <w:r w:rsidRPr="00E30BE0">
              <w:rPr>
                <w:rFonts w:cs="Arial"/>
                <w:szCs w:val="24"/>
              </w:rPr>
              <w:lastRenderedPageBreak/>
              <w:t xml:space="preserve">  - Mental Health Knowledge Schedule (MAKS) (Evans-Lacko et al., 2010)</w:t>
            </w:r>
            <w:r w:rsidRPr="00E30BE0">
              <w:rPr>
                <w:rFonts w:cs="Arial"/>
                <w:szCs w:val="24"/>
              </w:rPr>
              <w:br/>
              <w:t xml:space="preserve">  - Community Attitudes toward the Mentally Ill (CAMI) (Taylor &amp; Dear, 1981)</w:t>
            </w:r>
            <w:r w:rsidRPr="00E30BE0">
              <w:rPr>
                <w:rFonts w:cs="Arial"/>
                <w:szCs w:val="24"/>
              </w:rPr>
              <w:br/>
              <w:t xml:space="preserve">  - A short Police Self-Efficacy Scale adapted for crisis response.</w:t>
            </w:r>
            <w:r w:rsidRPr="00E30BE0">
              <w:rPr>
                <w:rFonts w:cs="Arial"/>
                <w:szCs w:val="24"/>
              </w:rPr>
              <w:br/>
              <w:t>• Statistical analysis: Paired-samples t-tests to assess change in scores.</w:t>
            </w:r>
            <w:r w:rsidRPr="00E30BE0">
              <w:rPr>
                <w:rFonts w:cs="Arial"/>
                <w:szCs w:val="24"/>
              </w:rPr>
              <w:br/>
            </w:r>
            <w:r w:rsidRPr="00E30BE0">
              <w:rPr>
                <w:rFonts w:cs="Arial"/>
                <w:szCs w:val="24"/>
              </w:rPr>
              <w:br/>
              <w:t>Phase 2 – Qualitative:</w:t>
            </w:r>
            <w:r w:rsidRPr="00E30BE0">
              <w:rPr>
                <w:rFonts w:cs="Arial"/>
                <w:szCs w:val="24"/>
              </w:rPr>
              <w:br/>
              <w:t>• Semi-structured interviews with officers and NHS liaison professionals (e.g., Street Triage staff).</w:t>
            </w:r>
            <w:r w:rsidRPr="00E30BE0">
              <w:rPr>
                <w:rFonts w:cs="Arial"/>
                <w:szCs w:val="24"/>
              </w:rPr>
              <w:br/>
              <w:t>• Thematic analysis (Braun &amp; Clarke, 2021) to explore perceptions of training, barriers, and collaboration.</w:t>
            </w:r>
            <w:r w:rsidRPr="00E30BE0">
              <w:rPr>
                <w:rFonts w:cs="Arial"/>
                <w:szCs w:val="24"/>
              </w:rPr>
              <w:br/>
            </w:r>
            <w:r w:rsidRPr="00E30BE0">
              <w:rPr>
                <w:rFonts w:cs="Arial"/>
                <w:szCs w:val="24"/>
              </w:rPr>
              <w:br/>
              <w:t>This design captures both measurable impact and lived experience, providing a comprehensive evaluation of CIT’s effectiveness.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650CA86A" w:rsidR="005C6CD8" w:rsidRPr="00F03337" w:rsidRDefault="00F03337" w:rsidP="00F03337">
            <w:pPr>
              <w:rPr>
                <w:rFonts w:cs="Arial"/>
                <w:szCs w:val="24"/>
              </w:rPr>
            </w:pPr>
            <w:r w:rsidRPr="00E30BE0">
              <w:rPr>
                <w:rFonts w:cs="Arial"/>
                <w:szCs w:val="24"/>
              </w:rPr>
              <w:t>Participants will include:</w:t>
            </w:r>
            <w:r w:rsidRPr="00E30BE0">
              <w:rPr>
                <w:rFonts w:cs="Arial"/>
                <w:szCs w:val="24"/>
              </w:rPr>
              <w:br/>
              <w:t>• Police officers from a UK force (e.g., South Wales Police) who have completed CIT in the past six months.</w:t>
            </w:r>
            <w:r w:rsidRPr="00E30BE0">
              <w:rPr>
                <w:rFonts w:cs="Arial"/>
                <w:szCs w:val="24"/>
              </w:rPr>
              <w:br/>
              <w:t>• Mental health liaison professionals (e.g., NHS Street Triage or Liaison &amp; Diversion staff).</w:t>
            </w:r>
            <w:r w:rsidRPr="00E30BE0">
              <w:rPr>
                <w:rFonts w:cs="Arial"/>
                <w:szCs w:val="24"/>
              </w:rPr>
              <w:br/>
            </w:r>
            <w:r w:rsidRPr="00E30BE0">
              <w:rPr>
                <w:rFonts w:cs="Arial"/>
                <w:szCs w:val="24"/>
              </w:rPr>
              <w:br/>
              <w:t>Sampling will be purposive and convenience-based, using gatekeeper approval through the police training department. 50–60 officers will be surveyed, and 8–10 will be interviewed alongside 2–4 health professionals. This sample is ideal for exploring both statistical patterns and individual perceptions of CIT impact.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ED38835" w14:textId="77777777" w:rsidR="00717140" w:rsidRPr="00E30BE0" w:rsidRDefault="00717140" w:rsidP="00717140">
            <w:pPr>
              <w:rPr>
                <w:rFonts w:cs="Arial"/>
                <w:szCs w:val="24"/>
              </w:rPr>
            </w:pPr>
            <w:r w:rsidRPr="00E30BE0">
              <w:rPr>
                <w:rFonts w:cs="Arial"/>
                <w:szCs w:val="24"/>
              </w:rPr>
              <w:t xml:space="preserve">The research will comply with </w:t>
            </w:r>
            <w:r>
              <w:rPr>
                <w:rFonts w:cs="Arial"/>
                <w:szCs w:val="24"/>
              </w:rPr>
              <w:t>Un</w:t>
            </w:r>
            <w:r w:rsidRPr="00E30BE0">
              <w:rPr>
                <w:rFonts w:cs="Arial"/>
                <w:szCs w:val="24"/>
              </w:rPr>
              <w:t xml:space="preserve"> ethical standards and GDPR.</w:t>
            </w:r>
            <w:r w:rsidRPr="00E30BE0">
              <w:rPr>
                <w:rFonts w:cs="Arial"/>
                <w:szCs w:val="24"/>
              </w:rPr>
              <w:br/>
              <w:t>• Informed consent will be obtained prior to participation.</w:t>
            </w:r>
            <w:r w:rsidRPr="00E30BE0">
              <w:rPr>
                <w:rFonts w:cs="Arial"/>
                <w:szCs w:val="24"/>
              </w:rPr>
              <w:br/>
              <w:t>• Data will be anonymised and securely stored.</w:t>
            </w:r>
            <w:r w:rsidRPr="00E30BE0">
              <w:rPr>
                <w:rFonts w:cs="Arial"/>
                <w:szCs w:val="24"/>
              </w:rPr>
              <w:br/>
              <w:t>• Participation will be voluntary, with the right to withdraw at any stage.</w:t>
            </w:r>
            <w:r w:rsidRPr="00E30BE0">
              <w:rPr>
                <w:rFonts w:cs="Arial"/>
                <w:szCs w:val="24"/>
              </w:rPr>
              <w:br/>
              <w:t>• Officers discussing crisis incidents may recall distressing events; support information (e.g., Police Federation, Mind Blue Light Programme) will be provided.</w:t>
            </w:r>
            <w:r w:rsidRPr="00E30BE0">
              <w:rPr>
                <w:rFonts w:cs="Arial"/>
                <w:szCs w:val="24"/>
              </w:rPr>
              <w:br/>
              <w:t>• Ethical approval will be sought from the University</w:t>
            </w:r>
            <w:r>
              <w:rPr>
                <w:rFonts w:cs="Arial"/>
                <w:szCs w:val="24"/>
              </w:rPr>
              <w:t xml:space="preserve"> of Wales Trinity Saint David</w:t>
            </w:r>
            <w:r w:rsidRPr="00E30BE0">
              <w:rPr>
                <w:rFonts w:cs="Arial"/>
                <w:szCs w:val="24"/>
              </w:rPr>
              <w:t xml:space="preserve"> Ethics Committee and the relevant police research governance board.</w:t>
            </w:r>
          </w:p>
          <w:p w14:paraId="3A8D2F69" w14:textId="2908B9FB" w:rsidR="00D4485A" w:rsidRPr="00D4485A" w:rsidRDefault="00D4485A" w:rsidP="00D4485A">
            <w:pPr>
              <w:jc w:val="both"/>
              <w:rPr>
                <w:rFonts w:cs="Arial"/>
                <w:color w:val="FF0000"/>
                <w:sz w:val="22"/>
                <w:szCs w:val="22"/>
              </w:rPr>
            </w:pPr>
            <w:r>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A66E743" w14:textId="77777777" w:rsidR="00D4485A" w:rsidRDefault="00D034CB" w:rsidP="00D4485A">
            <w:pPr>
              <w:jc w:val="both"/>
              <w:rPr>
                <w:rFonts w:cs="Arial"/>
                <w:szCs w:val="24"/>
              </w:rPr>
            </w:pPr>
            <w:r w:rsidRPr="00E30BE0">
              <w:rPr>
                <w:rFonts w:cs="Arial"/>
                <w:szCs w:val="24"/>
              </w:rPr>
              <w:t>Literature review &amp; proposal finalisation</w:t>
            </w:r>
            <w:r>
              <w:rPr>
                <w:rFonts w:cs="Arial"/>
                <w:szCs w:val="24"/>
              </w:rPr>
              <w:t xml:space="preserve"> </w:t>
            </w:r>
            <w:r w:rsidR="008870D7">
              <w:rPr>
                <w:rFonts w:cs="Arial"/>
                <w:szCs w:val="24"/>
              </w:rPr>
              <w:t xml:space="preserve">- </w:t>
            </w:r>
            <w:r w:rsidR="00D02645" w:rsidRPr="00E30BE0">
              <w:rPr>
                <w:rFonts w:cs="Arial"/>
                <w:szCs w:val="24"/>
              </w:rPr>
              <w:t>Nov</w:t>
            </w:r>
            <w:r w:rsidR="00D02645">
              <w:rPr>
                <w:rFonts w:cs="Arial"/>
                <w:szCs w:val="24"/>
              </w:rPr>
              <w:t xml:space="preserve"> </w:t>
            </w:r>
            <w:r w:rsidR="00D02645" w:rsidRPr="00E30BE0">
              <w:rPr>
                <w:rFonts w:cs="Arial"/>
                <w:szCs w:val="24"/>
              </w:rPr>
              <w:t>2025</w:t>
            </w:r>
            <w:r w:rsidR="00D02645">
              <w:rPr>
                <w:rFonts w:cs="Arial"/>
                <w:szCs w:val="24"/>
              </w:rPr>
              <w:t xml:space="preserve"> </w:t>
            </w:r>
            <w:r w:rsidR="00D02645" w:rsidRPr="00E30BE0">
              <w:rPr>
                <w:rFonts w:cs="Arial"/>
                <w:szCs w:val="24"/>
              </w:rPr>
              <w:t>–</w:t>
            </w:r>
            <w:r w:rsidR="00D02645">
              <w:rPr>
                <w:rFonts w:cs="Arial"/>
                <w:szCs w:val="24"/>
              </w:rPr>
              <w:t>Jan</w:t>
            </w:r>
            <w:r w:rsidR="00D02645" w:rsidRPr="00E30BE0">
              <w:rPr>
                <w:rFonts w:cs="Arial"/>
                <w:szCs w:val="24"/>
              </w:rPr>
              <w:t xml:space="preserve"> </w:t>
            </w:r>
            <w:r w:rsidR="00D02645">
              <w:rPr>
                <w:rFonts w:cs="Arial"/>
                <w:szCs w:val="24"/>
              </w:rPr>
              <w:t>2026</w:t>
            </w:r>
          </w:p>
          <w:p w14:paraId="26C52CD4" w14:textId="10B63AA4" w:rsidR="00F346B4" w:rsidRDefault="00F346B4" w:rsidP="00D4485A">
            <w:pPr>
              <w:jc w:val="both"/>
              <w:rPr>
                <w:rFonts w:cs="Arial"/>
                <w:szCs w:val="24"/>
              </w:rPr>
            </w:pPr>
            <w:r w:rsidRPr="00E30BE0">
              <w:rPr>
                <w:rFonts w:cs="Arial"/>
                <w:szCs w:val="24"/>
              </w:rPr>
              <w:t>Ethical approval</w:t>
            </w:r>
            <w:r w:rsidR="00CB6D0E">
              <w:rPr>
                <w:rFonts w:cs="Arial"/>
                <w:szCs w:val="24"/>
              </w:rPr>
              <w:t xml:space="preserve"> - </w:t>
            </w:r>
            <w:r w:rsidR="00CB6D0E" w:rsidRPr="00E30BE0">
              <w:rPr>
                <w:rFonts w:cs="Arial"/>
                <w:szCs w:val="24"/>
              </w:rPr>
              <w:t>Dec 2025</w:t>
            </w:r>
            <w:r w:rsidR="006B117D">
              <w:rPr>
                <w:rFonts w:cs="Arial"/>
                <w:szCs w:val="24"/>
              </w:rPr>
              <w:t xml:space="preserve"> </w:t>
            </w:r>
            <w:r w:rsidR="00CB6D0E" w:rsidRPr="00E30BE0">
              <w:rPr>
                <w:rFonts w:cs="Arial"/>
                <w:szCs w:val="24"/>
              </w:rPr>
              <w:t>–</w:t>
            </w:r>
            <w:r w:rsidR="006B117D">
              <w:rPr>
                <w:rFonts w:cs="Arial"/>
                <w:szCs w:val="24"/>
              </w:rPr>
              <w:t xml:space="preserve"> J</w:t>
            </w:r>
            <w:r w:rsidR="00CB6D0E" w:rsidRPr="00E30BE0">
              <w:rPr>
                <w:rFonts w:cs="Arial"/>
                <w:szCs w:val="24"/>
              </w:rPr>
              <w:t>an 2026</w:t>
            </w:r>
          </w:p>
          <w:p w14:paraId="2C3890E4" w14:textId="77777777" w:rsidR="006B117D" w:rsidRDefault="006B117D" w:rsidP="00D4485A">
            <w:pPr>
              <w:jc w:val="both"/>
              <w:rPr>
                <w:rFonts w:cs="Arial"/>
                <w:szCs w:val="24"/>
              </w:rPr>
            </w:pPr>
            <w:r w:rsidRPr="00E30BE0">
              <w:rPr>
                <w:rFonts w:cs="Arial"/>
                <w:szCs w:val="24"/>
              </w:rPr>
              <w:t>Data collection (CIT cohort)</w:t>
            </w:r>
            <w:r>
              <w:rPr>
                <w:rFonts w:cs="Arial"/>
                <w:szCs w:val="24"/>
              </w:rPr>
              <w:t xml:space="preserve"> - </w:t>
            </w:r>
            <w:r w:rsidR="00DD6A41" w:rsidRPr="00E30BE0">
              <w:rPr>
                <w:rFonts w:cs="Arial"/>
                <w:szCs w:val="24"/>
              </w:rPr>
              <w:t>Apr 2026</w:t>
            </w:r>
          </w:p>
          <w:p w14:paraId="337B8FA2" w14:textId="77777777" w:rsidR="00DD6A41" w:rsidRDefault="00D87281" w:rsidP="00D4485A">
            <w:pPr>
              <w:jc w:val="both"/>
              <w:rPr>
                <w:rFonts w:cs="Arial"/>
                <w:szCs w:val="24"/>
              </w:rPr>
            </w:pPr>
            <w:r w:rsidRPr="00E30BE0">
              <w:rPr>
                <w:rFonts w:cs="Arial"/>
                <w:szCs w:val="24"/>
              </w:rPr>
              <w:t>Writing and draft submission</w:t>
            </w:r>
            <w:r>
              <w:rPr>
                <w:rFonts w:cs="Arial"/>
                <w:szCs w:val="24"/>
              </w:rPr>
              <w:t xml:space="preserve"> – May 2026</w:t>
            </w:r>
          </w:p>
          <w:p w14:paraId="5652837C" w14:textId="223F6DE9" w:rsidR="00D87281" w:rsidRPr="00D4485A" w:rsidRDefault="00606121" w:rsidP="00D4485A">
            <w:pPr>
              <w:jc w:val="both"/>
              <w:rPr>
                <w:rFonts w:cs="Arial"/>
                <w:sz w:val="22"/>
                <w:szCs w:val="22"/>
              </w:rPr>
            </w:pPr>
            <w:r w:rsidRPr="00E30BE0">
              <w:rPr>
                <w:rFonts w:cs="Arial"/>
                <w:szCs w:val="24"/>
              </w:rPr>
              <w:t>Final editing and submission</w:t>
            </w:r>
            <w:r>
              <w:rPr>
                <w:rFonts w:cs="Arial"/>
                <w:szCs w:val="24"/>
              </w:rPr>
              <w:t xml:space="preserve"> - </w:t>
            </w:r>
            <w:r w:rsidR="00533B5B" w:rsidRPr="00E30BE0">
              <w:rPr>
                <w:rFonts w:cs="Arial"/>
                <w:szCs w:val="24"/>
              </w:rPr>
              <w:t>Jun 2026</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D974067"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Ajzen, I. (1991) The theory of planned behaviour. Organizational Behaviour and Human Decision Processes, 50(2), pp. 179–211.</w:t>
            </w:r>
          </w:p>
          <w:p w14:paraId="4E8E8403"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Bandura, A. (1977) Social learning theory. Englewood Cliffs, NJ: Prentice-Hall.</w:t>
            </w:r>
          </w:p>
          <w:p w14:paraId="4C6B43B3"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lastRenderedPageBreak/>
              <w:t>Braun, V., and Clarke, V. (2021) Thematic Analysis: A Practical Guide. London: SAGE.</w:t>
            </w:r>
          </w:p>
          <w:p w14:paraId="4A111759"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College of Policing (2023) Right Care, Right Person: National Partnership Guidance. College of Policing.</w:t>
            </w:r>
          </w:p>
          <w:p w14:paraId="0CB98BB3"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Compton, M.T., Bahora, M., Watson, A.C. and Oliva, J.R. (2014) ‘A comprehensive review of Crisis Intervention Team (CIT) programs’, Journal of the American Academy of Psychiatry, and the Law, 36(1), pp. 47–55.</w:t>
            </w:r>
          </w:p>
          <w:p w14:paraId="453107C0"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Dupont, R., Cochran, S., and Pillsbury, S. (2000) Crisis Intervention Team core elements. University of Memphis.</w:t>
            </w:r>
          </w:p>
          <w:p w14:paraId="050333A9"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Heslin, M., Callaghan, L., Barrett, B., Lea, S., Eick, S., Morgan, J., Bolt, M., &amp; Thornicroft, G. (2017) ‘Costs and effectiveness of liaison mental health services for emergency departments: A systematic review’, BMJ Open, 7(3), e014974.</w:t>
            </w:r>
          </w:p>
          <w:p w14:paraId="66E184E0"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HMICFRS (2018) Policing and Mental Health: Picking Up the Pieces. London: HMICFRS.</w:t>
            </w:r>
          </w:p>
          <w:p w14:paraId="74B38533"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Mind (2018) Responding to a mental health crisis: A review of police and NHS collaboration. London: Mind.</w:t>
            </w:r>
          </w:p>
          <w:p w14:paraId="2609F116"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Taheri, S.A. (2016) ‘Do Crisis Intervention Teams reduce arrests and improve officer safety?’, Criminal Justice Policy Review, 27(1), pp. 76–97.</w:t>
            </w:r>
          </w:p>
          <w:p w14:paraId="6672A0B2" w14:textId="77777777" w:rsidR="001072BC" w:rsidRPr="00E30BE0" w:rsidRDefault="001072BC" w:rsidP="001072BC">
            <w:pPr>
              <w:pStyle w:val="ListBullet"/>
              <w:tabs>
                <w:tab w:val="num" w:pos="360"/>
              </w:tabs>
              <w:ind w:left="360" w:hanging="360"/>
              <w:rPr>
                <w:rFonts w:ascii="Arial" w:hAnsi="Arial" w:cs="Arial"/>
                <w:sz w:val="24"/>
                <w:szCs w:val="24"/>
              </w:rPr>
            </w:pPr>
            <w:r w:rsidRPr="00E30BE0">
              <w:rPr>
                <w:rFonts w:ascii="Arial" w:hAnsi="Arial" w:cs="Arial"/>
                <w:sz w:val="24"/>
                <w:szCs w:val="24"/>
              </w:rPr>
              <w:t>Watson, A.C., Compton, M.T. and Pope, L.G. (2019) ‘Crisis Intervention Team models and outcomes: A synthesis of research’, Behavioural Sciences &amp; the Law, 37(2), pp. 136–152.</w:t>
            </w:r>
          </w:p>
          <w:p w14:paraId="1C39E344" w14:textId="75C83B48" w:rsidR="00D4485A" w:rsidRPr="00D4485A" w:rsidRDefault="00D4485A"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CD506" w14:textId="77777777" w:rsidR="0024344A" w:rsidRDefault="0024344A">
      <w:r>
        <w:separator/>
      </w:r>
    </w:p>
  </w:endnote>
  <w:endnote w:type="continuationSeparator" w:id="0">
    <w:p w14:paraId="138993DA" w14:textId="77777777" w:rsidR="0024344A" w:rsidRDefault="00243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9A440" w14:textId="77777777" w:rsidR="0024344A" w:rsidRDefault="0024344A">
      <w:r>
        <w:separator/>
      </w:r>
    </w:p>
  </w:footnote>
  <w:footnote w:type="continuationSeparator" w:id="0">
    <w:p w14:paraId="2B5CA83C" w14:textId="77777777" w:rsidR="0024344A" w:rsidRDefault="00243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628FF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4"/>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3"/>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2"/>
  </w:num>
  <w:num w:numId="27" w16cid:durableId="1295525112">
    <w:abstractNumId w:val="27"/>
  </w:num>
  <w:num w:numId="28" w16cid:durableId="1990204065">
    <w:abstractNumId w:val="6"/>
  </w:num>
  <w:num w:numId="29" w16cid:durableId="1376154183">
    <w:abstractNumId w:val="23"/>
  </w:num>
  <w:num w:numId="30" w16cid:durableId="1622497887">
    <w:abstractNumId w:val="34"/>
  </w:num>
  <w:num w:numId="31" w16cid:durableId="1495221465">
    <w:abstractNumId w:val="1"/>
  </w:num>
  <w:num w:numId="32" w16cid:durableId="2000618171">
    <w:abstractNumId w:val="30"/>
  </w:num>
  <w:num w:numId="33" w16cid:durableId="1466510744">
    <w:abstractNumId w:val="11"/>
  </w:num>
  <w:num w:numId="34" w16cid:durableId="644503696">
    <w:abstractNumId w:val="5"/>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93455649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2BC"/>
    <w:rsid w:val="00107BED"/>
    <w:rsid w:val="001113AE"/>
    <w:rsid w:val="00112EA7"/>
    <w:rsid w:val="00122ACA"/>
    <w:rsid w:val="0012368F"/>
    <w:rsid w:val="00127979"/>
    <w:rsid w:val="0013025A"/>
    <w:rsid w:val="001331E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344A"/>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2AB0"/>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3DA7"/>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33B5B"/>
    <w:rsid w:val="00540B69"/>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06121"/>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17D"/>
    <w:rsid w:val="006B1A8B"/>
    <w:rsid w:val="006B6243"/>
    <w:rsid w:val="006B766A"/>
    <w:rsid w:val="006B7A43"/>
    <w:rsid w:val="006C3A69"/>
    <w:rsid w:val="006C5084"/>
    <w:rsid w:val="006C59B1"/>
    <w:rsid w:val="006C68D4"/>
    <w:rsid w:val="006D5721"/>
    <w:rsid w:val="006D6BD6"/>
    <w:rsid w:val="006E37C7"/>
    <w:rsid w:val="006E37CE"/>
    <w:rsid w:val="006E529A"/>
    <w:rsid w:val="006E7254"/>
    <w:rsid w:val="006F0ADF"/>
    <w:rsid w:val="006F69A1"/>
    <w:rsid w:val="00701358"/>
    <w:rsid w:val="007019AB"/>
    <w:rsid w:val="00707B08"/>
    <w:rsid w:val="00717140"/>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43D6"/>
    <w:rsid w:val="008870D7"/>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28BE"/>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B6D0E"/>
    <w:rsid w:val="00CC2603"/>
    <w:rsid w:val="00CC3DD7"/>
    <w:rsid w:val="00CD06CE"/>
    <w:rsid w:val="00CE1F41"/>
    <w:rsid w:val="00CE64DB"/>
    <w:rsid w:val="00CE7C75"/>
    <w:rsid w:val="00D012E7"/>
    <w:rsid w:val="00D02645"/>
    <w:rsid w:val="00D034CB"/>
    <w:rsid w:val="00D21FC1"/>
    <w:rsid w:val="00D2509B"/>
    <w:rsid w:val="00D26C44"/>
    <w:rsid w:val="00D27F45"/>
    <w:rsid w:val="00D4485A"/>
    <w:rsid w:val="00D47BD9"/>
    <w:rsid w:val="00D56073"/>
    <w:rsid w:val="00D61900"/>
    <w:rsid w:val="00D63145"/>
    <w:rsid w:val="00D72893"/>
    <w:rsid w:val="00D74279"/>
    <w:rsid w:val="00D82608"/>
    <w:rsid w:val="00D82F4E"/>
    <w:rsid w:val="00D87281"/>
    <w:rsid w:val="00D908A9"/>
    <w:rsid w:val="00D93A90"/>
    <w:rsid w:val="00D977FF"/>
    <w:rsid w:val="00DA741D"/>
    <w:rsid w:val="00DA7C8E"/>
    <w:rsid w:val="00DB0362"/>
    <w:rsid w:val="00DB3C2D"/>
    <w:rsid w:val="00DC01B1"/>
    <w:rsid w:val="00DC07A1"/>
    <w:rsid w:val="00DC1869"/>
    <w:rsid w:val="00DC3446"/>
    <w:rsid w:val="00DD2DF5"/>
    <w:rsid w:val="00DD3093"/>
    <w:rsid w:val="00DD6A41"/>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3337"/>
    <w:rsid w:val="00F05BAD"/>
    <w:rsid w:val="00F16B35"/>
    <w:rsid w:val="00F33E17"/>
    <w:rsid w:val="00F346B4"/>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4CD"/>
    <w:rsid w:val="00FB1B3B"/>
    <w:rsid w:val="00FB1CEA"/>
    <w:rsid w:val="00FB2E91"/>
    <w:rsid w:val="00FC188E"/>
    <w:rsid w:val="00FC1CB2"/>
    <w:rsid w:val="00FC48CD"/>
    <w:rsid w:val="00FD08FF"/>
    <w:rsid w:val="00FD742B"/>
    <w:rsid w:val="00FE6963"/>
    <w:rsid w:val="00FF12ED"/>
    <w:rsid w:val="00FF4883"/>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List Bullet"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1072BC"/>
    <w:pPr>
      <w:numPr>
        <w:numId w:val="40"/>
      </w:numPr>
      <w:tabs>
        <w:tab w:val="clear" w:pos="360"/>
      </w:tabs>
      <w:spacing w:after="200" w:line="276" w:lineRule="auto"/>
      <w:ind w:left="0" w:firstLine="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1267</Words>
  <Characters>6678</Characters>
  <Application>Microsoft Office Word</Application>
  <DocSecurity>0</DocSecurity>
  <Lines>392</Lines>
  <Paragraphs>273</Paragraphs>
  <ScaleCrop>false</ScaleCrop>
  <Company>sihe</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Oakleigh Simcock-jones</cp:lastModifiedBy>
  <cp:revision>23</cp:revision>
  <cp:lastPrinted>2022-03-21T13:46:00Z</cp:lastPrinted>
  <dcterms:created xsi:type="dcterms:W3CDTF">2025-10-26T14:03:00Z</dcterms:created>
  <dcterms:modified xsi:type="dcterms:W3CDTF">2025-11-17T11:32:00Z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