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1F122">
      <w:pPr>
        <w:ind w:firstLine="0"/>
        <w:jc w:val="center"/>
        <w:rPr>
          <w:rFonts w:eastAsia="Times New Roman"/>
        </w:rPr>
      </w:pPr>
    </w:p>
    <w:p w14:paraId="692C735A">
      <w:pPr>
        <w:ind w:firstLine="0"/>
        <w:jc w:val="center"/>
        <w:rPr>
          <w:rFonts w:eastAsia="Times New Roman"/>
        </w:rPr>
      </w:pPr>
    </w:p>
    <w:p w14:paraId="7E1A4E38">
      <w:pPr>
        <w:ind w:firstLine="0"/>
        <w:jc w:val="center"/>
        <w:rPr>
          <w:rFonts w:eastAsia="Times New Roman"/>
        </w:rPr>
      </w:pPr>
    </w:p>
    <w:p w14:paraId="3C9AFA06">
      <w:pPr>
        <w:ind w:firstLine="0"/>
        <w:jc w:val="center"/>
        <w:rPr>
          <w:rFonts w:eastAsia="Times New Roman"/>
        </w:rPr>
      </w:pPr>
      <w:r>
        <w:rPr>
          <w:rFonts w:eastAsia="Times New Roman"/>
        </w:rPr>
        <w:drawing>
          <wp:inline distT="0" distB="0" distL="0" distR="0">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10385" cy="725170"/>
                    </a:xfrm>
                    <a:prstGeom prst="rect">
                      <a:avLst/>
                    </a:prstGeom>
                    <a:noFill/>
                  </pic:spPr>
                </pic:pic>
              </a:graphicData>
            </a:graphic>
          </wp:inline>
        </w:drawing>
      </w:r>
    </w:p>
    <w:p w14:paraId="4F2D3B59">
      <w:pPr>
        <w:ind w:firstLine="0"/>
        <w:rPr>
          <w:rFonts w:eastAsia="Times New Roman"/>
        </w:rPr>
      </w:pPr>
    </w:p>
    <w:p w14:paraId="74B7018E">
      <w:pPr>
        <w:ind w:firstLine="0"/>
        <w:jc w:val="center"/>
        <w:rPr>
          <w:rFonts w:eastAsia="Times New Roman"/>
          <w:bCs/>
          <w:lang w:val="en-GB"/>
        </w:rPr>
      </w:pPr>
      <w:r>
        <w:rPr>
          <w:rFonts w:eastAsia="Times New Roman"/>
          <w:bCs/>
          <w:lang w:val="en-GB"/>
        </w:rPr>
        <w:t>Business Management in Projects</w:t>
      </w:r>
    </w:p>
    <w:p w14:paraId="646B5227">
      <w:pPr>
        <w:ind w:firstLine="0"/>
        <w:jc w:val="center"/>
        <w:rPr>
          <w:rFonts w:eastAsia="Times New Roman"/>
          <w:bCs/>
          <w:i/>
          <w:iCs/>
        </w:rPr>
      </w:pPr>
      <w:r>
        <w:rPr>
          <w:rFonts w:eastAsia="Times New Roman"/>
          <w:bCs/>
          <w:i/>
          <w:iCs/>
        </w:rPr>
        <w:t>Feasibility and Strategy for a Growing Smoothie Company</w:t>
      </w:r>
    </w:p>
    <w:p w14:paraId="0977AE8B">
      <w:pPr>
        <w:ind w:firstLine="0"/>
        <w:jc w:val="center"/>
        <w:rPr>
          <w:rFonts w:hint="default" w:eastAsia="Times New Roman"/>
          <w:lang w:val="en-IN"/>
        </w:rPr>
      </w:pPr>
      <w:r>
        <w:rPr>
          <w:rFonts w:hint="default" w:eastAsia="Times New Roman"/>
          <w:lang w:val="en-IN"/>
        </w:rPr>
        <w:t>Durgesh Sunil Badhe</w:t>
      </w:r>
    </w:p>
    <w:p w14:paraId="429B1348">
      <w:pPr>
        <w:ind w:firstLine="0"/>
        <w:jc w:val="center"/>
        <w:rPr>
          <w:rFonts w:hint="default" w:eastAsia="Times New Roman"/>
          <w:lang w:val="en-IN"/>
        </w:rPr>
      </w:pPr>
      <w:r>
        <w:rPr>
          <w:rFonts w:hint="default" w:eastAsia="Times New Roman"/>
          <w:lang w:val="en-IN"/>
        </w:rPr>
        <w:t>Student id = 2506741</w:t>
      </w:r>
    </w:p>
    <w:p w14:paraId="173CDE10">
      <w:pPr>
        <w:ind w:firstLine="0"/>
        <w:jc w:val="center"/>
        <w:rPr>
          <w:rFonts w:eastAsia="Times New Roman"/>
        </w:rPr>
      </w:pPr>
      <w:r>
        <w:rPr>
          <w:rFonts w:eastAsia="Times New Roman"/>
        </w:rPr>
        <w:t>Project Management</w:t>
      </w:r>
    </w:p>
    <w:p w14:paraId="2B4C57D6">
      <w:pPr>
        <w:ind w:firstLine="0"/>
        <w:jc w:val="center"/>
        <w:rPr>
          <w:rFonts w:eastAsia="Times New Roman"/>
        </w:rPr>
      </w:pPr>
      <w:r>
        <w:rPr>
          <w:rFonts w:eastAsia="Times New Roman"/>
        </w:rPr>
        <w:t>ACHA7025</w:t>
      </w:r>
    </w:p>
    <w:p w14:paraId="65E71D50">
      <w:pPr>
        <w:jc w:val="center"/>
        <w:rPr>
          <w:rFonts w:eastAsia="Times New Roman"/>
        </w:rPr>
      </w:pPr>
    </w:p>
    <w:p w14:paraId="6B8CB36C">
      <w:pPr>
        <w:jc w:val="center"/>
        <w:rPr>
          <w:rFonts w:eastAsia="Times New Roman"/>
        </w:rPr>
      </w:pPr>
    </w:p>
    <w:p w14:paraId="2326F3ED">
      <w:pPr>
        <w:jc w:val="center"/>
        <w:rPr>
          <w:rFonts w:eastAsia="Times New Roman"/>
        </w:rPr>
      </w:pPr>
    </w:p>
    <w:p w14:paraId="4F281868">
      <w:pPr>
        <w:jc w:val="center"/>
        <w:rPr>
          <w:rFonts w:eastAsia="Times New Roman"/>
        </w:rPr>
      </w:pPr>
    </w:p>
    <w:p w14:paraId="02342DFA">
      <w:pPr>
        <w:jc w:val="center"/>
        <w:rPr>
          <w:rFonts w:eastAsia="Times New Roman"/>
        </w:rPr>
      </w:pPr>
    </w:p>
    <w:p w14:paraId="440B11C6">
      <w:pPr>
        <w:jc w:val="center"/>
        <w:rPr>
          <w:rFonts w:eastAsia="Times New Roman"/>
        </w:rPr>
      </w:pPr>
    </w:p>
    <w:p w14:paraId="0E19DDF4">
      <w:pPr>
        <w:jc w:val="center"/>
        <w:rPr>
          <w:rFonts w:eastAsia="Times New Roman"/>
        </w:rPr>
      </w:pPr>
    </w:p>
    <w:p w14:paraId="5895146F">
      <w:pPr>
        <w:jc w:val="center"/>
        <w:rPr>
          <w:rFonts w:eastAsia="Times New Roman"/>
        </w:rPr>
      </w:pPr>
    </w:p>
    <w:sdt>
      <w:sdtPr>
        <w:rPr>
          <w:rFonts w:eastAsiaTheme="minorEastAsia" w:cstheme="minorBidi"/>
          <w:b w:val="0"/>
          <w:bCs w:val="0"/>
          <w:color w:val="auto"/>
          <w:szCs w:val="22"/>
        </w:rPr>
        <w:id w:val="-605658343"/>
        <w:docPartObj>
          <w:docPartGallery w:val="Table of Contents"/>
          <w:docPartUnique/>
        </w:docPartObj>
      </w:sdtPr>
      <w:sdtEndPr>
        <w:rPr>
          <w:rFonts w:eastAsiaTheme="minorEastAsia" w:cstheme="minorBidi"/>
          <w:b w:val="0"/>
          <w:bCs w:val="0"/>
          <w:color w:val="auto"/>
          <w:szCs w:val="22"/>
        </w:rPr>
      </w:sdtEndPr>
      <w:sdtContent>
        <w:p w14:paraId="18C6F0CC">
          <w:pPr>
            <w:pStyle w:val="57"/>
            <w:numPr>
              <w:ilvl w:val="0"/>
              <w:numId w:val="0"/>
            </w:numPr>
            <w:ind w:left="432" w:hanging="432"/>
            <w:jc w:val="both"/>
            <w:rPr>
              <w:rFonts w:eastAsiaTheme="minorEastAsia" w:cstheme="minorBidi"/>
              <w:b w:val="0"/>
              <w:bCs w:val="0"/>
              <w:color w:val="auto"/>
              <w:szCs w:val="22"/>
            </w:rPr>
          </w:pPr>
        </w:p>
        <w:p w14:paraId="128DD42E">
          <w:pPr>
            <w:pStyle w:val="57"/>
            <w:numPr>
              <w:ilvl w:val="0"/>
              <w:numId w:val="0"/>
            </w:numPr>
            <w:ind w:left="432" w:hanging="432"/>
            <w:jc w:val="both"/>
          </w:pPr>
          <w:bookmarkStart w:id="20" w:name="_GoBack"/>
          <w:bookmarkEnd w:id="20"/>
          <w:r>
            <w:t>Table of Contents</w:t>
          </w:r>
        </w:p>
        <w:p w14:paraId="42742335">
          <w:pPr>
            <w:pStyle w:val="28"/>
            <w:tabs>
              <w:tab w:val="left" w:pos="1100"/>
              <w:tab w:val="right" w:leader="dot" w:pos="9350"/>
            </w:tabs>
            <w:rPr>
              <w:rFonts w:asciiTheme="minorHAnsi" w:hAnsiTheme="minorHAnsi"/>
              <w:sz w:val="22"/>
              <w:lang w:val="en-US"/>
            </w:rPr>
          </w:pPr>
          <w:r>
            <w:fldChar w:fldCharType="begin"/>
          </w:r>
          <w:r>
            <w:instrText xml:space="preserve"> TOC \o "1-3" \h \z \u </w:instrText>
          </w:r>
          <w:r>
            <w:fldChar w:fldCharType="separate"/>
          </w:r>
          <w:r>
            <w:fldChar w:fldCharType="begin"/>
          </w:r>
          <w:r>
            <w:instrText xml:space="preserve"> HYPERLINK \l "_Toc216908518" </w:instrText>
          </w:r>
          <w:r>
            <w:fldChar w:fldCharType="separate"/>
          </w:r>
          <w:r>
            <w:rPr>
              <w:rStyle w:val="21"/>
              <w:rFonts w:eastAsia="Times New Roman" w:cs="Times New Roman"/>
            </w:rPr>
            <w:t>1</w:t>
          </w:r>
          <w:r>
            <w:rPr>
              <w:rFonts w:asciiTheme="minorHAnsi" w:hAnsiTheme="minorHAnsi"/>
              <w:sz w:val="22"/>
              <w:lang w:val="en-US"/>
            </w:rPr>
            <w:tab/>
          </w:r>
          <w:r>
            <w:rPr>
              <w:rStyle w:val="21"/>
              <w:rFonts w:eastAsia="Times New Roman" w:cs="Times New Roman"/>
            </w:rPr>
            <w:t>Introduction</w:t>
          </w:r>
          <w:r>
            <w:tab/>
          </w:r>
          <w:r>
            <w:fldChar w:fldCharType="begin"/>
          </w:r>
          <w:r>
            <w:instrText xml:space="preserve"> PAGEREF _Toc216908518 \h </w:instrText>
          </w:r>
          <w:r>
            <w:fldChar w:fldCharType="separate"/>
          </w:r>
          <w:r>
            <w:t>3</w:t>
          </w:r>
          <w:r>
            <w:fldChar w:fldCharType="end"/>
          </w:r>
          <w:r>
            <w:fldChar w:fldCharType="end"/>
          </w:r>
        </w:p>
        <w:p w14:paraId="7C7784DD">
          <w:pPr>
            <w:pStyle w:val="29"/>
            <w:tabs>
              <w:tab w:val="left" w:pos="1540"/>
              <w:tab w:val="right" w:leader="dot" w:pos="9350"/>
            </w:tabs>
            <w:rPr>
              <w:rFonts w:asciiTheme="minorHAnsi" w:hAnsiTheme="minorHAnsi"/>
              <w:sz w:val="22"/>
              <w:lang w:val="en-US"/>
            </w:rPr>
          </w:pPr>
          <w:r>
            <w:fldChar w:fldCharType="begin"/>
          </w:r>
          <w:r>
            <w:instrText xml:space="preserve"> HYPERLINK \l "_Toc216908519" </w:instrText>
          </w:r>
          <w:r>
            <w:fldChar w:fldCharType="separate"/>
          </w:r>
          <w:r>
            <w:rPr>
              <w:rStyle w:val="21"/>
              <w:rFonts w:eastAsia="Times New Roman" w:cs="Times New Roman"/>
            </w:rPr>
            <w:t>1.1</w:t>
          </w:r>
          <w:r>
            <w:rPr>
              <w:rFonts w:asciiTheme="minorHAnsi" w:hAnsiTheme="minorHAnsi"/>
              <w:sz w:val="22"/>
              <w:lang w:val="en-US"/>
            </w:rPr>
            <w:tab/>
          </w:r>
          <w:r>
            <w:rPr>
              <w:rStyle w:val="21"/>
              <w:rFonts w:eastAsia="Times New Roman" w:cs="Times New Roman"/>
            </w:rPr>
            <w:t>Basic Principles of Project Management</w:t>
          </w:r>
          <w:r>
            <w:tab/>
          </w:r>
          <w:r>
            <w:fldChar w:fldCharType="begin"/>
          </w:r>
          <w:r>
            <w:instrText xml:space="preserve"> PAGEREF _Toc216908519 \h </w:instrText>
          </w:r>
          <w:r>
            <w:fldChar w:fldCharType="separate"/>
          </w:r>
          <w:r>
            <w:t>3</w:t>
          </w:r>
          <w:r>
            <w:fldChar w:fldCharType="end"/>
          </w:r>
          <w:r>
            <w:fldChar w:fldCharType="end"/>
          </w:r>
        </w:p>
        <w:p w14:paraId="1030FF9C">
          <w:pPr>
            <w:pStyle w:val="30"/>
            <w:tabs>
              <w:tab w:val="left" w:pos="1900"/>
              <w:tab w:val="right" w:leader="dot" w:pos="9350"/>
            </w:tabs>
            <w:rPr>
              <w:rFonts w:asciiTheme="minorHAnsi" w:hAnsiTheme="minorHAnsi"/>
              <w:sz w:val="22"/>
              <w:lang w:val="en-US"/>
            </w:rPr>
          </w:pPr>
          <w:r>
            <w:fldChar w:fldCharType="begin"/>
          </w:r>
          <w:r>
            <w:instrText xml:space="preserve"> HYPERLINK \l "_Toc216908520" </w:instrText>
          </w:r>
          <w:r>
            <w:fldChar w:fldCharType="separate"/>
          </w:r>
          <w:r>
            <w:rPr>
              <w:rStyle w:val="21"/>
              <w:rFonts w:eastAsia="Times New Roman" w:cs="Times New Roman"/>
            </w:rPr>
            <w:t>1.1.1</w:t>
          </w:r>
          <w:r>
            <w:rPr>
              <w:rFonts w:asciiTheme="minorHAnsi" w:hAnsiTheme="minorHAnsi"/>
              <w:sz w:val="22"/>
              <w:lang w:val="en-US"/>
            </w:rPr>
            <w:tab/>
          </w:r>
          <w:r>
            <w:rPr>
              <w:rStyle w:val="21"/>
              <w:rFonts w:eastAsia="Times New Roman"/>
            </w:rPr>
            <w:t>Stakeholder Engagement and Risk Management</w:t>
          </w:r>
          <w:r>
            <w:tab/>
          </w:r>
          <w:r>
            <w:fldChar w:fldCharType="begin"/>
          </w:r>
          <w:r>
            <w:instrText xml:space="preserve"> PAGEREF _Toc216908520 \h </w:instrText>
          </w:r>
          <w:r>
            <w:fldChar w:fldCharType="separate"/>
          </w:r>
          <w:r>
            <w:t>3</w:t>
          </w:r>
          <w:r>
            <w:fldChar w:fldCharType="end"/>
          </w:r>
          <w:r>
            <w:fldChar w:fldCharType="end"/>
          </w:r>
        </w:p>
        <w:p w14:paraId="42CAB7BF">
          <w:pPr>
            <w:pStyle w:val="30"/>
            <w:tabs>
              <w:tab w:val="left" w:pos="1900"/>
              <w:tab w:val="right" w:leader="dot" w:pos="9350"/>
            </w:tabs>
            <w:rPr>
              <w:rFonts w:asciiTheme="minorHAnsi" w:hAnsiTheme="minorHAnsi"/>
              <w:sz w:val="22"/>
              <w:lang w:val="en-US"/>
            </w:rPr>
          </w:pPr>
          <w:r>
            <w:fldChar w:fldCharType="begin"/>
          </w:r>
          <w:r>
            <w:instrText xml:space="preserve"> HYPERLINK \l "_Toc216908521" </w:instrText>
          </w:r>
          <w:r>
            <w:fldChar w:fldCharType="separate"/>
          </w:r>
          <w:r>
            <w:rPr>
              <w:rStyle w:val="21"/>
              <w:rFonts w:eastAsia="Times New Roman" w:cs="Times New Roman"/>
            </w:rPr>
            <w:t>1.1.2</w:t>
          </w:r>
          <w:r>
            <w:rPr>
              <w:rFonts w:asciiTheme="minorHAnsi" w:hAnsiTheme="minorHAnsi"/>
              <w:sz w:val="22"/>
              <w:lang w:val="en-US"/>
            </w:rPr>
            <w:tab/>
          </w:r>
          <w:r>
            <w:rPr>
              <w:rStyle w:val="21"/>
              <w:rFonts w:eastAsia="Times New Roman"/>
            </w:rPr>
            <w:t>Cost, Quality and Change Management</w:t>
          </w:r>
          <w:r>
            <w:tab/>
          </w:r>
          <w:r>
            <w:fldChar w:fldCharType="begin"/>
          </w:r>
          <w:r>
            <w:instrText xml:space="preserve"> PAGEREF _Toc216908521 \h </w:instrText>
          </w:r>
          <w:r>
            <w:fldChar w:fldCharType="separate"/>
          </w:r>
          <w:r>
            <w:t>4</w:t>
          </w:r>
          <w:r>
            <w:fldChar w:fldCharType="end"/>
          </w:r>
          <w:r>
            <w:fldChar w:fldCharType="end"/>
          </w:r>
        </w:p>
        <w:p w14:paraId="75F7FD70">
          <w:pPr>
            <w:pStyle w:val="28"/>
            <w:tabs>
              <w:tab w:val="left" w:pos="1100"/>
              <w:tab w:val="right" w:leader="dot" w:pos="9350"/>
            </w:tabs>
            <w:rPr>
              <w:rFonts w:asciiTheme="minorHAnsi" w:hAnsiTheme="minorHAnsi"/>
              <w:sz w:val="22"/>
              <w:lang w:val="en-US"/>
            </w:rPr>
          </w:pPr>
          <w:r>
            <w:fldChar w:fldCharType="begin"/>
          </w:r>
          <w:r>
            <w:instrText xml:space="preserve"> HYPERLINK \l "_Toc216908522" </w:instrText>
          </w:r>
          <w:r>
            <w:fldChar w:fldCharType="separate"/>
          </w:r>
          <w:r>
            <w:rPr>
              <w:rStyle w:val="21"/>
              <w:rFonts w:eastAsia="Times New Roman" w:cs="Times New Roman"/>
            </w:rPr>
            <w:t>2</w:t>
          </w:r>
          <w:r>
            <w:rPr>
              <w:rFonts w:asciiTheme="minorHAnsi" w:hAnsiTheme="minorHAnsi"/>
              <w:sz w:val="22"/>
              <w:lang w:val="en-US"/>
            </w:rPr>
            <w:tab/>
          </w:r>
          <w:r>
            <w:rPr>
              <w:rStyle w:val="21"/>
              <w:rFonts w:eastAsia="Times New Roman" w:cs="Times New Roman"/>
            </w:rPr>
            <w:t>SWOT Analysis: Internal and External Assessment</w:t>
          </w:r>
          <w:r>
            <w:tab/>
          </w:r>
          <w:r>
            <w:fldChar w:fldCharType="begin"/>
          </w:r>
          <w:r>
            <w:instrText xml:space="preserve"> PAGEREF _Toc216908522 \h </w:instrText>
          </w:r>
          <w:r>
            <w:fldChar w:fldCharType="separate"/>
          </w:r>
          <w:r>
            <w:t>4</w:t>
          </w:r>
          <w:r>
            <w:fldChar w:fldCharType="end"/>
          </w:r>
          <w:r>
            <w:fldChar w:fldCharType="end"/>
          </w:r>
        </w:p>
        <w:p w14:paraId="45C2B6D6">
          <w:pPr>
            <w:pStyle w:val="29"/>
            <w:tabs>
              <w:tab w:val="left" w:pos="1540"/>
              <w:tab w:val="right" w:leader="dot" w:pos="9350"/>
            </w:tabs>
            <w:rPr>
              <w:rFonts w:asciiTheme="minorHAnsi" w:hAnsiTheme="minorHAnsi"/>
              <w:sz w:val="22"/>
              <w:lang w:val="en-US"/>
            </w:rPr>
          </w:pPr>
          <w:r>
            <w:fldChar w:fldCharType="begin"/>
          </w:r>
          <w:r>
            <w:instrText xml:space="preserve"> HYPERLINK \l "_Toc216908523" </w:instrText>
          </w:r>
          <w:r>
            <w:fldChar w:fldCharType="separate"/>
          </w:r>
          <w:r>
            <w:rPr>
              <w:rStyle w:val="21"/>
              <w:rFonts w:eastAsia="Times New Roman" w:cs="Times New Roman"/>
            </w:rPr>
            <w:t>2.1</w:t>
          </w:r>
          <w:r>
            <w:rPr>
              <w:rFonts w:asciiTheme="minorHAnsi" w:hAnsiTheme="minorHAnsi"/>
              <w:sz w:val="22"/>
              <w:lang w:val="en-US"/>
            </w:rPr>
            <w:tab/>
          </w:r>
          <w:r>
            <w:rPr>
              <w:rStyle w:val="21"/>
              <w:rFonts w:eastAsia="Times New Roman" w:cs="Times New Roman"/>
            </w:rPr>
            <w:t>Strengths (Internal Capabilities)</w:t>
          </w:r>
          <w:r>
            <w:tab/>
          </w:r>
          <w:r>
            <w:fldChar w:fldCharType="begin"/>
          </w:r>
          <w:r>
            <w:instrText xml:space="preserve"> PAGEREF _Toc216908523 \h </w:instrText>
          </w:r>
          <w:r>
            <w:fldChar w:fldCharType="separate"/>
          </w:r>
          <w:r>
            <w:t>4</w:t>
          </w:r>
          <w:r>
            <w:fldChar w:fldCharType="end"/>
          </w:r>
          <w:r>
            <w:fldChar w:fldCharType="end"/>
          </w:r>
        </w:p>
        <w:p w14:paraId="59ED010A">
          <w:pPr>
            <w:pStyle w:val="29"/>
            <w:tabs>
              <w:tab w:val="left" w:pos="1540"/>
              <w:tab w:val="right" w:leader="dot" w:pos="9350"/>
            </w:tabs>
            <w:rPr>
              <w:rFonts w:asciiTheme="minorHAnsi" w:hAnsiTheme="minorHAnsi"/>
              <w:sz w:val="22"/>
              <w:lang w:val="en-US"/>
            </w:rPr>
          </w:pPr>
          <w:r>
            <w:fldChar w:fldCharType="begin"/>
          </w:r>
          <w:r>
            <w:instrText xml:space="preserve"> HYPERLINK \l "_Toc216908524" </w:instrText>
          </w:r>
          <w:r>
            <w:fldChar w:fldCharType="separate"/>
          </w:r>
          <w:r>
            <w:rPr>
              <w:rStyle w:val="21"/>
              <w:rFonts w:eastAsia="Times New Roman" w:cs="Times New Roman"/>
            </w:rPr>
            <w:t>2.2</w:t>
          </w:r>
          <w:r>
            <w:rPr>
              <w:rFonts w:asciiTheme="minorHAnsi" w:hAnsiTheme="minorHAnsi"/>
              <w:sz w:val="22"/>
              <w:lang w:val="en-US"/>
            </w:rPr>
            <w:tab/>
          </w:r>
          <w:r>
            <w:rPr>
              <w:rStyle w:val="21"/>
              <w:rFonts w:eastAsia="Times New Roman" w:cs="Times New Roman"/>
            </w:rPr>
            <w:t>Weaknesses (Internal Limitations)</w:t>
          </w:r>
          <w:r>
            <w:tab/>
          </w:r>
          <w:r>
            <w:fldChar w:fldCharType="begin"/>
          </w:r>
          <w:r>
            <w:instrText xml:space="preserve"> PAGEREF _Toc216908524 \h </w:instrText>
          </w:r>
          <w:r>
            <w:fldChar w:fldCharType="separate"/>
          </w:r>
          <w:r>
            <w:t>5</w:t>
          </w:r>
          <w:r>
            <w:fldChar w:fldCharType="end"/>
          </w:r>
          <w:r>
            <w:fldChar w:fldCharType="end"/>
          </w:r>
        </w:p>
        <w:p w14:paraId="744DB98B">
          <w:pPr>
            <w:pStyle w:val="29"/>
            <w:tabs>
              <w:tab w:val="left" w:pos="1540"/>
              <w:tab w:val="right" w:leader="dot" w:pos="9350"/>
            </w:tabs>
            <w:rPr>
              <w:rFonts w:asciiTheme="minorHAnsi" w:hAnsiTheme="minorHAnsi"/>
              <w:sz w:val="22"/>
              <w:lang w:val="en-US"/>
            </w:rPr>
          </w:pPr>
          <w:r>
            <w:fldChar w:fldCharType="begin"/>
          </w:r>
          <w:r>
            <w:instrText xml:space="preserve"> HYPERLINK \l "_Toc216908525" </w:instrText>
          </w:r>
          <w:r>
            <w:fldChar w:fldCharType="separate"/>
          </w:r>
          <w:r>
            <w:rPr>
              <w:rStyle w:val="21"/>
              <w:rFonts w:eastAsia="Times New Roman" w:cs="Times New Roman"/>
            </w:rPr>
            <w:t>2.3</w:t>
          </w:r>
          <w:r>
            <w:rPr>
              <w:rFonts w:asciiTheme="minorHAnsi" w:hAnsiTheme="minorHAnsi"/>
              <w:sz w:val="22"/>
              <w:lang w:val="en-US"/>
            </w:rPr>
            <w:tab/>
          </w:r>
          <w:r>
            <w:rPr>
              <w:rStyle w:val="21"/>
              <w:rFonts w:eastAsia="Times New Roman" w:cs="Times New Roman"/>
            </w:rPr>
            <w:t>Opportunities (External Potential)</w:t>
          </w:r>
          <w:r>
            <w:tab/>
          </w:r>
          <w:r>
            <w:fldChar w:fldCharType="begin"/>
          </w:r>
          <w:r>
            <w:instrText xml:space="preserve"> PAGEREF _Toc216908525 \h </w:instrText>
          </w:r>
          <w:r>
            <w:fldChar w:fldCharType="separate"/>
          </w:r>
          <w:r>
            <w:t>5</w:t>
          </w:r>
          <w:r>
            <w:fldChar w:fldCharType="end"/>
          </w:r>
          <w:r>
            <w:fldChar w:fldCharType="end"/>
          </w:r>
        </w:p>
        <w:p w14:paraId="64D3EC53">
          <w:pPr>
            <w:pStyle w:val="29"/>
            <w:tabs>
              <w:tab w:val="left" w:pos="1540"/>
              <w:tab w:val="right" w:leader="dot" w:pos="9350"/>
            </w:tabs>
            <w:rPr>
              <w:rFonts w:asciiTheme="minorHAnsi" w:hAnsiTheme="minorHAnsi"/>
              <w:sz w:val="22"/>
              <w:lang w:val="en-US"/>
            </w:rPr>
          </w:pPr>
          <w:r>
            <w:fldChar w:fldCharType="begin"/>
          </w:r>
          <w:r>
            <w:instrText xml:space="preserve"> HYPERLINK \l "_Toc216908526" </w:instrText>
          </w:r>
          <w:r>
            <w:fldChar w:fldCharType="separate"/>
          </w:r>
          <w:r>
            <w:rPr>
              <w:rStyle w:val="21"/>
              <w:rFonts w:cs="Times New Roman"/>
            </w:rPr>
            <w:t>2.4</w:t>
          </w:r>
          <w:r>
            <w:rPr>
              <w:rFonts w:asciiTheme="minorHAnsi" w:hAnsiTheme="minorHAnsi"/>
              <w:sz w:val="22"/>
              <w:lang w:val="en-US"/>
            </w:rPr>
            <w:tab/>
          </w:r>
          <w:r>
            <w:rPr>
              <w:rStyle w:val="21"/>
              <w:rFonts w:cs="Times New Roman"/>
            </w:rPr>
            <w:t>Threats (External Challenges)</w:t>
          </w:r>
          <w:r>
            <w:tab/>
          </w:r>
          <w:r>
            <w:fldChar w:fldCharType="begin"/>
          </w:r>
          <w:r>
            <w:instrText xml:space="preserve"> PAGEREF _Toc216908526 \h </w:instrText>
          </w:r>
          <w:r>
            <w:fldChar w:fldCharType="separate"/>
          </w:r>
          <w:r>
            <w:t>6</w:t>
          </w:r>
          <w:r>
            <w:fldChar w:fldCharType="end"/>
          </w:r>
          <w:r>
            <w:fldChar w:fldCharType="end"/>
          </w:r>
        </w:p>
        <w:p w14:paraId="311E1C79">
          <w:pPr>
            <w:pStyle w:val="28"/>
            <w:tabs>
              <w:tab w:val="left" w:pos="1100"/>
              <w:tab w:val="right" w:leader="dot" w:pos="9350"/>
            </w:tabs>
            <w:rPr>
              <w:rFonts w:asciiTheme="minorHAnsi" w:hAnsiTheme="minorHAnsi"/>
              <w:sz w:val="22"/>
              <w:lang w:val="en-US"/>
            </w:rPr>
          </w:pPr>
          <w:r>
            <w:fldChar w:fldCharType="begin"/>
          </w:r>
          <w:r>
            <w:instrText xml:space="preserve"> HYPERLINK \l "_Toc216908527" </w:instrText>
          </w:r>
          <w:r>
            <w:fldChar w:fldCharType="separate"/>
          </w:r>
          <w:r>
            <w:rPr>
              <w:rStyle w:val="21"/>
              <w:rFonts w:eastAsia="Times New Roman" w:cs="Times New Roman"/>
            </w:rPr>
            <w:t>3</w:t>
          </w:r>
          <w:r>
            <w:rPr>
              <w:rFonts w:asciiTheme="minorHAnsi" w:hAnsiTheme="minorHAnsi"/>
              <w:sz w:val="22"/>
              <w:lang w:val="en-US"/>
            </w:rPr>
            <w:tab/>
          </w:r>
          <w:r>
            <w:rPr>
              <w:rStyle w:val="21"/>
              <w:rFonts w:eastAsia="Times New Roman" w:cs="Times New Roman"/>
            </w:rPr>
            <w:t>PESTLE Analysis: Macro-Environmental Factors</w:t>
          </w:r>
          <w:r>
            <w:tab/>
          </w:r>
          <w:r>
            <w:fldChar w:fldCharType="begin"/>
          </w:r>
          <w:r>
            <w:instrText xml:space="preserve"> PAGEREF _Toc216908527 \h </w:instrText>
          </w:r>
          <w:r>
            <w:fldChar w:fldCharType="separate"/>
          </w:r>
          <w:r>
            <w:t>7</w:t>
          </w:r>
          <w:r>
            <w:fldChar w:fldCharType="end"/>
          </w:r>
          <w:r>
            <w:fldChar w:fldCharType="end"/>
          </w:r>
        </w:p>
        <w:p w14:paraId="6B370C25">
          <w:pPr>
            <w:pStyle w:val="29"/>
            <w:tabs>
              <w:tab w:val="left" w:pos="1540"/>
              <w:tab w:val="right" w:leader="dot" w:pos="9350"/>
            </w:tabs>
            <w:rPr>
              <w:rFonts w:asciiTheme="minorHAnsi" w:hAnsiTheme="minorHAnsi"/>
              <w:sz w:val="22"/>
              <w:lang w:val="en-US"/>
            </w:rPr>
          </w:pPr>
          <w:r>
            <w:fldChar w:fldCharType="begin"/>
          </w:r>
          <w:r>
            <w:instrText xml:space="preserve"> HYPERLINK \l "_Toc216908528" </w:instrText>
          </w:r>
          <w:r>
            <w:fldChar w:fldCharType="separate"/>
          </w:r>
          <w:r>
            <w:rPr>
              <w:rStyle w:val="21"/>
              <w:rFonts w:eastAsia="Times New Roman" w:cs="Times New Roman"/>
            </w:rPr>
            <w:t>3.1</w:t>
          </w:r>
          <w:r>
            <w:rPr>
              <w:rFonts w:asciiTheme="minorHAnsi" w:hAnsiTheme="minorHAnsi"/>
              <w:sz w:val="22"/>
              <w:lang w:val="en-US"/>
            </w:rPr>
            <w:tab/>
          </w:r>
          <w:r>
            <w:rPr>
              <w:rStyle w:val="21"/>
              <w:rFonts w:eastAsia="Times New Roman" w:cs="Times New Roman"/>
            </w:rPr>
            <w:t>Political Factors</w:t>
          </w:r>
          <w:r>
            <w:tab/>
          </w:r>
          <w:r>
            <w:fldChar w:fldCharType="begin"/>
          </w:r>
          <w:r>
            <w:instrText xml:space="preserve"> PAGEREF _Toc216908528 \h </w:instrText>
          </w:r>
          <w:r>
            <w:fldChar w:fldCharType="separate"/>
          </w:r>
          <w:r>
            <w:t>7</w:t>
          </w:r>
          <w:r>
            <w:fldChar w:fldCharType="end"/>
          </w:r>
          <w:r>
            <w:fldChar w:fldCharType="end"/>
          </w:r>
        </w:p>
        <w:p w14:paraId="39D9DE81">
          <w:pPr>
            <w:pStyle w:val="29"/>
            <w:tabs>
              <w:tab w:val="left" w:pos="1540"/>
              <w:tab w:val="right" w:leader="dot" w:pos="9350"/>
            </w:tabs>
            <w:rPr>
              <w:rFonts w:asciiTheme="minorHAnsi" w:hAnsiTheme="minorHAnsi"/>
              <w:sz w:val="22"/>
              <w:lang w:val="en-US"/>
            </w:rPr>
          </w:pPr>
          <w:r>
            <w:fldChar w:fldCharType="begin"/>
          </w:r>
          <w:r>
            <w:instrText xml:space="preserve"> HYPERLINK \l "_Toc216908529" </w:instrText>
          </w:r>
          <w:r>
            <w:fldChar w:fldCharType="separate"/>
          </w:r>
          <w:r>
            <w:rPr>
              <w:rStyle w:val="21"/>
              <w:rFonts w:eastAsia="Times New Roman" w:cs="Times New Roman"/>
            </w:rPr>
            <w:t>3.2</w:t>
          </w:r>
          <w:r>
            <w:rPr>
              <w:rFonts w:asciiTheme="minorHAnsi" w:hAnsiTheme="minorHAnsi"/>
              <w:sz w:val="22"/>
              <w:lang w:val="en-US"/>
            </w:rPr>
            <w:tab/>
          </w:r>
          <w:r>
            <w:rPr>
              <w:rStyle w:val="21"/>
              <w:rFonts w:eastAsia="Times New Roman" w:cs="Times New Roman"/>
            </w:rPr>
            <w:t>Economic Factors</w:t>
          </w:r>
          <w:r>
            <w:tab/>
          </w:r>
          <w:r>
            <w:fldChar w:fldCharType="begin"/>
          </w:r>
          <w:r>
            <w:instrText xml:space="preserve"> PAGEREF _Toc216908529 \h </w:instrText>
          </w:r>
          <w:r>
            <w:fldChar w:fldCharType="separate"/>
          </w:r>
          <w:r>
            <w:t>7</w:t>
          </w:r>
          <w:r>
            <w:fldChar w:fldCharType="end"/>
          </w:r>
          <w:r>
            <w:fldChar w:fldCharType="end"/>
          </w:r>
        </w:p>
        <w:p w14:paraId="7639C677">
          <w:pPr>
            <w:pStyle w:val="29"/>
            <w:tabs>
              <w:tab w:val="left" w:pos="1540"/>
              <w:tab w:val="right" w:leader="dot" w:pos="9350"/>
            </w:tabs>
            <w:rPr>
              <w:rFonts w:asciiTheme="minorHAnsi" w:hAnsiTheme="minorHAnsi"/>
              <w:sz w:val="22"/>
              <w:lang w:val="en-US"/>
            </w:rPr>
          </w:pPr>
          <w:r>
            <w:fldChar w:fldCharType="begin"/>
          </w:r>
          <w:r>
            <w:instrText xml:space="preserve"> HYPERLINK \l "_Toc216908530" </w:instrText>
          </w:r>
          <w:r>
            <w:fldChar w:fldCharType="separate"/>
          </w:r>
          <w:r>
            <w:rPr>
              <w:rStyle w:val="21"/>
              <w:rFonts w:eastAsia="Times New Roman" w:cs="Times New Roman"/>
            </w:rPr>
            <w:t>3.3</w:t>
          </w:r>
          <w:r>
            <w:rPr>
              <w:rFonts w:asciiTheme="minorHAnsi" w:hAnsiTheme="minorHAnsi"/>
              <w:sz w:val="22"/>
              <w:lang w:val="en-US"/>
            </w:rPr>
            <w:tab/>
          </w:r>
          <w:r>
            <w:rPr>
              <w:rStyle w:val="21"/>
              <w:rFonts w:eastAsia="Times New Roman" w:cs="Times New Roman"/>
            </w:rPr>
            <w:t>Sociocultural Factors</w:t>
          </w:r>
          <w:r>
            <w:tab/>
          </w:r>
          <w:r>
            <w:fldChar w:fldCharType="begin"/>
          </w:r>
          <w:r>
            <w:instrText xml:space="preserve"> PAGEREF _Toc216908530 \h </w:instrText>
          </w:r>
          <w:r>
            <w:fldChar w:fldCharType="separate"/>
          </w:r>
          <w:r>
            <w:t>8</w:t>
          </w:r>
          <w:r>
            <w:fldChar w:fldCharType="end"/>
          </w:r>
          <w:r>
            <w:fldChar w:fldCharType="end"/>
          </w:r>
        </w:p>
        <w:p w14:paraId="217FA7A3">
          <w:pPr>
            <w:pStyle w:val="29"/>
            <w:tabs>
              <w:tab w:val="left" w:pos="1540"/>
              <w:tab w:val="right" w:leader="dot" w:pos="9350"/>
            </w:tabs>
            <w:rPr>
              <w:rFonts w:asciiTheme="minorHAnsi" w:hAnsiTheme="minorHAnsi"/>
              <w:sz w:val="22"/>
              <w:lang w:val="en-US"/>
            </w:rPr>
          </w:pPr>
          <w:r>
            <w:fldChar w:fldCharType="begin"/>
          </w:r>
          <w:r>
            <w:instrText xml:space="preserve"> HYPERLINK \l "_Toc216908531" </w:instrText>
          </w:r>
          <w:r>
            <w:fldChar w:fldCharType="separate"/>
          </w:r>
          <w:r>
            <w:rPr>
              <w:rStyle w:val="21"/>
              <w:rFonts w:eastAsia="Times New Roman" w:cs="Times New Roman"/>
            </w:rPr>
            <w:t>3.4</w:t>
          </w:r>
          <w:r>
            <w:rPr>
              <w:rFonts w:asciiTheme="minorHAnsi" w:hAnsiTheme="minorHAnsi"/>
              <w:sz w:val="22"/>
              <w:lang w:val="en-US"/>
            </w:rPr>
            <w:tab/>
          </w:r>
          <w:r>
            <w:rPr>
              <w:rStyle w:val="21"/>
              <w:rFonts w:eastAsia="Times New Roman" w:cs="Times New Roman"/>
            </w:rPr>
            <w:t>Technological Factors</w:t>
          </w:r>
          <w:r>
            <w:tab/>
          </w:r>
          <w:r>
            <w:fldChar w:fldCharType="begin"/>
          </w:r>
          <w:r>
            <w:instrText xml:space="preserve"> PAGEREF _Toc216908531 \h </w:instrText>
          </w:r>
          <w:r>
            <w:fldChar w:fldCharType="separate"/>
          </w:r>
          <w:r>
            <w:t>8</w:t>
          </w:r>
          <w:r>
            <w:fldChar w:fldCharType="end"/>
          </w:r>
          <w:r>
            <w:fldChar w:fldCharType="end"/>
          </w:r>
        </w:p>
        <w:p w14:paraId="394EDAFA">
          <w:pPr>
            <w:pStyle w:val="29"/>
            <w:tabs>
              <w:tab w:val="left" w:pos="1540"/>
              <w:tab w:val="right" w:leader="dot" w:pos="9350"/>
            </w:tabs>
            <w:rPr>
              <w:rFonts w:asciiTheme="minorHAnsi" w:hAnsiTheme="minorHAnsi"/>
              <w:sz w:val="22"/>
              <w:lang w:val="en-US"/>
            </w:rPr>
          </w:pPr>
          <w:r>
            <w:fldChar w:fldCharType="begin"/>
          </w:r>
          <w:r>
            <w:instrText xml:space="preserve"> HYPERLINK \l "_Toc216908532" </w:instrText>
          </w:r>
          <w:r>
            <w:fldChar w:fldCharType="separate"/>
          </w:r>
          <w:r>
            <w:rPr>
              <w:rStyle w:val="21"/>
              <w:rFonts w:eastAsia="Times New Roman" w:cs="Times New Roman"/>
            </w:rPr>
            <w:t>3.5</w:t>
          </w:r>
          <w:r>
            <w:rPr>
              <w:rFonts w:asciiTheme="minorHAnsi" w:hAnsiTheme="minorHAnsi"/>
              <w:sz w:val="22"/>
              <w:lang w:val="en-US"/>
            </w:rPr>
            <w:tab/>
          </w:r>
          <w:r>
            <w:rPr>
              <w:rStyle w:val="21"/>
              <w:rFonts w:eastAsia="Times New Roman" w:cs="Times New Roman"/>
            </w:rPr>
            <w:t>Legal Factors</w:t>
          </w:r>
          <w:r>
            <w:tab/>
          </w:r>
          <w:r>
            <w:fldChar w:fldCharType="begin"/>
          </w:r>
          <w:r>
            <w:instrText xml:space="preserve"> PAGEREF _Toc216908532 \h </w:instrText>
          </w:r>
          <w:r>
            <w:fldChar w:fldCharType="separate"/>
          </w:r>
          <w:r>
            <w:t>9</w:t>
          </w:r>
          <w:r>
            <w:fldChar w:fldCharType="end"/>
          </w:r>
          <w:r>
            <w:fldChar w:fldCharType="end"/>
          </w:r>
        </w:p>
        <w:p w14:paraId="21337C98">
          <w:pPr>
            <w:pStyle w:val="29"/>
            <w:tabs>
              <w:tab w:val="left" w:pos="1540"/>
              <w:tab w:val="right" w:leader="dot" w:pos="9350"/>
            </w:tabs>
            <w:rPr>
              <w:rFonts w:asciiTheme="minorHAnsi" w:hAnsiTheme="minorHAnsi"/>
              <w:sz w:val="22"/>
              <w:lang w:val="en-US"/>
            </w:rPr>
          </w:pPr>
          <w:r>
            <w:fldChar w:fldCharType="begin"/>
          </w:r>
          <w:r>
            <w:instrText xml:space="preserve"> HYPERLINK \l "_Toc216908533" </w:instrText>
          </w:r>
          <w:r>
            <w:fldChar w:fldCharType="separate"/>
          </w:r>
          <w:r>
            <w:rPr>
              <w:rStyle w:val="21"/>
              <w:rFonts w:eastAsia="Times New Roman" w:cs="Times New Roman"/>
            </w:rPr>
            <w:t>3.6</w:t>
          </w:r>
          <w:r>
            <w:rPr>
              <w:rFonts w:asciiTheme="minorHAnsi" w:hAnsiTheme="minorHAnsi"/>
              <w:sz w:val="22"/>
              <w:lang w:val="en-US"/>
            </w:rPr>
            <w:tab/>
          </w:r>
          <w:r>
            <w:rPr>
              <w:rStyle w:val="21"/>
              <w:rFonts w:eastAsia="Times New Roman" w:cs="Times New Roman"/>
            </w:rPr>
            <w:t>Environmental Factors</w:t>
          </w:r>
          <w:r>
            <w:tab/>
          </w:r>
          <w:r>
            <w:fldChar w:fldCharType="begin"/>
          </w:r>
          <w:r>
            <w:instrText xml:space="preserve"> PAGEREF _Toc216908533 \h </w:instrText>
          </w:r>
          <w:r>
            <w:fldChar w:fldCharType="separate"/>
          </w:r>
          <w:r>
            <w:t>9</w:t>
          </w:r>
          <w:r>
            <w:fldChar w:fldCharType="end"/>
          </w:r>
          <w:r>
            <w:fldChar w:fldCharType="end"/>
          </w:r>
        </w:p>
        <w:p w14:paraId="4F3F898B">
          <w:pPr>
            <w:pStyle w:val="28"/>
            <w:tabs>
              <w:tab w:val="left" w:pos="1100"/>
              <w:tab w:val="right" w:leader="dot" w:pos="9350"/>
            </w:tabs>
            <w:rPr>
              <w:rFonts w:asciiTheme="minorHAnsi" w:hAnsiTheme="minorHAnsi"/>
              <w:sz w:val="22"/>
              <w:lang w:val="en-US"/>
            </w:rPr>
          </w:pPr>
          <w:r>
            <w:fldChar w:fldCharType="begin"/>
          </w:r>
          <w:r>
            <w:instrText xml:space="preserve"> HYPERLINK \l "_Toc216908534" </w:instrText>
          </w:r>
          <w:r>
            <w:fldChar w:fldCharType="separate"/>
          </w:r>
          <w:r>
            <w:rPr>
              <w:rStyle w:val="21"/>
              <w:rFonts w:eastAsia="Times New Roman" w:cs="Times New Roman"/>
            </w:rPr>
            <w:t>4</w:t>
          </w:r>
          <w:r>
            <w:rPr>
              <w:rFonts w:asciiTheme="minorHAnsi" w:hAnsiTheme="minorHAnsi"/>
              <w:sz w:val="22"/>
              <w:lang w:val="en-US"/>
            </w:rPr>
            <w:tab/>
          </w:r>
          <w:r>
            <w:rPr>
              <w:rStyle w:val="21"/>
              <w:rFonts w:eastAsia="Times New Roman" w:cs="Times New Roman"/>
            </w:rPr>
            <w:t>Organisational Structure and Technology Application</w:t>
          </w:r>
          <w:r>
            <w:tab/>
          </w:r>
          <w:r>
            <w:fldChar w:fldCharType="begin"/>
          </w:r>
          <w:r>
            <w:instrText xml:space="preserve"> PAGEREF _Toc216908534 \h </w:instrText>
          </w:r>
          <w:r>
            <w:fldChar w:fldCharType="separate"/>
          </w:r>
          <w:r>
            <w:t>10</w:t>
          </w:r>
          <w:r>
            <w:fldChar w:fldCharType="end"/>
          </w:r>
          <w:r>
            <w:fldChar w:fldCharType="end"/>
          </w:r>
        </w:p>
        <w:p w14:paraId="538C676C">
          <w:pPr>
            <w:pStyle w:val="28"/>
            <w:tabs>
              <w:tab w:val="left" w:pos="1100"/>
              <w:tab w:val="right" w:leader="dot" w:pos="9350"/>
            </w:tabs>
            <w:rPr>
              <w:rFonts w:asciiTheme="minorHAnsi" w:hAnsiTheme="minorHAnsi"/>
              <w:sz w:val="22"/>
              <w:lang w:val="en-US"/>
            </w:rPr>
          </w:pPr>
          <w:r>
            <w:fldChar w:fldCharType="begin"/>
          </w:r>
          <w:r>
            <w:instrText xml:space="preserve"> HYPERLINK \l "_Toc216908535" </w:instrText>
          </w:r>
          <w:r>
            <w:fldChar w:fldCharType="separate"/>
          </w:r>
          <w:r>
            <w:rPr>
              <w:rStyle w:val="21"/>
              <w:rFonts w:eastAsia="Times New Roman" w:cs="Times New Roman"/>
            </w:rPr>
            <w:t>5</w:t>
          </w:r>
          <w:r>
            <w:rPr>
              <w:rFonts w:asciiTheme="minorHAnsi" w:hAnsiTheme="minorHAnsi"/>
              <w:sz w:val="22"/>
              <w:lang w:val="en-US"/>
            </w:rPr>
            <w:tab/>
          </w:r>
          <w:r>
            <w:rPr>
              <w:rStyle w:val="21"/>
              <w:rFonts w:eastAsia="Times New Roman" w:cs="Times New Roman"/>
            </w:rPr>
            <w:t>Relocation and Leadership Issues</w:t>
          </w:r>
          <w:r>
            <w:tab/>
          </w:r>
          <w:r>
            <w:fldChar w:fldCharType="begin"/>
          </w:r>
          <w:r>
            <w:instrText xml:space="preserve"> PAGEREF _Toc216908535 \h </w:instrText>
          </w:r>
          <w:r>
            <w:fldChar w:fldCharType="separate"/>
          </w:r>
          <w:r>
            <w:t>12</w:t>
          </w:r>
          <w:r>
            <w:fldChar w:fldCharType="end"/>
          </w:r>
          <w:r>
            <w:fldChar w:fldCharType="end"/>
          </w:r>
        </w:p>
        <w:p w14:paraId="4C68707A">
          <w:pPr>
            <w:pStyle w:val="28"/>
            <w:tabs>
              <w:tab w:val="left" w:pos="1100"/>
              <w:tab w:val="right" w:leader="dot" w:pos="9350"/>
            </w:tabs>
            <w:rPr>
              <w:rFonts w:asciiTheme="minorHAnsi" w:hAnsiTheme="minorHAnsi"/>
              <w:sz w:val="22"/>
              <w:lang w:val="en-US"/>
            </w:rPr>
          </w:pPr>
          <w:r>
            <w:fldChar w:fldCharType="begin"/>
          </w:r>
          <w:r>
            <w:instrText xml:space="preserve"> HYPERLINK \l "_Toc216908536" </w:instrText>
          </w:r>
          <w:r>
            <w:fldChar w:fldCharType="separate"/>
          </w:r>
          <w:r>
            <w:rPr>
              <w:rStyle w:val="21"/>
              <w:rFonts w:eastAsia="Times New Roman" w:cs="Times New Roman"/>
            </w:rPr>
            <w:t>6</w:t>
          </w:r>
          <w:r>
            <w:rPr>
              <w:rFonts w:asciiTheme="minorHAnsi" w:hAnsiTheme="minorHAnsi"/>
              <w:sz w:val="22"/>
              <w:lang w:val="en-US"/>
            </w:rPr>
            <w:tab/>
          </w:r>
          <w:r>
            <w:rPr>
              <w:rStyle w:val="21"/>
              <w:rFonts w:eastAsia="Times New Roman" w:cs="Times New Roman"/>
            </w:rPr>
            <w:t>Conclusion</w:t>
          </w:r>
          <w:r>
            <w:tab/>
          </w:r>
          <w:r>
            <w:fldChar w:fldCharType="begin"/>
          </w:r>
          <w:r>
            <w:instrText xml:space="preserve"> PAGEREF _Toc216908536 \h </w:instrText>
          </w:r>
          <w:r>
            <w:fldChar w:fldCharType="separate"/>
          </w:r>
          <w:r>
            <w:t>13</w:t>
          </w:r>
          <w:r>
            <w:fldChar w:fldCharType="end"/>
          </w:r>
          <w:r>
            <w:fldChar w:fldCharType="end"/>
          </w:r>
        </w:p>
        <w:p w14:paraId="5DAFD4C8">
          <w:pPr>
            <w:pStyle w:val="28"/>
            <w:tabs>
              <w:tab w:val="left" w:pos="1100"/>
              <w:tab w:val="right" w:leader="dot" w:pos="9350"/>
            </w:tabs>
            <w:rPr>
              <w:rFonts w:asciiTheme="minorHAnsi" w:hAnsiTheme="minorHAnsi"/>
              <w:sz w:val="22"/>
              <w:lang w:val="en-US"/>
            </w:rPr>
          </w:pPr>
          <w:r>
            <w:fldChar w:fldCharType="begin"/>
          </w:r>
          <w:r>
            <w:instrText xml:space="preserve"> HYPERLINK \l "_Toc216908537" </w:instrText>
          </w:r>
          <w:r>
            <w:fldChar w:fldCharType="separate"/>
          </w:r>
          <w:r>
            <w:rPr>
              <w:rStyle w:val="21"/>
            </w:rPr>
            <w:t>7</w:t>
          </w:r>
          <w:r>
            <w:rPr>
              <w:rFonts w:asciiTheme="minorHAnsi" w:hAnsiTheme="minorHAnsi"/>
              <w:sz w:val="22"/>
              <w:lang w:val="en-US"/>
            </w:rPr>
            <w:tab/>
          </w:r>
          <w:r>
            <w:rPr>
              <w:rStyle w:val="21"/>
            </w:rPr>
            <w:t>References</w:t>
          </w:r>
          <w:r>
            <w:tab/>
          </w:r>
          <w:r>
            <w:fldChar w:fldCharType="begin"/>
          </w:r>
          <w:r>
            <w:instrText xml:space="preserve"> PAGEREF _Toc216908537 \h </w:instrText>
          </w:r>
          <w:r>
            <w:fldChar w:fldCharType="separate"/>
          </w:r>
          <w:r>
            <w:t>13</w:t>
          </w:r>
          <w:r>
            <w:fldChar w:fldCharType="end"/>
          </w:r>
          <w:r>
            <w:fldChar w:fldCharType="end"/>
          </w:r>
        </w:p>
        <w:p w14:paraId="66119C2F">
          <w:r>
            <w:rPr>
              <w:b/>
              <w:bCs/>
            </w:rPr>
            <w:fldChar w:fldCharType="end"/>
          </w:r>
        </w:p>
      </w:sdtContent>
    </w:sdt>
    <w:p w14:paraId="5E131C27">
      <w:pPr>
        <w:ind w:firstLine="0"/>
        <w:jc w:val="center"/>
        <w:rPr>
          <w:rFonts w:eastAsia="Times New Roman"/>
        </w:rPr>
      </w:pPr>
    </w:p>
    <w:p w14:paraId="54653919">
      <w:pPr>
        <w:jc w:val="center"/>
        <w:rPr>
          <w:rFonts w:eastAsia="Times New Roman"/>
        </w:rPr>
      </w:pPr>
    </w:p>
    <w:p w14:paraId="02D4E1E4">
      <w:pPr>
        <w:ind w:firstLine="0"/>
        <w:rPr>
          <w:rFonts w:eastAsia="Times New Roman"/>
        </w:rPr>
      </w:pPr>
    </w:p>
    <w:p w14:paraId="4C9C4AB5">
      <w:pPr>
        <w:ind w:firstLine="0"/>
        <w:jc w:val="center"/>
        <w:rPr>
          <w:rFonts w:eastAsia="Times New Roman" w:cs="Times New Roman"/>
          <w:szCs w:val="24"/>
        </w:rPr>
      </w:pPr>
      <w:r>
        <w:rPr>
          <w:rFonts w:eastAsia="Times New Roman" w:cs="Times New Roman"/>
          <w:szCs w:val="24"/>
        </w:rPr>
        <w:t>Business Management in Projects</w:t>
      </w:r>
    </w:p>
    <w:p w14:paraId="620E1D8C">
      <w:pPr>
        <w:ind w:firstLine="0"/>
        <w:jc w:val="center"/>
        <w:rPr>
          <w:rFonts w:eastAsia="Times New Roman" w:cs="Times New Roman"/>
          <w:i/>
          <w:iCs/>
          <w:szCs w:val="24"/>
        </w:rPr>
      </w:pPr>
      <w:r>
        <w:rPr>
          <w:rFonts w:eastAsia="Times New Roman" w:cs="Times New Roman"/>
          <w:i/>
          <w:iCs/>
          <w:szCs w:val="24"/>
        </w:rPr>
        <w:t>Feasibility and Strategy for a Growing Smoothie Company</w:t>
      </w:r>
    </w:p>
    <w:p w14:paraId="52907945">
      <w:pPr>
        <w:pStyle w:val="2"/>
        <w:rPr>
          <w:rFonts w:eastAsia="Times New Roman" w:cs="Times New Roman"/>
          <w:szCs w:val="24"/>
        </w:rPr>
      </w:pPr>
      <w:bookmarkStart w:id="0" w:name="_Toc216908518"/>
      <w:r>
        <w:rPr>
          <w:rFonts w:eastAsia="Times New Roman" w:cs="Times New Roman"/>
          <w:szCs w:val="24"/>
        </w:rPr>
        <w:t>Introduction</w:t>
      </w:r>
      <w:bookmarkEnd w:id="0"/>
    </w:p>
    <w:p w14:paraId="653BA6EA">
      <w:pPr>
        <w:rPr>
          <w:rFonts w:cs="Times New Roman"/>
          <w:szCs w:val="24"/>
        </w:rPr>
      </w:pPr>
      <w:r>
        <w:rPr>
          <w:rFonts w:cs="Times New Roman"/>
          <w:szCs w:val="24"/>
        </w:rPr>
        <w:t>This report aims to assess the feasibility of expansion of a small UK-based smoothie business, moving to larger premises and expanding the range of items produced.  Established by three university graduates, the company supplies fruit smoothies to two major supermarkets using quality fruit from the UK and mainland Europe. The company's rapid growth has exposed inefficiencies in the company's operations including missed delivery schedules, unpredictable quality of the products, and lack of communication between suppliers, logistics companies, and the company's internal personnel. In order to evaluate the project and suggest effective implementation strategies, this report uses project management principles, SWOT and PESTLE analyses, organisational theory, and models of leadership and technology management.</w:t>
      </w:r>
    </w:p>
    <w:p w14:paraId="2B207D2F">
      <w:pPr>
        <w:pStyle w:val="3"/>
        <w:rPr>
          <w:rFonts w:eastAsia="Times New Roman" w:cs="Times New Roman"/>
          <w:szCs w:val="24"/>
        </w:rPr>
      </w:pPr>
      <w:bookmarkStart w:id="1" w:name="_Toc216908519"/>
      <w:r>
        <w:rPr>
          <w:rFonts w:eastAsia="Times New Roman" w:cs="Times New Roman"/>
          <w:szCs w:val="24"/>
        </w:rPr>
        <w:t>Basic Principles of Project Management</w:t>
      </w:r>
      <w:bookmarkEnd w:id="1"/>
    </w:p>
    <w:p w14:paraId="525CB9DD">
      <w:pPr>
        <w:rPr>
          <w:rFonts w:eastAsia="Times New Roman" w:cs="Times New Roman"/>
          <w:szCs w:val="24"/>
        </w:rPr>
      </w:pPr>
      <w:r>
        <w:rPr>
          <w:rFonts w:eastAsia="Times New Roman" w:cs="Times New Roman"/>
          <w:szCs w:val="24"/>
        </w:rPr>
        <w:t>The expansion of the firm - relocation, capacity expansion and product diversification - is a complex and high-stakes enterprise requiring rigorous project management methodology to assure success and reduce inherent risks. The basic principle, as given by the Project Management Institute (PMI) standard (PMBOK, 2000), is the precise definition of Scope, Time, and Cost to identify the Triple Constraint. In this case, the scope must be thoroughly defined: this includes the physical relocation to the new industrial premises, the precise expansion in producing capacity (e.g., of 5000 to 15000 bottles/day), and the phased introduction of new lines (coconut water, children's juice, yoghurt-based drinks). Transparency, clarity, and accountability - Clear, measurable deliverables - e.g., helping achieve the third supermarket contract by Q3 2026 - are crucial for alignment and allocation of resources.</w:t>
      </w:r>
    </w:p>
    <w:p w14:paraId="3DE628FE">
      <w:pPr>
        <w:pStyle w:val="4"/>
        <w:rPr>
          <w:rFonts w:eastAsia="Times New Roman"/>
        </w:rPr>
      </w:pPr>
      <w:bookmarkStart w:id="2" w:name="_Toc216908520"/>
      <w:r>
        <w:rPr>
          <w:rFonts w:eastAsia="Times New Roman"/>
        </w:rPr>
        <w:t>Stakeholder Engagement and Risk Management</w:t>
      </w:r>
      <w:bookmarkEnd w:id="2"/>
    </w:p>
    <w:p w14:paraId="74A92E47">
      <w:pPr>
        <w:rPr>
          <w:rFonts w:eastAsia="Times New Roman" w:cs="Times New Roman"/>
          <w:szCs w:val="24"/>
        </w:rPr>
      </w:pPr>
      <w:r>
        <w:rPr>
          <w:rFonts w:eastAsia="Times New Roman" w:cs="Times New Roman"/>
          <w:szCs w:val="24"/>
        </w:rPr>
        <w:t>The engagement of stakeholders is a crucial, high priority principle especially in the face of the current communication breakdown. By applying Freeman's Stakeholder Theory (2010), the project needs to systematically identify, map and address the specific interests of dedicated fresh fruit suppliers, transport providers, key supermarket clients and internal employees. Proactive, formalized communication channels are imperative in order to build cooperation and agree on expectations for the logistical changes. Moreover, risk management needs to be proactive rather than reactive in its response to the vulnerability of the firm to interruptions in supply and delivery. Key risks, such as price volatility of raw materials (e.g., a 15% increase in fruit costs), or failure to meet the third supermarket's schedule for take-off, would require sourcing contingencies and specific logistics back-up plans.</w:t>
      </w:r>
    </w:p>
    <w:p w14:paraId="00D3CA6A">
      <w:pPr>
        <w:pStyle w:val="4"/>
        <w:rPr>
          <w:rFonts w:eastAsia="Times New Roman"/>
        </w:rPr>
      </w:pPr>
      <w:bookmarkStart w:id="3" w:name="_Toc216908521"/>
      <w:r>
        <w:rPr>
          <w:rFonts w:eastAsia="Times New Roman"/>
        </w:rPr>
        <w:t>Cost, Quality and Change Management</w:t>
      </w:r>
      <w:bookmarkEnd w:id="3"/>
    </w:p>
    <w:p w14:paraId="28D09455">
      <w:pPr>
        <w:rPr>
          <w:rFonts w:eastAsia="Times New Roman" w:cs="Times New Roman"/>
          <w:szCs w:val="24"/>
        </w:rPr>
      </w:pPr>
      <w:r>
        <w:rPr>
          <w:rFonts w:eastAsia="Times New Roman" w:cs="Times New Roman"/>
          <w:szCs w:val="24"/>
        </w:rPr>
        <w:t>In order to ensure financial viability, rigorous cost planning and resources are indispensable. This involves the development of a detailed budget for capital expenses (new premises and equipment) and operational costs (more staffing and more utilities). Quality management must be a priority, which reflects the position of the company as a provider of 'healthy products'. This requires the introduction of standardised manufacturing processes certified to a high UK standard (e.g., BRCGS), creating a rigorous checking process on all product lines and ensuring the compliance of suppliers to maintain brand trust and competitiveness. Finally, managing the organisational change prevalent in moving to a larger structure is fundamental. Leveraging the Kotter's 8 Step Model (1996) the directors must aggressively communicate the dire need for structural change, create a dedicated guiding coalition beyond the founding three and create a clear vision for the expanded and efficient future in order to achieve successful adoption of the new operating model.</w:t>
      </w:r>
    </w:p>
    <w:p w14:paraId="1B85DA48">
      <w:pPr>
        <w:pStyle w:val="2"/>
        <w:rPr>
          <w:rFonts w:eastAsia="Times New Roman" w:cs="Times New Roman"/>
          <w:szCs w:val="24"/>
        </w:rPr>
      </w:pPr>
      <w:bookmarkStart w:id="4" w:name="_Toc216908522"/>
      <w:r>
        <w:rPr>
          <w:rFonts w:eastAsia="Times New Roman" w:cs="Times New Roman"/>
          <w:szCs w:val="24"/>
        </w:rPr>
        <w:t>SWOT Analysis: Internal and External Assessment</w:t>
      </w:r>
      <w:bookmarkEnd w:id="4"/>
    </w:p>
    <w:p w14:paraId="7913C210">
      <w:pPr>
        <w:pStyle w:val="3"/>
        <w:rPr>
          <w:rFonts w:eastAsia="Times New Roman" w:cs="Times New Roman"/>
          <w:szCs w:val="24"/>
        </w:rPr>
      </w:pPr>
      <w:bookmarkStart w:id="5" w:name="_Toc216908523"/>
      <w:r>
        <w:rPr>
          <w:rFonts w:eastAsia="Times New Roman" w:cs="Times New Roman"/>
          <w:szCs w:val="24"/>
        </w:rPr>
        <w:t>Strengths (Internal Capabilities)</w:t>
      </w:r>
      <w:bookmarkEnd w:id="5"/>
    </w:p>
    <w:p w14:paraId="7ED94C29">
      <w:pPr>
        <w:pStyle w:val="31"/>
        <w:numPr>
          <w:ilvl w:val="0"/>
          <w:numId w:val="2"/>
        </w:numPr>
        <w:rPr>
          <w:rFonts w:eastAsia="Times New Roman" w:cs="Times New Roman"/>
          <w:szCs w:val="24"/>
        </w:rPr>
      </w:pPr>
      <w:r>
        <w:rPr>
          <w:rFonts w:eastAsia="Times New Roman" w:cs="Times New Roman"/>
          <w:szCs w:val="24"/>
        </w:rPr>
        <w:t>The firm's key strength lies in its excellent performance in the market, demonstrated by substantial sales in two leading UK supermarkets (see table 1). This success has been supported by the successful branding of the products as healthy, aligned directly with the strong health and wellness market in the UK, which is expected to see a compound annual growth rate (CAGR) of 3.76% between 2025 and 2033 (IMARC Group, 2024).</w:t>
      </w:r>
    </w:p>
    <w:p w14:paraId="4621EFFA">
      <w:pPr>
        <w:pStyle w:val="31"/>
        <w:numPr>
          <w:ilvl w:val="0"/>
          <w:numId w:val="2"/>
        </w:numPr>
        <w:rPr>
          <w:rFonts w:eastAsia="Times New Roman" w:cs="Times New Roman"/>
          <w:szCs w:val="24"/>
        </w:rPr>
      </w:pPr>
      <w:r>
        <w:rPr>
          <w:rFonts w:eastAsia="Times New Roman" w:cs="Times New Roman"/>
          <w:szCs w:val="24"/>
        </w:rPr>
        <w:t xml:space="preserve"> The company has also developed close, committed supplier relationships mainly in the UK and Europe. This geographical sourcing strategy is a competitive advantage in light of consumers increasingly placing a premium on sourcing, UK being self-sufficient at 15% (Defra, 2024). </w:t>
      </w:r>
    </w:p>
    <w:p w14:paraId="004D4414">
      <w:pPr>
        <w:pStyle w:val="31"/>
        <w:numPr>
          <w:ilvl w:val="0"/>
          <w:numId w:val="2"/>
        </w:numPr>
        <w:rPr>
          <w:rFonts w:eastAsia="Times New Roman" w:cs="Times New Roman"/>
          <w:szCs w:val="24"/>
        </w:rPr>
      </w:pPr>
      <w:r>
        <w:rPr>
          <w:rFonts w:eastAsia="Times New Roman" w:cs="Times New Roman"/>
          <w:szCs w:val="24"/>
        </w:rPr>
        <w:t xml:space="preserve">Consequently, the firm's established access to a reliable fruit supply is a critical asset. </w:t>
      </w:r>
    </w:p>
    <w:p w14:paraId="66470208">
      <w:pPr>
        <w:pStyle w:val="31"/>
        <w:numPr>
          <w:ilvl w:val="0"/>
          <w:numId w:val="2"/>
        </w:numPr>
        <w:rPr>
          <w:rFonts w:eastAsia="Times New Roman" w:cs="Times New Roman"/>
          <w:szCs w:val="24"/>
        </w:rPr>
      </w:pPr>
      <w:r>
        <w:rPr>
          <w:rFonts w:eastAsia="Times New Roman" w:cs="Times New Roman"/>
          <w:szCs w:val="24"/>
        </w:rPr>
        <w:t>The three co-directors met while studying at the university, and form a cohesive management unit which supports a vision, and helps accelerate initial decision-making processes. This synergy helps the firm to expand into new categories: healthy soups and coconut water.</w:t>
      </w:r>
    </w:p>
    <w:p w14:paraId="1AA14BA6">
      <w:pPr>
        <w:pStyle w:val="3"/>
        <w:rPr>
          <w:rFonts w:eastAsia="Times New Roman" w:cs="Times New Roman"/>
          <w:szCs w:val="24"/>
        </w:rPr>
      </w:pPr>
      <w:bookmarkStart w:id="6" w:name="_Toc216908524"/>
      <w:r>
        <w:rPr>
          <w:rFonts w:eastAsia="Times New Roman" w:cs="Times New Roman"/>
          <w:szCs w:val="24"/>
        </w:rPr>
        <w:t>Weaknesses (Internal Limitations)</w:t>
      </w:r>
      <w:bookmarkEnd w:id="6"/>
    </w:p>
    <w:p w14:paraId="2A61C03D">
      <w:pPr>
        <w:pStyle w:val="31"/>
        <w:numPr>
          <w:ilvl w:val="0"/>
          <w:numId w:val="3"/>
        </w:numPr>
        <w:rPr>
          <w:rFonts w:eastAsia="Times New Roman" w:cs="Times New Roman"/>
          <w:szCs w:val="24"/>
        </w:rPr>
      </w:pPr>
      <w:r>
        <w:rPr>
          <w:rFonts w:eastAsia="Times New Roman" w:cs="Times New Roman"/>
          <w:szCs w:val="24"/>
        </w:rPr>
        <w:t xml:space="preserve">The rapid growth of the firm has exposed major operational weaknesses that threaten the proposed relocation and diversification strategy. A basic deficiency includes lack of strong organisational structure and weak change management practises that have led to breakdown of operations directly. </w:t>
      </w:r>
    </w:p>
    <w:p w14:paraId="6796F3A9">
      <w:pPr>
        <w:pStyle w:val="31"/>
        <w:numPr>
          <w:ilvl w:val="0"/>
          <w:numId w:val="3"/>
        </w:numPr>
        <w:rPr>
          <w:rFonts w:eastAsia="Times New Roman" w:cs="Times New Roman"/>
          <w:szCs w:val="24"/>
        </w:rPr>
      </w:pPr>
      <w:r>
        <w:rPr>
          <w:rFonts w:eastAsia="Times New Roman" w:cs="Times New Roman"/>
          <w:szCs w:val="24"/>
        </w:rPr>
        <w:t xml:space="preserve">Consequently, the organisation has suffered several failures in delivery and a decline in fruit collection quality. These issues are especially damaging to the time-sensitive UK chilled-food supply chain, where absolute reliability is required by major retailers. </w:t>
      </w:r>
    </w:p>
    <w:p w14:paraId="3A56BEE4">
      <w:pPr>
        <w:pStyle w:val="31"/>
        <w:numPr>
          <w:ilvl w:val="0"/>
          <w:numId w:val="3"/>
        </w:numPr>
        <w:rPr>
          <w:rFonts w:eastAsia="Times New Roman" w:cs="Times New Roman"/>
          <w:szCs w:val="24"/>
        </w:rPr>
      </w:pPr>
      <w:r>
        <w:rPr>
          <w:rFonts w:eastAsia="Times New Roman" w:cs="Times New Roman"/>
          <w:szCs w:val="24"/>
        </w:rPr>
        <w:t>The current system is characterised by poor communication between all stakeholders, an unsustainable paradigm, which is destined to be severely challenged by the expected increase in complexity and throughput (Food Standards Agency, 2024).</w:t>
      </w:r>
    </w:p>
    <w:p w14:paraId="545157B6">
      <w:pPr>
        <w:pStyle w:val="31"/>
        <w:numPr>
          <w:ilvl w:val="0"/>
          <w:numId w:val="3"/>
        </w:numPr>
        <w:rPr>
          <w:rFonts w:eastAsia="Times New Roman" w:cs="Times New Roman"/>
          <w:szCs w:val="24"/>
        </w:rPr>
      </w:pPr>
      <w:r>
        <w:rPr>
          <w:rFonts w:eastAsia="Times New Roman" w:cs="Times New Roman"/>
          <w:szCs w:val="24"/>
        </w:rPr>
        <w:t xml:space="preserve"> Expanding production without creating a formal management hierarchy will inevitably widen communication lacunae and add to operational inconsistencies, thereby jeopardising the chances of securing the third supermarket contract.</w:t>
      </w:r>
    </w:p>
    <w:p w14:paraId="1A8D7511">
      <w:pPr>
        <w:pStyle w:val="3"/>
        <w:rPr>
          <w:rFonts w:eastAsia="Times New Roman" w:cs="Times New Roman"/>
          <w:szCs w:val="24"/>
        </w:rPr>
      </w:pPr>
      <w:bookmarkStart w:id="7" w:name="_Toc216908525"/>
      <w:r>
        <w:rPr>
          <w:rFonts w:eastAsia="Times New Roman" w:cs="Times New Roman"/>
          <w:szCs w:val="24"/>
        </w:rPr>
        <w:t>Opportunities (External Potential)</w:t>
      </w:r>
      <w:bookmarkEnd w:id="7"/>
    </w:p>
    <w:p w14:paraId="54BD63B8">
      <w:pPr>
        <w:pStyle w:val="31"/>
        <w:numPr>
          <w:ilvl w:val="0"/>
          <w:numId w:val="4"/>
        </w:numPr>
        <w:rPr>
          <w:rFonts w:eastAsia="Times New Roman" w:cs="Times New Roman"/>
          <w:szCs w:val="24"/>
        </w:rPr>
      </w:pPr>
      <w:r>
        <w:rPr>
          <w:rFonts w:eastAsia="Times New Roman" w:cs="Times New Roman"/>
          <w:szCs w:val="24"/>
        </w:rPr>
        <w:t xml:space="preserve">The external environment provides ample scope for both immediate and distant expansion. The most immediate opportunity comes from the strong interest shown by a leading UK supermarket chain, with whom a partnership would significantly increase the reach for distribution. </w:t>
      </w:r>
    </w:p>
    <w:p w14:paraId="34065B73">
      <w:pPr>
        <w:pStyle w:val="31"/>
        <w:numPr>
          <w:ilvl w:val="0"/>
          <w:numId w:val="4"/>
        </w:numPr>
        <w:rPr>
          <w:rFonts w:eastAsia="Times New Roman" w:cs="Times New Roman"/>
          <w:szCs w:val="24"/>
        </w:rPr>
      </w:pPr>
      <w:r>
        <w:rPr>
          <w:rFonts w:eastAsia="Times New Roman" w:cs="Times New Roman"/>
          <w:szCs w:val="24"/>
        </w:rPr>
        <w:t>The proposed relocation for larger industrial premises is emphatic to provide a requisite logistical capacity to adjust this growth and allow for diversification to make product lines.</w:t>
      </w:r>
    </w:p>
    <w:p w14:paraId="59FDEE59">
      <w:pPr>
        <w:pStyle w:val="31"/>
        <w:numPr>
          <w:ilvl w:val="0"/>
          <w:numId w:val="4"/>
        </w:numPr>
        <w:rPr>
          <w:rFonts w:eastAsia="Times New Roman" w:cs="Times New Roman"/>
          <w:szCs w:val="24"/>
        </w:rPr>
      </w:pPr>
      <w:r>
        <w:rPr>
          <w:rFonts w:eastAsia="Times New Roman" w:cs="Times New Roman"/>
          <w:szCs w:val="24"/>
        </w:rPr>
        <w:t xml:space="preserve"> The firm's natural position on health can be strategically exploited in order to meet market gaps, particularly with the introduction of new product categories. For example, demand for "naturally healthy" food products is increasingly growing; the health and wellness food market is growing globally, with a compound annual growth rate of 9.8% expected between 2024 and 2029 (Technavio, 2024).</w:t>
      </w:r>
    </w:p>
    <w:p w14:paraId="6456BEED">
      <w:pPr>
        <w:pStyle w:val="31"/>
        <w:numPr>
          <w:ilvl w:val="0"/>
          <w:numId w:val="4"/>
        </w:numPr>
        <w:rPr>
          <w:rFonts w:eastAsia="Times New Roman" w:cs="Times New Roman"/>
          <w:szCs w:val="24"/>
        </w:rPr>
      </w:pPr>
      <w:r>
        <w:rPr>
          <w:rFonts w:eastAsia="Times New Roman" w:cs="Times New Roman"/>
          <w:szCs w:val="24"/>
        </w:rPr>
        <w:t xml:space="preserve"> By expanding into functional product areas like yoghurt-based beverages for gut health and low sugar children's juices, the company is poised to secure a bigger share of the growing consumer expenditure.</w:t>
      </w:r>
    </w:p>
    <w:p w14:paraId="5864D47C">
      <w:pPr>
        <w:pStyle w:val="3"/>
        <w:rPr>
          <w:rFonts w:cs="Times New Roman"/>
          <w:szCs w:val="24"/>
        </w:rPr>
      </w:pPr>
      <w:bookmarkStart w:id="8" w:name="_Toc216908526"/>
      <w:r>
        <w:rPr>
          <w:rFonts w:cs="Times New Roman"/>
          <w:szCs w:val="24"/>
        </w:rPr>
        <w:t>Threats (External Challenges)</w:t>
      </w:r>
      <w:bookmarkEnd w:id="8"/>
    </w:p>
    <w:p w14:paraId="6ACABA45">
      <w:pPr>
        <w:pStyle w:val="31"/>
        <w:numPr>
          <w:ilvl w:val="0"/>
          <w:numId w:val="5"/>
        </w:numPr>
        <w:rPr>
          <w:rFonts w:cs="Times New Roman"/>
          <w:szCs w:val="24"/>
        </w:rPr>
      </w:pPr>
      <w:r>
        <w:rPr>
          <w:rFonts w:cs="Times New Roman"/>
          <w:szCs w:val="24"/>
        </w:rPr>
        <w:t xml:space="preserve">The firm operates within a highly competitive UK grocery market, in which established brands and the more powerful retailer own label products pose a persistent threat. The top supermarkets in the UK all have significant market shares - Tesco, for example, had 27.9% in early 2025 (GOV.UK, 2025) - giving them massive negotiating power over smaller suppliers. </w:t>
      </w:r>
    </w:p>
    <w:p w14:paraId="2EFAA771">
      <w:pPr>
        <w:pStyle w:val="31"/>
        <w:numPr>
          <w:ilvl w:val="0"/>
          <w:numId w:val="5"/>
        </w:numPr>
        <w:rPr>
          <w:rFonts w:cs="Times New Roman"/>
          <w:szCs w:val="24"/>
        </w:rPr>
      </w:pPr>
      <w:r>
        <w:rPr>
          <w:rFonts w:cs="Times New Roman"/>
          <w:szCs w:val="24"/>
        </w:rPr>
        <w:t>Additionally, the firm is susceptible to outside economic forces. Levels of inflation in the United Kingdom have remained consistently high in the food and non-alcoholic beverage industry at 7.0</w:t>
      </w:r>
      <w:r>
        <w:rPr>
          <w:rFonts w:eastAsia="Times New Roman" w:cs="Times New Roman"/>
          <w:szCs w:val="24"/>
        </w:rPr>
        <w:t xml:space="preserve">% </w:t>
      </w:r>
      <w:r>
        <w:rPr>
          <w:rFonts w:cs="Times New Roman"/>
          <w:szCs w:val="24"/>
        </w:rPr>
        <w:t xml:space="preserve">as of the start of 2024 (ONS, 2024). This cost-of-living crisis provides an incentive for consumers to become more price-sensitive and therefore increases the likelihood of switching to cheaper alternatives. </w:t>
      </w:r>
    </w:p>
    <w:p w14:paraId="4EE1533F">
      <w:pPr>
        <w:pStyle w:val="31"/>
        <w:numPr>
          <w:ilvl w:val="0"/>
          <w:numId w:val="5"/>
        </w:numPr>
        <w:rPr>
          <w:rFonts w:cs="Times New Roman"/>
          <w:szCs w:val="24"/>
        </w:rPr>
      </w:pPr>
      <w:r>
        <w:rPr>
          <w:rFonts w:cs="Times New Roman"/>
          <w:szCs w:val="24"/>
        </w:rPr>
        <w:t>The company relying on import of fruit from Europe is also prone to exchange rate fluctuation and possible trade friction leading to negative impacts on raw material costs and profitability.</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6"/>
        <w:gridCol w:w="8040"/>
      </w:tblGrid>
      <w:tr w14:paraId="7C4A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135F6029">
            <w:pPr>
              <w:spacing w:after="0" w:line="276" w:lineRule="auto"/>
              <w:ind w:firstLine="0"/>
              <w:jc w:val="center"/>
              <w:rPr>
                <w:rFonts w:eastAsia="Times New Roman" w:cs="Times New Roman"/>
                <w:b/>
                <w:bCs/>
                <w:szCs w:val="24"/>
              </w:rPr>
            </w:pPr>
            <w:r>
              <w:rPr>
                <w:rFonts w:eastAsia="Times New Roman" w:cs="Times New Roman"/>
                <w:b/>
                <w:bCs/>
                <w:szCs w:val="24"/>
              </w:rPr>
              <w:t>Areas</w:t>
            </w:r>
          </w:p>
        </w:tc>
        <w:tc>
          <w:tcPr>
            <w:tcW w:w="0" w:type="auto"/>
          </w:tcPr>
          <w:p w14:paraId="4CF8B526">
            <w:pPr>
              <w:spacing w:after="0" w:line="276" w:lineRule="auto"/>
              <w:ind w:firstLine="0"/>
              <w:jc w:val="center"/>
              <w:rPr>
                <w:rFonts w:eastAsia="Times New Roman" w:cs="Times New Roman"/>
                <w:b/>
                <w:bCs/>
                <w:szCs w:val="24"/>
              </w:rPr>
            </w:pPr>
            <w:r>
              <w:rPr>
                <w:rFonts w:eastAsia="Times New Roman" w:cs="Times New Roman"/>
                <w:b/>
                <w:bCs/>
                <w:szCs w:val="24"/>
              </w:rPr>
              <w:t>Key Points</w:t>
            </w:r>
          </w:p>
        </w:tc>
      </w:tr>
      <w:tr w14:paraId="0FF2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48A92A">
            <w:pPr>
              <w:spacing w:after="0" w:line="276" w:lineRule="auto"/>
              <w:ind w:firstLine="0"/>
              <w:jc w:val="left"/>
              <w:rPr>
                <w:rFonts w:eastAsia="Times New Roman" w:cs="Times New Roman"/>
                <w:szCs w:val="24"/>
              </w:rPr>
            </w:pPr>
            <w:r>
              <w:rPr>
                <w:rFonts w:eastAsia="Times New Roman" w:cs="Times New Roman"/>
                <w:szCs w:val="24"/>
              </w:rPr>
              <w:t>Strengths</w:t>
            </w:r>
          </w:p>
        </w:tc>
        <w:tc>
          <w:tcPr>
            <w:tcW w:w="0" w:type="auto"/>
          </w:tcPr>
          <w:p w14:paraId="038E94E4">
            <w:pPr>
              <w:spacing w:after="0" w:line="276" w:lineRule="auto"/>
              <w:ind w:firstLine="0"/>
              <w:jc w:val="left"/>
              <w:rPr>
                <w:rFonts w:eastAsia="Times New Roman" w:cs="Times New Roman"/>
                <w:szCs w:val="24"/>
              </w:rPr>
            </w:pPr>
            <w:r>
              <w:rPr>
                <w:rFonts w:eastAsia="Times New Roman" w:cs="Times New Roman"/>
                <w:szCs w:val="24"/>
              </w:rPr>
              <w:t>Strong UK supermarket sales, health-focused brand, reliable UK and Europe based suppliers, founding management team.</w:t>
            </w:r>
          </w:p>
        </w:tc>
      </w:tr>
      <w:tr w14:paraId="435C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9F5FFC2">
            <w:pPr>
              <w:spacing w:after="0" w:line="276" w:lineRule="auto"/>
              <w:ind w:firstLine="0"/>
              <w:jc w:val="left"/>
              <w:rPr>
                <w:rFonts w:eastAsia="Times New Roman" w:cs="Times New Roman"/>
                <w:szCs w:val="24"/>
              </w:rPr>
            </w:pPr>
            <w:r>
              <w:rPr>
                <w:rFonts w:eastAsia="Times New Roman" w:cs="Times New Roman"/>
                <w:szCs w:val="24"/>
              </w:rPr>
              <w:t>Weaknesses</w:t>
            </w:r>
          </w:p>
        </w:tc>
        <w:tc>
          <w:tcPr>
            <w:tcW w:w="0" w:type="auto"/>
          </w:tcPr>
          <w:p w14:paraId="1D61934A">
            <w:pPr>
              <w:spacing w:after="0" w:line="276" w:lineRule="auto"/>
              <w:ind w:firstLine="0"/>
              <w:jc w:val="left"/>
              <w:rPr>
                <w:rFonts w:eastAsia="Times New Roman" w:cs="Times New Roman"/>
                <w:szCs w:val="24"/>
              </w:rPr>
            </w:pPr>
            <w:r>
              <w:rPr>
                <w:rFonts w:eastAsia="Times New Roman" w:cs="Times New Roman"/>
                <w:szCs w:val="24"/>
              </w:rPr>
              <w:t>Weak organisational structure Poor change management Communication failures Decreasing delivery reliability and quality</w:t>
            </w:r>
          </w:p>
        </w:tc>
      </w:tr>
      <w:tr w14:paraId="6790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3FCCAD">
            <w:pPr>
              <w:spacing w:after="0" w:line="276" w:lineRule="auto"/>
              <w:ind w:firstLine="0"/>
              <w:jc w:val="left"/>
              <w:rPr>
                <w:rFonts w:eastAsia="Times New Roman" w:cs="Times New Roman"/>
                <w:szCs w:val="24"/>
              </w:rPr>
            </w:pPr>
            <w:r>
              <w:rPr>
                <w:rFonts w:eastAsia="Times New Roman" w:cs="Times New Roman"/>
                <w:szCs w:val="24"/>
              </w:rPr>
              <w:t>Opportunities</w:t>
            </w:r>
          </w:p>
        </w:tc>
        <w:tc>
          <w:tcPr>
            <w:tcW w:w="0" w:type="auto"/>
          </w:tcPr>
          <w:p w14:paraId="3B9BEAEE">
            <w:pPr>
              <w:spacing w:after="0" w:line="276" w:lineRule="auto"/>
              <w:ind w:firstLine="0"/>
              <w:jc w:val="left"/>
              <w:rPr>
                <w:rFonts w:eastAsia="Times New Roman" w:cs="Times New Roman"/>
                <w:szCs w:val="24"/>
              </w:rPr>
            </w:pPr>
            <w:r>
              <w:rPr>
                <w:rFonts w:eastAsia="Times New Roman" w:cs="Times New Roman"/>
                <w:szCs w:val="24"/>
              </w:rPr>
              <w:t>New supermarket partnership, move for scale, diversification into healthy beverages &amp; functional products.</w:t>
            </w:r>
          </w:p>
        </w:tc>
      </w:tr>
      <w:tr w14:paraId="09E9B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26F909">
            <w:pPr>
              <w:spacing w:after="0" w:line="276" w:lineRule="auto"/>
              <w:ind w:firstLine="0"/>
              <w:jc w:val="left"/>
              <w:rPr>
                <w:rFonts w:eastAsia="Times New Roman" w:cs="Times New Roman"/>
                <w:szCs w:val="24"/>
              </w:rPr>
            </w:pPr>
            <w:r>
              <w:rPr>
                <w:rFonts w:eastAsia="Times New Roman" w:cs="Times New Roman"/>
                <w:szCs w:val="24"/>
              </w:rPr>
              <w:t>Threats</w:t>
            </w:r>
          </w:p>
        </w:tc>
        <w:tc>
          <w:tcPr>
            <w:tcW w:w="0" w:type="auto"/>
          </w:tcPr>
          <w:p w14:paraId="4B2C9F57">
            <w:pPr>
              <w:spacing w:after="0" w:line="276" w:lineRule="auto"/>
              <w:ind w:firstLine="0"/>
              <w:jc w:val="left"/>
              <w:rPr>
                <w:rFonts w:eastAsia="Times New Roman" w:cs="Times New Roman"/>
                <w:szCs w:val="24"/>
              </w:rPr>
            </w:pPr>
            <w:r>
              <w:rPr>
                <w:rFonts w:eastAsia="Times New Roman" w:cs="Times New Roman"/>
                <w:szCs w:val="24"/>
              </w:rPr>
              <w:t>High supermarket bargaining power, Private Labels, Inflationary price sensitivity, Volatile exchange rate.</w:t>
            </w:r>
          </w:p>
        </w:tc>
      </w:tr>
    </w:tbl>
    <w:p w14:paraId="086CE950">
      <w:pPr>
        <w:pStyle w:val="48"/>
        <w:ind w:left="0" w:firstLine="0"/>
        <w:rPr>
          <w:rFonts w:eastAsiaTheme="majorEastAsia"/>
          <w:sz w:val="20"/>
          <w:szCs w:val="18"/>
        </w:rPr>
      </w:pPr>
      <w:r>
        <w:rPr>
          <w:rFonts w:eastAsiaTheme="majorEastAsia"/>
          <w:sz w:val="20"/>
          <w:szCs w:val="18"/>
        </w:rPr>
        <w:t>Table 1 – SWOT Analysis Summary</w:t>
      </w:r>
    </w:p>
    <w:p w14:paraId="4E04ADEE">
      <w:pPr>
        <w:pStyle w:val="2"/>
        <w:rPr>
          <w:rFonts w:eastAsia="Times New Roman" w:cs="Times New Roman"/>
          <w:szCs w:val="24"/>
        </w:rPr>
      </w:pPr>
      <w:bookmarkStart w:id="9" w:name="_Toc216908527"/>
      <w:r>
        <w:rPr>
          <w:rFonts w:eastAsia="Times New Roman" w:cs="Times New Roman"/>
          <w:szCs w:val="24"/>
        </w:rPr>
        <w:t>PESTLE Analysis: Macro-Environmental Factors</w:t>
      </w:r>
      <w:bookmarkEnd w:id="9"/>
    </w:p>
    <w:p w14:paraId="249164B8">
      <w:pPr>
        <w:pStyle w:val="3"/>
        <w:rPr>
          <w:rFonts w:eastAsia="Times New Roman" w:cs="Times New Roman"/>
          <w:szCs w:val="24"/>
        </w:rPr>
      </w:pPr>
      <w:bookmarkStart w:id="10" w:name="_Toc216908528"/>
      <w:r>
        <w:rPr>
          <w:rFonts w:eastAsia="Times New Roman" w:cs="Times New Roman"/>
          <w:szCs w:val="24"/>
        </w:rPr>
        <w:t>Political Factors</w:t>
      </w:r>
      <w:bookmarkEnd w:id="10"/>
    </w:p>
    <w:p w14:paraId="70708D06">
      <w:pPr>
        <w:rPr>
          <w:rFonts w:eastAsia="Times New Roman" w:cs="Times New Roman"/>
          <w:szCs w:val="24"/>
        </w:rPr>
      </w:pPr>
      <w:r>
        <w:rPr>
          <w:rFonts w:eastAsia="Times New Roman" w:cs="Times New Roman"/>
          <w:szCs w:val="24"/>
        </w:rPr>
        <w:t>The political environment within UK, in respect of trade and public health issues, simultaneously imposes compliance prerequisites and strategic imperatives (see table 2).  Post-Brexit Trade arrangements still affect the easy imports of fruit from Europe and hence creating further administrative complexity and possible delays. The emphasis on nutrition and public health in UK means that the regulations on HFSS foods are tightly followed because they are prohibited in their location and advertisement.  Although existing smoothie offerings are viewed as healthy, new product lines, and especially those aimed at children, will have to be carefully formulated to meet stringent compliance levels. Moreover, any changes in agricultural labour policy or food security requirements (Defra, 2024) within the United Kingdom may impact the reliability and cost of the company's single-sourced domestic fruit suppliers.</w:t>
      </w:r>
    </w:p>
    <w:p w14:paraId="66E23A2D">
      <w:pPr>
        <w:pStyle w:val="3"/>
        <w:rPr>
          <w:rFonts w:eastAsia="Times New Roman" w:cs="Times New Roman"/>
          <w:szCs w:val="24"/>
        </w:rPr>
      </w:pPr>
      <w:bookmarkStart w:id="11" w:name="_Toc216908529"/>
      <w:r>
        <w:rPr>
          <w:rFonts w:eastAsia="Times New Roman" w:cs="Times New Roman"/>
          <w:szCs w:val="24"/>
        </w:rPr>
        <w:t>Economic Factors</w:t>
      </w:r>
      <w:bookmarkEnd w:id="11"/>
    </w:p>
    <w:p w14:paraId="3EAE056F">
      <w:pPr>
        <w:rPr>
          <w:rFonts w:eastAsia="Times New Roman" w:cs="Times New Roman"/>
          <w:szCs w:val="24"/>
        </w:rPr>
      </w:pPr>
      <w:r>
        <w:rPr>
          <w:rFonts w:eastAsia="Times New Roman" w:cs="Times New Roman"/>
          <w:szCs w:val="24"/>
        </w:rPr>
        <w:t>The perennial economic uncertainty in the UK creates a challenging environment for large capital projects such as moving to new premises. The enterprise faces rising operating costs, as shown by the 7.8% rise in domestic business gas prices in real terms from the second quarter of 2024 to the second quarter of 2025 (GOV.UK, 2025). This escalation has a direct impact on the production and storage cost of chilled goods. Although the inflation rate for the consumer price index (CPI) for food and non-alcoholic beverages has receded from its peak, the very high cost of living suggests that around 40% of adults in Great Britain said they were having to spend more than usual in the past few months on food in early 2024 (ONS, 2024). Consequently, the pressures on household budgets mean that the firm's premium, health-centric product must still constantly prove its price point in the face of lower-cost competitors, and therefore imposes stringent cost management imperatives on the new, larger facility.</w:t>
      </w:r>
    </w:p>
    <w:p w14:paraId="47DB040E">
      <w:pPr>
        <w:pStyle w:val="3"/>
        <w:rPr>
          <w:rFonts w:eastAsia="Times New Roman" w:cs="Times New Roman"/>
          <w:szCs w:val="24"/>
        </w:rPr>
      </w:pPr>
      <w:bookmarkStart w:id="12" w:name="_Toc216908530"/>
      <w:r>
        <w:rPr>
          <w:rFonts w:eastAsia="Times New Roman" w:cs="Times New Roman"/>
          <w:szCs w:val="24"/>
        </w:rPr>
        <w:t>Sociocultural Factors</w:t>
      </w:r>
      <w:bookmarkEnd w:id="12"/>
    </w:p>
    <w:p w14:paraId="086FCB76">
      <w:pPr>
        <w:rPr>
          <w:rFonts w:eastAsia="Times New Roman" w:cs="Times New Roman"/>
          <w:szCs w:val="24"/>
        </w:rPr>
      </w:pPr>
      <w:r>
        <w:rPr>
          <w:rFonts w:eastAsia="Times New Roman" w:cs="Times New Roman"/>
          <w:szCs w:val="24"/>
        </w:rPr>
        <w:t>Sociocultural trends in the United Kingdom seem to be very much in favour of the firm's developed healthy image, hence, a good impetus for expansion. A significant majority of UK consumers, about 73% of adults, put considerable emphasis on the role of diet in maintaining general health (Mintel, 2024). Therefore, the "better-for-you" market gains momentum due to a sustained focus on public health. The firm's inclusion of fruit from the UK and Europe is consistent with the growing consumer preference for locally provenance and ethically sources.  Acts of vigilance related to consumer trust are nonetheless imperative. The scrutiny of "health claims" is pronounced, as per a recent study it has been indicated that even in the categories of fruit juices and smoothies, 31.8% of products contained a health claim in 2024, which speaks volumes of the competitive nature of health claims (Coates et al., 2024). Hence, the company is obliged to ensure legal compliance and transparent communication of all health claims linked to new products to maintain the confidence of consumers.</w:t>
      </w:r>
    </w:p>
    <w:p w14:paraId="578DAE57">
      <w:pPr>
        <w:pStyle w:val="3"/>
        <w:rPr>
          <w:rFonts w:eastAsia="Times New Roman" w:cs="Times New Roman"/>
          <w:szCs w:val="24"/>
        </w:rPr>
      </w:pPr>
      <w:bookmarkStart w:id="13" w:name="_Toc216908531"/>
      <w:r>
        <w:rPr>
          <w:rFonts w:eastAsia="Times New Roman" w:cs="Times New Roman"/>
          <w:szCs w:val="24"/>
        </w:rPr>
        <w:t>Technological Factors</w:t>
      </w:r>
      <w:bookmarkEnd w:id="13"/>
    </w:p>
    <w:p w14:paraId="0C50AA9E">
      <w:pPr>
        <w:rPr>
          <w:rFonts w:eastAsia="Times New Roman" w:cs="Times New Roman"/>
          <w:szCs w:val="24"/>
        </w:rPr>
      </w:pPr>
      <w:r>
        <w:rPr>
          <w:rFonts w:eastAsia="Times New Roman" w:cs="Times New Roman"/>
          <w:szCs w:val="24"/>
        </w:rPr>
        <w:t>The expansion provides a central opportunity to correct existing weaknesses in operation by strategic investment in technology. The current issues of missed deliveries and poor-quality control can be explained by a poor implementation of modern instruments for supply chain and communication. The introduction of a centralised Enterprise Resource Planning (ERP) system or a cloud-based Supply Chain Management (SCM) solution is indispensable. Such technology would enable real time data from fruit growers and transportation providers to be incorporated on a unified platform, significantly increasing the level of communication accuracy and logistical efficiency. Modern automation built into the new premises is likely to add further to operational efficacy. For example, in terms of the food and drink expectancy manufacturing arena, Small and Medium-Sized Enterprises (SMEs) made up over 98.6% of the sector in 2024 (GOV.UK, 2025), but these entities are often behind in terms of automation use. Consequently, the buying of sophisticated automated systems offers lucid competitive edge provided the said firm judiciously invests in the improved production infrastructure.</w:t>
      </w:r>
    </w:p>
    <w:p w14:paraId="509ABE48">
      <w:pPr>
        <w:pStyle w:val="3"/>
        <w:rPr>
          <w:rFonts w:eastAsia="Times New Roman" w:cs="Times New Roman"/>
          <w:szCs w:val="24"/>
        </w:rPr>
      </w:pPr>
      <w:bookmarkStart w:id="14" w:name="_Toc216908532"/>
      <w:r>
        <w:rPr>
          <w:rFonts w:eastAsia="Times New Roman" w:cs="Times New Roman"/>
          <w:szCs w:val="24"/>
        </w:rPr>
        <w:t>Legal Factors</w:t>
      </w:r>
      <w:bookmarkEnd w:id="14"/>
    </w:p>
    <w:p w14:paraId="4F1C4C08">
      <w:pPr>
        <w:rPr>
          <w:rFonts w:eastAsia="Times New Roman" w:cs="Times New Roman"/>
          <w:szCs w:val="24"/>
        </w:rPr>
      </w:pPr>
      <w:r>
        <w:rPr>
          <w:rFonts w:eastAsia="Times New Roman" w:cs="Times New Roman"/>
          <w:szCs w:val="24"/>
        </w:rPr>
        <w:t>The new product line and particularly that targeting children juice and yoghurt-based beverages will be strongly subjected to the legal questions by considering the existing UK and EU kept regulations. Adherence to Food Information to Consumers (FIC) Regulation is evidently a binding condition to all the packaging materials and marketing materials that necessitate the correct provision of nutritional facts and allergen statement. All the pertinent permits needed in the planning and environmental compliance must be procured in connexon with the operational planning to move to a new industrial estate. The latter revolves around the adherence to the Health and Safety at Work Act (1974) as well as the compliance of local authoritative waste disposal regulations. Besides, the new contractual agreement with the third supermarket chain must be designed in a manner that is strong in its legal counterpart with clear Service Level Agreements (SLAs), penalties associated with failure to deliver clearly stated and provided. This will involve the active examination of the existing contractual risk management model.</w:t>
      </w:r>
    </w:p>
    <w:p w14:paraId="031415E7">
      <w:pPr>
        <w:pStyle w:val="3"/>
        <w:rPr>
          <w:rFonts w:eastAsia="Times New Roman" w:cs="Times New Roman"/>
          <w:szCs w:val="24"/>
        </w:rPr>
      </w:pPr>
      <w:bookmarkStart w:id="15" w:name="_Toc216908533"/>
      <w:r>
        <w:rPr>
          <w:rFonts w:eastAsia="Times New Roman" w:cs="Times New Roman"/>
          <w:szCs w:val="24"/>
        </w:rPr>
        <w:t>Environmental Factors</w:t>
      </w:r>
      <w:bookmarkEnd w:id="15"/>
    </w:p>
    <w:p w14:paraId="6443046C">
      <w:pPr>
        <w:rPr>
          <w:rFonts w:eastAsia="Times New Roman" w:cs="Times New Roman"/>
          <w:szCs w:val="24"/>
        </w:rPr>
      </w:pPr>
      <w:r>
        <w:rPr>
          <w:rFonts w:eastAsia="Times New Roman" w:cs="Times New Roman"/>
          <w:szCs w:val="24"/>
        </w:rPr>
        <w:t>Environmental sustainability is a growing commercial imperative within the United Kingdom, the growing consumers preferences and the increasing consumers mandates within the retailer. Since it is based in fresh fruits, it becomes incumbent on the organisation to engage with the ramifications of environment present both in agricultural production as well as chilling procedures post-harvest. The food sector, for example, accounts for the equivalent of around 20%). To enhance the brand equity the organisation could decrease their logistical carbon footprint by using domestic suppliers preference or investing in energy efficient refrigeration technology for the new premises. Such measures would be in line with the standard for sustainability today, and might even have competitive advantages in markets where environmental performance is being considered more and more. Simultaneously, the packaging strategy needs to experience a substantive evolution. Given the increasing pressure from both retailers and consumers to reduce the use of plastics, the switch to new facilities should be accompanied by a consistent plan to use 100% recyclable or recycled materials. A target for meeting or exceeding recycled content industry-set benchmarks would not only act as a sign of corporate responsibility, but would respond to the overall agenda of sustainability that is propelling industry.</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7933"/>
      </w:tblGrid>
      <w:tr w14:paraId="525B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27F6BF">
            <w:pPr>
              <w:spacing w:after="0" w:line="276" w:lineRule="auto"/>
              <w:ind w:firstLine="0"/>
              <w:jc w:val="center"/>
              <w:rPr>
                <w:rFonts w:eastAsia="Times New Roman" w:cs="Times New Roman"/>
                <w:b/>
                <w:bCs/>
                <w:szCs w:val="24"/>
              </w:rPr>
            </w:pPr>
            <w:r>
              <w:rPr>
                <w:rFonts w:eastAsia="Times New Roman" w:cs="Times New Roman"/>
                <w:b/>
                <w:bCs/>
                <w:szCs w:val="24"/>
              </w:rPr>
              <w:t>Factor</w:t>
            </w:r>
          </w:p>
        </w:tc>
        <w:tc>
          <w:tcPr>
            <w:tcW w:w="0" w:type="auto"/>
          </w:tcPr>
          <w:p w14:paraId="0231FA4C">
            <w:pPr>
              <w:spacing w:after="0" w:line="276" w:lineRule="auto"/>
              <w:ind w:firstLine="0"/>
              <w:jc w:val="center"/>
              <w:rPr>
                <w:rFonts w:eastAsia="Times New Roman" w:cs="Times New Roman"/>
                <w:b/>
                <w:bCs/>
                <w:szCs w:val="24"/>
              </w:rPr>
            </w:pPr>
            <w:r>
              <w:rPr>
                <w:rFonts w:eastAsia="Times New Roman" w:cs="Times New Roman"/>
                <w:b/>
                <w:bCs/>
                <w:szCs w:val="24"/>
              </w:rPr>
              <w:t>Description</w:t>
            </w:r>
          </w:p>
        </w:tc>
      </w:tr>
      <w:tr w14:paraId="11A5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DED01E">
            <w:pPr>
              <w:spacing w:after="0" w:line="276" w:lineRule="auto"/>
              <w:ind w:firstLine="0"/>
              <w:jc w:val="left"/>
              <w:rPr>
                <w:rFonts w:eastAsia="Times New Roman" w:cs="Times New Roman"/>
                <w:szCs w:val="24"/>
              </w:rPr>
            </w:pPr>
            <w:r>
              <w:rPr>
                <w:rFonts w:eastAsia="Times New Roman" w:cs="Times New Roman"/>
                <w:szCs w:val="24"/>
              </w:rPr>
              <w:t>Political</w:t>
            </w:r>
          </w:p>
        </w:tc>
        <w:tc>
          <w:tcPr>
            <w:tcW w:w="0" w:type="auto"/>
          </w:tcPr>
          <w:p w14:paraId="63E2DF85">
            <w:pPr>
              <w:spacing w:after="0" w:line="276" w:lineRule="auto"/>
              <w:ind w:firstLine="0"/>
              <w:jc w:val="left"/>
              <w:rPr>
                <w:rFonts w:eastAsia="Times New Roman" w:cs="Times New Roman"/>
                <w:szCs w:val="24"/>
              </w:rPr>
            </w:pPr>
            <w:r>
              <w:rPr>
                <w:rFonts w:eastAsia="Times New Roman" w:cs="Times New Roman"/>
                <w:szCs w:val="24"/>
              </w:rPr>
              <w:t>Post-Brexit trade frictions, HFSS regulation, nutrition compliance, labour and food security policy risks.</w:t>
            </w:r>
          </w:p>
        </w:tc>
      </w:tr>
      <w:tr w14:paraId="7710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FEF1B8">
            <w:pPr>
              <w:spacing w:after="0" w:line="276" w:lineRule="auto"/>
              <w:ind w:firstLine="0"/>
              <w:jc w:val="left"/>
              <w:rPr>
                <w:rFonts w:eastAsia="Times New Roman" w:cs="Times New Roman"/>
                <w:szCs w:val="24"/>
              </w:rPr>
            </w:pPr>
            <w:r>
              <w:rPr>
                <w:rFonts w:eastAsia="Times New Roman" w:cs="Times New Roman"/>
                <w:szCs w:val="24"/>
              </w:rPr>
              <w:t>Economic</w:t>
            </w:r>
          </w:p>
        </w:tc>
        <w:tc>
          <w:tcPr>
            <w:tcW w:w="0" w:type="auto"/>
          </w:tcPr>
          <w:p w14:paraId="298BE65A">
            <w:pPr>
              <w:spacing w:after="0" w:line="276" w:lineRule="auto"/>
              <w:ind w:firstLine="0"/>
              <w:jc w:val="left"/>
              <w:rPr>
                <w:rFonts w:eastAsia="Times New Roman" w:cs="Times New Roman"/>
                <w:szCs w:val="24"/>
              </w:rPr>
            </w:pPr>
            <w:r>
              <w:rPr>
                <w:rFonts w:eastAsia="Times New Roman" w:cs="Times New Roman"/>
                <w:szCs w:val="24"/>
              </w:rPr>
              <w:t>High energy costs, inflation, cost of living pressures limit relocation, premium pricing</w:t>
            </w:r>
          </w:p>
        </w:tc>
      </w:tr>
      <w:tr w14:paraId="245A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AC127C">
            <w:pPr>
              <w:spacing w:after="0" w:line="276" w:lineRule="auto"/>
              <w:ind w:firstLine="0"/>
              <w:jc w:val="left"/>
              <w:rPr>
                <w:rFonts w:eastAsia="Times New Roman" w:cs="Times New Roman"/>
                <w:szCs w:val="24"/>
              </w:rPr>
            </w:pPr>
            <w:r>
              <w:rPr>
                <w:rFonts w:eastAsia="Times New Roman" w:cs="Times New Roman"/>
                <w:szCs w:val="24"/>
              </w:rPr>
              <w:t>Social</w:t>
            </w:r>
          </w:p>
        </w:tc>
        <w:tc>
          <w:tcPr>
            <w:tcW w:w="0" w:type="auto"/>
          </w:tcPr>
          <w:p w14:paraId="2D4DFFC8">
            <w:pPr>
              <w:spacing w:after="0" w:line="276" w:lineRule="auto"/>
              <w:ind w:firstLine="0"/>
              <w:jc w:val="left"/>
              <w:rPr>
                <w:rFonts w:eastAsia="Times New Roman" w:cs="Times New Roman"/>
                <w:szCs w:val="24"/>
              </w:rPr>
            </w:pPr>
            <w:r>
              <w:rPr>
                <w:rFonts w:eastAsia="Times New Roman" w:cs="Times New Roman"/>
                <w:szCs w:val="24"/>
              </w:rPr>
              <w:t>High health awareness, preference for provenance, scepticism to health claims.</w:t>
            </w:r>
          </w:p>
        </w:tc>
      </w:tr>
      <w:tr w14:paraId="33CD3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779C0C">
            <w:pPr>
              <w:spacing w:after="0" w:line="276" w:lineRule="auto"/>
              <w:ind w:firstLine="0"/>
              <w:jc w:val="left"/>
              <w:rPr>
                <w:rFonts w:eastAsia="Times New Roman" w:cs="Times New Roman"/>
                <w:szCs w:val="24"/>
              </w:rPr>
            </w:pPr>
            <w:r>
              <w:rPr>
                <w:rFonts w:eastAsia="Times New Roman" w:cs="Times New Roman"/>
                <w:szCs w:val="24"/>
              </w:rPr>
              <w:t>Technological</w:t>
            </w:r>
          </w:p>
        </w:tc>
        <w:tc>
          <w:tcPr>
            <w:tcW w:w="0" w:type="auto"/>
          </w:tcPr>
          <w:p w14:paraId="19AA42B1">
            <w:pPr>
              <w:spacing w:after="0" w:line="276" w:lineRule="auto"/>
              <w:ind w:firstLine="0"/>
              <w:jc w:val="left"/>
              <w:rPr>
                <w:rFonts w:eastAsia="Times New Roman" w:cs="Times New Roman"/>
                <w:szCs w:val="24"/>
              </w:rPr>
            </w:pPr>
            <w:r>
              <w:rPr>
                <w:rFonts w:eastAsia="Times New Roman" w:cs="Times New Roman"/>
                <w:szCs w:val="24"/>
              </w:rPr>
              <w:t>ERP, SCM and automation investment (fixing logistics, quality).</w:t>
            </w:r>
          </w:p>
        </w:tc>
      </w:tr>
      <w:tr w14:paraId="6745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35C1E8C">
            <w:pPr>
              <w:spacing w:after="0" w:line="276" w:lineRule="auto"/>
              <w:ind w:firstLine="0"/>
              <w:jc w:val="left"/>
              <w:rPr>
                <w:rFonts w:eastAsia="Times New Roman" w:cs="Times New Roman"/>
                <w:szCs w:val="24"/>
              </w:rPr>
            </w:pPr>
            <w:r>
              <w:rPr>
                <w:rFonts w:eastAsia="Times New Roman" w:cs="Times New Roman"/>
                <w:szCs w:val="24"/>
              </w:rPr>
              <w:t>Legal</w:t>
            </w:r>
          </w:p>
        </w:tc>
        <w:tc>
          <w:tcPr>
            <w:tcW w:w="0" w:type="auto"/>
          </w:tcPr>
          <w:p w14:paraId="600CD49F">
            <w:pPr>
              <w:spacing w:after="0" w:line="276" w:lineRule="auto"/>
              <w:ind w:firstLine="0"/>
              <w:jc w:val="left"/>
              <w:rPr>
                <w:rFonts w:eastAsia="Times New Roman" w:cs="Times New Roman"/>
                <w:szCs w:val="24"/>
              </w:rPr>
            </w:pPr>
            <w:r>
              <w:rPr>
                <w:rFonts w:eastAsia="Times New Roman" w:cs="Times New Roman"/>
                <w:szCs w:val="24"/>
              </w:rPr>
              <w:t>FIC compliance, Planning, H&amp;S, powerful supermarket SLAs.</w:t>
            </w:r>
          </w:p>
        </w:tc>
      </w:tr>
      <w:tr w14:paraId="1719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616895">
            <w:pPr>
              <w:spacing w:after="0" w:line="276" w:lineRule="auto"/>
              <w:ind w:firstLine="0"/>
              <w:jc w:val="left"/>
              <w:rPr>
                <w:rFonts w:eastAsia="Times New Roman" w:cs="Times New Roman"/>
                <w:szCs w:val="24"/>
              </w:rPr>
            </w:pPr>
            <w:r>
              <w:rPr>
                <w:rFonts w:eastAsia="Times New Roman" w:cs="Times New Roman"/>
                <w:szCs w:val="24"/>
              </w:rPr>
              <w:t>Environmental</w:t>
            </w:r>
          </w:p>
        </w:tc>
        <w:tc>
          <w:tcPr>
            <w:tcW w:w="0" w:type="auto"/>
          </w:tcPr>
          <w:p w14:paraId="62F61F40">
            <w:pPr>
              <w:spacing w:after="0" w:line="276" w:lineRule="auto"/>
              <w:ind w:firstLine="0"/>
              <w:jc w:val="left"/>
              <w:rPr>
                <w:rFonts w:eastAsia="Times New Roman" w:cs="Times New Roman"/>
                <w:szCs w:val="24"/>
              </w:rPr>
            </w:pPr>
            <w:r>
              <w:rPr>
                <w:rFonts w:eastAsia="Times New Roman" w:cs="Times New Roman"/>
                <w:szCs w:val="24"/>
              </w:rPr>
              <w:t>Carbon reduction Energy efficient Chilling Recyclable chiming expectations of retailer sustainability requirements Consumer pressure long term brand credibility goals UK</w:t>
            </w:r>
          </w:p>
        </w:tc>
      </w:tr>
    </w:tbl>
    <w:p w14:paraId="58E9E2D4">
      <w:pPr>
        <w:pStyle w:val="48"/>
        <w:ind w:left="0" w:firstLine="0"/>
        <w:rPr>
          <w:rFonts w:eastAsiaTheme="majorEastAsia"/>
          <w:sz w:val="20"/>
          <w:szCs w:val="18"/>
        </w:rPr>
      </w:pPr>
      <w:r>
        <w:rPr>
          <w:rFonts w:eastAsiaTheme="majorEastAsia"/>
          <w:sz w:val="20"/>
          <w:szCs w:val="18"/>
        </w:rPr>
        <w:t>Table 2 – PESTLE Analysis Summary</w:t>
      </w:r>
    </w:p>
    <w:p w14:paraId="43276C57">
      <w:pPr>
        <w:rPr>
          <w:rFonts w:eastAsia="Times New Roman" w:cs="Times New Roman"/>
          <w:szCs w:val="24"/>
        </w:rPr>
      </w:pPr>
    </w:p>
    <w:p w14:paraId="17C06D89">
      <w:pPr>
        <w:pStyle w:val="2"/>
        <w:rPr>
          <w:rFonts w:eastAsia="Times New Roman" w:cs="Times New Roman"/>
          <w:szCs w:val="24"/>
        </w:rPr>
      </w:pPr>
      <w:bookmarkStart w:id="16" w:name="_Toc216908534"/>
      <w:r>
        <w:rPr>
          <w:rFonts w:eastAsia="Times New Roman" w:cs="Times New Roman"/>
          <w:szCs w:val="24"/>
        </w:rPr>
        <w:t>Organisational Structure and Technology Application</w:t>
      </w:r>
      <w:bookmarkEnd w:id="16"/>
    </w:p>
    <w:p w14:paraId="516858B6">
      <w:pPr>
        <w:rPr>
          <w:rFonts w:eastAsia="Times New Roman" w:cs="Times New Roman"/>
          <w:szCs w:val="24"/>
        </w:rPr>
      </w:pPr>
      <w:r>
        <w:rPr>
          <w:rFonts w:eastAsia="Times New Roman" w:cs="Times New Roman"/>
          <w:szCs w:val="24"/>
        </w:rPr>
        <w:t>The current flat structural build-up of the organisation has led to inefficiency and communication breakdowns. A more formalised organisational structure, based upon the structural typology of Mintzberg (1979), is believed to achieve increased coordination, greater delineation of roles and responsibility. This reconfiguration is both the establishment of discrete, specialised departments - viz., Production, Procurement/Sourcing, Logistics/Distribution, Marketing and Quality Control. Such a redesign serves as an introduction to the technostructure and the middle line (Mintzberg, 1979), which thereby introduces defined lines of authority and responsibility in order to avoid ambiguities, found in the present, regarding who is responsible for missed deliveries or quality failures. For such a complex and temporary initiative as a factory relocation or the introduction of new products, however, a provisional matrix structure can be superimposed to allow cross-functional collaboration to occur while maintaining operational discipline within core functions.</w:t>
      </w:r>
    </w:p>
    <w:p w14:paraId="42D8593C">
      <w:pPr>
        <w:rPr>
          <w:rFonts w:eastAsia="Times New Roman" w:cs="Times New Roman"/>
          <w:szCs w:val="24"/>
        </w:rPr>
      </w:pPr>
      <w:r>
        <w:rPr>
          <w:rFonts w:eastAsia="Times New Roman" w:cs="Times New Roman"/>
          <w:szCs w:val="24"/>
        </w:rPr>
        <w:t>The novelty of this new structure lies completely in the strategic use of modern technology in order to replace communication methods through informal emails and telephone calls with integrated digital communication techniques. The main investment required to be a cloud-based Enterprise Resource Planning (ERP) system specifically developed for the UK food and beverage sector. ERP shown to boost production efficiency by up to 80% for some food sector SMEs (MRPeasy, 2025), co-ordinates supply orders, inventory levels in real time and production schedules. This is what leads to single truth source and is a direct response to previous miscommunication and delay problems. Moreover, specialised Supply Chain Management (SCM) modules should be enforced with licences for the growers and transporters.</w:t>
      </w:r>
    </w:p>
    <w:p w14:paraId="7AB5C14F">
      <w:pPr>
        <w:rPr>
          <w:rFonts w:eastAsia="Times New Roman" w:cs="Times New Roman"/>
          <w:szCs w:val="24"/>
        </w:rPr>
      </w:pPr>
      <w:r>
        <w:rPr>
          <w:rFonts w:eastAsia="Times New Roman" w:cs="Times New Roman"/>
          <w:szCs w:val="24"/>
        </w:rPr>
        <w:t>Technological integration will need to reach out to the supply chain to make it more secure. Rather than use generic chat tools, the firm needs to procure a dedicated Supplier Portal or custom SCM application using Application Programming Interfaces (APIs). This system allows fruit growers to also enter real time harvest yield estimates and quality cheques, and transport providers can upload GPS information about delivery and temperature logs (IoT data). The created transparency enables the Logistics Manager to proactively modify the production timescale or setup contingency transport, thus turning past problems into data-driven competitive advantage (Generix Group, 2021). The final principle involves utilisation of Data Analytics to process this huge information stream, generating real-time dashboards on supplier performance, sales forecasting for all new product lines and continuous quality control metrics, informing strategic decisions in place of historical intuition.</w:t>
      </w:r>
    </w:p>
    <w:p w14:paraId="7B14C7BD">
      <w:pPr>
        <w:ind w:firstLine="0"/>
        <w:jc w:val="center"/>
        <w:rPr>
          <w:rFonts w:eastAsia="Times New Roman" w:cs="Times New Roman"/>
          <w:szCs w:val="24"/>
        </w:rPr>
      </w:pPr>
      <w:r>
        <w:rPr>
          <w:rFonts w:eastAsia="Times New Roman" w:cs="Times New Roman"/>
          <w:szCs w:val="24"/>
        </w:rPr>
        <w:drawing>
          <wp:inline distT="0" distB="0" distL="0" distR="0">
            <wp:extent cx="3381375" cy="3381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381375" cy="3381375"/>
                    </a:xfrm>
                    <a:prstGeom prst="rect">
                      <a:avLst/>
                    </a:prstGeom>
                    <a:noFill/>
                  </pic:spPr>
                </pic:pic>
              </a:graphicData>
            </a:graphic>
          </wp:inline>
        </w:drawing>
      </w:r>
    </w:p>
    <w:p w14:paraId="2CB29342">
      <w:pPr>
        <w:ind w:firstLine="0"/>
        <w:rPr>
          <w:rFonts w:eastAsia="Times New Roman" w:cs="Times New Roman"/>
          <w:szCs w:val="24"/>
        </w:rPr>
      </w:pPr>
      <w:r>
        <w:rPr>
          <w:rFonts w:eastAsiaTheme="majorEastAsia"/>
          <w:sz w:val="20"/>
          <w:szCs w:val="18"/>
        </w:rPr>
        <w:t>Figure 1 – Enterprise Resource Planning (ERP) system</w:t>
      </w:r>
    </w:p>
    <w:p w14:paraId="79B04187">
      <w:pPr>
        <w:pStyle w:val="2"/>
        <w:rPr>
          <w:rFonts w:eastAsia="Times New Roman" w:cs="Times New Roman"/>
          <w:szCs w:val="24"/>
        </w:rPr>
      </w:pPr>
      <w:bookmarkStart w:id="17" w:name="_Toc216908535"/>
      <w:r>
        <w:rPr>
          <w:rFonts w:eastAsia="Times New Roman" w:cs="Times New Roman"/>
          <w:szCs w:val="24"/>
        </w:rPr>
        <w:t>Relocation and Leadership Issues</w:t>
      </w:r>
      <w:bookmarkEnd w:id="17"/>
    </w:p>
    <w:p w14:paraId="03937A58">
      <w:pPr>
        <w:rPr>
          <w:rFonts w:eastAsia="Times New Roman" w:cs="Times New Roman"/>
          <w:szCs w:val="24"/>
        </w:rPr>
      </w:pPr>
      <w:r>
        <w:rPr>
          <w:rFonts w:eastAsia="Times New Roman" w:cs="Times New Roman"/>
          <w:szCs w:val="24"/>
        </w:rPr>
        <w:t>The current flat structure of organisation has led to inefficiencies and communication breakdowns. A more formalised structure is necessary. The move to the new industrial premises is a major challenge from the point of view of logistics as well as operational handling, which requires careful and detailed project execution. Key project issues include: accurate costing of the fit-out; securing all necessary UK regulatory compliance, including environmental health and planning permission, before the move; and producing a detailed programme. The single most critical constraint is the maintenance of business continuity; the firm must set up a phased transition plan, which ensures seamless production and delivery to two major supermarket customers, thus reducing the risk of stock-outs or contractual violations. This objective requires expert logistic planning for the transfer of equipment and the commissioning of the facility.</w:t>
      </w:r>
    </w:p>
    <w:p w14:paraId="0161D2F8">
      <w:pPr>
        <w:rPr>
          <w:rFonts w:eastAsia="Times New Roman" w:cs="Times New Roman"/>
          <w:szCs w:val="24"/>
        </w:rPr>
      </w:pPr>
      <w:r>
        <w:rPr>
          <w:rFonts w:eastAsia="Times New Roman" w:cs="Times New Roman"/>
          <w:szCs w:val="24"/>
        </w:rPr>
        <w:t>Leadership is critical in moving the organisation through this new phase of disruption. Transformational Leadership (Bass, 1990) is indispensable in dealing with the strategic, morale centred dimensions of the project. Directors need to communicate a compelling, unifying vision for the wider future, motivationally engaging the employees to accept organisational and technological change and to not only identify in their own objectives with the success of expansion. This approach facilitates the innovation necessary for new product lines (e.g., soups and coconut water) and secures stakeholder buy-in for new operational processes.</w:t>
      </w:r>
    </w:p>
    <w:p w14:paraId="69644286">
      <w:pPr>
        <w:rPr>
          <w:rFonts w:eastAsia="Times New Roman" w:cs="Times New Roman"/>
          <w:szCs w:val="24"/>
        </w:rPr>
      </w:pPr>
      <w:r>
        <w:rPr>
          <w:rFonts w:eastAsia="Times New Roman" w:cs="Times New Roman"/>
          <w:szCs w:val="24"/>
        </w:rPr>
        <w:t>On the contrary, a Transactional Leadership style is necessary to control the pragmatic part of relocation logistics (Jacobs and Mafini, 2019). This style focuses on clear task delegation, strict adherence to the project schedule (with the use of such instruments as Critical Path Analysis), and performance-based supervision of contractors. It is very efficient in the implementation of quality and safety standards of the new facility. Given the communication failures that have plagued the firm in its past, competent leaders will also need to practise Situational Leadership by adjusting their approach to create a culture of rigorous, open communication with suppliers and transport providers in order to proactively resolve disputes and manage expectations during the transition period.</w:t>
      </w:r>
    </w:p>
    <w:p w14:paraId="2734E1DE">
      <w:pPr>
        <w:pStyle w:val="2"/>
        <w:rPr>
          <w:rFonts w:eastAsia="Times New Roman" w:cs="Times New Roman"/>
          <w:szCs w:val="24"/>
        </w:rPr>
      </w:pPr>
      <w:bookmarkStart w:id="18" w:name="_Toc216908536"/>
      <w:r>
        <w:rPr>
          <w:rFonts w:eastAsia="Times New Roman" w:cs="Times New Roman"/>
          <w:szCs w:val="24"/>
        </w:rPr>
        <w:t>Conclusion</w:t>
      </w:r>
      <w:bookmarkEnd w:id="18"/>
    </w:p>
    <w:p w14:paraId="17F564D0">
      <w:pPr>
        <w:rPr>
          <w:rFonts w:cs="Times New Roman"/>
          <w:szCs w:val="24"/>
        </w:rPr>
      </w:pPr>
      <w:r>
        <w:rPr>
          <w:rFonts w:cs="Times New Roman"/>
          <w:szCs w:val="24"/>
        </w:rPr>
        <w:t>In conclusion, feasibility of the proposed expansion of the smoothie company is dependent upon rectifying its existing operational deficiencies through systematic project management, comprehensive organisational restructuring, and targeted investment in strategic technologies. Comparative analyses utilising the SWOT and PESTLE frameworks show strong market opportunities driven by current health-conscious consumer trends, and at the same time highlight significant risks related to macroeconomic, increased competitive, and complexity of supply chains. With the support of the Enterprise Resource Planning (ERP)-driven supply chain system, the relocation and diversification initiative should be implemented through rigid management of the risk, cost and quality aspects. In addition, it has been discovered that proper leadership is a vital success factor: this requires transformational leadership to ensure engagement and articulation of a clear vision and transactional leadership to make sure there is disciplined functional implementation. Through these actions, the growth could be effectively conducted in a sustainable and competitive way.</w:t>
      </w:r>
    </w:p>
    <w:p w14:paraId="02E22BBA">
      <w:pPr>
        <w:pStyle w:val="2"/>
      </w:pPr>
      <w:bookmarkStart w:id="19" w:name="_Toc216908537"/>
      <w:r>
        <w:t>References</w:t>
      </w:r>
      <w:bookmarkEnd w:id="19"/>
      <w:r>
        <w:t xml:space="preserve"> </w:t>
      </w:r>
    </w:p>
    <w:p w14:paraId="39B421DD">
      <w:pPr>
        <w:pStyle w:val="22"/>
        <w:spacing w:line="360" w:lineRule="auto"/>
        <w:ind w:left="720" w:hanging="720"/>
      </w:pPr>
      <w:r>
        <w:t>Bass, B.M., 1990. From transactional to transformational leadership: Learning to share the vision. </w:t>
      </w:r>
      <w:r>
        <w:rPr>
          <w:i/>
          <w:iCs/>
        </w:rPr>
        <w:t>Organizational dynamics</w:t>
      </w:r>
      <w:r>
        <w:t>, </w:t>
      </w:r>
      <w:r>
        <w:rPr>
          <w:i/>
          <w:iCs/>
        </w:rPr>
        <w:t>18</w:t>
      </w:r>
      <w:r>
        <w:t>(3), pp.19-31.</w:t>
      </w:r>
    </w:p>
    <w:p w14:paraId="4E83E3F8">
      <w:pPr>
        <w:pStyle w:val="22"/>
        <w:spacing w:line="360" w:lineRule="auto"/>
        <w:ind w:left="720" w:hanging="720"/>
        <w:rPr>
          <w:lang w:val="en-US"/>
        </w:rPr>
      </w:pPr>
      <w:r>
        <w:t>Coates, E., Pentieva, K. and Verhagen, H., 2024. The Prevalence and Compliance of Health Claims Used in the Labelling and Information for Prepacked Foods within Great Britain. </w:t>
      </w:r>
      <w:r>
        <w:rPr>
          <w:i/>
          <w:iCs/>
        </w:rPr>
        <w:t>Foods</w:t>
      </w:r>
      <w:r>
        <w:t>, </w:t>
      </w:r>
      <w:r>
        <w:rPr>
          <w:i/>
          <w:iCs/>
        </w:rPr>
        <w:t>13</w:t>
      </w:r>
      <w:r>
        <w:t>(4), p.539.</w:t>
      </w:r>
    </w:p>
    <w:p w14:paraId="34CD72EB">
      <w:pPr>
        <w:pStyle w:val="22"/>
        <w:spacing w:line="360" w:lineRule="auto"/>
        <w:ind w:left="720" w:hanging="720"/>
      </w:pPr>
      <w:r>
        <w:t xml:space="preserve">Defra. (2024). </w:t>
      </w:r>
      <w:r>
        <w:rPr>
          <w:i/>
          <w:iCs/>
        </w:rPr>
        <w:t>Agriculture in the United Kingdom 2024</w:t>
      </w:r>
      <w:r>
        <w:t xml:space="preserve">. Available at: </w:t>
      </w:r>
      <w:r>
        <w:fldChar w:fldCharType="begin"/>
      </w:r>
      <w:r>
        <w:instrText xml:space="preserve"> HYPERLINK "https://www.gov.uk/government/statistics/agriculture-in-the-united-kingdom-2024/chapter-14-the-food-chain" \t "_blank" </w:instrText>
      </w:r>
      <w:r>
        <w:fldChar w:fldCharType="separate"/>
      </w:r>
      <w:r>
        <w:rPr>
          <w:rStyle w:val="21"/>
        </w:rPr>
        <w:t>https://www.gov.uk/government/statistics/agriculture-in-the-united-kingdom-2024/chapter-14-the-food-chain</w:t>
      </w:r>
      <w:r>
        <w:rPr>
          <w:rStyle w:val="21"/>
        </w:rPr>
        <w:fldChar w:fldCharType="end"/>
      </w:r>
      <w:r>
        <w:t xml:space="preserve"> [Accessed 14 December 2025].</w:t>
      </w:r>
    </w:p>
    <w:p w14:paraId="48BE6255">
      <w:pPr>
        <w:pStyle w:val="22"/>
        <w:spacing w:line="360" w:lineRule="auto"/>
        <w:ind w:left="720" w:hanging="720"/>
      </w:pPr>
      <w:r>
        <w:t>Freeman, R.E., 2010. </w:t>
      </w:r>
      <w:r>
        <w:rPr>
          <w:i/>
          <w:iCs/>
        </w:rPr>
        <w:t>Strategic management: A stakeholder approach</w:t>
      </w:r>
      <w:r>
        <w:t>. Cambridge university press.</w:t>
      </w:r>
    </w:p>
    <w:p w14:paraId="4ACF433A">
      <w:pPr>
        <w:pStyle w:val="22"/>
        <w:spacing w:line="360" w:lineRule="auto"/>
        <w:ind w:left="720" w:hanging="720"/>
      </w:pPr>
      <w:r>
        <w:t xml:space="preserve">Food Foundation. (2024). </w:t>
      </w:r>
      <w:r>
        <w:rPr>
          <w:i/>
          <w:iCs/>
        </w:rPr>
        <w:t>The State of the Nation's Food Industry 2024</w:t>
      </w:r>
      <w:r>
        <w:t xml:space="preserve">. [online] Available at: </w:t>
      </w:r>
      <w:r>
        <w:fldChar w:fldCharType="begin"/>
      </w:r>
      <w:r>
        <w:instrText xml:space="preserve"> HYPERLINK "https://foodfoundation.org.uk/" \t "_blank" </w:instrText>
      </w:r>
      <w:r>
        <w:fldChar w:fldCharType="separate"/>
      </w:r>
      <w:r>
        <w:rPr>
          <w:rStyle w:val="21"/>
          <w:rFonts w:eastAsiaTheme="majorEastAsia"/>
        </w:rPr>
        <w:t>https://foodfoundation.org.uk/</w:t>
      </w:r>
      <w:r>
        <w:rPr>
          <w:rStyle w:val="21"/>
          <w:rFonts w:eastAsiaTheme="majorEastAsia"/>
        </w:rPr>
        <w:fldChar w:fldCharType="end"/>
      </w:r>
      <w:r>
        <w:t xml:space="preserve"> [Accessed 14 December 2025].</w:t>
      </w:r>
    </w:p>
    <w:p w14:paraId="0C52D493">
      <w:pPr>
        <w:pStyle w:val="22"/>
        <w:spacing w:line="360" w:lineRule="auto"/>
        <w:ind w:left="720" w:hanging="720"/>
      </w:pPr>
      <w:r>
        <w:t xml:space="preserve">Food Standards Agency (FSA). (2024). </w:t>
      </w:r>
      <w:r>
        <w:rPr>
          <w:i/>
          <w:iCs/>
        </w:rPr>
        <w:t>Consumer Insights Tracker March 2024</w:t>
      </w:r>
      <w:r>
        <w:t xml:space="preserve">. [online] Available at: </w:t>
      </w:r>
      <w:r>
        <w:fldChar w:fldCharType="begin"/>
      </w:r>
      <w:r>
        <w:instrText xml:space="preserve"> HYPERLINK "https://www.food.gov.uk/research/consumer-interests-aka-wider-consumer-interests/consumer-insights-tracker-march-2024" \t "_blank" </w:instrText>
      </w:r>
      <w:r>
        <w:fldChar w:fldCharType="separate"/>
      </w:r>
      <w:r>
        <w:rPr>
          <w:rStyle w:val="21"/>
          <w:rFonts w:eastAsiaTheme="majorEastAsia"/>
        </w:rPr>
        <w:t>https://www.food.gov.uk/research/consumer-interests-aka-wider-consumer-interests/consumer-insights-tracker-march-2024</w:t>
      </w:r>
      <w:r>
        <w:rPr>
          <w:rStyle w:val="21"/>
          <w:rFonts w:eastAsiaTheme="majorEastAsia"/>
        </w:rPr>
        <w:fldChar w:fldCharType="end"/>
      </w:r>
      <w:r>
        <w:t xml:space="preserve"> [Accessed 14 December 2025].</w:t>
      </w:r>
    </w:p>
    <w:p w14:paraId="60B1D056">
      <w:pPr>
        <w:pStyle w:val="22"/>
        <w:spacing w:line="360" w:lineRule="auto"/>
        <w:ind w:left="720" w:hanging="720"/>
      </w:pPr>
      <w:r>
        <w:t xml:space="preserve">Generix Group. (2021). </w:t>
      </w:r>
      <w:r>
        <w:rPr>
          <w:i/>
          <w:iCs/>
        </w:rPr>
        <w:t>Supply chain optimization in food and beverage</w:t>
      </w:r>
      <w:r>
        <w:t xml:space="preserve">. Available at: </w:t>
      </w:r>
      <w:r>
        <w:fldChar w:fldCharType="begin"/>
      </w:r>
      <w:r>
        <w:instrText xml:space="preserve"> HYPERLINK "https://www.generixgroup.com/en/blog/using-technology-improve-food-supply-chain-visibility" \t "_blank" </w:instrText>
      </w:r>
      <w:r>
        <w:fldChar w:fldCharType="separate"/>
      </w:r>
      <w:r>
        <w:rPr>
          <w:rStyle w:val="21"/>
        </w:rPr>
        <w:t>https://www.generixgroup.com/en/blog/using-technology-improve-food-supply-chain-visibility</w:t>
      </w:r>
      <w:r>
        <w:rPr>
          <w:rStyle w:val="21"/>
        </w:rPr>
        <w:fldChar w:fldCharType="end"/>
      </w:r>
      <w:r>
        <w:t xml:space="preserve"> [Accessed 14 December 2025].</w:t>
      </w:r>
    </w:p>
    <w:p w14:paraId="20925148">
      <w:pPr>
        <w:pStyle w:val="22"/>
        <w:spacing w:line="360" w:lineRule="auto"/>
        <w:ind w:left="720" w:hanging="720"/>
      </w:pPr>
      <w:r>
        <w:t xml:space="preserve">GOV.UK. (2025). </w:t>
      </w:r>
      <w:r>
        <w:rPr>
          <w:i/>
          <w:iCs/>
        </w:rPr>
        <w:t>Food statistics in your pocket</w:t>
      </w:r>
      <w:r>
        <w:t xml:space="preserve">. Available at: </w:t>
      </w:r>
      <w:r>
        <w:fldChar w:fldCharType="begin"/>
      </w:r>
      <w:r>
        <w:instrText xml:space="preserve"> HYPERLINK "https://www.gov.uk/government/statistics/food-statistics-pocketbook/food-statistics-in-your-pocket" \t "_blank" </w:instrText>
      </w:r>
      <w:r>
        <w:fldChar w:fldCharType="separate"/>
      </w:r>
      <w:r>
        <w:rPr>
          <w:rStyle w:val="21"/>
          <w:rFonts w:eastAsiaTheme="majorEastAsia"/>
        </w:rPr>
        <w:t>https://www.gov.uk/government/statistics/food-statistics-pocketbook/food-statistics-in-your-pocket</w:t>
      </w:r>
      <w:r>
        <w:rPr>
          <w:rStyle w:val="21"/>
          <w:rFonts w:eastAsiaTheme="majorEastAsia"/>
        </w:rPr>
        <w:fldChar w:fldCharType="end"/>
      </w:r>
      <w:r>
        <w:t xml:space="preserve"> [Accessed 14 December 2025].</w:t>
      </w:r>
    </w:p>
    <w:p w14:paraId="2844E90F">
      <w:pPr>
        <w:pStyle w:val="22"/>
        <w:spacing w:line="360" w:lineRule="auto"/>
        <w:ind w:left="720" w:hanging="720"/>
      </w:pPr>
      <w:r>
        <w:t xml:space="preserve">GOV.UK. (2025). </w:t>
      </w:r>
      <w:r>
        <w:rPr>
          <w:i/>
          <w:iCs/>
        </w:rPr>
        <w:t>Quarterly Energy Prices: September 2025</w:t>
      </w:r>
      <w:r>
        <w:t xml:space="preserve">. Available at: </w:t>
      </w:r>
      <w:r>
        <w:fldChar w:fldCharType="begin"/>
      </w:r>
      <w:r>
        <w:instrText xml:space="preserve"> HYPERLINK "https://assets.publishing.service.gov.uk/media/68da5e91dadf7616351e4b5e/quarterly-energy-prices-september-2025.pdf" \t "_blank" </w:instrText>
      </w:r>
      <w:r>
        <w:fldChar w:fldCharType="separate"/>
      </w:r>
      <w:r>
        <w:rPr>
          <w:rStyle w:val="21"/>
          <w:rFonts w:eastAsiaTheme="majorEastAsia"/>
        </w:rPr>
        <w:t>https://assets.publishing.service.gov.uk/media/68da5e91dadf7616351e4b5e/quarterly-energy-prices-september-2025.pdf</w:t>
      </w:r>
      <w:r>
        <w:rPr>
          <w:rStyle w:val="21"/>
          <w:rFonts w:eastAsiaTheme="majorEastAsia"/>
        </w:rPr>
        <w:fldChar w:fldCharType="end"/>
      </w:r>
      <w:r>
        <w:t xml:space="preserve"> [Accessed 14 December 2025].</w:t>
      </w:r>
    </w:p>
    <w:p w14:paraId="76ADBD3C">
      <w:pPr>
        <w:pStyle w:val="22"/>
        <w:spacing w:line="360" w:lineRule="auto"/>
        <w:ind w:left="720" w:hanging="720"/>
      </w:pPr>
      <w:r>
        <w:t xml:space="preserve">IMARC Group. (2024). </w:t>
      </w:r>
      <w:r>
        <w:rPr>
          <w:i/>
          <w:iCs/>
        </w:rPr>
        <w:t>UK Health and Wellness Market Size, Share 2025-2033</w:t>
      </w:r>
      <w:r>
        <w:t xml:space="preserve">. [online] Available at: </w:t>
      </w:r>
      <w:r>
        <w:fldChar w:fldCharType="begin"/>
      </w:r>
      <w:r>
        <w:instrText xml:space="preserve"> HYPERLINK "https://www.imarcgroup.com/uk-health-wellness-market" \t "_blank" </w:instrText>
      </w:r>
      <w:r>
        <w:fldChar w:fldCharType="separate"/>
      </w:r>
      <w:r>
        <w:rPr>
          <w:rStyle w:val="21"/>
          <w:rFonts w:eastAsiaTheme="majorEastAsia"/>
        </w:rPr>
        <w:t>https://www.imarcgroup.com/uk-health-wellness-market</w:t>
      </w:r>
      <w:r>
        <w:rPr>
          <w:rStyle w:val="21"/>
          <w:rFonts w:eastAsiaTheme="majorEastAsia"/>
        </w:rPr>
        <w:fldChar w:fldCharType="end"/>
      </w:r>
      <w:r>
        <w:t xml:space="preserve"> [Accessed 14 December 2025].</w:t>
      </w:r>
    </w:p>
    <w:p w14:paraId="0241B05F">
      <w:pPr>
        <w:pStyle w:val="22"/>
        <w:spacing w:line="360" w:lineRule="auto"/>
        <w:ind w:left="720" w:hanging="720"/>
      </w:pPr>
      <w:r>
        <w:t>Jacobs, E. and Mafini, C., 2019. Transactional leadership, supply chain quality and business performance in the fast-moving consumer goods industry. </w:t>
      </w:r>
      <w:r>
        <w:rPr>
          <w:i/>
          <w:iCs/>
        </w:rPr>
        <w:t>Journal of Transport and Supply Chain Management</w:t>
      </w:r>
      <w:r>
        <w:t>, </w:t>
      </w:r>
      <w:r>
        <w:rPr>
          <w:i/>
          <w:iCs/>
        </w:rPr>
        <w:t>13</w:t>
      </w:r>
      <w:r>
        <w:t>(1), pp.1-13.</w:t>
      </w:r>
    </w:p>
    <w:p w14:paraId="2D17CC82">
      <w:pPr>
        <w:pStyle w:val="22"/>
        <w:spacing w:line="360" w:lineRule="auto"/>
        <w:ind w:left="720" w:hanging="720"/>
      </w:pPr>
      <w:r>
        <w:t>Kotter, J.P., 1996. Leading Change: Boston: Harvard Business School.</w:t>
      </w:r>
    </w:p>
    <w:p w14:paraId="050D6037">
      <w:pPr>
        <w:pStyle w:val="22"/>
        <w:spacing w:line="360" w:lineRule="auto"/>
        <w:ind w:left="720" w:hanging="720"/>
      </w:pPr>
      <w:r>
        <w:t xml:space="preserve">Mintel. (2024). </w:t>
      </w:r>
      <w:r>
        <w:rPr>
          <w:i/>
          <w:iCs/>
        </w:rPr>
        <w:t>UK Attitudes towards Healthy Eating Consumer Report 2024</w:t>
      </w:r>
      <w:r>
        <w:t xml:space="preserve">. [online] Available at: </w:t>
      </w:r>
      <w:r>
        <w:fldChar w:fldCharType="begin"/>
      </w:r>
      <w:r>
        <w:instrText xml:space="preserve"> HYPERLINK "https://store.mintel.com/report/uk-attitudes-towards-healthy-eating-market-report-2024" \t "_blank" </w:instrText>
      </w:r>
      <w:r>
        <w:fldChar w:fldCharType="separate"/>
      </w:r>
      <w:r>
        <w:rPr>
          <w:rStyle w:val="21"/>
          <w:rFonts w:eastAsiaTheme="majorEastAsia"/>
        </w:rPr>
        <w:t>https://store.mintel.com/report/uk-attitudes-towards-healthy-eating-market-report-2024</w:t>
      </w:r>
      <w:r>
        <w:rPr>
          <w:rStyle w:val="21"/>
          <w:rFonts w:eastAsiaTheme="majorEastAsia"/>
        </w:rPr>
        <w:fldChar w:fldCharType="end"/>
      </w:r>
      <w:r>
        <w:t xml:space="preserve"> [Accessed 14 December 2025].</w:t>
      </w:r>
    </w:p>
    <w:p w14:paraId="6D30BEF2">
      <w:pPr>
        <w:pStyle w:val="22"/>
        <w:spacing w:line="360" w:lineRule="auto"/>
        <w:ind w:left="720" w:hanging="720"/>
      </w:pPr>
      <w:r>
        <w:t>Mintzberg, H., 1979. The structure of organizations: A synthesis of the research. </w:t>
      </w:r>
      <w:r>
        <w:rPr>
          <w:i/>
          <w:iCs/>
        </w:rPr>
        <w:t>UAS: Prentice-Hall</w:t>
      </w:r>
      <w:r>
        <w:t>.</w:t>
      </w:r>
    </w:p>
    <w:p w14:paraId="021A4720">
      <w:pPr>
        <w:pStyle w:val="22"/>
        <w:spacing w:line="360" w:lineRule="auto"/>
        <w:ind w:left="720" w:hanging="720"/>
      </w:pPr>
      <w:r>
        <w:t xml:space="preserve">MRPeasy. (2025). </w:t>
      </w:r>
      <w:r>
        <w:rPr>
          <w:i/>
          <w:iCs/>
        </w:rPr>
        <w:t>Why Small Food Manufacturers Need ERP Software</w:t>
      </w:r>
      <w:r>
        <w:t xml:space="preserve">. Available at: </w:t>
      </w:r>
      <w:r>
        <w:fldChar w:fldCharType="begin"/>
      </w:r>
      <w:r>
        <w:instrText xml:space="preserve"> HYPERLINK "https://www.foodmanufacturing.com/supply-chain/article/22935086/why-small-food-manufacturers-need-erp-software" \t "_blank" </w:instrText>
      </w:r>
      <w:r>
        <w:fldChar w:fldCharType="separate"/>
      </w:r>
      <w:r>
        <w:rPr>
          <w:rStyle w:val="21"/>
        </w:rPr>
        <w:t>https://www.foodmanufacturing.com/supply-chain/article/22935086/why-small-food-manufacturers-need-erp-software</w:t>
      </w:r>
      <w:r>
        <w:rPr>
          <w:rStyle w:val="21"/>
        </w:rPr>
        <w:fldChar w:fldCharType="end"/>
      </w:r>
      <w:r>
        <w:t xml:space="preserve"> [Accessed 14 December 2025].</w:t>
      </w:r>
    </w:p>
    <w:p w14:paraId="452737D1">
      <w:pPr>
        <w:pStyle w:val="22"/>
        <w:spacing w:line="360" w:lineRule="auto"/>
        <w:ind w:left="720" w:hanging="720"/>
      </w:pPr>
      <w:r>
        <w:t xml:space="preserve">ONS. (2024). </w:t>
      </w:r>
      <w:r>
        <w:rPr>
          <w:i/>
          <w:iCs/>
        </w:rPr>
        <w:t>Cost of living insights: Food</w:t>
      </w:r>
      <w:r>
        <w:t xml:space="preserve">. [online] Available at: </w:t>
      </w:r>
      <w:r>
        <w:fldChar w:fldCharType="begin"/>
      </w:r>
      <w:r>
        <w:instrText xml:space="preserve"> HYPERLINK "https://www.ons.gov.uk/economy/inflationandpriceindices/articles/costoflivinginsights/food" \t "_blank" </w:instrText>
      </w:r>
      <w:r>
        <w:fldChar w:fldCharType="separate"/>
      </w:r>
      <w:r>
        <w:rPr>
          <w:rStyle w:val="21"/>
          <w:rFonts w:eastAsiaTheme="majorEastAsia"/>
        </w:rPr>
        <w:t>https://www.ons.gov.uk/economy/inflationandpriceindices/articles/costoflivinginsights/food</w:t>
      </w:r>
      <w:r>
        <w:rPr>
          <w:rStyle w:val="21"/>
          <w:rFonts w:eastAsiaTheme="majorEastAsia"/>
        </w:rPr>
        <w:fldChar w:fldCharType="end"/>
      </w:r>
      <w:r>
        <w:t xml:space="preserve"> [Accessed 14 December 2025].</w:t>
      </w:r>
    </w:p>
    <w:p w14:paraId="0C9538AE">
      <w:pPr>
        <w:pStyle w:val="22"/>
        <w:spacing w:line="360" w:lineRule="auto"/>
        <w:ind w:left="720" w:hanging="720"/>
      </w:pPr>
      <w:r>
        <w:t>PMBOK, P.S., 2000. Project management body of knowledge. In </w:t>
      </w:r>
      <w:r>
        <w:rPr>
          <w:i/>
          <w:iCs/>
        </w:rPr>
        <w:t>Project Management Institute</w:t>
      </w:r>
      <w:r>
        <w:t> (Vol. 5).</w:t>
      </w:r>
    </w:p>
    <w:p w14:paraId="53AC16F8">
      <w:pPr>
        <w:pStyle w:val="22"/>
        <w:spacing w:line="360" w:lineRule="auto"/>
        <w:ind w:left="720" w:hanging="720"/>
      </w:pPr>
      <w:r>
        <w:t xml:space="preserve">Technavio. (2024). </w:t>
      </w:r>
      <w:r>
        <w:rPr>
          <w:i/>
          <w:iCs/>
        </w:rPr>
        <w:t>Health and Wellness Food Market Size to Grow by USD 627.6 Billion from 2024 to 2029 – Research Report</w:t>
      </w:r>
      <w:r>
        <w:t xml:space="preserve">. [online] Available at: </w:t>
      </w:r>
      <w:r>
        <w:fldChar w:fldCharType="begin"/>
      </w:r>
      <w:r>
        <w:instrText xml:space="preserve"> HYPERLINK "https://www.technavio.com/report/health-and-wellness-food-market-industry-analysis" \t "_blank" </w:instrText>
      </w:r>
      <w:r>
        <w:fldChar w:fldCharType="separate"/>
      </w:r>
      <w:r>
        <w:rPr>
          <w:rStyle w:val="21"/>
          <w:rFonts w:eastAsiaTheme="majorEastAsia"/>
        </w:rPr>
        <w:t>https://www.technavio.com/report/health-and-wellness-food-market-industry-analysis</w:t>
      </w:r>
      <w:r>
        <w:rPr>
          <w:rStyle w:val="21"/>
          <w:rFonts w:eastAsiaTheme="majorEastAsia"/>
        </w:rPr>
        <w:fldChar w:fldCharType="end"/>
      </w:r>
      <w:r>
        <w:t xml:space="preserve"> [Accessed 14 December 2025].</w:t>
      </w:r>
    </w:p>
    <w:p w14:paraId="5EBA8D8D">
      <w:pPr>
        <w:rPr>
          <w:rFonts w:cs="Times New Roman"/>
          <w:szCs w:val="24"/>
        </w:rPr>
      </w:pPr>
    </w:p>
    <w:sectPr>
      <w:headerReference r:id="rId5" w:type="default"/>
      <w:footerReference r:id="rId6"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4031667"/>
      <w:docPartObj>
        <w:docPartGallery w:val="AutoText"/>
      </w:docPartObj>
    </w:sdtPr>
    <w:sdtContent>
      <w:p w14:paraId="506E75F3">
        <w:pPr>
          <w:pStyle w:val="17"/>
          <w:jc w:val="right"/>
        </w:pPr>
        <w:r>
          <w:fldChar w:fldCharType="begin"/>
        </w:r>
        <w:r>
          <w:instrText xml:space="preserve"> PAGE   \* MERGEFORMAT </w:instrText>
        </w:r>
        <w:r>
          <w:fldChar w:fldCharType="separate"/>
        </w:r>
        <w:r>
          <w:t>2</w:t>
        </w:r>
        <w:r>
          <w:fldChar w:fldCharType="end"/>
        </w:r>
      </w:p>
    </w:sdtContent>
  </w:sdt>
  <w:p w14:paraId="7C1A56E5">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1A196">
    <w:pPr>
      <w:pStyle w:val="20"/>
      <w:ind w:firstLine="0"/>
      <w:rPr>
        <w:caps/>
      </w:rPr>
    </w:pPr>
    <w:r>
      <w:rPr>
        <w:caps/>
      </w:rPr>
      <w:t>Business Management in Projects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2775B"/>
    <w:multiLevelType w:val="multilevel"/>
    <w:tmpl w:val="1482775B"/>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rPr>
        <w:rFonts w:hint="default" w:ascii="Times New Roman" w:hAnsi="Times New Roman" w:cs="Times New Roman"/>
        <w:sz w:val="24"/>
        <w:szCs w:val="24"/>
      </w:r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1">
    <w:nsid w:val="25A44761"/>
    <w:multiLevelType w:val="multilevel"/>
    <w:tmpl w:val="25A44761"/>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
    <w:nsid w:val="44E67868"/>
    <w:multiLevelType w:val="multilevel"/>
    <w:tmpl w:val="44E67868"/>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68A24F0A"/>
    <w:multiLevelType w:val="multilevel"/>
    <w:tmpl w:val="68A24F0A"/>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75A642DC"/>
    <w:multiLevelType w:val="multilevel"/>
    <w:tmpl w:val="75A642DC"/>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5C"/>
    <w:rsid w:val="0000612B"/>
    <w:rsid w:val="00010B0B"/>
    <w:rsid w:val="00011ADA"/>
    <w:rsid w:val="00012FB1"/>
    <w:rsid w:val="00013E36"/>
    <w:rsid w:val="0001486B"/>
    <w:rsid w:val="000158F4"/>
    <w:rsid w:val="000203BD"/>
    <w:rsid w:val="000205E7"/>
    <w:rsid w:val="00022D71"/>
    <w:rsid w:val="00023C33"/>
    <w:rsid w:val="00026B06"/>
    <w:rsid w:val="00027493"/>
    <w:rsid w:val="000278B3"/>
    <w:rsid w:val="00027F98"/>
    <w:rsid w:val="0003078E"/>
    <w:rsid w:val="000341BA"/>
    <w:rsid w:val="00037D32"/>
    <w:rsid w:val="00041790"/>
    <w:rsid w:val="00044291"/>
    <w:rsid w:val="000444FB"/>
    <w:rsid w:val="00045B16"/>
    <w:rsid w:val="00047FA2"/>
    <w:rsid w:val="0005018E"/>
    <w:rsid w:val="00051447"/>
    <w:rsid w:val="000514FB"/>
    <w:rsid w:val="00051AE6"/>
    <w:rsid w:val="00051E58"/>
    <w:rsid w:val="00054E76"/>
    <w:rsid w:val="00055AC5"/>
    <w:rsid w:val="00056B76"/>
    <w:rsid w:val="00057159"/>
    <w:rsid w:val="0005744F"/>
    <w:rsid w:val="00062183"/>
    <w:rsid w:val="00063A46"/>
    <w:rsid w:val="00072666"/>
    <w:rsid w:val="000763EE"/>
    <w:rsid w:val="00080B70"/>
    <w:rsid w:val="00081224"/>
    <w:rsid w:val="00090B76"/>
    <w:rsid w:val="00091858"/>
    <w:rsid w:val="0009401C"/>
    <w:rsid w:val="00096B19"/>
    <w:rsid w:val="000A06CD"/>
    <w:rsid w:val="000A0F17"/>
    <w:rsid w:val="000A1650"/>
    <w:rsid w:val="000A174C"/>
    <w:rsid w:val="000A3799"/>
    <w:rsid w:val="000B08B2"/>
    <w:rsid w:val="000B1141"/>
    <w:rsid w:val="000B18F8"/>
    <w:rsid w:val="000B33B7"/>
    <w:rsid w:val="000B426C"/>
    <w:rsid w:val="000B5548"/>
    <w:rsid w:val="000B5E1E"/>
    <w:rsid w:val="000C2F17"/>
    <w:rsid w:val="000C3A93"/>
    <w:rsid w:val="000C6F10"/>
    <w:rsid w:val="000C7153"/>
    <w:rsid w:val="000D2DF7"/>
    <w:rsid w:val="000D4E1F"/>
    <w:rsid w:val="000D607E"/>
    <w:rsid w:val="000D7253"/>
    <w:rsid w:val="000E0599"/>
    <w:rsid w:val="000E482E"/>
    <w:rsid w:val="000E4F8E"/>
    <w:rsid w:val="000F2361"/>
    <w:rsid w:val="000F3C6C"/>
    <w:rsid w:val="000F552E"/>
    <w:rsid w:val="000F5B95"/>
    <w:rsid w:val="000F6419"/>
    <w:rsid w:val="000F6DD2"/>
    <w:rsid w:val="000F7177"/>
    <w:rsid w:val="000F7BC2"/>
    <w:rsid w:val="00101458"/>
    <w:rsid w:val="00105213"/>
    <w:rsid w:val="0010565F"/>
    <w:rsid w:val="00105E17"/>
    <w:rsid w:val="00111E91"/>
    <w:rsid w:val="00112E1F"/>
    <w:rsid w:val="00113714"/>
    <w:rsid w:val="00115272"/>
    <w:rsid w:val="001158E4"/>
    <w:rsid w:val="001216E6"/>
    <w:rsid w:val="001252BE"/>
    <w:rsid w:val="0013570F"/>
    <w:rsid w:val="0013618C"/>
    <w:rsid w:val="00146665"/>
    <w:rsid w:val="001468EF"/>
    <w:rsid w:val="00150440"/>
    <w:rsid w:val="00150B1C"/>
    <w:rsid w:val="0015395D"/>
    <w:rsid w:val="00153988"/>
    <w:rsid w:val="00157039"/>
    <w:rsid w:val="00161825"/>
    <w:rsid w:val="001629AD"/>
    <w:rsid w:val="00166E4C"/>
    <w:rsid w:val="0016718D"/>
    <w:rsid w:val="001674D2"/>
    <w:rsid w:val="00171A84"/>
    <w:rsid w:val="00171C5D"/>
    <w:rsid w:val="001729FF"/>
    <w:rsid w:val="00174D34"/>
    <w:rsid w:val="00175C82"/>
    <w:rsid w:val="00177918"/>
    <w:rsid w:val="00177CE8"/>
    <w:rsid w:val="00177F18"/>
    <w:rsid w:val="00181112"/>
    <w:rsid w:val="00181243"/>
    <w:rsid w:val="00181CBE"/>
    <w:rsid w:val="001833E3"/>
    <w:rsid w:val="00184395"/>
    <w:rsid w:val="00185A04"/>
    <w:rsid w:val="00185CCC"/>
    <w:rsid w:val="00185F15"/>
    <w:rsid w:val="00186033"/>
    <w:rsid w:val="00187C28"/>
    <w:rsid w:val="00187EAC"/>
    <w:rsid w:val="001909FA"/>
    <w:rsid w:val="00191000"/>
    <w:rsid w:val="001926DC"/>
    <w:rsid w:val="001948B0"/>
    <w:rsid w:val="00197B61"/>
    <w:rsid w:val="001A3525"/>
    <w:rsid w:val="001B0136"/>
    <w:rsid w:val="001B1F90"/>
    <w:rsid w:val="001B3B1C"/>
    <w:rsid w:val="001B6607"/>
    <w:rsid w:val="001B7491"/>
    <w:rsid w:val="001C3722"/>
    <w:rsid w:val="001C43A1"/>
    <w:rsid w:val="001C5AF2"/>
    <w:rsid w:val="001C7774"/>
    <w:rsid w:val="001D02A7"/>
    <w:rsid w:val="001D0633"/>
    <w:rsid w:val="001D0A8A"/>
    <w:rsid w:val="001D2E26"/>
    <w:rsid w:val="001D5B10"/>
    <w:rsid w:val="001D5E30"/>
    <w:rsid w:val="001D6534"/>
    <w:rsid w:val="001D6648"/>
    <w:rsid w:val="001E2525"/>
    <w:rsid w:val="001E2FAE"/>
    <w:rsid w:val="001E4D7E"/>
    <w:rsid w:val="001E787B"/>
    <w:rsid w:val="001E7E8C"/>
    <w:rsid w:val="001F15CB"/>
    <w:rsid w:val="001F3DC2"/>
    <w:rsid w:val="001F77C6"/>
    <w:rsid w:val="002038D0"/>
    <w:rsid w:val="002069B6"/>
    <w:rsid w:val="00206AB7"/>
    <w:rsid w:val="0020744B"/>
    <w:rsid w:val="00211531"/>
    <w:rsid w:val="00212B3D"/>
    <w:rsid w:val="00212D5D"/>
    <w:rsid w:val="00214A49"/>
    <w:rsid w:val="00216AB3"/>
    <w:rsid w:val="002209E6"/>
    <w:rsid w:val="00221128"/>
    <w:rsid w:val="00222F2B"/>
    <w:rsid w:val="002255C0"/>
    <w:rsid w:val="00231B3E"/>
    <w:rsid w:val="002320FD"/>
    <w:rsid w:val="002342BF"/>
    <w:rsid w:val="002347D5"/>
    <w:rsid w:val="00235FF1"/>
    <w:rsid w:val="00236BD6"/>
    <w:rsid w:val="00236C46"/>
    <w:rsid w:val="00240F3A"/>
    <w:rsid w:val="0024217A"/>
    <w:rsid w:val="00243083"/>
    <w:rsid w:val="00245533"/>
    <w:rsid w:val="00245C16"/>
    <w:rsid w:val="00247627"/>
    <w:rsid w:val="00255250"/>
    <w:rsid w:val="00256372"/>
    <w:rsid w:val="00260220"/>
    <w:rsid w:val="0026240F"/>
    <w:rsid w:val="00264F46"/>
    <w:rsid w:val="00267F0D"/>
    <w:rsid w:val="00270310"/>
    <w:rsid w:val="002745A8"/>
    <w:rsid w:val="00276374"/>
    <w:rsid w:val="00276EFF"/>
    <w:rsid w:val="0027729B"/>
    <w:rsid w:val="002779F0"/>
    <w:rsid w:val="00281A26"/>
    <w:rsid w:val="0028476C"/>
    <w:rsid w:val="002904C8"/>
    <w:rsid w:val="002917EF"/>
    <w:rsid w:val="002919E3"/>
    <w:rsid w:val="002933EA"/>
    <w:rsid w:val="00295A00"/>
    <w:rsid w:val="00295D34"/>
    <w:rsid w:val="0029601D"/>
    <w:rsid w:val="00296831"/>
    <w:rsid w:val="002972DB"/>
    <w:rsid w:val="00297311"/>
    <w:rsid w:val="002A186D"/>
    <w:rsid w:val="002A26E8"/>
    <w:rsid w:val="002A3146"/>
    <w:rsid w:val="002A5FC6"/>
    <w:rsid w:val="002A7A57"/>
    <w:rsid w:val="002B176A"/>
    <w:rsid w:val="002B1FAF"/>
    <w:rsid w:val="002B2719"/>
    <w:rsid w:val="002B41C2"/>
    <w:rsid w:val="002B5715"/>
    <w:rsid w:val="002B634C"/>
    <w:rsid w:val="002B645B"/>
    <w:rsid w:val="002B76E6"/>
    <w:rsid w:val="002C4C49"/>
    <w:rsid w:val="002C7069"/>
    <w:rsid w:val="002C7A44"/>
    <w:rsid w:val="002D1619"/>
    <w:rsid w:val="002D304B"/>
    <w:rsid w:val="002D3554"/>
    <w:rsid w:val="002D3971"/>
    <w:rsid w:val="002D7F1C"/>
    <w:rsid w:val="002E214C"/>
    <w:rsid w:val="002E2F3D"/>
    <w:rsid w:val="002F13A7"/>
    <w:rsid w:val="002F2A0B"/>
    <w:rsid w:val="002F4AE0"/>
    <w:rsid w:val="002F6D27"/>
    <w:rsid w:val="00301E99"/>
    <w:rsid w:val="0030303B"/>
    <w:rsid w:val="0030441F"/>
    <w:rsid w:val="0031417C"/>
    <w:rsid w:val="003142F4"/>
    <w:rsid w:val="00314C83"/>
    <w:rsid w:val="0031502A"/>
    <w:rsid w:val="003153BD"/>
    <w:rsid w:val="003161FA"/>
    <w:rsid w:val="003166A6"/>
    <w:rsid w:val="003232E7"/>
    <w:rsid w:val="00326DCB"/>
    <w:rsid w:val="00327FEE"/>
    <w:rsid w:val="0033007F"/>
    <w:rsid w:val="00330FA5"/>
    <w:rsid w:val="003320BC"/>
    <w:rsid w:val="00332C4A"/>
    <w:rsid w:val="00335DC6"/>
    <w:rsid w:val="00335F31"/>
    <w:rsid w:val="00341265"/>
    <w:rsid w:val="003432CF"/>
    <w:rsid w:val="003439B7"/>
    <w:rsid w:val="00347AFC"/>
    <w:rsid w:val="00350594"/>
    <w:rsid w:val="00350D01"/>
    <w:rsid w:val="00353D96"/>
    <w:rsid w:val="00356413"/>
    <w:rsid w:val="00357036"/>
    <w:rsid w:val="00360B8B"/>
    <w:rsid w:val="00360EC0"/>
    <w:rsid w:val="00361948"/>
    <w:rsid w:val="003627CC"/>
    <w:rsid w:val="00362DD8"/>
    <w:rsid w:val="0036322E"/>
    <w:rsid w:val="003651AB"/>
    <w:rsid w:val="00365EF5"/>
    <w:rsid w:val="003665E3"/>
    <w:rsid w:val="00371FB0"/>
    <w:rsid w:val="0037436A"/>
    <w:rsid w:val="003778AB"/>
    <w:rsid w:val="003802B8"/>
    <w:rsid w:val="003807BE"/>
    <w:rsid w:val="00383DE7"/>
    <w:rsid w:val="00385332"/>
    <w:rsid w:val="003940C6"/>
    <w:rsid w:val="0039442F"/>
    <w:rsid w:val="003945FC"/>
    <w:rsid w:val="003946C3"/>
    <w:rsid w:val="003973FF"/>
    <w:rsid w:val="003A133C"/>
    <w:rsid w:val="003A6652"/>
    <w:rsid w:val="003A6DE6"/>
    <w:rsid w:val="003A7A41"/>
    <w:rsid w:val="003B1755"/>
    <w:rsid w:val="003B384A"/>
    <w:rsid w:val="003B5906"/>
    <w:rsid w:val="003B65E3"/>
    <w:rsid w:val="003B6EDA"/>
    <w:rsid w:val="003C20FE"/>
    <w:rsid w:val="003C2D09"/>
    <w:rsid w:val="003C34A0"/>
    <w:rsid w:val="003D7790"/>
    <w:rsid w:val="003E12F2"/>
    <w:rsid w:val="003E2180"/>
    <w:rsid w:val="003E2C4E"/>
    <w:rsid w:val="003E6D11"/>
    <w:rsid w:val="003F03B2"/>
    <w:rsid w:val="003F35FF"/>
    <w:rsid w:val="003F5195"/>
    <w:rsid w:val="003F5AF2"/>
    <w:rsid w:val="003F5D0C"/>
    <w:rsid w:val="00402274"/>
    <w:rsid w:val="00402501"/>
    <w:rsid w:val="00402A55"/>
    <w:rsid w:val="00403937"/>
    <w:rsid w:val="00403954"/>
    <w:rsid w:val="004046A2"/>
    <w:rsid w:val="00406081"/>
    <w:rsid w:val="00406394"/>
    <w:rsid w:val="0040694A"/>
    <w:rsid w:val="004076CE"/>
    <w:rsid w:val="00410D54"/>
    <w:rsid w:val="00411F44"/>
    <w:rsid w:val="00413039"/>
    <w:rsid w:val="00413F80"/>
    <w:rsid w:val="00414067"/>
    <w:rsid w:val="00416F74"/>
    <w:rsid w:val="0042036E"/>
    <w:rsid w:val="004235F2"/>
    <w:rsid w:val="00425CA2"/>
    <w:rsid w:val="004262C0"/>
    <w:rsid w:val="00427062"/>
    <w:rsid w:val="00427077"/>
    <w:rsid w:val="00431DE1"/>
    <w:rsid w:val="004321CC"/>
    <w:rsid w:val="004325BD"/>
    <w:rsid w:val="00432CF0"/>
    <w:rsid w:val="0043324D"/>
    <w:rsid w:val="0043551D"/>
    <w:rsid w:val="0043680F"/>
    <w:rsid w:val="004376A2"/>
    <w:rsid w:val="00437CE5"/>
    <w:rsid w:val="00442861"/>
    <w:rsid w:val="00444BAC"/>
    <w:rsid w:val="00445A96"/>
    <w:rsid w:val="004463F0"/>
    <w:rsid w:val="004471E4"/>
    <w:rsid w:val="004475E3"/>
    <w:rsid w:val="00451048"/>
    <w:rsid w:val="00452730"/>
    <w:rsid w:val="00452C09"/>
    <w:rsid w:val="00453765"/>
    <w:rsid w:val="00454102"/>
    <w:rsid w:val="004552FE"/>
    <w:rsid w:val="004555BE"/>
    <w:rsid w:val="004555FF"/>
    <w:rsid w:val="00456CE6"/>
    <w:rsid w:val="004627CB"/>
    <w:rsid w:val="00463D0C"/>
    <w:rsid w:val="00463D29"/>
    <w:rsid w:val="0046437D"/>
    <w:rsid w:val="00464B07"/>
    <w:rsid w:val="00465541"/>
    <w:rsid w:val="0046565E"/>
    <w:rsid w:val="00466C79"/>
    <w:rsid w:val="0047106A"/>
    <w:rsid w:val="00471B91"/>
    <w:rsid w:val="00473ECC"/>
    <w:rsid w:val="00474204"/>
    <w:rsid w:val="0047470A"/>
    <w:rsid w:val="0047497A"/>
    <w:rsid w:val="00476D8F"/>
    <w:rsid w:val="00477025"/>
    <w:rsid w:val="0047776F"/>
    <w:rsid w:val="004804B0"/>
    <w:rsid w:val="004810C4"/>
    <w:rsid w:val="004813FF"/>
    <w:rsid w:val="00481DFE"/>
    <w:rsid w:val="004825CD"/>
    <w:rsid w:val="0048299E"/>
    <w:rsid w:val="00483980"/>
    <w:rsid w:val="00484CB2"/>
    <w:rsid w:val="00484D7C"/>
    <w:rsid w:val="004853D8"/>
    <w:rsid w:val="004866B0"/>
    <w:rsid w:val="00490389"/>
    <w:rsid w:val="00492BFB"/>
    <w:rsid w:val="00493A43"/>
    <w:rsid w:val="00494A52"/>
    <w:rsid w:val="004A4D9A"/>
    <w:rsid w:val="004A5752"/>
    <w:rsid w:val="004A6015"/>
    <w:rsid w:val="004A7A6B"/>
    <w:rsid w:val="004B2356"/>
    <w:rsid w:val="004B3B44"/>
    <w:rsid w:val="004B54CA"/>
    <w:rsid w:val="004B7750"/>
    <w:rsid w:val="004C4CAE"/>
    <w:rsid w:val="004C50C2"/>
    <w:rsid w:val="004C59E6"/>
    <w:rsid w:val="004C6F40"/>
    <w:rsid w:val="004D0AF2"/>
    <w:rsid w:val="004D1127"/>
    <w:rsid w:val="004D363E"/>
    <w:rsid w:val="004D41C3"/>
    <w:rsid w:val="004D6B02"/>
    <w:rsid w:val="004D7F67"/>
    <w:rsid w:val="004E2AFD"/>
    <w:rsid w:val="004E2D3A"/>
    <w:rsid w:val="004E383E"/>
    <w:rsid w:val="004E454B"/>
    <w:rsid w:val="004E57D0"/>
    <w:rsid w:val="004E75C7"/>
    <w:rsid w:val="004F089C"/>
    <w:rsid w:val="004F0C41"/>
    <w:rsid w:val="004F1503"/>
    <w:rsid w:val="004F1BBE"/>
    <w:rsid w:val="004F5979"/>
    <w:rsid w:val="004F5C22"/>
    <w:rsid w:val="004F6741"/>
    <w:rsid w:val="005041DE"/>
    <w:rsid w:val="00505429"/>
    <w:rsid w:val="005065EC"/>
    <w:rsid w:val="005065EF"/>
    <w:rsid w:val="00506D70"/>
    <w:rsid w:val="00507D41"/>
    <w:rsid w:val="00520207"/>
    <w:rsid w:val="00520E8A"/>
    <w:rsid w:val="005221D5"/>
    <w:rsid w:val="00526374"/>
    <w:rsid w:val="00527DA7"/>
    <w:rsid w:val="00531D71"/>
    <w:rsid w:val="00532B7E"/>
    <w:rsid w:val="00532F66"/>
    <w:rsid w:val="00533588"/>
    <w:rsid w:val="00533723"/>
    <w:rsid w:val="00533C6F"/>
    <w:rsid w:val="00536234"/>
    <w:rsid w:val="005368F1"/>
    <w:rsid w:val="00537CB6"/>
    <w:rsid w:val="00537E07"/>
    <w:rsid w:val="00541192"/>
    <w:rsid w:val="00544C06"/>
    <w:rsid w:val="00545853"/>
    <w:rsid w:val="00547D2A"/>
    <w:rsid w:val="00553309"/>
    <w:rsid w:val="0055350B"/>
    <w:rsid w:val="005611F4"/>
    <w:rsid w:val="00561803"/>
    <w:rsid w:val="00562CD8"/>
    <w:rsid w:val="005630F4"/>
    <w:rsid w:val="00563544"/>
    <w:rsid w:val="00564AD6"/>
    <w:rsid w:val="0056502C"/>
    <w:rsid w:val="00565477"/>
    <w:rsid w:val="00567443"/>
    <w:rsid w:val="00570B3B"/>
    <w:rsid w:val="00571D2F"/>
    <w:rsid w:val="00572768"/>
    <w:rsid w:val="00573EF5"/>
    <w:rsid w:val="00575B7F"/>
    <w:rsid w:val="00580703"/>
    <w:rsid w:val="00581600"/>
    <w:rsid w:val="00581D42"/>
    <w:rsid w:val="00581EBE"/>
    <w:rsid w:val="00582B78"/>
    <w:rsid w:val="0058374C"/>
    <w:rsid w:val="00584932"/>
    <w:rsid w:val="0058682E"/>
    <w:rsid w:val="00587BA6"/>
    <w:rsid w:val="005916B1"/>
    <w:rsid w:val="00592B5D"/>
    <w:rsid w:val="005976B1"/>
    <w:rsid w:val="0059795E"/>
    <w:rsid w:val="00597CC0"/>
    <w:rsid w:val="00597EBB"/>
    <w:rsid w:val="005A1904"/>
    <w:rsid w:val="005A2116"/>
    <w:rsid w:val="005A4FB2"/>
    <w:rsid w:val="005A5DF0"/>
    <w:rsid w:val="005A7335"/>
    <w:rsid w:val="005A7644"/>
    <w:rsid w:val="005B1B29"/>
    <w:rsid w:val="005B1C4A"/>
    <w:rsid w:val="005B45F4"/>
    <w:rsid w:val="005B4EEC"/>
    <w:rsid w:val="005B5AE3"/>
    <w:rsid w:val="005B6A72"/>
    <w:rsid w:val="005B7D3D"/>
    <w:rsid w:val="005B7EA1"/>
    <w:rsid w:val="005C0E30"/>
    <w:rsid w:val="005C1C66"/>
    <w:rsid w:val="005C54DE"/>
    <w:rsid w:val="005C6570"/>
    <w:rsid w:val="005C7386"/>
    <w:rsid w:val="005D0DED"/>
    <w:rsid w:val="005D2B76"/>
    <w:rsid w:val="005D6C3D"/>
    <w:rsid w:val="005D75AA"/>
    <w:rsid w:val="005E082C"/>
    <w:rsid w:val="005E19F0"/>
    <w:rsid w:val="005E20A8"/>
    <w:rsid w:val="005E2BA5"/>
    <w:rsid w:val="005E2C58"/>
    <w:rsid w:val="005E48A5"/>
    <w:rsid w:val="005E61C1"/>
    <w:rsid w:val="005E69B9"/>
    <w:rsid w:val="005E6DC6"/>
    <w:rsid w:val="005F0666"/>
    <w:rsid w:val="005F28F8"/>
    <w:rsid w:val="005F4997"/>
    <w:rsid w:val="005F6BD1"/>
    <w:rsid w:val="005F7E10"/>
    <w:rsid w:val="006011A8"/>
    <w:rsid w:val="006012EB"/>
    <w:rsid w:val="00601BDB"/>
    <w:rsid w:val="00601D1F"/>
    <w:rsid w:val="00602E46"/>
    <w:rsid w:val="006034A7"/>
    <w:rsid w:val="006054FE"/>
    <w:rsid w:val="00605C43"/>
    <w:rsid w:val="00606634"/>
    <w:rsid w:val="00607F70"/>
    <w:rsid w:val="006103CD"/>
    <w:rsid w:val="006104B5"/>
    <w:rsid w:val="006115D3"/>
    <w:rsid w:val="006116B1"/>
    <w:rsid w:val="00612351"/>
    <w:rsid w:val="00612584"/>
    <w:rsid w:val="00615E97"/>
    <w:rsid w:val="00616F7D"/>
    <w:rsid w:val="006175B8"/>
    <w:rsid w:val="006204E5"/>
    <w:rsid w:val="0062069D"/>
    <w:rsid w:val="00622707"/>
    <w:rsid w:val="00624E5F"/>
    <w:rsid w:val="006261DF"/>
    <w:rsid w:val="0062681F"/>
    <w:rsid w:val="00626EB1"/>
    <w:rsid w:val="00630654"/>
    <w:rsid w:val="00631AD5"/>
    <w:rsid w:val="00632147"/>
    <w:rsid w:val="00634E39"/>
    <w:rsid w:val="00637863"/>
    <w:rsid w:val="00641486"/>
    <w:rsid w:val="00643196"/>
    <w:rsid w:val="00652024"/>
    <w:rsid w:val="00653A42"/>
    <w:rsid w:val="00654D57"/>
    <w:rsid w:val="00656681"/>
    <w:rsid w:val="00661A78"/>
    <w:rsid w:val="00670106"/>
    <w:rsid w:val="00670E4E"/>
    <w:rsid w:val="00677DB1"/>
    <w:rsid w:val="006814C0"/>
    <w:rsid w:val="006819DA"/>
    <w:rsid w:val="00682560"/>
    <w:rsid w:val="00684673"/>
    <w:rsid w:val="00684EEC"/>
    <w:rsid w:val="00687D8B"/>
    <w:rsid w:val="00690BC7"/>
    <w:rsid w:val="00692717"/>
    <w:rsid w:val="00692F61"/>
    <w:rsid w:val="00694211"/>
    <w:rsid w:val="00694462"/>
    <w:rsid w:val="006957BE"/>
    <w:rsid w:val="0069757B"/>
    <w:rsid w:val="006A06D1"/>
    <w:rsid w:val="006A2995"/>
    <w:rsid w:val="006A3C15"/>
    <w:rsid w:val="006B3481"/>
    <w:rsid w:val="006B3963"/>
    <w:rsid w:val="006B3DA9"/>
    <w:rsid w:val="006B495E"/>
    <w:rsid w:val="006B4BB6"/>
    <w:rsid w:val="006B4D36"/>
    <w:rsid w:val="006C0F28"/>
    <w:rsid w:val="006C199D"/>
    <w:rsid w:val="006C2DFA"/>
    <w:rsid w:val="006C44E1"/>
    <w:rsid w:val="006C4E22"/>
    <w:rsid w:val="006C7D44"/>
    <w:rsid w:val="006D1E1B"/>
    <w:rsid w:val="006D3F9E"/>
    <w:rsid w:val="006D506E"/>
    <w:rsid w:val="006D6298"/>
    <w:rsid w:val="006D7C4F"/>
    <w:rsid w:val="006E0813"/>
    <w:rsid w:val="006E22A4"/>
    <w:rsid w:val="006E24D8"/>
    <w:rsid w:val="006E7349"/>
    <w:rsid w:val="006F0237"/>
    <w:rsid w:val="006F1ABD"/>
    <w:rsid w:val="006F1BF4"/>
    <w:rsid w:val="006F2CC8"/>
    <w:rsid w:val="006F2EA2"/>
    <w:rsid w:val="006F3637"/>
    <w:rsid w:val="006F75C3"/>
    <w:rsid w:val="00700B40"/>
    <w:rsid w:val="00705319"/>
    <w:rsid w:val="007106AC"/>
    <w:rsid w:val="007126B7"/>
    <w:rsid w:val="007153DC"/>
    <w:rsid w:val="0072479D"/>
    <w:rsid w:val="00730A86"/>
    <w:rsid w:val="00730DD1"/>
    <w:rsid w:val="00731CDF"/>
    <w:rsid w:val="00733C94"/>
    <w:rsid w:val="00742F0E"/>
    <w:rsid w:val="007437E7"/>
    <w:rsid w:val="007438E5"/>
    <w:rsid w:val="007454D9"/>
    <w:rsid w:val="00747EFA"/>
    <w:rsid w:val="00751E77"/>
    <w:rsid w:val="00752D99"/>
    <w:rsid w:val="007532DB"/>
    <w:rsid w:val="00753423"/>
    <w:rsid w:val="00753BE3"/>
    <w:rsid w:val="007545BD"/>
    <w:rsid w:val="00755584"/>
    <w:rsid w:val="007562B8"/>
    <w:rsid w:val="00756611"/>
    <w:rsid w:val="00756B73"/>
    <w:rsid w:val="00756F5C"/>
    <w:rsid w:val="0075710F"/>
    <w:rsid w:val="0075757C"/>
    <w:rsid w:val="007627E4"/>
    <w:rsid w:val="00764EA8"/>
    <w:rsid w:val="007664FD"/>
    <w:rsid w:val="00775FBF"/>
    <w:rsid w:val="007774BB"/>
    <w:rsid w:val="00777BB8"/>
    <w:rsid w:val="0078248B"/>
    <w:rsid w:val="00782EEF"/>
    <w:rsid w:val="007838B2"/>
    <w:rsid w:val="00790BD0"/>
    <w:rsid w:val="00794A0F"/>
    <w:rsid w:val="007A054C"/>
    <w:rsid w:val="007A0985"/>
    <w:rsid w:val="007A0F19"/>
    <w:rsid w:val="007A18BC"/>
    <w:rsid w:val="007A6EEA"/>
    <w:rsid w:val="007B670A"/>
    <w:rsid w:val="007B7868"/>
    <w:rsid w:val="007B7952"/>
    <w:rsid w:val="007B7B15"/>
    <w:rsid w:val="007C00E5"/>
    <w:rsid w:val="007C07E5"/>
    <w:rsid w:val="007C1879"/>
    <w:rsid w:val="007C6114"/>
    <w:rsid w:val="007D2C92"/>
    <w:rsid w:val="007D48E9"/>
    <w:rsid w:val="007D52B2"/>
    <w:rsid w:val="007D77CD"/>
    <w:rsid w:val="007E2463"/>
    <w:rsid w:val="007E3F96"/>
    <w:rsid w:val="007E4B57"/>
    <w:rsid w:val="007E646A"/>
    <w:rsid w:val="007F1091"/>
    <w:rsid w:val="007F3650"/>
    <w:rsid w:val="007F646B"/>
    <w:rsid w:val="007F6E94"/>
    <w:rsid w:val="007F7995"/>
    <w:rsid w:val="008011FC"/>
    <w:rsid w:val="008018BA"/>
    <w:rsid w:val="008033BB"/>
    <w:rsid w:val="00803D33"/>
    <w:rsid w:val="00804423"/>
    <w:rsid w:val="00805843"/>
    <w:rsid w:val="008114D6"/>
    <w:rsid w:val="00812A0B"/>
    <w:rsid w:val="00814AB9"/>
    <w:rsid w:val="00815C02"/>
    <w:rsid w:val="00816A6B"/>
    <w:rsid w:val="008212FC"/>
    <w:rsid w:val="0082252E"/>
    <w:rsid w:val="0082270A"/>
    <w:rsid w:val="00823F96"/>
    <w:rsid w:val="008276B2"/>
    <w:rsid w:val="00827798"/>
    <w:rsid w:val="00830E25"/>
    <w:rsid w:val="00832671"/>
    <w:rsid w:val="00836E31"/>
    <w:rsid w:val="00840E5D"/>
    <w:rsid w:val="00841B8F"/>
    <w:rsid w:val="00844941"/>
    <w:rsid w:val="00845DE8"/>
    <w:rsid w:val="008472C3"/>
    <w:rsid w:val="00847559"/>
    <w:rsid w:val="008501D3"/>
    <w:rsid w:val="0085249A"/>
    <w:rsid w:val="00852B75"/>
    <w:rsid w:val="00852BCC"/>
    <w:rsid w:val="00852C70"/>
    <w:rsid w:val="0085381E"/>
    <w:rsid w:val="008539BF"/>
    <w:rsid w:val="00856A30"/>
    <w:rsid w:val="008578A2"/>
    <w:rsid w:val="00860153"/>
    <w:rsid w:val="00860303"/>
    <w:rsid w:val="00861031"/>
    <w:rsid w:val="00861614"/>
    <w:rsid w:val="008626E3"/>
    <w:rsid w:val="00865D05"/>
    <w:rsid w:val="008702A4"/>
    <w:rsid w:val="00872E46"/>
    <w:rsid w:val="00880E26"/>
    <w:rsid w:val="00881079"/>
    <w:rsid w:val="00882062"/>
    <w:rsid w:val="0088298D"/>
    <w:rsid w:val="008919C1"/>
    <w:rsid w:val="00893075"/>
    <w:rsid w:val="0089475D"/>
    <w:rsid w:val="00894E1B"/>
    <w:rsid w:val="008955AE"/>
    <w:rsid w:val="008967D3"/>
    <w:rsid w:val="00896F73"/>
    <w:rsid w:val="008A0845"/>
    <w:rsid w:val="008A2F06"/>
    <w:rsid w:val="008A37B4"/>
    <w:rsid w:val="008A511D"/>
    <w:rsid w:val="008A5B24"/>
    <w:rsid w:val="008A6CBF"/>
    <w:rsid w:val="008B20A8"/>
    <w:rsid w:val="008C3F4A"/>
    <w:rsid w:val="008C65B1"/>
    <w:rsid w:val="008C780E"/>
    <w:rsid w:val="008C78A7"/>
    <w:rsid w:val="008D1D5D"/>
    <w:rsid w:val="008D2C9D"/>
    <w:rsid w:val="008D4FEF"/>
    <w:rsid w:val="008D559C"/>
    <w:rsid w:val="008D6B93"/>
    <w:rsid w:val="008E0032"/>
    <w:rsid w:val="008E03D6"/>
    <w:rsid w:val="008E3639"/>
    <w:rsid w:val="008E60DA"/>
    <w:rsid w:val="008E6126"/>
    <w:rsid w:val="008E7BDA"/>
    <w:rsid w:val="008E7F16"/>
    <w:rsid w:val="008F0891"/>
    <w:rsid w:val="008F120F"/>
    <w:rsid w:val="008F4966"/>
    <w:rsid w:val="008F6EDD"/>
    <w:rsid w:val="00901936"/>
    <w:rsid w:val="00907173"/>
    <w:rsid w:val="0090791B"/>
    <w:rsid w:val="009154DE"/>
    <w:rsid w:val="00915C85"/>
    <w:rsid w:val="00917CEA"/>
    <w:rsid w:val="00917EB1"/>
    <w:rsid w:val="0092061B"/>
    <w:rsid w:val="00920D11"/>
    <w:rsid w:val="00921B6E"/>
    <w:rsid w:val="009220A0"/>
    <w:rsid w:val="0092376D"/>
    <w:rsid w:val="009249B2"/>
    <w:rsid w:val="00924AEA"/>
    <w:rsid w:val="00927287"/>
    <w:rsid w:val="009336F5"/>
    <w:rsid w:val="00936ABA"/>
    <w:rsid w:val="00941530"/>
    <w:rsid w:val="00942B48"/>
    <w:rsid w:val="0094350A"/>
    <w:rsid w:val="00947E7E"/>
    <w:rsid w:val="00950B98"/>
    <w:rsid w:val="00951EB7"/>
    <w:rsid w:val="00952178"/>
    <w:rsid w:val="00954B73"/>
    <w:rsid w:val="009566EA"/>
    <w:rsid w:val="00957A13"/>
    <w:rsid w:val="009611F6"/>
    <w:rsid w:val="00961B0B"/>
    <w:rsid w:val="009629B8"/>
    <w:rsid w:val="009645BE"/>
    <w:rsid w:val="00967A7C"/>
    <w:rsid w:val="00971A4D"/>
    <w:rsid w:val="00972476"/>
    <w:rsid w:val="009735A0"/>
    <w:rsid w:val="009738AE"/>
    <w:rsid w:val="00973F7C"/>
    <w:rsid w:val="00974316"/>
    <w:rsid w:val="00975204"/>
    <w:rsid w:val="009756EC"/>
    <w:rsid w:val="00976D03"/>
    <w:rsid w:val="009774EA"/>
    <w:rsid w:val="00980947"/>
    <w:rsid w:val="00983055"/>
    <w:rsid w:val="0098330A"/>
    <w:rsid w:val="00985924"/>
    <w:rsid w:val="00990883"/>
    <w:rsid w:val="00992482"/>
    <w:rsid w:val="00992BED"/>
    <w:rsid w:val="0099370F"/>
    <w:rsid w:val="0099549F"/>
    <w:rsid w:val="00996442"/>
    <w:rsid w:val="00996493"/>
    <w:rsid w:val="0099738A"/>
    <w:rsid w:val="00997FE1"/>
    <w:rsid w:val="009A0E6B"/>
    <w:rsid w:val="009A139F"/>
    <w:rsid w:val="009A26D6"/>
    <w:rsid w:val="009A422F"/>
    <w:rsid w:val="009A47D5"/>
    <w:rsid w:val="009A76F4"/>
    <w:rsid w:val="009B0129"/>
    <w:rsid w:val="009B1F23"/>
    <w:rsid w:val="009B3F46"/>
    <w:rsid w:val="009B5554"/>
    <w:rsid w:val="009B6C49"/>
    <w:rsid w:val="009B72E6"/>
    <w:rsid w:val="009C0034"/>
    <w:rsid w:val="009C03C7"/>
    <w:rsid w:val="009C0C1A"/>
    <w:rsid w:val="009C1D74"/>
    <w:rsid w:val="009C564E"/>
    <w:rsid w:val="009C56C4"/>
    <w:rsid w:val="009C70EB"/>
    <w:rsid w:val="009C743D"/>
    <w:rsid w:val="009D148C"/>
    <w:rsid w:val="009D72DC"/>
    <w:rsid w:val="009D7FB9"/>
    <w:rsid w:val="009E067F"/>
    <w:rsid w:val="009E543B"/>
    <w:rsid w:val="009E78A0"/>
    <w:rsid w:val="009F2CEC"/>
    <w:rsid w:val="00A00156"/>
    <w:rsid w:val="00A02290"/>
    <w:rsid w:val="00A06033"/>
    <w:rsid w:val="00A061ED"/>
    <w:rsid w:val="00A06D33"/>
    <w:rsid w:val="00A07E40"/>
    <w:rsid w:val="00A1428E"/>
    <w:rsid w:val="00A15021"/>
    <w:rsid w:val="00A15F89"/>
    <w:rsid w:val="00A15F8E"/>
    <w:rsid w:val="00A17441"/>
    <w:rsid w:val="00A176D6"/>
    <w:rsid w:val="00A20D1A"/>
    <w:rsid w:val="00A213BE"/>
    <w:rsid w:val="00A25152"/>
    <w:rsid w:val="00A26ED3"/>
    <w:rsid w:val="00A317F8"/>
    <w:rsid w:val="00A31F1B"/>
    <w:rsid w:val="00A32A89"/>
    <w:rsid w:val="00A34C38"/>
    <w:rsid w:val="00A359B0"/>
    <w:rsid w:val="00A36FED"/>
    <w:rsid w:val="00A40806"/>
    <w:rsid w:val="00A41672"/>
    <w:rsid w:val="00A4198C"/>
    <w:rsid w:val="00A43E02"/>
    <w:rsid w:val="00A44313"/>
    <w:rsid w:val="00A479B3"/>
    <w:rsid w:val="00A545C0"/>
    <w:rsid w:val="00A54CC6"/>
    <w:rsid w:val="00A57147"/>
    <w:rsid w:val="00A575CB"/>
    <w:rsid w:val="00A57B04"/>
    <w:rsid w:val="00A60F20"/>
    <w:rsid w:val="00A616F1"/>
    <w:rsid w:val="00A61BFF"/>
    <w:rsid w:val="00A6202A"/>
    <w:rsid w:val="00A64863"/>
    <w:rsid w:val="00A64DDD"/>
    <w:rsid w:val="00A70191"/>
    <w:rsid w:val="00A704A0"/>
    <w:rsid w:val="00A7591D"/>
    <w:rsid w:val="00A7679C"/>
    <w:rsid w:val="00A76B4F"/>
    <w:rsid w:val="00A7731F"/>
    <w:rsid w:val="00A80332"/>
    <w:rsid w:val="00A80E67"/>
    <w:rsid w:val="00A81312"/>
    <w:rsid w:val="00A81342"/>
    <w:rsid w:val="00A82686"/>
    <w:rsid w:val="00A83F3F"/>
    <w:rsid w:val="00A85196"/>
    <w:rsid w:val="00A85705"/>
    <w:rsid w:val="00A85FBD"/>
    <w:rsid w:val="00A864CC"/>
    <w:rsid w:val="00A876EC"/>
    <w:rsid w:val="00A90E95"/>
    <w:rsid w:val="00A93803"/>
    <w:rsid w:val="00A96BDE"/>
    <w:rsid w:val="00A971B3"/>
    <w:rsid w:val="00AA3344"/>
    <w:rsid w:val="00AA42F1"/>
    <w:rsid w:val="00AA4CC2"/>
    <w:rsid w:val="00AA6389"/>
    <w:rsid w:val="00AA6897"/>
    <w:rsid w:val="00AA6BE9"/>
    <w:rsid w:val="00AB07B2"/>
    <w:rsid w:val="00AB34A8"/>
    <w:rsid w:val="00AB3623"/>
    <w:rsid w:val="00AB417C"/>
    <w:rsid w:val="00AB4304"/>
    <w:rsid w:val="00AB4D8E"/>
    <w:rsid w:val="00AC0473"/>
    <w:rsid w:val="00AD04E0"/>
    <w:rsid w:val="00AD41C9"/>
    <w:rsid w:val="00AD5CBC"/>
    <w:rsid w:val="00AE3886"/>
    <w:rsid w:val="00AE4586"/>
    <w:rsid w:val="00AE46D7"/>
    <w:rsid w:val="00AE5E4E"/>
    <w:rsid w:val="00AE6071"/>
    <w:rsid w:val="00AE66B6"/>
    <w:rsid w:val="00AE6757"/>
    <w:rsid w:val="00AE76A2"/>
    <w:rsid w:val="00AE7F35"/>
    <w:rsid w:val="00AF04CD"/>
    <w:rsid w:val="00AF2FF1"/>
    <w:rsid w:val="00AF32EA"/>
    <w:rsid w:val="00AF5950"/>
    <w:rsid w:val="00AF72A6"/>
    <w:rsid w:val="00B00A0A"/>
    <w:rsid w:val="00B00A56"/>
    <w:rsid w:val="00B06F99"/>
    <w:rsid w:val="00B10184"/>
    <w:rsid w:val="00B10893"/>
    <w:rsid w:val="00B1214A"/>
    <w:rsid w:val="00B16177"/>
    <w:rsid w:val="00B200F2"/>
    <w:rsid w:val="00B229B5"/>
    <w:rsid w:val="00B23D8E"/>
    <w:rsid w:val="00B24536"/>
    <w:rsid w:val="00B25269"/>
    <w:rsid w:val="00B25306"/>
    <w:rsid w:val="00B2602F"/>
    <w:rsid w:val="00B26BD0"/>
    <w:rsid w:val="00B31BD2"/>
    <w:rsid w:val="00B3447A"/>
    <w:rsid w:val="00B3507C"/>
    <w:rsid w:val="00B432E2"/>
    <w:rsid w:val="00B435E5"/>
    <w:rsid w:val="00B505EE"/>
    <w:rsid w:val="00B51762"/>
    <w:rsid w:val="00B51FBC"/>
    <w:rsid w:val="00B52028"/>
    <w:rsid w:val="00B548F2"/>
    <w:rsid w:val="00B57B0E"/>
    <w:rsid w:val="00B61149"/>
    <w:rsid w:val="00B617F1"/>
    <w:rsid w:val="00B630B1"/>
    <w:rsid w:val="00B630F3"/>
    <w:rsid w:val="00B666F7"/>
    <w:rsid w:val="00B718FF"/>
    <w:rsid w:val="00B75FFA"/>
    <w:rsid w:val="00B765FA"/>
    <w:rsid w:val="00B76F17"/>
    <w:rsid w:val="00B7724E"/>
    <w:rsid w:val="00B83ED2"/>
    <w:rsid w:val="00B84824"/>
    <w:rsid w:val="00B86CCA"/>
    <w:rsid w:val="00B901A7"/>
    <w:rsid w:val="00B90367"/>
    <w:rsid w:val="00B907B4"/>
    <w:rsid w:val="00B93745"/>
    <w:rsid w:val="00B941EE"/>
    <w:rsid w:val="00B95573"/>
    <w:rsid w:val="00B95F8A"/>
    <w:rsid w:val="00BA1018"/>
    <w:rsid w:val="00BA1764"/>
    <w:rsid w:val="00BA3DCE"/>
    <w:rsid w:val="00BA6C1E"/>
    <w:rsid w:val="00BA7F2A"/>
    <w:rsid w:val="00BB0BF2"/>
    <w:rsid w:val="00BB0DDD"/>
    <w:rsid w:val="00BB1F5E"/>
    <w:rsid w:val="00BB23A1"/>
    <w:rsid w:val="00BB509A"/>
    <w:rsid w:val="00BB6C1F"/>
    <w:rsid w:val="00BC0E97"/>
    <w:rsid w:val="00BC2AFA"/>
    <w:rsid w:val="00BC3053"/>
    <w:rsid w:val="00BC4CB2"/>
    <w:rsid w:val="00BC5F06"/>
    <w:rsid w:val="00BD0765"/>
    <w:rsid w:val="00BD07C2"/>
    <w:rsid w:val="00BD0DD7"/>
    <w:rsid w:val="00BD5C2B"/>
    <w:rsid w:val="00BE0287"/>
    <w:rsid w:val="00BE62FA"/>
    <w:rsid w:val="00BE7CE2"/>
    <w:rsid w:val="00BF5ECD"/>
    <w:rsid w:val="00BF6571"/>
    <w:rsid w:val="00BF69A5"/>
    <w:rsid w:val="00BF72EA"/>
    <w:rsid w:val="00C00FF7"/>
    <w:rsid w:val="00C01C91"/>
    <w:rsid w:val="00C039D1"/>
    <w:rsid w:val="00C0481F"/>
    <w:rsid w:val="00C04A35"/>
    <w:rsid w:val="00C0689C"/>
    <w:rsid w:val="00C07396"/>
    <w:rsid w:val="00C106D9"/>
    <w:rsid w:val="00C1077B"/>
    <w:rsid w:val="00C10ED8"/>
    <w:rsid w:val="00C11699"/>
    <w:rsid w:val="00C120DC"/>
    <w:rsid w:val="00C128E6"/>
    <w:rsid w:val="00C12F32"/>
    <w:rsid w:val="00C13508"/>
    <w:rsid w:val="00C13834"/>
    <w:rsid w:val="00C2009B"/>
    <w:rsid w:val="00C23045"/>
    <w:rsid w:val="00C239C5"/>
    <w:rsid w:val="00C306E2"/>
    <w:rsid w:val="00C34444"/>
    <w:rsid w:val="00C3755E"/>
    <w:rsid w:val="00C37A85"/>
    <w:rsid w:val="00C40EB7"/>
    <w:rsid w:val="00C412F2"/>
    <w:rsid w:val="00C4279A"/>
    <w:rsid w:val="00C46959"/>
    <w:rsid w:val="00C47B95"/>
    <w:rsid w:val="00C5303B"/>
    <w:rsid w:val="00C5303E"/>
    <w:rsid w:val="00C5357C"/>
    <w:rsid w:val="00C5377A"/>
    <w:rsid w:val="00C548E2"/>
    <w:rsid w:val="00C556A6"/>
    <w:rsid w:val="00C565D1"/>
    <w:rsid w:val="00C60825"/>
    <w:rsid w:val="00C60C3B"/>
    <w:rsid w:val="00C62CDB"/>
    <w:rsid w:val="00C64460"/>
    <w:rsid w:val="00C64CA8"/>
    <w:rsid w:val="00C66FDA"/>
    <w:rsid w:val="00C67157"/>
    <w:rsid w:val="00C70F0D"/>
    <w:rsid w:val="00C7105F"/>
    <w:rsid w:val="00C71416"/>
    <w:rsid w:val="00C742FB"/>
    <w:rsid w:val="00C74DC5"/>
    <w:rsid w:val="00C77A14"/>
    <w:rsid w:val="00C8007D"/>
    <w:rsid w:val="00C80B5C"/>
    <w:rsid w:val="00C8118A"/>
    <w:rsid w:val="00C81AE2"/>
    <w:rsid w:val="00C86440"/>
    <w:rsid w:val="00C864F6"/>
    <w:rsid w:val="00C86E37"/>
    <w:rsid w:val="00C924E9"/>
    <w:rsid w:val="00C928C5"/>
    <w:rsid w:val="00C93A43"/>
    <w:rsid w:val="00CA044A"/>
    <w:rsid w:val="00CA0BA4"/>
    <w:rsid w:val="00CA0F38"/>
    <w:rsid w:val="00CA1CAE"/>
    <w:rsid w:val="00CA1DF7"/>
    <w:rsid w:val="00CA2C97"/>
    <w:rsid w:val="00CA54EA"/>
    <w:rsid w:val="00CA6F08"/>
    <w:rsid w:val="00CA7DF6"/>
    <w:rsid w:val="00CB0549"/>
    <w:rsid w:val="00CB14F9"/>
    <w:rsid w:val="00CB4EB7"/>
    <w:rsid w:val="00CB5CFB"/>
    <w:rsid w:val="00CB6067"/>
    <w:rsid w:val="00CB6C27"/>
    <w:rsid w:val="00CC1488"/>
    <w:rsid w:val="00CC46E7"/>
    <w:rsid w:val="00CC5297"/>
    <w:rsid w:val="00CC5F3B"/>
    <w:rsid w:val="00CD28E4"/>
    <w:rsid w:val="00CD2F03"/>
    <w:rsid w:val="00CD44BC"/>
    <w:rsid w:val="00CD52C2"/>
    <w:rsid w:val="00CE0B1C"/>
    <w:rsid w:val="00CE3580"/>
    <w:rsid w:val="00CE3F6A"/>
    <w:rsid w:val="00CE403D"/>
    <w:rsid w:val="00CE405E"/>
    <w:rsid w:val="00CF105E"/>
    <w:rsid w:val="00CF30C5"/>
    <w:rsid w:val="00CF4069"/>
    <w:rsid w:val="00CF4E09"/>
    <w:rsid w:val="00CF5AD3"/>
    <w:rsid w:val="00CF6E52"/>
    <w:rsid w:val="00D005A8"/>
    <w:rsid w:val="00D0158D"/>
    <w:rsid w:val="00D0609C"/>
    <w:rsid w:val="00D06622"/>
    <w:rsid w:val="00D07871"/>
    <w:rsid w:val="00D12405"/>
    <w:rsid w:val="00D214AC"/>
    <w:rsid w:val="00D21B28"/>
    <w:rsid w:val="00D25269"/>
    <w:rsid w:val="00D31AAF"/>
    <w:rsid w:val="00D33226"/>
    <w:rsid w:val="00D3670D"/>
    <w:rsid w:val="00D40D19"/>
    <w:rsid w:val="00D4118D"/>
    <w:rsid w:val="00D41D0E"/>
    <w:rsid w:val="00D44FE0"/>
    <w:rsid w:val="00D46B6C"/>
    <w:rsid w:val="00D473DE"/>
    <w:rsid w:val="00D47500"/>
    <w:rsid w:val="00D529B7"/>
    <w:rsid w:val="00D52C78"/>
    <w:rsid w:val="00D52F4D"/>
    <w:rsid w:val="00D53B28"/>
    <w:rsid w:val="00D55882"/>
    <w:rsid w:val="00D55F5C"/>
    <w:rsid w:val="00D56703"/>
    <w:rsid w:val="00D56D0E"/>
    <w:rsid w:val="00D5700B"/>
    <w:rsid w:val="00D571FA"/>
    <w:rsid w:val="00D6223D"/>
    <w:rsid w:val="00D63D29"/>
    <w:rsid w:val="00D640E8"/>
    <w:rsid w:val="00D64A16"/>
    <w:rsid w:val="00D65544"/>
    <w:rsid w:val="00D6563A"/>
    <w:rsid w:val="00D6569A"/>
    <w:rsid w:val="00D6601F"/>
    <w:rsid w:val="00D6673C"/>
    <w:rsid w:val="00D66C16"/>
    <w:rsid w:val="00D707C5"/>
    <w:rsid w:val="00D737C7"/>
    <w:rsid w:val="00D77C87"/>
    <w:rsid w:val="00D829B6"/>
    <w:rsid w:val="00D858C3"/>
    <w:rsid w:val="00D85EDA"/>
    <w:rsid w:val="00D90984"/>
    <w:rsid w:val="00D94700"/>
    <w:rsid w:val="00D95E2C"/>
    <w:rsid w:val="00D974D9"/>
    <w:rsid w:val="00DA09DE"/>
    <w:rsid w:val="00DA212B"/>
    <w:rsid w:val="00DA35AC"/>
    <w:rsid w:val="00DA4738"/>
    <w:rsid w:val="00DA4C8A"/>
    <w:rsid w:val="00DA63AC"/>
    <w:rsid w:val="00DA7133"/>
    <w:rsid w:val="00DA73BB"/>
    <w:rsid w:val="00DB0662"/>
    <w:rsid w:val="00DB1F70"/>
    <w:rsid w:val="00DB1FA0"/>
    <w:rsid w:val="00DB2060"/>
    <w:rsid w:val="00DB2B81"/>
    <w:rsid w:val="00DB3B37"/>
    <w:rsid w:val="00DB5DD8"/>
    <w:rsid w:val="00DC595E"/>
    <w:rsid w:val="00DC716B"/>
    <w:rsid w:val="00DD0549"/>
    <w:rsid w:val="00DD1B0F"/>
    <w:rsid w:val="00DD4C97"/>
    <w:rsid w:val="00DD5044"/>
    <w:rsid w:val="00DD5CE9"/>
    <w:rsid w:val="00DD69D0"/>
    <w:rsid w:val="00DD6B89"/>
    <w:rsid w:val="00DE3458"/>
    <w:rsid w:val="00DE5B00"/>
    <w:rsid w:val="00DE7752"/>
    <w:rsid w:val="00DF542D"/>
    <w:rsid w:val="00DF704A"/>
    <w:rsid w:val="00DF705C"/>
    <w:rsid w:val="00E01358"/>
    <w:rsid w:val="00E025D5"/>
    <w:rsid w:val="00E03D9D"/>
    <w:rsid w:val="00E10F9D"/>
    <w:rsid w:val="00E12BC9"/>
    <w:rsid w:val="00E13EA5"/>
    <w:rsid w:val="00E16148"/>
    <w:rsid w:val="00E176F9"/>
    <w:rsid w:val="00E17B89"/>
    <w:rsid w:val="00E2113C"/>
    <w:rsid w:val="00E213D1"/>
    <w:rsid w:val="00E213F6"/>
    <w:rsid w:val="00E218E8"/>
    <w:rsid w:val="00E23CFA"/>
    <w:rsid w:val="00E23D5E"/>
    <w:rsid w:val="00E2593F"/>
    <w:rsid w:val="00E26C72"/>
    <w:rsid w:val="00E30285"/>
    <w:rsid w:val="00E3337A"/>
    <w:rsid w:val="00E3447C"/>
    <w:rsid w:val="00E35DDD"/>
    <w:rsid w:val="00E375FE"/>
    <w:rsid w:val="00E5086C"/>
    <w:rsid w:val="00E50A1F"/>
    <w:rsid w:val="00E52544"/>
    <w:rsid w:val="00E536B7"/>
    <w:rsid w:val="00E5455B"/>
    <w:rsid w:val="00E57BB9"/>
    <w:rsid w:val="00E60C81"/>
    <w:rsid w:val="00E63AC1"/>
    <w:rsid w:val="00E642AD"/>
    <w:rsid w:val="00E646E2"/>
    <w:rsid w:val="00E653FD"/>
    <w:rsid w:val="00E65588"/>
    <w:rsid w:val="00E65AA4"/>
    <w:rsid w:val="00E663F9"/>
    <w:rsid w:val="00E665FF"/>
    <w:rsid w:val="00E72F41"/>
    <w:rsid w:val="00E771DA"/>
    <w:rsid w:val="00E7782F"/>
    <w:rsid w:val="00E80A7C"/>
    <w:rsid w:val="00E8162E"/>
    <w:rsid w:val="00E81A2A"/>
    <w:rsid w:val="00E85C75"/>
    <w:rsid w:val="00E86224"/>
    <w:rsid w:val="00E865E9"/>
    <w:rsid w:val="00E878A5"/>
    <w:rsid w:val="00E9003D"/>
    <w:rsid w:val="00E92958"/>
    <w:rsid w:val="00E9355D"/>
    <w:rsid w:val="00E958F8"/>
    <w:rsid w:val="00E97D3A"/>
    <w:rsid w:val="00EA0496"/>
    <w:rsid w:val="00EA6174"/>
    <w:rsid w:val="00EA6B81"/>
    <w:rsid w:val="00EA7B0D"/>
    <w:rsid w:val="00EB0276"/>
    <w:rsid w:val="00EB027D"/>
    <w:rsid w:val="00EB2A62"/>
    <w:rsid w:val="00EB2EF2"/>
    <w:rsid w:val="00EB3E37"/>
    <w:rsid w:val="00EB4886"/>
    <w:rsid w:val="00EB53EC"/>
    <w:rsid w:val="00EB582F"/>
    <w:rsid w:val="00EB7208"/>
    <w:rsid w:val="00EC07AA"/>
    <w:rsid w:val="00EC2339"/>
    <w:rsid w:val="00EC2541"/>
    <w:rsid w:val="00EC390A"/>
    <w:rsid w:val="00EC3EB4"/>
    <w:rsid w:val="00EC71D2"/>
    <w:rsid w:val="00ED5C9A"/>
    <w:rsid w:val="00ED6955"/>
    <w:rsid w:val="00EE2581"/>
    <w:rsid w:val="00EE78E8"/>
    <w:rsid w:val="00EF05B3"/>
    <w:rsid w:val="00EF12C2"/>
    <w:rsid w:val="00EF428F"/>
    <w:rsid w:val="00EF6AD0"/>
    <w:rsid w:val="00EF6FAA"/>
    <w:rsid w:val="00EF7F2D"/>
    <w:rsid w:val="00F00078"/>
    <w:rsid w:val="00F03249"/>
    <w:rsid w:val="00F04A0C"/>
    <w:rsid w:val="00F054D7"/>
    <w:rsid w:val="00F06598"/>
    <w:rsid w:val="00F070FD"/>
    <w:rsid w:val="00F12CFF"/>
    <w:rsid w:val="00F13373"/>
    <w:rsid w:val="00F14160"/>
    <w:rsid w:val="00F15D5F"/>
    <w:rsid w:val="00F16FA1"/>
    <w:rsid w:val="00F17587"/>
    <w:rsid w:val="00F2057A"/>
    <w:rsid w:val="00F246FA"/>
    <w:rsid w:val="00F32D2E"/>
    <w:rsid w:val="00F357B0"/>
    <w:rsid w:val="00F4119E"/>
    <w:rsid w:val="00F43361"/>
    <w:rsid w:val="00F5006B"/>
    <w:rsid w:val="00F51C01"/>
    <w:rsid w:val="00F5766D"/>
    <w:rsid w:val="00F618CB"/>
    <w:rsid w:val="00F61A1A"/>
    <w:rsid w:val="00F630F0"/>
    <w:rsid w:val="00F63EA2"/>
    <w:rsid w:val="00F63EC9"/>
    <w:rsid w:val="00F6503E"/>
    <w:rsid w:val="00F65A0A"/>
    <w:rsid w:val="00F70AB1"/>
    <w:rsid w:val="00F7395C"/>
    <w:rsid w:val="00F746BF"/>
    <w:rsid w:val="00F77239"/>
    <w:rsid w:val="00F821E6"/>
    <w:rsid w:val="00F84320"/>
    <w:rsid w:val="00F8440F"/>
    <w:rsid w:val="00F859F5"/>
    <w:rsid w:val="00F8784B"/>
    <w:rsid w:val="00F87C2C"/>
    <w:rsid w:val="00F902C5"/>
    <w:rsid w:val="00F929F3"/>
    <w:rsid w:val="00F92D99"/>
    <w:rsid w:val="00F93C94"/>
    <w:rsid w:val="00F947D8"/>
    <w:rsid w:val="00F97DCE"/>
    <w:rsid w:val="00FA39E7"/>
    <w:rsid w:val="00FA57A4"/>
    <w:rsid w:val="00FA68A1"/>
    <w:rsid w:val="00FA73B0"/>
    <w:rsid w:val="00FA7E35"/>
    <w:rsid w:val="00FB4715"/>
    <w:rsid w:val="00FB56E9"/>
    <w:rsid w:val="00FB5C8A"/>
    <w:rsid w:val="00FB75D2"/>
    <w:rsid w:val="00FB7A37"/>
    <w:rsid w:val="00FC387E"/>
    <w:rsid w:val="00FC3CFC"/>
    <w:rsid w:val="00FC5770"/>
    <w:rsid w:val="00FC78DA"/>
    <w:rsid w:val="00FD0981"/>
    <w:rsid w:val="00FD158E"/>
    <w:rsid w:val="00FD329A"/>
    <w:rsid w:val="00FD5169"/>
    <w:rsid w:val="00FD521A"/>
    <w:rsid w:val="00FD5436"/>
    <w:rsid w:val="00FD61B2"/>
    <w:rsid w:val="00FD666B"/>
    <w:rsid w:val="00FD7190"/>
    <w:rsid w:val="00FE1233"/>
    <w:rsid w:val="00FE31EE"/>
    <w:rsid w:val="00FE57C5"/>
    <w:rsid w:val="00FE5ADF"/>
    <w:rsid w:val="00FE7C6B"/>
    <w:rsid w:val="00FE7E17"/>
    <w:rsid w:val="00FF0BBB"/>
    <w:rsid w:val="00FF20B4"/>
    <w:rsid w:val="63951D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ind w:firstLine="720"/>
      <w:jc w:val="both"/>
    </w:pPr>
    <w:rPr>
      <w:rFonts w:ascii="Times New Roman" w:hAnsi="Times New Roman" w:eastAsiaTheme="minorEastAsia" w:cstheme="minorBidi"/>
      <w:sz w:val="24"/>
      <w:szCs w:val="22"/>
      <w:lang w:val="en-AU" w:eastAsia="en-US" w:bidi="ar-SA"/>
    </w:rPr>
  </w:style>
  <w:style w:type="paragraph" w:styleId="2">
    <w:name w:val="heading 1"/>
    <w:basedOn w:val="1"/>
    <w:next w:val="1"/>
    <w:link w:val="32"/>
    <w:qFormat/>
    <w:uiPriority w:val="9"/>
    <w:pPr>
      <w:keepNext/>
      <w:keepLines/>
      <w:numPr>
        <w:ilvl w:val="0"/>
        <w:numId w:val="1"/>
      </w:numPr>
      <w:spacing w:before="360"/>
      <w:jc w:val="center"/>
      <w:outlineLvl w:val="0"/>
    </w:pPr>
    <w:rPr>
      <w:rFonts w:eastAsiaTheme="majorEastAsia" w:cstheme="majorBidi"/>
      <w:b/>
      <w:bCs/>
      <w:color w:val="000000" w:themeColor="text1"/>
      <w:szCs w:val="36"/>
      <w14:textFill>
        <w14:solidFill>
          <w14:schemeClr w14:val="tx1"/>
        </w14:solidFill>
      </w14:textFill>
    </w:rPr>
  </w:style>
  <w:style w:type="paragraph" w:styleId="3">
    <w:name w:val="heading 2"/>
    <w:basedOn w:val="1"/>
    <w:next w:val="1"/>
    <w:link w:val="36"/>
    <w:unhideWhenUsed/>
    <w:qFormat/>
    <w:uiPriority w:val="9"/>
    <w:pPr>
      <w:keepNext/>
      <w:keepLines/>
      <w:numPr>
        <w:ilvl w:val="1"/>
        <w:numId w:val="1"/>
      </w:numPr>
      <w:spacing w:before="360" w:after="0"/>
      <w:outlineLvl w:val="1"/>
    </w:pPr>
    <w:rPr>
      <w:rFonts w:eastAsiaTheme="majorEastAsia" w:cstheme="majorBidi"/>
      <w:b/>
      <w:bCs/>
      <w:color w:val="000000" w:themeColor="text1"/>
      <w:szCs w:val="28"/>
      <w14:textFill>
        <w14:solidFill>
          <w14:schemeClr w14:val="tx1"/>
        </w14:solidFill>
      </w14:textFill>
    </w:rPr>
  </w:style>
  <w:style w:type="paragraph" w:styleId="4">
    <w:name w:val="heading 3"/>
    <w:basedOn w:val="1"/>
    <w:next w:val="1"/>
    <w:link w:val="37"/>
    <w:unhideWhenUsed/>
    <w:qFormat/>
    <w:uiPriority w:val="9"/>
    <w:pPr>
      <w:keepNext/>
      <w:keepLines/>
      <w:numPr>
        <w:ilvl w:val="2"/>
        <w:numId w:val="1"/>
      </w:numPr>
      <w:spacing w:before="200" w:after="0"/>
      <w:outlineLvl w:val="2"/>
    </w:pPr>
    <w:rPr>
      <w:rFonts w:eastAsiaTheme="majorEastAsia" w:cstheme="majorBidi"/>
      <w:b/>
      <w:bCs/>
      <w:i/>
      <w:color w:val="000000" w:themeColor="text1"/>
      <w14:textFill>
        <w14:solidFill>
          <w14:schemeClr w14:val="tx1"/>
        </w14:solidFill>
      </w14:textFill>
    </w:rPr>
  </w:style>
  <w:style w:type="paragraph" w:styleId="5">
    <w:name w:val="heading 4"/>
    <w:basedOn w:val="1"/>
    <w:next w:val="1"/>
    <w:link w:val="39"/>
    <w:unhideWhenUsed/>
    <w:qFormat/>
    <w:uiPriority w:val="9"/>
    <w:pPr>
      <w:keepNext/>
      <w:keepLines/>
      <w:numPr>
        <w:ilvl w:val="3"/>
        <w:numId w:val="1"/>
      </w:numPr>
      <w:spacing w:before="200" w:after="0"/>
      <w:outlineLvl w:val="3"/>
    </w:pPr>
    <w:rPr>
      <w:rFonts w:eastAsiaTheme="majorEastAsia" w:cstheme="majorBidi"/>
      <w:b/>
      <w:bCs/>
      <w:i/>
      <w:iCs/>
      <w:color w:val="000000" w:themeColor="text1"/>
      <w14:textFill>
        <w14:solidFill>
          <w14:schemeClr w14:val="tx1"/>
        </w14:solidFill>
      </w14:textFill>
    </w:rPr>
  </w:style>
  <w:style w:type="paragraph" w:styleId="6">
    <w:name w:val="heading 5"/>
    <w:basedOn w:val="1"/>
    <w:next w:val="1"/>
    <w:link w:val="40"/>
    <w:semiHidden/>
    <w:unhideWhenUsed/>
    <w:qFormat/>
    <w:uiPriority w:val="9"/>
    <w:pPr>
      <w:keepNext/>
      <w:keepLines/>
      <w:numPr>
        <w:ilvl w:val="4"/>
        <w:numId w:val="1"/>
      </w:numPr>
      <w:spacing w:before="200" w:after="0"/>
      <w:outlineLvl w:val="4"/>
    </w:pPr>
    <w:rPr>
      <w:rFonts w:eastAsiaTheme="majorEastAsia" w:cstheme="majorBidi"/>
      <w:color w:val="333F50" w:themeColor="text2" w:themeShade="BF"/>
    </w:rPr>
  </w:style>
  <w:style w:type="paragraph" w:styleId="7">
    <w:name w:val="heading 6"/>
    <w:basedOn w:val="1"/>
    <w:next w:val="1"/>
    <w:link w:val="41"/>
    <w:semiHidden/>
    <w:unhideWhenUsed/>
    <w:qFormat/>
    <w:uiPriority w:val="9"/>
    <w:pPr>
      <w:keepNext/>
      <w:keepLines/>
      <w:numPr>
        <w:ilvl w:val="5"/>
        <w:numId w:val="1"/>
      </w:numPr>
      <w:spacing w:before="200" w:after="0"/>
      <w:outlineLvl w:val="5"/>
    </w:pPr>
    <w:rPr>
      <w:rFonts w:eastAsiaTheme="majorEastAsia" w:cstheme="majorBidi"/>
      <w:i/>
      <w:iCs/>
      <w:color w:val="333F50" w:themeColor="text2" w:themeShade="BF"/>
    </w:rPr>
  </w:style>
  <w:style w:type="paragraph" w:styleId="8">
    <w:name w:val="heading 7"/>
    <w:basedOn w:val="1"/>
    <w:next w:val="1"/>
    <w:link w:val="42"/>
    <w:semiHidden/>
    <w:unhideWhenUsed/>
    <w:qFormat/>
    <w:uiPriority w:val="9"/>
    <w:pPr>
      <w:keepNext/>
      <w:keepLines/>
      <w:numPr>
        <w:ilvl w:val="6"/>
        <w:numId w:val="1"/>
      </w:numPr>
      <w:spacing w:before="200" w:after="0"/>
      <w:outlineLvl w:val="6"/>
    </w:pPr>
    <w:rPr>
      <w:rFonts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43"/>
    <w:semiHidden/>
    <w:unhideWhenUsed/>
    <w:qFormat/>
    <w:uiPriority w:val="9"/>
    <w:pPr>
      <w:keepNext/>
      <w:keepLines/>
      <w:numPr>
        <w:ilvl w:val="7"/>
        <w:numId w:val="1"/>
      </w:numPr>
      <w:spacing w:before="200" w:after="0"/>
      <w:outlineLvl w:val="7"/>
    </w:pPr>
    <w:rPr>
      <w:rFonts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44"/>
    <w:semiHidden/>
    <w:unhideWhenUsed/>
    <w:qFormat/>
    <w:uiPriority w:val="9"/>
    <w:pPr>
      <w:keepNext/>
      <w:keepLines/>
      <w:numPr>
        <w:ilvl w:val="8"/>
        <w:numId w:val="1"/>
      </w:numPr>
      <w:spacing w:before="200" w:after="0"/>
      <w:outlineLvl w:val="8"/>
    </w:pPr>
    <w:rPr>
      <w:rFonts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38"/>
    <w:semiHidden/>
    <w:unhideWhenUsed/>
    <w:uiPriority w:val="99"/>
    <w:pPr>
      <w:spacing w:after="0" w:line="240" w:lineRule="auto"/>
    </w:pPr>
    <w:rPr>
      <w:rFonts w:ascii="Segoe UI" w:hAnsi="Segoe UI" w:cs="Segoe UI"/>
      <w:sz w:val="18"/>
      <w:szCs w:val="18"/>
    </w:rPr>
  </w:style>
  <w:style w:type="paragraph" w:styleId="14">
    <w:name w:val="caption"/>
    <w:basedOn w:val="1"/>
    <w:next w:val="1"/>
    <w:semiHidden/>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5">
    <w:name w:val="Emphasis"/>
    <w:basedOn w:val="11"/>
    <w:qFormat/>
    <w:uiPriority w:val="20"/>
    <w:rPr>
      <w:i/>
      <w:iCs/>
      <w:color w:val="auto"/>
    </w:rPr>
  </w:style>
  <w:style w:type="character" w:styleId="16">
    <w:name w:val="FollowedHyperlink"/>
    <w:basedOn w:val="11"/>
    <w:semiHidden/>
    <w:unhideWhenUsed/>
    <w:qFormat/>
    <w:uiPriority w:val="99"/>
    <w:rPr>
      <w:color w:val="954F72" w:themeColor="followedHyperlink"/>
      <w:u w:val="single"/>
      <w14:textFill>
        <w14:solidFill>
          <w14:schemeClr w14:val="folHlink"/>
        </w14:solidFill>
      </w14:textFill>
    </w:rPr>
  </w:style>
  <w:style w:type="paragraph" w:styleId="17">
    <w:name w:val="footer"/>
    <w:basedOn w:val="1"/>
    <w:link w:val="62"/>
    <w:unhideWhenUsed/>
    <w:qFormat/>
    <w:uiPriority w:val="99"/>
    <w:pPr>
      <w:tabs>
        <w:tab w:val="center" w:pos="4513"/>
        <w:tab w:val="right" w:pos="9026"/>
      </w:tabs>
      <w:spacing w:after="0" w:line="240" w:lineRule="auto"/>
    </w:pPr>
  </w:style>
  <w:style w:type="character" w:styleId="18">
    <w:name w:val="footnote reference"/>
    <w:basedOn w:val="11"/>
    <w:semiHidden/>
    <w:unhideWhenUsed/>
    <w:qFormat/>
    <w:uiPriority w:val="99"/>
    <w:rPr>
      <w:vertAlign w:val="superscript"/>
    </w:rPr>
  </w:style>
  <w:style w:type="paragraph" w:styleId="19">
    <w:name w:val="footnote text"/>
    <w:basedOn w:val="1"/>
    <w:link w:val="60"/>
    <w:unhideWhenUsed/>
    <w:qFormat/>
    <w:uiPriority w:val="99"/>
    <w:pPr>
      <w:spacing w:after="0" w:line="240" w:lineRule="auto"/>
    </w:pPr>
    <w:rPr>
      <w:sz w:val="20"/>
      <w:szCs w:val="20"/>
    </w:rPr>
  </w:style>
  <w:style w:type="paragraph" w:styleId="20">
    <w:name w:val="header"/>
    <w:basedOn w:val="1"/>
    <w:link w:val="61"/>
    <w:unhideWhenUsed/>
    <w:qFormat/>
    <w:uiPriority w:val="99"/>
    <w:pPr>
      <w:tabs>
        <w:tab w:val="center" w:pos="4513"/>
        <w:tab w:val="right" w:pos="9026"/>
      </w:tabs>
      <w:spacing w:after="0" w:line="240" w:lineRule="auto"/>
    </w:pPr>
  </w:style>
  <w:style w:type="character" w:styleId="21">
    <w:name w:val="Hyperlink"/>
    <w:basedOn w:val="11"/>
    <w:unhideWhenUsed/>
    <w:uiPriority w:val="99"/>
    <w:rPr>
      <w:color w:val="0000FF"/>
      <w:u w:val="single"/>
    </w:rPr>
  </w:style>
  <w:style w:type="paragraph" w:styleId="22">
    <w:name w:val="Normal (Web)"/>
    <w:basedOn w:val="1"/>
    <w:unhideWhenUsed/>
    <w:qFormat/>
    <w:uiPriority w:val="99"/>
    <w:pPr>
      <w:spacing w:before="100" w:beforeAutospacing="1" w:after="100" w:afterAutospacing="1" w:line="240" w:lineRule="auto"/>
    </w:pPr>
    <w:rPr>
      <w:rFonts w:eastAsia="Times New Roman" w:cs="Times New Roman"/>
      <w:szCs w:val="24"/>
      <w:lang w:eastAsia="en-AU"/>
    </w:rPr>
  </w:style>
  <w:style w:type="character" w:styleId="23">
    <w:name w:val="Strong"/>
    <w:basedOn w:val="11"/>
    <w:qFormat/>
    <w:uiPriority w:val="22"/>
    <w:rPr>
      <w:b/>
      <w:bCs/>
      <w:color w:val="000000" w:themeColor="text1"/>
      <w14:textFill>
        <w14:solidFill>
          <w14:schemeClr w14:val="tx1"/>
        </w14:solidFill>
      </w14:textFill>
    </w:rPr>
  </w:style>
  <w:style w:type="paragraph" w:styleId="24">
    <w:name w:val="Subtitle"/>
    <w:basedOn w:val="1"/>
    <w:next w:val="1"/>
    <w:link w:val="46"/>
    <w:qFormat/>
    <w:uiPriority w:val="11"/>
    <w:pPr>
      <w:ind w:firstLine="720"/>
    </w:pPr>
    <w:rPr>
      <w:color w:val="595959" w:themeColor="text1" w:themeTint="A6"/>
      <w:spacing w:val="10"/>
      <w14:textFill>
        <w14:solidFill>
          <w14:schemeClr w14:val="tx1">
            <w14:lumMod w14:val="65000"/>
            <w14:lumOff w14:val="35000"/>
          </w14:schemeClr>
        </w14:solidFill>
      </w14:textFill>
    </w:rPr>
  </w:style>
  <w:style w:type="table" w:styleId="25">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6">
    <w:name w:val="table of figures"/>
    <w:basedOn w:val="1"/>
    <w:next w:val="1"/>
    <w:unhideWhenUsed/>
    <w:qFormat/>
    <w:uiPriority w:val="99"/>
    <w:pPr>
      <w:spacing w:after="0"/>
    </w:pPr>
  </w:style>
  <w:style w:type="paragraph" w:styleId="27">
    <w:name w:val="Title"/>
    <w:basedOn w:val="1"/>
    <w:next w:val="1"/>
    <w:link w:val="45"/>
    <w:qFormat/>
    <w:uiPriority w:val="10"/>
    <w:pPr>
      <w:spacing w:after="0"/>
      <w:contextualSpacing/>
    </w:pPr>
    <w:rPr>
      <w:rFonts w:eastAsiaTheme="majorEastAsia" w:cstheme="majorBidi"/>
      <w:color w:val="000000" w:themeColor="text1"/>
      <w:sz w:val="56"/>
      <w:szCs w:val="56"/>
      <w14:textFill>
        <w14:solidFill>
          <w14:schemeClr w14:val="tx1"/>
        </w14:solidFill>
      </w14:textFill>
    </w:rPr>
  </w:style>
  <w:style w:type="paragraph" w:styleId="28">
    <w:name w:val="toc 1"/>
    <w:basedOn w:val="1"/>
    <w:next w:val="1"/>
    <w:autoRedefine/>
    <w:unhideWhenUsed/>
    <w:qFormat/>
    <w:uiPriority w:val="39"/>
    <w:pPr>
      <w:spacing w:after="100"/>
    </w:pPr>
  </w:style>
  <w:style w:type="paragraph" w:styleId="29">
    <w:name w:val="toc 2"/>
    <w:basedOn w:val="1"/>
    <w:next w:val="1"/>
    <w:autoRedefine/>
    <w:unhideWhenUsed/>
    <w:qFormat/>
    <w:uiPriority w:val="39"/>
    <w:pPr>
      <w:spacing w:after="100"/>
      <w:ind w:left="240"/>
    </w:pPr>
  </w:style>
  <w:style w:type="paragraph" w:styleId="30">
    <w:name w:val="toc 3"/>
    <w:basedOn w:val="1"/>
    <w:next w:val="1"/>
    <w:autoRedefine/>
    <w:unhideWhenUsed/>
    <w:qFormat/>
    <w:uiPriority w:val="39"/>
    <w:pPr>
      <w:spacing w:after="100"/>
      <w:ind w:left="480"/>
    </w:pPr>
  </w:style>
  <w:style w:type="paragraph" w:styleId="31">
    <w:name w:val="List Paragraph"/>
    <w:basedOn w:val="1"/>
    <w:qFormat/>
    <w:uiPriority w:val="34"/>
    <w:pPr>
      <w:ind w:left="720"/>
      <w:contextualSpacing/>
    </w:pPr>
  </w:style>
  <w:style w:type="character" w:customStyle="1" w:styleId="32">
    <w:name w:val="Heading 1 Char"/>
    <w:basedOn w:val="11"/>
    <w:link w:val="2"/>
    <w:uiPriority w:val="9"/>
    <w:rPr>
      <w:rFonts w:ascii="Times New Roman" w:hAnsi="Times New Roman" w:eastAsiaTheme="majorEastAsia" w:cstheme="majorBidi"/>
      <w:b/>
      <w:bCs/>
      <w:color w:val="000000" w:themeColor="text1"/>
      <w:sz w:val="24"/>
      <w:szCs w:val="36"/>
      <w14:textFill>
        <w14:solidFill>
          <w14:schemeClr w14:val="tx1"/>
        </w14:solidFill>
      </w14:textFill>
    </w:rPr>
  </w:style>
  <w:style w:type="paragraph" w:customStyle="1" w:styleId="33">
    <w:name w:val="cursor-hover"/>
    <w:basedOn w:val="1"/>
    <w:uiPriority w:val="0"/>
    <w:pPr>
      <w:spacing w:before="100" w:beforeAutospacing="1" w:after="100" w:afterAutospacing="1" w:line="240" w:lineRule="auto"/>
    </w:pPr>
    <w:rPr>
      <w:rFonts w:eastAsia="Times New Roman" w:cs="Times New Roman"/>
      <w:szCs w:val="24"/>
      <w:lang w:eastAsia="en-AU"/>
    </w:rPr>
  </w:style>
  <w:style w:type="paragraph" w:customStyle="1" w:styleId="34">
    <w:name w:val="HTML Top of Form"/>
    <w:basedOn w:val="1"/>
    <w:next w:val="1"/>
    <w:link w:val="35"/>
    <w:semiHidden/>
    <w:unhideWhenUsed/>
    <w:uiPriority w:val="99"/>
    <w:pPr>
      <w:pBdr>
        <w:bottom w:val="single" w:color="auto" w:sz="6" w:space="1"/>
      </w:pBdr>
      <w:spacing w:after="0" w:line="240" w:lineRule="auto"/>
      <w:jc w:val="center"/>
    </w:pPr>
    <w:rPr>
      <w:rFonts w:ascii="Arial" w:hAnsi="Arial" w:eastAsia="Times New Roman" w:cs="Arial"/>
      <w:vanish/>
      <w:sz w:val="16"/>
      <w:szCs w:val="16"/>
      <w:lang w:eastAsia="en-AU"/>
    </w:rPr>
  </w:style>
  <w:style w:type="character" w:customStyle="1" w:styleId="35">
    <w:name w:val="z-Top of Form Char"/>
    <w:basedOn w:val="11"/>
    <w:link w:val="34"/>
    <w:semiHidden/>
    <w:uiPriority w:val="99"/>
    <w:rPr>
      <w:rFonts w:ascii="Arial" w:hAnsi="Arial" w:eastAsia="Times New Roman" w:cs="Arial"/>
      <w:vanish/>
      <w:sz w:val="16"/>
      <w:szCs w:val="16"/>
      <w:lang w:eastAsia="en-AU"/>
    </w:rPr>
  </w:style>
  <w:style w:type="character" w:customStyle="1" w:styleId="36">
    <w:name w:val="Heading 2 Char"/>
    <w:basedOn w:val="11"/>
    <w:link w:val="3"/>
    <w:uiPriority w:val="9"/>
    <w:rPr>
      <w:rFonts w:ascii="Times New Roman" w:hAnsi="Times New Roman" w:eastAsiaTheme="majorEastAsia" w:cstheme="majorBidi"/>
      <w:b/>
      <w:bCs/>
      <w:color w:val="000000" w:themeColor="text1"/>
      <w:sz w:val="24"/>
      <w:szCs w:val="28"/>
      <w14:textFill>
        <w14:solidFill>
          <w14:schemeClr w14:val="tx1"/>
        </w14:solidFill>
      </w14:textFill>
    </w:rPr>
  </w:style>
  <w:style w:type="character" w:customStyle="1" w:styleId="37">
    <w:name w:val="Heading 3 Char"/>
    <w:basedOn w:val="11"/>
    <w:link w:val="4"/>
    <w:uiPriority w:val="9"/>
    <w:rPr>
      <w:rFonts w:ascii="Times New Roman" w:hAnsi="Times New Roman" w:eastAsiaTheme="majorEastAsia" w:cstheme="majorBidi"/>
      <w:b/>
      <w:bCs/>
      <w:i/>
      <w:color w:val="000000" w:themeColor="text1"/>
      <w:sz w:val="24"/>
      <w14:textFill>
        <w14:solidFill>
          <w14:schemeClr w14:val="tx1"/>
        </w14:solidFill>
      </w14:textFill>
    </w:rPr>
  </w:style>
  <w:style w:type="character" w:customStyle="1" w:styleId="38">
    <w:name w:val="Balloon Text Char"/>
    <w:basedOn w:val="11"/>
    <w:link w:val="13"/>
    <w:semiHidden/>
    <w:qFormat/>
    <w:uiPriority w:val="99"/>
    <w:rPr>
      <w:rFonts w:ascii="Segoe UI" w:hAnsi="Segoe UI" w:cs="Segoe UI"/>
      <w:sz w:val="18"/>
      <w:szCs w:val="18"/>
      <w:lang w:val="en-US"/>
    </w:rPr>
  </w:style>
  <w:style w:type="character" w:customStyle="1" w:styleId="39">
    <w:name w:val="Heading 4 Char"/>
    <w:basedOn w:val="11"/>
    <w:link w:val="5"/>
    <w:qFormat/>
    <w:uiPriority w:val="9"/>
    <w:rPr>
      <w:rFonts w:ascii="Times New Roman" w:hAnsi="Times New Roman" w:eastAsiaTheme="majorEastAsia" w:cstheme="majorBidi"/>
      <w:b/>
      <w:bCs/>
      <w:i/>
      <w:iCs/>
      <w:color w:val="000000" w:themeColor="text1"/>
      <w:sz w:val="24"/>
      <w14:textFill>
        <w14:solidFill>
          <w14:schemeClr w14:val="tx1"/>
        </w14:solidFill>
      </w14:textFill>
    </w:rPr>
  </w:style>
  <w:style w:type="character" w:customStyle="1" w:styleId="40">
    <w:name w:val="Heading 5 Char"/>
    <w:basedOn w:val="11"/>
    <w:link w:val="6"/>
    <w:semiHidden/>
    <w:qFormat/>
    <w:uiPriority w:val="9"/>
    <w:rPr>
      <w:rFonts w:ascii="Times New Roman" w:hAnsi="Times New Roman" w:eastAsiaTheme="majorEastAsia" w:cstheme="majorBidi"/>
      <w:color w:val="333F50" w:themeColor="text2" w:themeShade="BF"/>
      <w:sz w:val="24"/>
    </w:rPr>
  </w:style>
  <w:style w:type="character" w:customStyle="1" w:styleId="41">
    <w:name w:val="Heading 6 Char"/>
    <w:basedOn w:val="11"/>
    <w:link w:val="7"/>
    <w:semiHidden/>
    <w:qFormat/>
    <w:uiPriority w:val="9"/>
    <w:rPr>
      <w:rFonts w:ascii="Times New Roman" w:hAnsi="Times New Roman" w:eastAsiaTheme="majorEastAsia" w:cstheme="majorBidi"/>
      <w:i/>
      <w:iCs/>
      <w:color w:val="333F50" w:themeColor="text2" w:themeShade="BF"/>
      <w:sz w:val="24"/>
    </w:rPr>
  </w:style>
  <w:style w:type="character" w:customStyle="1" w:styleId="42">
    <w:name w:val="Heading 7 Char"/>
    <w:basedOn w:val="11"/>
    <w:link w:val="8"/>
    <w:semiHidden/>
    <w:qFormat/>
    <w:uiPriority w:val="9"/>
    <w:rPr>
      <w:rFonts w:ascii="Times New Roman" w:hAnsi="Times New Roman" w:eastAsiaTheme="majorEastAsia" w:cstheme="majorBidi"/>
      <w:i/>
      <w:iCs/>
      <w:color w:val="404040" w:themeColor="text1" w:themeTint="BF"/>
      <w:sz w:val="24"/>
      <w14:textFill>
        <w14:solidFill>
          <w14:schemeClr w14:val="tx1">
            <w14:lumMod w14:val="75000"/>
            <w14:lumOff w14:val="25000"/>
          </w14:schemeClr>
        </w14:solidFill>
      </w14:textFill>
    </w:rPr>
  </w:style>
  <w:style w:type="character" w:customStyle="1" w:styleId="43">
    <w:name w:val="Heading 8 Char"/>
    <w:basedOn w:val="11"/>
    <w:link w:val="9"/>
    <w:semiHidden/>
    <w:qFormat/>
    <w:uiPriority w:val="9"/>
    <w:rPr>
      <w:rFonts w:ascii="Times New Roman" w:hAnsi="Times New Roman"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44">
    <w:name w:val="Heading 9 Char"/>
    <w:basedOn w:val="11"/>
    <w:link w:val="10"/>
    <w:semiHidden/>
    <w:qFormat/>
    <w:uiPriority w:val="9"/>
    <w:rPr>
      <w:rFonts w:ascii="Times New Roman" w:hAnsi="Times New Roman"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45">
    <w:name w:val="Title Char"/>
    <w:basedOn w:val="11"/>
    <w:link w:val="27"/>
    <w:qFormat/>
    <w:uiPriority w:val="10"/>
    <w:rPr>
      <w:rFonts w:asciiTheme="majorHAnsi" w:hAnsiTheme="majorHAnsi" w:eastAsiaTheme="majorEastAsia" w:cstheme="majorBidi"/>
      <w:color w:val="000000" w:themeColor="text1"/>
      <w:sz w:val="56"/>
      <w:szCs w:val="56"/>
      <w14:textFill>
        <w14:solidFill>
          <w14:schemeClr w14:val="tx1"/>
        </w14:solidFill>
      </w14:textFill>
    </w:rPr>
  </w:style>
  <w:style w:type="character" w:customStyle="1" w:styleId="46">
    <w:name w:val="Subtitle Char"/>
    <w:basedOn w:val="11"/>
    <w:link w:val="24"/>
    <w:qFormat/>
    <w:uiPriority w:val="11"/>
    <w:rPr>
      <w:color w:val="595959" w:themeColor="text1" w:themeTint="A6"/>
      <w:spacing w:val="10"/>
      <w14:textFill>
        <w14:solidFill>
          <w14:schemeClr w14:val="tx1">
            <w14:lumMod w14:val="65000"/>
            <w14:lumOff w14:val="35000"/>
          </w14:schemeClr>
        </w14:solidFill>
      </w14:textFill>
    </w:rPr>
  </w:style>
  <w:style w:type="paragraph" w:styleId="47">
    <w:name w:val="No Spacing"/>
    <w:qFormat/>
    <w:uiPriority w:val="1"/>
    <w:pPr>
      <w:spacing w:after="0" w:line="480" w:lineRule="auto"/>
      <w:jc w:val="center"/>
    </w:pPr>
    <w:rPr>
      <w:rFonts w:asciiTheme="majorHAnsi" w:hAnsiTheme="majorHAnsi" w:eastAsiaTheme="minorEastAsia" w:cstheme="minorBidi"/>
      <w:sz w:val="24"/>
      <w:szCs w:val="22"/>
      <w:lang w:val="en-AU" w:eastAsia="en-US" w:bidi="ar-SA"/>
    </w:rPr>
  </w:style>
  <w:style w:type="paragraph" w:styleId="48">
    <w:name w:val="Quote"/>
    <w:basedOn w:val="1"/>
    <w:next w:val="1"/>
    <w:link w:val="49"/>
    <w:qFormat/>
    <w:uiPriority w:val="29"/>
    <w:pPr>
      <w:spacing w:before="160"/>
      <w:ind w:left="720" w:right="720"/>
    </w:pPr>
    <w:rPr>
      <w:i/>
      <w:iCs/>
      <w:color w:val="000000" w:themeColor="text1"/>
      <w14:textFill>
        <w14:solidFill>
          <w14:schemeClr w14:val="tx1"/>
        </w14:solidFill>
      </w14:textFill>
    </w:rPr>
  </w:style>
  <w:style w:type="character" w:customStyle="1" w:styleId="49">
    <w:name w:val="Quote Char"/>
    <w:basedOn w:val="11"/>
    <w:link w:val="48"/>
    <w:qFormat/>
    <w:uiPriority w:val="29"/>
    <w:rPr>
      <w:i/>
      <w:iCs/>
      <w:color w:val="000000" w:themeColor="text1"/>
      <w14:textFill>
        <w14:solidFill>
          <w14:schemeClr w14:val="tx1"/>
        </w14:solidFill>
      </w14:textFill>
    </w:rPr>
  </w:style>
  <w:style w:type="paragraph" w:styleId="50">
    <w:name w:val="Intense Quote"/>
    <w:basedOn w:val="1"/>
    <w:next w:val="1"/>
    <w:link w:val="51"/>
    <w:qFormat/>
    <w:uiPriority w:val="30"/>
    <w:pPr>
      <w:pBdr>
        <w:top w:val="single" w:color="F1F1F1" w:themeColor="background1" w:themeShade="F2" w:sz="24" w:space="1"/>
        <w:bottom w:val="single" w:color="F1F1F1" w:themeColor="background1" w:themeShade="F2" w:sz="24" w:space="1"/>
      </w:pBdr>
      <w:shd w:val="clear" w:color="auto" w:fill="F1F1F1" w:themeFill="background1" w:themeFillShade="F2"/>
      <w:spacing w:before="240" w:after="240"/>
      <w:ind w:left="936" w:right="936"/>
      <w:jc w:val="center"/>
    </w:pPr>
    <w:rPr>
      <w:color w:val="000000" w:themeColor="text1"/>
      <w14:textFill>
        <w14:solidFill>
          <w14:schemeClr w14:val="tx1"/>
        </w14:solidFill>
      </w14:textFill>
    </w:rPr>
  </w:style>
  <w:style w:type="character" w:customStyle="1" w:styleId="51">
    <w:name w:val="Intense Quote Char"/>
    <w:basedOn w:val="11"/>
    <w:link w:val="50"/>
    <w:qFormat/>
    <w:uiPriority w:val="30"/>
    <w:rPr>
      <w:color w:val="000000" w:themeColor="text1"/>
      <w:shd w:val="clear" w:color="auto" w:fill="F1F1F1" w:themeFill="background1" w:themeFillShade="F2"/>
      <w14:textFill>
        <w14:solidFill>
          <w14:schemeClr w14:val="tx1"/>
        </w14:solidFill>
      </w14:textFill>
    </w:rPr>
  </w:style>
  <w:style w:type="character" w:customStyle="1" w:styleId="52">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53">
    <w:name w:val="Intense Emphasis"/>
    <w:basedOn w:val="11"/>
    <w:qFormat/>
    <w:uiPriority w:val="21"/>
    <w:rPr>
      <w:b/>
      <w:bCs/>
      <w:i/>
      <w:iCs/>
      <w:caps/>
    </w:rPr>
  </w:style>
  <w:style w:type="character" w:customStyle="1" w:styleId="54">
    <w:name w:val="Subtle Reference"/>
    <w:basedOn w:val="11"/>
    <w:qFormat/>
    <w:uiPriority w:val="31"/>
    <w:rPr>
      <w:smallCaps/>
      <w:color w:val="404040" w:themeColor="text1" w:themeTint="BF"/>
      <w:u w:val="single" w:color="7F7F7F"/>
      <w14:textFill>
        <w14:solidFill>
          <w14:schemeClr w14:val="tx1">
            <w14:lumMod w14:val="75000"/>
            <w14:lumOff w14:val="25000"/>
          </w14:schemeClr>
        </w14:solidFill>
      </w14:textFill>
    </w:rPr>
  </w:style>
  <w:style w:type="character" w:customStyle="1" w:styleId="55">
    <w:name w:val="Intense Reference"/>
    <w:basedOn w:val="11"/>
    <w:qFormat/>
    <w:uiPriority w:val="32"/>
    <w:rPr>
      <w:b/>
      <w:bCs/>
      <w:smallCaps/>
      <w:u w:val="single"/>
    </w:rPr>
  </w:style>
  <w:style w:type="character" w:customStyle="1" w:styleId="56">
    <w:name w:val="Book Title"/>
    <w:basedOn w:val="11"/>
    <w:qFormat/>
    <w:uiPriority w:val="33"/>
    <w:rPr>
      <w:smallCaps/>
      <w:spacing w:val="5"/>
    </w:rPr>
  </w:style>
  <w:style w:type="paragraph" w:customStyle="1" w:styleId="57">
    <w:name w:val="TOC Heading"/>
    <w:basedOn w:val="2"/>
    <w:next w:val="1"/>
    <w:unhideWhenUsed/>
    <w:qFormat/>
    <w:uiPriority w:val="39"/>
    <w:pPr>
      <w:outlineLvl w:val="9"/>
    </w:pPr>
  </w:style>
  <w:style w:type="paragraph" w:customStyle="1" w:styleId="58">
    <w:name w:val="p"/>
    <w:basedOn w:val="1"/>
    <w:qFormat/>
    <w:uiPriority w:val="0"/>
    <w:pPr>
      <w:spacing w:before="100" w:beforeAutospacing="1" w:after="100" w:afterAutospacing="1" w:line="240" w:lineRule="auto"/>
    </w:pPr>
    <w:rPr>
      <w:rFonts w:eastAsia="Times New Roman" w:cs="Times New Roman"/>
      <w:szCs w:val="24"/>
      <w:lang w:eastAsia="en-AU"/>
    </w:rPr>
  </w:style>
  <w:style w:type="paragraph" w:customStyle="1" w:styleId="59">
    <w:name w:val="Title 2"/>
    <w:basedOn w:val="1"/>
    <w:qFormat/>
    <w:uiPriority w:val="1"/>
    <w:pPr>
      <w:spacing w:after="0"/>
      <w:jc w:val="center"/>
    </w:pPr>
    <w:rPr>
      <w:rFonts w:asciiTheme="minorHAnsi" w:hAnsiTheme="minorHAnsi"/>
      <w:kern w:val="24"/>
      <w:szCs w:val="24"/>
      <w:lang w:val="en-US" w:eastAsia="ja-JP"/>
    </w:rPr>
  </w:style>
  <w:style w:type="character" w:customStyle="1" w:styleId="60">
    <w:name w:val="Footnote Text Char"/>
    <w:basedOn w:val="11"/>
    <w:link w:val="19"/>
    <w:qFormat/>
    <w:uiPriority w:val="99"/>
    <w:rPr>
      <w:rFonts w:ascii="Times New Roman" w:hAnsi="Times New Roman"/>
      <w:sz w:val="20"/>
      <w:szCs w:val="20"/>
    </w:rPr>
  </w:style>
  <w:style w:type="character" w:customStyle="1" w:styleId="61">
    <w:name w:val="Header Char"/>
    <w:basedOn w:val="11"/>
    <w:link w:val="20"/>
    <w:qFormat/>
    <w:uiPriority w:val="99"/>
    <w:rPr>
      <w:rFonts w:ascii="Times New Roman" w:hAnsi="Times New Roman"/>
      <w:sz w:val="24"/>
    </w:rPr>
  </w:style>
  <w:style w:type="character" w:customStyle="1" w:styleId="62">
    <w:name w:val="Footer Char"/>
    <w:basedOn w:val="11"/>
    <w:link w:val="17"/>
    <w:qFormat/>
    <w:uiPriority w:val="99"/>
    <w:rPr>
      <w:rFonts w:ascii="Times New Roman" w:hAnsi="Times New Roman"/>
      <w:sz w:val="24"/>
    </w:rPr>
  </w:style>
  <w:style w:type="table" w:customStyle="1" w:styleId="63">
    <w:name w:val="Grid Table 2 Accent 3"/>
    <w:basedOn w:val="12"/>
    <w:qFormat/>
    <w:uiPriority w:val="47"/>
    <w:pPr>
      <w:spacing w:after="0" w:line="240" w:lineRule="auto"/>
    </w:pPr>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4">
    <w:name w:val="Grid Table 2"/>
    <w:basedOn w:val="12"/>
    <w:qFormat/>
    <w:uiPriority w:val="47"/>
    <w:pPr>
      <w:spacing w:after="0" w:line="240" w:lineRule="auto"/>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5">
    <w:name w:val="Plain Table 1"/>
    <w:basedOn w:val="12"/>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66">
    <w:name w:val="Grid Table Light"/>
    <w:basedOn w:val="12"/>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67">
    <w:name w:val="Grid Table 6 Colorful"/>
    <w:basedOn w:val="12"/>
    <w:qFormat/>
    <w:uiPriority w:val="51"/>
    <w:pPr>
      <w:spacing w:after="0" w:line="240" w:lineRule="auto"/>
    </w:pPr>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8">
    <w:name w:val="Grid Table 3"/>
    <w:basedOn w:val="12"/>
    <w:qFormat/>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69">
    <w:name w:val="Grid Table 7 Colorful"/>
    <w:basedOn w:val="12"/>
    <w:qFormat/>
    <w:uiPriority w:val="52"/>
    <w:pPr>
      <w:spacing w:after="0" w:line="240" w:lineRule="auto"/>
    </w:pPr>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character" w:customStyle="1" w:styleId="70">
    <w:name w:val="Unresolved Mention1"/>
    <w:basedOn w:val="11"/>
    <w:semiHidden/>
    <w:unhideWhenUsed/>
    <w:qFormat/>
    <w:uiPriority w:val="99"/>
    <w:rPr>
      <w:color w:val="605E5C"/>
      <w:shd w:val="clear" w:color="auto" w:fill="E1DFDD"/>
    </w:rPr>
  </w:style>
  <w:style w:type="paragraph" w:customStyle="1" w:styleId="71">
    <w:name w:val="mb15"/>
    <w:basedOn w:val="1"/>
    <w:qFormat/>
    <w:uiPriority w:val="0"/>
    <w:pPr>
      <w:spacing w:before="100" w:beforeAutospacing="1" w:after="100" w:afterAutospacing="1" w:line="240" w:lineRule="auto"/>
      <w:ind w:firstLine="0"/>
      <w:jc w:val="left"/>
    </w:pPr>
    <w:rPr>
      <w:rFonts w:eastAsia="Times New Roman" w:cs="Times New Roman"/>
      <w:szCs w:val="24"/>
      <w:lang w:eastAsia="en-AU"/>
    </w:rPr>
  </w:style>
  <w:style w:type="paragraph" w:customStyle="1" w:styleId="72">
    <w:name w:val="muitypography-root"/>
    <w:basedOn w:val="1"/>
    <w:qFormat/>
    <w:uiPriority w:val="0"/>
    <w:pPr>
      <w:spacing w:before="100" w:beforeAutospacing="1" w:after="100" w:afterAutospacing="1" w:line="240" w:lineRule="auto"/>
      <w:ind w:firstLine="0"/>
      <w:jc w:val="left"/>
    </w:pPr>
    <w:rPr>
      <w:rFonts w:eastAsia="Times New Roman" w:cs="Times New Roman"/>
      <w:szCs w:val="24"/>
      <w:lang w:eastAsia="en-AU"/>
    </w:rPr>
  </w:style>
  <w:style w:type="table" w:customStyle="1" w:styleId="73">
    <w:name w:val="Light Shading1"/>
    <w:basedOn w:val="12"/>
    <w:qFormat/>
    <w:uiPriority w:val="60"/>
    <w:pPr>
      <w:spacing w:after="0" w:line="240" w:lineRule="auto"/>
    </w:pPr>
    <w:rPr>
      <w:rFonts w:eastAsiaTheme="minorHAnsi"/>
      <w:color w:val="000000"/>
      <w:lang w:val="en-US"/>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character" w:customStyle="1" w:styleId="74">
    <w:name w:val="text-block-with-attachment"/>
    <w:basedOn w:val="11"/>
    <w:qFormat/>
    <w:uiPriority w:val="0"/>
  </w:style>
  <w:style w:type="character" w:customStyle="1" w:styleId="75">
    <w:name w:val="label"/>
    <w:basedOn w:val="11"/>
    <w:qFormat/>
    <w:uiPriority w:val="0"/>
  </w:style>
  <w:style w:type="character" w:customStyle="1" w:styleId="76">
    <w:name w:val="citation-1"/>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CD0EC-CF64-40BF-AB00-8EF681B7B2DD}">
  <ds:schemaRefs/>
</ds:datastoreItem>
</file>

<file path=docProps/app.xml><?xml version="1.0" encoding="utf-8"?>
<Properties xmlns="http://schemas.openxmlformats.org/officeDocument/2006/extended-properties" xmlns:vt="http://schemas.openxmlformats.org/officeDocument/2006/docPropsVTypes">
  <Template>Normal</Template>
  <Pages>15</Pages>
  <Words>4412</Words>
  <Characters>25154</Characters>
  <Lines>209</Lines>
  <Paragraphs>59</Paragraphs>
  <TotalTime>468</TotalTime>
  <ScaleCrop>false</ScaleCrop>
  <LinksUpToDate>false</LinksUpToDate>
  <CharactersWithSpaces>29507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2025-12-10T13:00:00Z</dcterms:created>
  <dc:creator>Administrator</dc:creator>
  <cp:lastModifiedBy>Durgesh Badhe</cp:lastModifiedBy>
  <dcterms:modified xsi:type="dcterms:W3CDTF">2025-12-18T11:55:04Z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52C5F96B80FE441AA296A5AB51D900BA_12</vt:lpwstr>
  </property>
</Properties>
</file>