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D2DB" w14:textId="77777777" w:rsidR="000F2D09" w:rsidRDefault="000F2D09"/>
    <w:p w14:paraId="0C20B43B" w14:textId="77777777" w:rsidR="007318A5" w:rsidRDefault="007318A5" w:rsidP="000F2D09">
      <w:pPr>
        <w:pStyle w:val="Title"/>
      </w:pPr>
    </w:p>
    <w:p w14:paraId="1CFBBC34" w14:textId="77777777" w:rsidR="007318A5" w:rsidRDefault="007318A5" w:rsidP="000F2D09">
      <w:pPr>
        <w:pStyle w:val="Title"/>
      </w:pPr>
    </w:p>
    <w:p w14:paraId="5F4280D3" w14:textId="77777777" w:rsidR="007318A5" w:rsidRDefault="007318A5" w:rsidP="000F2D09">
      <w:pPr>
        <w:pStyle w:val="Title"/>
      </w:pPr>
    </w:p>
    <w:p w14:paraId="776EFB2D" w14:textId="77777777" w:rsidR="007318A5" w:rsidRDefault="007318A5" w:rsidP="000F2D09">
      <w:pPr>
        <w:pStyle w:val="Title"/>
      </w:pPr>
    </w:p>
    <w:p w14:paraId="633AAABA" w14:textId="1554F606" w:rsidR="000F2D09" w:rsidRDefault="000F2D09" w:rsidP="000F2D09">
      <w:pPr>
        <w:pStyle w:val="Title"/>
      </w:pPr>
      <w:r>
        <w:t>Portfolio: Stakeholder Management Plan</w:t>
      </w:r>
    </w:p>
    <w:p w14:paraId="15845F13" w14:textId="77777777" w:rsidR="000F2D09" w:rsidRDefault="000F2D09"/>
    <w:p w14:paraId="4038BB4A" w14:textId="77777777" w:rsidR="000F2D09" w:rsidRDefault="000F2D09"/>
    <w:p w14:paraId="51516DB1" w14:textId="77777777" w:rsidR="000F2D09" w:rsidRDefault="000F2D09"/>
    <w:p w14:paraId="1C691056" w14:textId="77777777" w:rsidR="000F2D09" w:rsidRDefault="000F2D09"/>
    <w:p w14:paraId="1041A44B" w14:textId="77777777" w:rsidR="000F2D09" w:rsidRDefault="000F2D09"/>
    <w:p w14:paraId="17157380" w14:textId="77777777" w:rsidR="000F2D09" w:rsidRDefault="000F2D09"/>
    <w:p w14:paraId="76FEED0E" w14:textId="77777777" w:rsidR="000F2D09" w:rsidRDefault="000F2D09"/>
    <w:p w14:paraId="20DBB01E" w14:textId="77777777" w:rsidR="000F2D09" w:rsidRDefault="000F2D09"/>
    <w:p w14:paraId="4F0202B4" w14:textId="6AB8E542" w:rsidR="000F2D09" w:rsidRDefault="007318A5">
      <w:r>
        <w:t>Student Name: David-Cosmin Lungu</w:t>
      </w:r>
    </w:p>
    <w:p w14:paraId="1D3DCF31" w14:textId="37183EB5" w:rsidR="007318A5" w:rsidRDefault="007318A5">
      <w:r>
        <w:t>Student ID: 2314067</w:t>
      </w:r>
    </w:p>
    <w:p w14:paraId="2391C8AB" w14:textId="7D7B7312" w:rsidR="007318A5" w:rsidRDefault="007318A5">
      <w:r>
        <w:t>Module code: LCBB4013</w:t>
      </w:r>
    </w:p>
    <w:p w14:paraId="67371C36" w14:textId="77777777" w:rsidR="000F2D09" w:rsidRDefault="000F2D09"/>
    <w:p w14:paraId="2E64E12A" w14:textId="77777777" w:rsidR="000F2D09" w:rsidRDefault="000F2D09"/>
    <w:p w14:paraId="0D509C37" w14:textId="77777777" w:rsidR="000F2D09" w:rsidRDefault="000F2D09"/>
    <w:p w14:paraId="6BCAC295" w14:textId="77777777" w:rsidR="000F2D09" w:rsidRDefault="000F2D09"/>
    <w:p w14:paraId="465AAA0F" w14:textId="77777777" w:rsidR="000F2D09" w:rsidRDefault="000F2D09"/>
    <w:p w14:paraId="2E26ECA3" w14:textId="77777777" w:rsidR="000F2D09" w:rsidRDefault="000F2D09"/>
    <w:p w14:paraId="0A0C4300" w14:textId="77777777" w:rsidR="000F2D09" w:rsidRDefault="000F2D09"/>
    <w:p w14:paraId="3D12B6C3" w14:textId="77777777" w:rsidR="000F2D09" w:rsidRDefault="000F2D09"/>
    <w:p w14:paraId="4774E603" w14:textId="77777777" w:rsidR="000F2D09" w:rsidRDefault="000F2D09"/>
    <w:p w14:paraId="68CA2651" w14:textId="77777777" w:rsidR="000F2D09" w:rsidRDefault="000F2D09"/>
    <w:p w14:paraId="561178B7" w14:textId="77777777" w:rsidR="007318A5" w:rsidRDefault="007318A5"/>
    <w:p w14:paraId="55FAB9B7" w14:textId="77A6D39F" w:rsidR="00395EFC" w:rsidRPr="000F2D09" w:rsidRDefault="00274283">
      <w:pPr>
        <w:rPr>
          <w:b/>
          <w:bCs/>
          <w:sz w:val="28"/>
          <w:szCs w:val="28"/>
        </w:rPr>
      </w:pPr>
      <w:r w:rsidRPr="000F2D09">
        <w:rPr>
          <w:b/>
          <w:bCs/>
          <w:sz w:val="28"/>
          <w:szCs w:val="28"/>
        </w:rPr>
        <w:t xml:space="preserve">Introduction </w:t>
      </w:r>
    </w:p>
    <w:p w14:paraId="333267DE" w14:textId="77777777" w:rsidR="00274283" w:rsidRDefault="00274283"/>
    <w:p w14:paraId="3896D1FE" w14:textId="43E6EA34" w:rsidR="00274283" w:rsidRDefault="00274283">
      <w:pPr>
        <w:rPr>
          <w:rFonts w:ascii="Open Sans" w:hAnsi="Open Sans" w:cs="Open Sans"/>
          <w:color w:val="161F19"/>
        </w:rPr>
      </w:pPr>
      <w:r>
        <w:rPr>
          <w:rFonts w:ascii="Open Sans" w:hAnsi="Open Sans" w:cs="Open Sans"/>
          <w:color w:val="161F19"/>
          <w:shd w:val="clear" w:color="auto" w:fill="FFFFFF"/>
        </w:rPr>
        <w:t>Housing rehabilitation projects can breathe new life into neighbourhoods by replacing older, dilapidated housing with new, environmentally friendly housing and public spaces. This stakeholder management strategy is developed for the redevelopment of a residential neighbourhood to provide energy-efficient and affordable housing, and improved public spaces, transport links and community facilities. The project aims to meet the increasing demand for housing, foster environmental sustainability and improve the quality of people’s lives.</w:t>
      </w:r>
      <w:r>
        <w:rPr>
          <w:rFonts w:ascii="Open Sans" w:hAnsi="Open Sans" w:cs="Open Sans"/>
          <w:color w:val="161F19"/>
          <w:shd w:val="clear" w:color="auto" w:fill="FFFFFF"/>
        </w:rPr>
        <w:t xml:space="preserve"> (UN-Habitat, 2020).</w:t>
      </w:r>
      <w:r>
        <w:rPr>
          <w:rFonts w:ascii="Open Sans" w:hAnsi="Open Sans" w:cs="Open Sans"/>
          <w:color w:val="161F19"/>
        </w:rPr>
        <w:br/>
      </w:r>
      <w:r>
        <w:rPr>
          <w:rFonts w:ascii="Open Sans" w:hAnsi="Open Sans" w:cs="Open Sans"/>
          <w:color w:val="161F19"/>
          <w:shd w:val="clear" w:color="auto" w:fill="FFFFFF"/>
        </w:rPr>
        <w:t xml:space="preserve">In towns and cities across the UK there are issues with housing shortages, ageing infrastructure and growing populations. Redevelopment projects help solve these problems by increasing community security, stimulating economic development and creating opportunities for social inclusion. These improved developments for the region for the present and future inhabitants often include parks, walking and cycling paths, and improved access to roads and community services. Many diverse parties are involved in redevelopment </w:t>
      </w:r>
      <w:r w:rsidR="000F2D09">
        <w:rPr>
          <w:rFonts w:ascii="Open Sans" w:hAnsi="Open Sans" w:cs="Open Sans"/>
          <w:color w:val="161F19"/>
          <w:shd w:val="clear" w:color="auto" w:fill="FFFFFF"/>
        </w:rPr>
        <w:t>projects,</w:t>
      </w:r>
      <w:r>
        <w:rPr>
          <w:rFonts w:ascii="Open Sans" w:hAnsi="Open Sans" w:cs="Open Sans"/>
          <w:color w:val="161F19"/>
          <w:shd w:val="clear" w:color="auto" w:fill="FFFFFF"/>
        </w:rPr>
        <w:t xml:space="preserve"> and stakeholder management is crucial to help balance opposing interests, reduce conflict and achieve project objectives.</w:t>
      </w:r>
      <w:r>
        <w:rPr>
          <w:rFonts w:ascii="Open Sans" w:hAnsi="Open Sans" w:cs="Open Sans"/>
          <w:color w:val="161F19"/>
          <w:shd w:val="clear" w:color="auto" w:fill="FFFFFF"/>
        </w:rPr>
        <w:t xml:space="preserve"> (Project Management Institute, 2021).</w:t>
      </w:r>
      <w:r>
        <w:rPr>
          <w:rFonts w:ascii="Open Sans" w:hAnsi="Open Sans" w:cs="Open Sans"/>
          <w:color w:val="161F19"/>
        </w:rPr>
        <w:br/>
      </w:r>
      <w:r>
        <w:rPr>
          <w:rFonts w:ascii="Open Sans" w:hAnsi="Open Sans" w:cs="Open Sans"/>
          <w:color w:val="161F19"/>
          <w:shd w:val="clear" w:color="auto" w:fill="FFFFFF"/>
        </w:rPr>
        <w:t>There are a variety of people involved in the project, each with different levels of influence and expectation. First, the local council, which needs to approve the development’s plans, check that it follows all applicable laws, and support efforts to improve the town in the long run. Also, locals will enjoy better housing, public services and neighbourhood safety as a direct result of building operations.</w:t>
      </w:r>
      <w:r>
        <w:rPr>
          <w:rFonts w:ascii="Open Sans" w:hAnsi="Open Sans" w:cs="Open Sans"/>
          <w:color w:val="161F19"/>
        </w:rPr>
        <w:br/>
      </w:r>
      <w:r>
        <w:rPr>
          <w:rFonts w:ascii="Open Sans" w:hAnsi="Open Sans" w:cs="Open Sans"/>
          <w:color w:val="161F19"/>
          <w:shd w:val="clear" w:color="auto" w:fill="FFFFFF"/>
        </w:rPr>
        <w:t>The third category of stakeholders consists of property developers and construction contractors. They are responsible for ensuring that the project is designed, built and completed safely, on time and within budget. The fourth group of stakeholders are potential homeowners and renters who will be able to access new affordable and energy-efficient homes that will improve their living standards while reducing their energy bills.</w:t>
      </w:r>
      <w:r>
        <w:rPr>
          <w:rFonts w:ascii="Open Sans" w:hAnsi="Open Sans" w:cs="Open Sans"/>
          <w:color w:val="161F19"/>
        </w:rPr>
        <w:br/>
      </w:r>
      <w:r>
        <w:rPr>
          <w:rFonts w:ascii="Open Sans" w:hAnsi="Open Sans" w:cs="Open Sans"/>
          <w:color w:val="161F19"/>
          <w:shd w:val="clear" w:color="auto" w:fill="FFFFFF"/>
        </w:rPr>
        <w:t xml:space="preserve">The fifth stakeholder group </w:t>
      </w:r>
      <w:r w:rsidR="000F2D09">
        <w:rPr>
          <w:rFonts w:ascii="Open Sans" w:hAnsi="Open Sans" w:cs="Open Sans"/>
          <w:color w:val="161F19"/>
          <w:shd w:val="clear" w:color="auto" w:fill="FFFFFF"/>
        </w:rPr>
        <w:t>are</w:t>
      </w:r>
      <w:r>
        <w:rPr>
          <w:rFonts w:ascii="Open Sans" w:hAnsi="Open Sans" w:cs="Open Sans"/>
          <w:color w:val="161F19"/>
          <w:shd w:val="clear" w:color="auto" w:fill="FFFFFF"/>
        </w:rPr>
        <w:t xml:space="preserve"> local </w:t>
      </w:r>
      <w:r w:rsidR="000F2D09">
        <w:rPr>
          <w:rFonts w:ascii="Open Sans" w:hAnsi="Open Sans" w:cs="Open Sans"/>
          <w:color w:val="161F19"/>
          <w:shd w:val="clear" w:color="auto" w:fill="FFFFFF"/>
        </w:rPr>
        <w:t>businesses,</w:t>
      </w:r>
      <w:r>
        <w:rPr>
          <w:rFonts w:ascii="Open Sans" w:hAnsi="Open Sans" w:cs="Open Sans"/>
          <w:color w:val="161F19"/>
          <w:shd w:val="clear" w:color="auto" w:fill="FFFFFF"/>
        </w:rPr>
        <w:t xml:space="preserve"> who would benefit from the revitalisation in the form of clientele, jobs and general economic growth. And, </w:t>
      </w:r>
      <w:r>
        <w:rPr>
          <w:rFonts w:ascii="Open Sans" w:hAnsi="Open Sans" w:cs="Open Sans"/>
          <w:color w:val="161F19"/>
          <w:shd w:val="clear" w:color="auto" w:fill="FFFFFF"/>
        </w:rPr>
        <w:lastRenderedPageBreak/>
        <w:t>finally but equally importantly, environmental organisations have a vital role to play in making sure that the project uses sustainable building techniques, reduces carbon emissions and protects animals.</w:t>
      </w:r>
      <w:r>
        <w:rPr>
          <w:rFonts w:ascii="Open Sans" w:hAnsi="Open Sans" w:cs="Open Sans"/>
          <w:color w:val="161F19"/>
          <w:shd w:val="clear" w:color="auto" w:fill="FFFFFF"/>
        </w:rPr>
        <w:t xml:space="preserve"> (</w:t>
      </w:r>
      <w:r w:rsidR="000F2D09">
        <w:rPr>
          <w:rFonts w:ascii="Open Sans" w:hAnsi="Open Sans" w:cs="Open Sans"/>
          <w:color w:val="161F19"/>
          <w:shd w:val="clear" w:color="auto" w:fill="FFFFFF"/>
        </w:rPr>
        <w:t>Sangbad</w:t>
      </w:r>
      <w:r>
        <w:rPr>
          <w:rFonts w:ascii="Open Sans" w:hAnsi="Open Sans" w:cs="Open Sans"/>
          <w:color w:val="161F19"/>
          <w:shd w:val="clear" w:color="auto" w:fill="FFFFFF"/>
        </w:rPr>
        <w:t xml:space="preserve"> et al., 2024).</w:t>
      </w:r>
      <w:r>
        <w:rPr>
          <w:rFonts w:ascii="Open Sans" w:hAnsi="Open Sans" w:cs="Open Sans"/>
          <w:color w:val="161F19"/>
        </w:rPr>
        <w:br/>
      </w:r>
      <w:r>
        <w:rPr>
          <w:rFonts w:ascii="Open Sans" w:hAnsi="Open Sans" w:cs="Open Sans"/>
          <w:color w:val="161F19"/>
          <w:shd w:val="clear" w:color="auto" w:fill="FFFFFF"/>
        </w:rPr>
        <w:t>Effective stakeholder management is dependent on a good understanding of stakeholder expectations, impact and interests.</w:t>
      </w:r>
      <w:r>
        <w:rPr>
          <w:rFonts w:ascii="Open Sans" w:hAnsi="Open Sans" w:cs="Open Sans"/>
          <w:color w:val="161F19"/>
        </w:rPr>
        <w:t xml:space="preserve"> </w:t>
      </w:r>
      <w:r>
        <w:rPr>
          <w:rFonts w:ascii="Open Sans" w:hAnsi="Open Sans" w:cs="Open Sans"/>
          <w:color w:val="161F19"/>
        </w:rPr>
        <w:t xml:space="preserve">Early engagement, open communication and collaboration throughout the project can reduce opposition, build trust and improve overall project outcomes (Project Management Institute, </w:t>
      </w:r>
      <w:r w:rsidR="000F2D09">
        <w:rPr>
          <w:rFonts w:ascii="Open Sans" w:hAnsi="Open Sans" w:cs="Open Sans"/>
          <w:color w:val="161F19"/>
        </w:rPr>
        <w:t xml:space="preserve">2021). </w:t>
      </w:r>
      <w:r>
        <w:rPr>
          <w:rFonts w:ascii="Open Sans" w:hAnsi="Open Sans" w:cs="Open Sans"/>
          <w:color w:val="161F19"/>
        </w:rPr>
        <w:t>This stakeholder management approach will explore these interactions to address stakeholder expectations during the rehabilitation project.</w:t>
      </w:r>
    </w:p>
    <w:p w14:paraId="0C8750DD" w14:textId="03FA7F5D" w:rsidR="004E35DE" w:rsidRPr="007318A5" w:rsidRDefault="000F2D09">
      <w:pPr>
        <w:rPr>
          <w:rFonts w:ascii="Open Sans" w:hAnsi="Open Sans" w:cs="Open Sans"/>
          <w:b/>
          <w:bCs/>
          <w:color w:val="161F19"/>
        </w:rPr>
      </w:pPr>
      <w:r w:rsidRPr="007318A5">
        <w:rPr>
          <w:rFonts w:ascii="Open Sans" w:hAnsi="Open Sans" w:cs="Open Sans"/>
          <w:b/>
          <w:bCs/>
          <w:color w:val="161F19"/>
        </w:rPr>
        <w:t>Element</w:t>
      </w:r>
      <w:r w:rsidR="002304BF" w:rsidRPr="007318A5">
        <w:rPr>
          <w:rFonts w:ascii="Open Sans" w:hAnsi="Open Sans" w:cs="Open Sans"/>
          <w:b/>
          <w:bCs/>
          <w:color w:val="161F19"/>
        </w:rPr>
        <w:t xml:space="preserve"> 2</w:t>
      </w:r>
    </w:p>
    <w:p w14:paraId="327C3A86" w14:textId="176A9857" w:rsidR="004E35DE" w:rsidRDefault="004E35DE">
      <w:pPr>
        <w:rPr>
          <w:rFonts w:ascii="Open Sans" w:hAnsi="Open Sans" w:cs="Open Sans"/>
          <w:b/>
          <w:bCs/>
          <w:color w:val="161F19"/>
          <w:sz w:val="28"/>
          <w:szCs w:val="28"/>
        </w:rPr>
      </w:pPr>
      <w:r w:rsidRPr="002304BF">
        <w:rPr>
          <w:rFonts w:ascii="Open Sans" w:hAnsi="Open Sans" w:cs="Open Sans"/>
          <w:b/>
          <w:bCs/>
          <w:color w:val="161F19"/>
          <w:sz w:val="28"/>
          <w:szCs w:val="28"/>
        </w:rPr>
        <w:t>Stakeholder Power, Influence and Interest Analysis</w:t>
      </w:r>
    </w:p>
    <w:p w14:paraId="00A01324" w14:textId="77777777" w:rsidR="002304BF" w:rsidRPr="002304BF" w:rsidRDefault="002304BF">
      <w:pPr>
        <w:rPr>
          <w:rFonts w:ascii="Open Sans" w:hAnsi="Open Sans" w:cs="Open Sans"/>
          <w:b/>
          <w:bCs/>
          <w:color w:val="161F19"/>
          <w:sz w:val="28"/>
          <w:szCs w:val="28"/>
        </w:rPr>
      </w:pPr>
    </w:p>
    <w:p w14:paraId="3DFB7E3F" w14:textId="048A97A7" w:rsidR="004E35DE" w:rsidRDefault="004E35DE">
      <w:pPr>
        <w:rPr>
          <w:rFonts w:ascii="Open Sans" w:hAnsi="Open Sans" w:cs="Open Sans"/>
          <w:color w:val="161F19"/>
        </w:rPr>
      </w:pPr>
      <w:r>
        <w:rPr>
          <w:rFonts w:ascii="Open Sans" w:hAnsi="Open Sans" w:cs="Open Sans"/>
          <w:color w:val="161F19"/>
        </w:rPr>
        <w:t xml:space="preserve">Stakeholder analysis is one of the most critical phases of stakeholder management, as it enables project managers to identify which stakeholders require the most attention during the project lifetime. </w:t>
      </w:r>
      <w:r>
        <w:rPr>
          <w:rFonts w:ascii="Open Sans" w:hAnsi="Open Sans" w:cs="Open Sans"/>
          <w:color w:val="161F19"/>
          <w:shd w:val="clear" w:color="auto" w:fill="FFFFFF"/>
        </w:rPr>
        <w:t xml:space="preserve">Project teams can identify stakeholders according to their degree of power, influence and </w:t>
      </w:r>
      <w:r>
        <w:rPr>
          <w:rFonts w:ascii="Open Sans" w:hAnsi="Open Sans" w:cs="Open Sans"/>
          <w:color w:val="161F19"/>
          <w:shd w:val="clear" w:color="auto" w:fill="FFFFFF"/>
        </w:rPr>
        <w:t>interest in</w:t>
      </w:r>
      <w:r>
        <w:rPr>
          <w:rFonts w:ascii="Open Sans" w:hAnsi="Open Sans" w:cs="Open Sans"/>
          <w:color w:val="161F19"/>
          <w:shd w:val="clear" w:color="auto" w:fill="FFFFFF"/>
        </w:rPr>
        <w:t xml:space="preserve"> order to efficiently allocate resources, minimise possible conflicts and create communication strategies aligned with stakeholder expectations (Freeman, 1984; Project Management Institute, 2021).</w:t>
      </w:r>
      <w:r>
        <w:rPr>
          <w:rFonts w:ascii="Open Sans" w:hAnsi="Open Sans" w:cs="Open Sans"/>
          <w:color w:val="161F19"/>
        </w:rPr>
        <w:br/>
      </w:r>
      <w:r>
        <w:rPr>
          <w:rFonts w:ascii="Open Sans" w:hAnsi="Open Sans" w:cs="Open Sans"/>
          <w:color w:val="161F19"/>
          <w:shd w:val="clear" w:color="auto" w:fill="FFFFFF"/>
        </w:rPr>
        <w:t>The planned housing rehabilitation project has identified six key stakeholder groups. Different stakeholders have different degrees of power, influence on project decisions and concern about project outcomes. Their classification is presented in Table 1.</w:t>
      </w:r>
    </w:p>
    <w:p w14:paraId="13A7C13E" w14:textId="77777777" w:rsidR="004E35DE" w:rsidRDefault="004E35DE">
      <w:pPr>
        <w:sectPr w:rsidR="004E35DE">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041"/>
        <w:gridCol w:w="1268"/>
        <w:gridCol w:w="1345"/>
        <w:gridCol w:w="1084"/>
        <w:gridCol w:w="3278"/>
      </w:tblGrid>
      <w:tr w:rsidR="006522A7" w14:paraId="71BE6CB6" w14:textId="77777777" w:rsidTr="006522A7">
        <w:trPr>
          <w:trHeight w:val="416"/>
        </w:trPr>
        <w:tc>
          <w:tcPr>
            <w:tcW w:w="2789" w:type="dxa"/>
          </w:tcPr>
          <w:p w14:paraId="1645A130" w14:textId="708C1191" w:rsidR="006522A7" w:rsidRDefault="006522A7" w:rsidP="006522A7">
            <w:pPr>
              <w:jc w:val="center"/>
            </w:pPr>
            <w:r>
              <w:lastRenderedPageBreak/>
              <w:t>Stakeholder</w:t>
            </w:r>
          </w:p>
        </w:tc>
        <w:tc>
          <w:tcPr>
            <w:tcW w:w="1742" w:type="dxa"/>
          </w:tcPr>
          <w:p w14:paraId="08455F12" w14:textId="453E30BE" w:rsidR="006522A7" w:rsidRDefault="006522A7" w:rsidP="006522A7">
            <w:pPr>
              <w:jc w:val="center"/>
            </w:pPr>
            <w:r>
              <w:t>Power</w:t>
            </w:r>
          </w:p>
        </w:tc>
        <w:tc>
          <w:tcPr>
            <w:tcW w:w="1701" w:type="dxa"/>
          </w:tcPr>
          <w:p w14:paraId="685CE498" w14:textId="1D73CDE5" w:rsidR="006522A7" w:rsidRDefault="006522A7">
            <w:r>
              <w:t>Influence</w:t>
            </w:r>
          </w:p>
        </w:tc>
        <w:tc>
          <w:tcPr>
            <w:tcW w:w="1134" w:type="dxa"/>
          </w:tcPr>
          <w:p w14:paraId="4EBA77C1" w14:textId="48158049" w:rsidR="006522A7" w:rsidRDefault="006522A7">
            <w:r>
              <w:t xml:space="preserve">Interest </w:t>
            </w:r>
          </w:p>
        </w:tc>
        <w:tc>
          <w:tcPr>
            <w:tcW w:w="6582" w:type="dxa"/>
          </w:tcPr>
          <w:p w14:paraId="62910D77" w14:textId="5DA3D8DA" w:rsidR="006522A7" w:rsidRDefault="006522A7">
            <w:r>
              <w:t xml:space="preserve">Justification </w:t>
            </w:r>
          </w:p>
        </w:tc>
      </w:tr>
      <w:tr w:rsidR="006522A7" w14:paraId="345A5B95" w14:textId="77777777" w:rsidTr="006522A7">
        <w:trPr>
          <w:trHeight w:val="847"/>
        </w:trPr>
        <w:tc>
          <w:tcPr>
            <w:tcW w:w="2789" w:type="dxa"/>
          </w:tcPr>
          <w:p w14:paraId="315D8432" w14:textId="5415C2A3" w:rsidR="006522A7" w:rsidRDefault="006522A7">
            <w:r>
              <w:t>Local Council</w:t>
            </w:r>
          </w:p>
        </w:tc>
        <w:tc>
          <w:tcPr>
            <w:tcW w:w="1742" w:type="dxa"/>
          </w:tcPr>
          <w:p w14:paraId="6BA5323A" w14:textId="1DB3B47D" w:rsidR="006522A7" w:rsidRDefault="006522A7">
            <w:r>
              <w:t xml:space="preserve">High </w:t>
            </w:r>
          </w:p>
        </w:tc>
        <w:tc>
          <w:tcPr>
            <w:tcW w:w="1701" w:type="dxa"/>
          </w:tcPr>
          <w:p w14:paraId="3B84C086" w14:textId="4E219458" w:rsidR="006522A7" w:rsidRDefault="006522A7">
            <w:r>
              <w:t xml:space="preserve">High </w:t>
            </w:r>
          </w:p>
        </w:tc>
        <w:tc>
          <w:tcPr>
            <w:tcW w:w="1134" w:type="dxa"/>
          </w:tcPr>
          <w:p w14:paraId="6EDAAC45" w14:textId="760851DC" w:rsidR="006522A7" w:rsidRDefault="006522A7">
            <w:r>
              <w:t xml:space="preserve">High </w:t>
            </w:r>
          </w:p>
        </w:tc>
        <w:tc>
          <w:tcPr>
            <w:tcW w:w="6582" w:type="dxa"/>
          </w:tcPr>
          <w:p w14:paraId="560FB9DE" w14:textId="4CABE7A9" w:rsidR="006522A7" w:rsidRDefault="006522A7">
            <w:r>
              <w:t>In charge of approving the whole development, guaranteeing legal conformity, and providing planning authorisation. The project cannot move further without council permission (PMI, 2021).</w:t>
            </w:r>
          </w:p>
        </w:tc>
      </w:tr>
      <w:tr w:rsidR="006522A7" w14:paraId="152FB002" w14:textId="77777777" w:rsidTr="006522A7">
        <w:trPr>
          <w:trHeight w:val="831"/>
        </w:trPr>
        <w:tc>
          <w:tcPr>
            <w:tcW w:w="2789" w:type="dxa"/>
          </w:tcPr>
          <w:p w14:paraId="0978261E" w14:textId="73B1B093" w:rsidR="006522A7" w:rsidRDefault="006522A7">
            <w:r>
              <w:t xml:space="preserve">Property Developer &amp; </w:t>
            </w:r>
            <w:r w:rsidR="00F835BF">
              <w:t>Contractors</w:t>
            </w:r>
            <w:r>
              <w:t xml:space="preserve"> </w:t>
            </w:r>
          </w:p>
        </w:tc>
        <w:tc>
          <w:tcPr>
            <w:tcW w:w="1742" w:type="dxa"/>
          </w:tcPr>
          <w:p w14:paraId="615B0F35" w14:textId="16A422E3" w:rsidR="006522A7" w:rsidRDefault="006522A7">
            <w:r>
              <w:t xml:space="preserve">High </w:t>
            </w:r>
          </w:p>
        </w:tc>
        <w:tc>
          <w:tcPr>
            <w:tcW w:w="1701" w:type="dxa"/>
          </w:tcPr>
          <w:p w14:paraId="7D635AF0" w14:textId="27B2698B" w:rsidR="006522A7" w:rsidRDefault="006522A7">
            <w:r>
              <w:t xml:space="preserve">High </w:t>
            </w:r>
          </w:p>
        </w:tc>
        <w:tc>
          <w:tcPr>
            <w:tcW w:w="1134" w:type="dxa"/>
          </w:tcPr>
          <w:p w14:paraId="67A49E99" w14:textId="30380281" w:rsidR="006522A7" w:rsidRDefault="006522A7">
            <w:r>
              <w:t xml:space="preserve">High </w:t>
            </w:r>
          </w:p>
        </w:tc>
        <w:tc>
          <w:tcPr>
            <w:tcW w:w="6582" w:type="dxa"/>
          </w:tcPr>
          <w:p w14:paraId="316545B3" w14:textId="0490EB97" w:rsidR="006522A7" w:rsidRDefault="006522A7">
            <w:r>
              <w:t xml:space="preserve">In possession of the project’s financing, management, and delivery. They have an impact on the quality, budget, and schedule of a project </w:t>
            </w:r>
            <w:r w:rsidR="00F835BF">
              <w:t>(Bourne, 2026).</w:t>
            </w:r>
          </w:p>
        </w:tc>
      </w:tr>
      <w:tr w:rsidR="006522A7" w14:paraId="2218165A" w14:textId="77777777" w:rsidTr="006522A7">
        <w:trPr>
          <w:trHeight w:val="842"/>
        </w:trPr>
        <w:tc>
          <w:tcPr>
            <w:tcW w:w="2789" w:type="dxa"/>
          </w:tcPr>
          <w:p w14:paraId="617FF73E" w14:textId="7B71D446" w:rsidR="006522A7" w:rsidRDefault="006522A7">
            <w:r>
              <w:t>Local Residents</w:t>
            </w:r>
          </w:p>
        </w:tc>
        <w:tc>
          <w:tcPr>
            <w:tcW w:w="1742" w:type="dxa"/>
          </w:tcPr>
          <w:p w14:paraId="053D0069" w14:textId="30E4DA7B" w:rsidR="006522A7" w:rsidRDefault="006522A7">
            <w:r>
              <w:t xml:space="preserve">Medium </w:t>
            </w:r>
          </w:p>
        </w:tc>
        <w:tc>
          <w:tcPr>
            <w:tcW w:w="1701" w:type="dxa"/>
          </w:tcPr>
          <w:p w14:paraId="10456B6D" w14:textId="63DE88BD" w:rsidR="006522A7" w:rsidRDefault="006522A7">
            <w:r>
              <w:t xml:space="preserve">High </w:t>
            </w:r>
          </w:p>
        </w:tc>
        <w:tc>
          <w:tcPr>
            <w:tcW w:w="1134" w:type="dxa"/>
          </w:tcPr>
          <w:p w14:paraId="5236FFAD" w14:textId="378FB4F1" w:rsidR="006522A7" w:rsidRDefault="006522A7">
            <w:r>
              <w:t xml:space="preserve">High </w:t>
            </w:r>
          </w:p>
        </w:tc>
        <w:tc>
          <w:tcPr>
            <w:tcW w:w="6582" w:type="dxa"/>
          </w:tcPr>
          <w:p w14:paraId="22FB69D7" w14:textId="63D8E5E8" w:rsidR="006522A7" w:rsidRDefault="00F835BF">
            <w:r>
              <w:t>Public consolation, objections, and community campaigns are all potential methods by which residents can influence planning decisions. Redevelopment activities have a direct impact on them</w:t>
            </w:r>
            <w:r w:rsidR="000F2D09">
              <w:t xml:space="preserve"> (Freeman,</w:t>
            </w:r>
            <w:r>
              <w:t xml:space="preserve"> 1984).</w:t>
            </w:r>
          </w:p>
        </w:tc>
      </w:tr>
      <w:tr w:rsidR="006522A7" w14:paraId="6C4C82C3" w14:textId="77777777" w:rsidTr="006522A7">
        <w:trPr>
          <w:trHeight w:val="840"/>
        </w:trPr>
        <w:tc>
          <w:tcPr>
            <w:tcW w:w="2789" w:type="dxa"/>
          </w:tcPr>
          <w:p w14:paraId="111E4BD9" w14:textId="699E1042" w:rsidR="006522A7" w:rsidRDefault="006522A7">
            <w:r>
              <w:t>Future Homeowners &amp; Tenants</w:t>
            </w:r>
          </w:p>
        </w:tc>
        <w:tc>
          <w:tcPr>
            <w:tcW w:w="1742" w:type="dxa"/>
          </w:tcPr>
          <w:p w14:paraId="52506C71" w14:textId="5ED23CC0" w:rsidR="006522A7" w:rsidRDefault="006522A7">
            <w:r>
              <w:t xml:space="preserve">Low </w:t>
            </w:r>
          </w:p>
        </w:tc>
        <w:tc>
          <w:tcPr>
            <w:tcW w:w="1701" w:type="dxa"/>
          </w:tcPr>
          <w:p w14:paraId="725D161F" w14:textId="431975AA" w:rsidR="006522A7" w:rsidRDefault="006522A7">
            <w:r>
              <w:t>Low</w:t>
            </w:r>
          </w:p>
        </w:tc>
        <w:tc>
          <w:tcPr>
            <w:tcW w:w="1134" w:type="dxa"/>
          </w:tcPr>
          <w:p w14:paraId="782692C0" w14:textId="4513B6E2" w:rsidR="006522A7" w:rsidRDefault="006522A7">
            <w:r>
              <w:t xml:space="preserve">High </w:t>
            </w:r>
          </w:p>
        </w:tc>
        <w:tc>
          <w:tcPr>
            <w:tcW w:w="6582" w:type="dxa"/>
          </w:tcPr>
          <w:p w14:paraId="7AD8DABD" w14:textId="6D31D49C" w:rsidR="00F835BF" w:rsidRDefault="00F835BF">
            <w:r>
              <w:t>Despite their limited amount of influence during the construction process, they are the primary beneficiaries of the completed development.</w:t>
            </w:r>
          </w:p>
        </w:tc>
      </w:tr>
      <w:tr w:rsidR="006522A7" w14:paraId="66D2A7C7" w14:textId="77777777" w:rsidTr="006522A7">
        <w:trPr>
          <w:trHeight w:val="711"/>
        </w:trPr>
        <w:tc>
          <w:tcPr>
            <w:tcW w:w="2789" w:type="dxa"/>
          </w:tcPr>
          <w:p w14:paraId="4E4167A7" w14:textId="60F85B7A" w:rsidR="006522A7" w:rsidRDefault="006522A7">
            <w:r>
              <w:t>Local Businesses</w:t>
            </w:r>
          </w:p>
        </w:tc>
        <w:tc>
          <w:tcPr>
            <w:tcW w:w="1742" w:type="dxa"/>
          </w:tcPr>
          <w:p w14:paraId="3E325267" w14:textId="50AED07F" w:rsidR="006522A7" w:rsidRDefault="006522A7">
            <w:r>
              <w:t xml:space="preserve">Medium </w:t>
            </w:r>
          </w:p>
        </w:tc>
        <w:tc>
          <w:tcPr>
            <w:tcW w:w="1701" w:type="dxa"/>
          </w:tcPr>
          <w:p w14:paraId="2B900001" w14:textId="31E05300" w:rsidR="006522A7" w:rsidRDefault="006522A7">
            <w:r>
              <w:t xml:space="preserve">Medium </w:t>
            </w:r>
          </w:p>
        </w:tc>
        <w:tc>
          <w:tcPr>
            <w:tcW w:w="1134" w:type="dxa"/>
          </w:tcPr>
          <w:p w14:paraId="4E5CDDE2" w14:textId="1BFEF6AE" w:rsidR="006522A7" w:rsidRDefault="006522A7">
            <w:r>
              <w:t xml:space="preserve">Medium </w:t>
            </w:r>
          </w:p>
        </w:tc>
        <w:tc>
          <w:tcPr>
            <w:tcW w:w="6582" w:type="dxa"/>
          </w:tcPr>
          <w:p w14:paraId="5BB917CB" w14:textId="30EA08CB" w:rsidR="006522A7" w:rsidRDefault="00F835BF">
            <w:r>
              <w:t xml:space="preserve">Businesses reap the rewards of heightened economic activity; however, they possess inadequate authority </w:t>
            </w:r>
            <w:r w:rsidR="000F2D09">
              <w:t>to</w:t>
            </w:r>
            <w:r>
              <w:t xml:space="preserve"> make project-related </w:t>
            </w:r>
            <w:r w:rsidR="000F2D09">
              <w:t>decisions.</w:t>
            </w:r>
            <w:r>
              <w:t xml:space="preserve"> Their assistance is instrumental in the prosperity of the local economy (Aaltonen and Kujala, 2016).</w:t>
            </w:r>
          </w:p>
        </w:tc>
      </w:tr>
      <w:tr w:rsidR="006522A7" w14:paraId="7694A5B8" w14:textId="77777777" w:rsidTr="006522A7">
        <w:trPr>
          <w:trHeight w:val="678"/>
        </w:trPr>
        <w:tc>
          <w:tcPr>
            <w:tcW w:w="2789" w:type="dxa"/>
          </w:tcPr>
          <w:p w14:paraId="3A7B5FC0" w14:textId="1A41651F" w:rsidR="006522A7" w:rsidRDefault="00F835BF">
            <w:r>
              <w:t>Environmental</w:t>
            </w:r>
            <w:r w:rsidR="006522A7">
              <w:t xml:space="preserve"> Organisations</w:t>
            </w:r>
          </w:p>
        </w:tc>
        <w:tc>
          <w:tcPr>
            <w:tcW w:w="1742" w:type="dxa"/>
          </w:tcPr>
          <w:p w14:paraId="2A151627" w14:textId="306BD8F3" w:rsidR="006522A7" w:rsidRDefault="006522A7">
            <w:r>
              <w:t xml:space="preserve">Low </w:t>
            </w:r>
          </w:p>
        </w:tc>
        <w:tc>
          <w:tcPr>
            <w:tcW w:w="1701" w:type="dxa"/>
          </w:tcPr>
          <w:p w14:paraId="05FFA200" w14:textId="670EB710" w:rsidR="006522A7" w:rsidRDefault="006522A7">
            <w:r>
              <w:t>Medium</w:t>
            </w:r>
          </w:p>
        </w:tc>
        <w:tc>
          <w:tcPr>
            <w:tcW w:w="1134" w:type="dxa"/>
          </w:tcPr>
          <w:p w14:paraId="3AF68695" w14:textId="2A8A4EAC" w:rsidR="006522A7" w:rsidRDefault="006522A7">
            <w:r>
              <w:t>High</w:t>
            </w:r>
          </w:p>
        </w:tc>
        <w:tc>
          <w:tcPr>
            <w:tcW w:w="6582" w:type="dxa"/>
          </w:tcPr>
          <w:p w14:paraId="1E95DEE4" w14:textId="0ACDA72E" w:rsidR="006522A7" w:rsidRDefault="00F835BF">
            <w:r>
              <w:t xml:space="preserve">By advocating for environmental protection and sustainable development, environmental groups may have an impact on planning </w:t>
            </w:r>
            <w:r w:rsidR="000F2D09">
              <w:t>conditions</w:t>
            </w:r>
            <w:r>
              <w:t xml:space="preserve"> (UH-Habitat, 2020).</w:t>
            </w:r>
          </w:p>
        </w:tc>
      </w:tr>
    </w:tbl>
    <w:p w14:paraId="1168DAD3" w14:textId="4B6BA316" w:rsidR="00274283" w:rsidRDefault="00274283"/>
    <w:p w14:paraId="469FC49A" w14:textId="71F6B7E3" w:rsidR="00F835BF" w:rsidRDefault="00FB35C9">
      <w:r w:rsidRPr="00FB35C9">
        <w:t xml:space="preserve">Table 1 indicates that stakeholders do not necessitate uniform engagement levels. Entities with substantial authority and sway, notably the </w:t>
      </w:r>
      <w:r w:rsidR="000F2D09">
        <w:t>local council</w:t>
      </w:r>
      <w:r w:rsidRPr="00FB35C9">
        <w:t xml:space="preserve"> and the </w:t>
      </w:r>
      <w:r w:rsidR="000F2D09">
        <w:t>property developer,</w:t>
      </w:r>
      <w:r w:rsidRPr="00FB35C9">
        <w:t xml:space="preserve"> demand persistent communication and tight coordination as their actions fundamentally shape the project's outcome. On the other hand, stakeholders including future homeowners have considerable interest but have less impact during the building phase, suggesting they should be continuously updated throughout the project (Project Management Institute, 2021).</w:t>
      </w:r>
    </w:p>
    <w:p w14:paraId="1D10CC49" w14:textId="5DFB90B2" w:rsidR="00FB35C9" w:rsidRDefault="00FB35C9">
      <w:r>
        <w:t>2.2 Stakeholder Power-Interest Matrix</w:t>
      </w:r>
    </w:p>
    <w:p w14:paraId="4A05E69B" w14:textId="109517EE" w:rsidR="00FB35C9" w:rsidRDefault="00FB35C9">
      <w:r w:rsidRPr="00FB35C9">
        <w:t>Mendelow's Power-Interest Matrix classifies stakeholders based on their degree of power and their interest in project results (Mendelow, 1991). This methodology assists project managers in prioritising engagement initiatives and efficiently distributing communication resources.</w:t>
      </w:r>
    </w:p>
    <w:p w14:paraId="6BEAC637" w14:textId="77777777" w:rsidR="00FB35C9" w:rsidRDefault="00FB35C9"/>
    <w:p w14:paraId="61B3E221" w14:textId="122E9685" w:rsidR="00FB35C9" w:rsidRDefault="00FB35C9">
      <w:r>
        <w:t xml:space="preserve">Figure 1. Stakeholder Power-Interest Matrix </w:t>
      </w:r>
    </w:p>
    <w:p w14:paraId="3C018BD2" w14:textId="5CE00040" w:rsidR="00FB35C9" w:rsidRDefault="00C04A7F" w:rsidP="00544E58">
      <w:pPr>
        <w:jc w:val="center"/>
      </w:pPr>
      <w:r>
        <w:t>HIGH INTEREST</w:t>
      </w:r>
    </w:p>
    <w:p w14:paraId="145FA0D7" w14:textId="459D2715" w:rsidR="001717FB" w:rsidRDefault="001717FB" w:rsidP="00C04A7F">
      <w:pPr>
        <w:jc w:val="right"/>
      </w:pPr>
      <w:r>
        <w:rPr>
          <w:noProof/>
        </w:rPr>
        <mc:AlternateContent>
          <mc:Choice Requires="wps">
            <w:drawing>
              <wp:anchor distT="0" distB="0" distL="114300" distR="114300" simplePos="0" relativeHeight="251665408" behindDoc="0" locked="0" layoutInCell="1" allowOverlap="1" wp14:anchorId="6776C44C" wp14:editId="0ECADB02">
                <wp:simplePos x="0" y="0"/>
                <wp:positionH relativeFrom="column">
                  <wp:posOffset>2853232</wp:posOffset>
                </wp:positionH>
                <wp:positionV relativeFrom="paragraph">
                  <wp:posOffset>30510</wp:posOffset>
                </wp:positionV>
                <wp:extent cx="146788" cy="199951"/>
                <wp:effectExtent l="12700" t="12700" r="31115" b="16510"/>
                <wp:wrapNone/>
                <wp:docPr id="10153284" name="Up Arrow 9"/>
                <wp:cNvGraphicFramePr/>
                <a:graphic xmlns:a="http://schemas.openxmlformats.org/drawingml/2006/main">
                  <a:graphicData uri="http://schemas.microsoft.com/office/word/2010/wordprocessingShape">
                    <wps:wsp>
                      <wps:cNvSpPr/>
                      <wps:spPr>
                        <a:xfrm flipH="1">
                          <a:off x="0" y="0"/>
                          <a:ext cx="146788" cy="199951"/>
                        </a:xfrm>
                        <a:prstGeom prst="up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E733D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9" o:spid="_x0000_s1026" type="#_x0000_t68" style="position:absolute;margin-left:224.65pt;margin-top:2.4pt;width:11.55pt;height:15.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" adj="7928" fillcolor="black [3200]" strokecolor="black [480]" strokeweight="1pt"/>
            </w:pict>
          </mc:Fallback>
        </mc:AlternateContent>
      </w:r>
    </w:p>
    <w:p w14:paraId="1FC44B32" w14:textId="1865E760" w:rsidR="001717FB" w:rsidRDefault="001717FB" w:rsidP="001717FB">
      <w:pPr>
        <w:jc w:val="center"/>
      </w:pPr>
    </w:p>
    <w:p w14:paraId="4ACAF808" w14:textId="1D000E65" w:rsidR="001717FB" w:rsidRDefault="001717FB" w:rsidP="001717FB">
      <w:pPr>
        <w:pStyle w:val="ListParagraph"/>
      </w:pPr>
      <w:r>
        <w:t>KEEP SATISFIED</w:t>
      </w:r>
      <w:r>
        <w:t xml:space="preserve"> </w:t>
      </w:r>
    </w:p>
    <w:p w14:paraId="73D7FDB2" w14:textId="67F3956D" w:rsidR="001717FB" w:rsidRDefault="001717FB" w:rsidP="001717FB">
      <w:pPr>
        <w:pStyle w:val="ListParagraph"/>
        <w:numPr>
          <w:ilvl w:val="0"/>
          <w:numId w:val="4"/>
        </w:numPr>
      </w:pPr>
      <w:r>
        <w:t xml:space="preserve">Environmental </w:t>
      </w:r>
    </w:p>
    <w:p w14:paraId="580AB456" w14:textId="19444E7C" w:rsidR="001717FB" w:rsidRDefault="001717FB" w:rsidP="001717FB">
      <w:pPr>
        <w:pStyle w:val="ListParagraph"/>
      </w:pPr>
      <w:r>
        <w:t>Organisation</w:t>
      </w:r>
      <w:r>
        <w:t>s</w:t>
      </w:r>
    </w:p>
    <w:p w14:paraId="0F7ECA17" w14:textId="626BAE4D" w:rsidR="00FB35C9" w:rsidRDefault="00FB35C9" w:rsidP="001717FB">
      <w:pPr>
        <w:pStyle w:val="ListParagraph"/>
        <w:ind w:left="0"/>
        <w:jc w:val="right"/>
      </w:pPr>
      <w:r>
        <w:rPr>
          <w:noProof/>
        </w:rPr>
        <mc:AlternateContent>
          <mc:Choice Requires="wps">
            <w:drawing>
              <wp:anchor distT="0" distB="0" distL="114300" distR="114300" simplePos="0" relativeHeight="251662336" behindDoc="0" locked="0" layoutInCell="1" allowOverlap="1" wp14:anchorId="48762531" wp14:editId="032A7B02">
                <wp:simplePos x="0" y="0"/>
                <wp:positionH relativeFrom="column">
                  <wp:posOffset>2573079</wp:posOffset>
                </wp:positionH>
                <wp:positionV relativeFrom="paragraph">
                  <wp:posOffset>119262</wp:posOffset>
                </wp:positionV>
                <wp:extent cx="0" cy="0"/>
                <wp:effectExtent l="0" t="0" r="0" b="0"/>
                <wp:wrapNone/>
                <wp:docPr id="1062261427" name="Straight Arrow Connector 4"/>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6A63C5" id="_x0000_t32" coordsize="21600,21600" o:spt="32" o:oned="t" path="m,l21600,21600e" filled="f">
                <v:path arrowok="t" fillok="f" o:connecttype="none"/>
                <o:lock v:ext="edit" shapetype="t"/>
              </v:shapetype>
              <v:shape id="Straight Arrow Connector 4" o:spid="_x0000_s1026" type="#_x0000_t32" style="position:absolute;margin-left:202.6pt;margin-top:9.4pt;width:0;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" strokecolor="#156082 [3204]" strokeweight=".5pt">
                <v:stroke endarrow="block" joinstyle="miter"/>
              </v:shape>
            </w:pict>
          </mc:Fallback>
        </mc:AlternateContent>
      </w:r>
      <w:r w:rsidR="00C04A7F">
        <w:t>MANAGE CLOSELY</w:t>
      </w:r>
    </w:p>
    <w:p w14:paraId="3F92FB1C" w14:textId="28654750" w:rsidR="00C04A7F" w:rsidRDefault="00C04A7F" w:rsidP="001717FB">
      <w:pPr>
        <w:pStyle w:val="ListParagraph"/>
        <w:numPr>
          <w:ilvl w:val="0"/>
          <w:numId w:val="4"/>
        </w:numPr>
        <w:jc w:val="right"/>
      </w:pPr>
      <w:r>
        <w:t>Local Council</w:t>
      </w:r>
    </w:p>
    <w:p w14:paraId="599C48AF" w14:textId="0C3096A6" w:rsidR="00C04A7F" w:rsidRDefault="00C04A7F" w:rsidP="00C04A7F">
      <w:pPr>
        <w:pStyle w:val="ListParagraph"/>
        <w:numPr>
          <w:ilvl w:val="0"/>
          <w:numId w:val="2"/>
        </w:numPr>
        <w:jc w:val="right"/>
      </w:pPr>
      <w:r>
        <w:t xml:space="preserve">Property </w:t>
      </w:r>
      <w:r w:rsidR="001717FB">
        <w:t>Developer</w:t>
      </w:r>
      <w:r>
        <w:t xml:space="preserve"> </w:t>
      </w:r>
    </w:p>
    <w:p w14:paraId="31362367" w14:textId="48DFD7E4" w:rsidR="00C04A7F" w:rsidRDefault="00C04A7F" w:rsidP="00C04A7F">
      <w:pPr>
        <w:pStyle w:val="ListParagraph"/>
        <w:numPr>
          <w:ilvl w:val="0"/>
          <w:numId w:val="2"/>
        </w:numPr>
        <w:jc w:val="right"/>
      </w:pPr>
      <w:r>
        <w:t>Contractors</w:t>
      </w:r>
    </w:p>
    <w:p w14:paraId="2312288E" w14:textId="64418C9B" w:rsidR="00C04A7F" w:rsidRDefault="00C04A7F" w:rsidP="001717FB">
      <w:pPr>
        <w:pStyle w:val="ListParagraph"/>
        <w:numPr>
          <w:ilvl w:val="0"/>
          <w:numId w:val="2"/>
        </w:numPr>
        <w:jc w:val="right"/>
      </w:pPr>
      <w:r>
        <w:t>Local Reside</w:t>
      </w:r>
      <w:r w:rsidR="001717FB">
        <w:t>nt</w:t>
      </w:r>
    </w:p>
    <w:p w14:paraId="3EF89FE0" w14:textId="77777777" w:rsidR="001717FB" w:rsidRDefault="001717FB" w:rsidP="00C04A7F"/>
    <w:p w14:paraId="375EB566" w14:textId="0C309609" w:rsidR="00C04A7F" w:rsidRDefault="00C04A7F" w:rsidP="00C04A7F">
      <w:r>
        <w:rPr>
          <w:noProof/>
        </w:rPr>
        <mc:AlternateContent>
          <mc:Choice Requires="wps">
            <w:drawing>
              <wp:anchor distT="0" distB="0" distL="114300" distR="114300" simplePos="0" relativeHeight="251660288" behindDoc="0" locked="0" layoutInCell="1" allowOverlap="1" wp14:anchorId="15E99B4F" wp14:editId="03F2ADE7">
                <wp:simplePos x="0" y="0"/>
                <wp:positionH relativeFrom="column">
                  <wp:posOffset>978195</wp:posOffset>
                </wp:positionH>
                <wp:positionV relativeFrom="paragraph">
                  <wp:posOffset>90288</wp:posOffset>
                </wp:positionV>
                <wp:extent cx="3742661" cy="0"/>
                <wp:effectExtent l="0" t="0" r="17145" b="12700"/>
                <wp:wrapNone/>
                <wp:docPr id="273837882" name="Straight Connector 2"/>
                <wp:cNvGraphicFramePr/>
                <a:graphic xmlns:a="http://schemas.openxmlformats.org/drawingml/2006/main">
                  <a:graphicData uri="http://schemas.microsoft.com/office/word/2010/wordprocessingShape">
                    <wps:wsp>
                      <wps:cNvCnPr/>
                      <wps:spPr>
                        <a:xfrm>
                          <a:off x="0" y="0"/>
                          <a:ext cx="3742661" cy="0"/>
                        </a:xfrm>
                        <a:prstGeom prst="line">
                          <a:avLst/>
                        </a:prstGeom>
                        <a:ln w="9525" cap="flat" cmpd="sng" algn="ctr">
                          <a:solidFill>
                            <a:schemeClr val="tx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7C99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7.1pt" to="371.7pt,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" strokecolor="black [3213]">
                <v:stroke dashstyle="dash"/>
              </v:line>
            </w:pict>
          </mc:Fallback>
        </mc:AlternateContent>
      </w:r>
      <w:r>
        <w:t>LOW POWER                                                                                                                              HIGH POWER</w:t>
      </w:r>
    </w:p>
    <w:p w14:paraId="75945181" w14:textId="77777777" w:rsidR="00C04A7F" w:rsidRDefault="00C04A7F" w:rsidP="00C04A7F">
      <w:pPr>
        <w:pStyle w:val="ListParagraph"/>
      </w:pPr>
    </w:p>
    <w:p w14:paraId="16406197" w14:textId="76643057" w:rsidR="00C04A7F" w:rsidRDefault="00C04A7F" w:rsidP="00C04A7F">
      <w:pPr>
        <w:pStyle w:val="ListParagraph"/>
      </w:pPr>
      <w:r>
        <w:t>MONITOR</w:t>
      </w:r>
    </w:p>
    <w:p w14:paraId="1F714B30" w14:textId="50C54A76" w:rsidR="001717FB" w:rsidRDefault="00C04A7F" w:rsidP="001717FB">
      <w:pPr>
        <w:pStyle w:val="ListParagraph"/>
        <w:numPr>
          <w:ilvl w:val="0"/>
          <w:numId w:val="1"/>
        </w:numPr>
      </w:pPr>
      <w:r>
        <w:t>Local Businesses</w:t>
      </w:r>
    </w:p>
    <w:p w14:paraId="69A932C0" w14:textId="5FF422B7" w:rsidR="001717FB" w:rsidRDefault="001717FB" w:rsidP="001717FB">
      <w:pPr>
        <w:pStyle w:val="ListParagraph"/>
        <w:jc w:val="right"/>
      </w:pPr>
      <w:r>
        <w:t xml:space="preserve">KEEP INFORMED </w:t>
      </w:r>
    </w:p>
    <w:p w14:paraId="6925CA93" w14:textId="4E62F81D" w:rsidR="001717FB" w:rsidRDefault="00544E58" w:rsidP="001717FB">
      <w:pPr>
        <w:pStyle w:val="ListParagraph"/>
        <w:numPr>
          <w:ilvl w:val="0"/>
          <w:numId w:val="1"/>
        </w:numPr>
        <w:jc w:val="right"/>
      </w:pPr>
      <w:r>
        <w:t xml:space="preserve">Future Homeowners </w:t>
      </w:r>
    </w:p>
    <w:p w14:paraId="70A51B26" w14:textId="77777777" w:rsidR="007318A5" w:rsidRDefault="00544E58" w:rsidP="007318A5">
      <w:pPr>
        <w:pStyle w:val="ListParagraph"/>
        <w:numPr>
          <w:ilvl w:val="0"/>
          <w:numId w:val="1"/>
        </w:numPr>
        <w:jc w:val="right"/>
      </w:pPr>
      <w:r>
        <w:rPr>
          <w:noProof/>
        </w:rPr>
        <mc:AlternateContent>
          <mc:Choice Requires="wps">
            <w:drawing>
              <wp:anchor distT="0" distB="0" distL="114300" distR="114300" simplePos="0" relativeHeight="251664384" behindDoc="0" locked="0" layoutInCell="1" allowOverlap="1" wp14:anchorId="0E1F081C" wp14:editId="65C4FD3E">
                <wp:simplePos x="0" y="0"/>
                <wp:positionH relativeFrom="column">
                  <wp:posOffset>2999740</wp:posOffset>
                </wp:positionH>
                <wp:positionV relativeFrom="paragraph">
                  <wp:posOffset>17780</wp:posOffset>
                </wp:positionV>
                <wp:extent cx="167640" cy="222885"/>
                <wp:effectExtent l="12700" t="0" r="22860" b="31115"/>
                <wp:wrapNone/>
                <wp:docPr id="19487714" name="Down Arrow 8"/>
                <wp:cNvGraphicFramePr/>
                <a:graphic xmlns:a="http://schemas.openxmlformats.org/drawingml/2006/main">
                  <a:graphicData uri="http://schemas.microsoft.com/office/word/2010/wordprocessingShape">
                    <wps:wsp>
                      <wps:cNvSpPr/>
                      <wps:spPr>
                        <a:xfrm>
                          <a:off x="0" y="0"/>
                          <a:ext cx="167640" cy="222885"/>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72C88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236.2pt;margin-top:1.4pt;width:13.2pt;height:1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" adj="13477" fillcolor="black [3200]" strokecolor="black [480]" strokeweight="1pt"/>
            </w:pict>
          </mc:Fallback>
        </mc:AlternateContent>
      </w:r>
      <w:r>
        <w:t>Future Tenants</w:t>
      </w:r>
    </w:p>
    <w:p w14:paraId="604CF8A9" w14:textId="137E558F" w:rsidR="00544E58" w:rsidRDefault="00544E58" w:rsidP="007318A5">
      <w:pPr>
        <w:pStyle w:val="ListParagraph"/>
        <w:jc w:val="center"/>
      </w:pPr>
      <w:r>
        <w:t xml:space="preserve">LOW INTEREST </w:t>
      </w:r>
    </w:p>
    <w:p w14:paraId="19210545" w14:textId="77777777" w:rsidR="00544E58" w:rsidRDefault="00544E58" w:rsidP="00544E58">
      <w:pPr>
        <w:pStyle w:val="ListParagraph"/>
        <w:spacing w:line="360" w:lineRule="auto"/>
        <w:rPr>
          <w:b/>
          <w:bCs/>
          <w:color w:val="000000"/>
          <w:sz w:val="22"/>
          <w:szCs w:val="22"/>
        </w:rPr>
      </w:pPr>
      <w:r w:rsidRPr="00544E58">
        <w:rPr>
          <w:b/>
          <w:bCs/>
          <w:color w:val="000000"/>
          <w:sz w:val="22"/>
          <w:szCs w:val="22"/>
        </w:rPr>
        <w:lastRenderedPageBreak/>
        <w:t>Justification</w:t>
      </w:r>
    </w:p>
    <w:p w14:paraId="20D425CF" w14:textId="1A5686F4" w:rsidR="00544E58" w:rsidRDefault="00544E58" w:rsidP="00544E58">
      <w:pPr>
        <w:pStyle w:val="ListParagraph"/>
        <w:spacing w:line="360" w:lineRule="auto"/>
        <w:rPr>
          <w:color w:val="000000"/>
          <w:sz w:val="22"/>
          <w:szCs w:val="22"/>
        </w:rPr>
      </w:pPr>
      <w:r w:rsidRPr="00544E58">
        <w:rPr>
          <w:color w:val="000000"/>
          <w:sz w:val="22"/>
          <w:szCs w:val="22"/>
        </w:rPr>
        <w:br/>
        <w:t>Property Developers and the Local Council are positioned in the Manage Closely quadrant due to their substantial decision-making power and their vested interest in the success of the project. Through the planning, construction, and completion of the project, their ongoing participation is indispensable (PMI, 2021).</w:t>
      </w:r>
      <w:r w:rsidRPr="00544E58">
        <w:rPr>
          <w:color w:val="000000"/>
          <w:sz w:val="22"/>
          <w:szCs w:val="22"/>
        </w:rPr>
        <w:br/>
        <w:t>The project is not formally approved by local residents, but they have the ability to significantly influence planning decisions through consultation exercises, petitions, and public objections. Consequently, they are also positioned within this quadrant. Supporting social acceptance of the development and reducing resistance are achieved through the maintenance of positive relationships with residents (Freeman, 1984).</w:t>
      </w:r>
      <w:r w:rsidRPr="00544E58">
        <w:rPr>
          <w:color w:val="000000"/>
          <w:sz w:val="22"/>
          <w:szCs w:val="22"/>
        </w:rPr>
        <w:br/>
      </w:r>
      <w:r w:rsidR="000F2D09">
        <w:rPr>
          <w:color w:val="000000"/>
          <w:sz w:val="22"/>
          <w:szCs w:val="22"/>
        </w:rPr>
        <w:t>'Keep Satisfied'</w:t>
      </w:r>
      <w:r w:rsidRPr="00544E58">
        <w:rPr>
          <w:color w:val="000000"/>
          <w:sz w:val="22"/>
          <w:szCs w:val="22"/>
        </w:rPr>
        <w:t xml:space="preserve"> is the classification given to </w:t>
      </w:r>
      <w:r w:rsidR="000F2D09">
        <w:rPr>
          <w:color w:val="000000"/>
          <w:sz w:val="22"/>
          <w:szCs w:val="22"/>
        </w:rPr>
        <w:t>environmental organisations,</w:t>
      </w:r>
      <w:r w:rsidRPr="00544E58">
        <w:rPr>
          <w:color w:val="000000"/>
          <w:sz w:val="22"/>
          <w:szCs w:val="22"/>
        </w:rPr>
        <w:t xml:space="preserve"> which are moderately influential through environmental assessments and sustainability advocacy but are generally less involved in daily project management.</w:t>
      </w:r>
      <w:r w:rsidRPr="00544E58">
        <w:rPr>
          <w:color w:val="000000"/>
          <w:sz w:val="22"/>
          <w:szCs w:val="22"/>
        </w:rPr>
        <w:br/>
        <w:t>Tenants and future homeowners are classified in the "Keep Informed" quadrant due to their substantial interest in the quality, affordability, and completion dates of housing, but their ability to influence project decisions prior to occupancy is restricted.</w:t>
      </w:r>
      <w:r w:rsidRPr="00544E58">
        <w:rPr>
          <w:color w:val="000000"/>
          <w:sz w:val="22"/>
          <w:szCs w:val="22"/>
        </w:rPr>
        <w:br/>
        <w:t xml:space="preserve">Local </w:t>
      </w:r>
      <w:r w:rsidR="000F2D09">
        <w:rPr>
          <w:color w:val="000000"/>
          <w:sz w:val="22"/>
          <w:szCs w:val="22"/>
        </w:rPr>
        <w:t>businesses</w:t>
      </w:r>
      <w:r w:rsidRPr="00544E58">
        <w:rPr>
          <w:color w:val="000000"/>
          <w:sz w:val="22"/>
          <w:szCs w:val="22"/>
        </w:rPr>
        <w:t xml:space="preserve"> are at last classified within the Monitor quadrant. In general, businesses have moderate interest and limited authority over planning decisions, despite the potential for redevelopment to enhance local economic activity. Periodic engagement is still appropriate for the duration of the project (Bourne, 2016).</w:t>
      </w:r>
    </w:p>
    <w:p w14:paraId="707C121B" w14:textId="77777777" w:rsidR="00544E58" w:rsidRDefault="00544E58" w:rsidP="00544E58">
      <w:pPr>
        <w:pStyle w:val="ListParagraph"/>
        <w:spacing w:line="360" w:lineRule="auto"/>
        <w:rPr>
          <w:color w:val="000000"/>
          <w:sz w:val="22"/>
          <w:szCs w:val="22"/>
        </w:rPr>
      </w:pPr>
    </w:p>
    <w:p w14:paraId="4D98C6D8" w14:textId="690B47B0" w:rsidR="00544E58" w:rsidRDefault="00544E58" w:rsidP="00544E58">
      <w:pPr>
        <w:pStyle w:val="ListParagraph"/>
        <w:spacing w:line="360" w:lineRule="auto"/>
        <w:rPr>
          <w:b/>
          <w:bCs/>
          <w:color w:val="000000"/>
        </w:rPr>
      </w:pPr>
      <w:r w:rsidRPr="00544E58">
        <w:rPr>
          <w:b/>
          <w:bCs/>
          <w:color w:val="000000"/>
        </w:rPr>
        <w:t xml:space="preserve">2.3 Communication and Consultation Strategy </w:t>
      </w:r>
    </w:p>
    <w:p w14:paraId="12F57972" w14:textId="38F178B9" w:rsidR="00544E58" w:rsidRPr="00544E58" w:rsidRDefault="00544E58" w:rsidP="00544E58">
      <w:pPr>
        <w:pStyle w:val="ListParagraph"/>
        <w:spacing w:line="360" w:lineRule="auto"/>
        <w:rPr>
          <w:color w:val="000000"/>
        </w:rPr>
      </w:pPr>
      <w:r w:rsidRPr="00544E58">
        <w:rPr>
          <w:color w:val="000000"/>
        </w:rPr>
        <w:t>Effective communication is essential for stakeholder management because it fosters trust, decreases uncertainty, and promotes cooperation throughout the project lifecycle (Project Management Institute, 2021). Stakeholder groups require distinct communication approaches based on their amount of influence, information needs, and participation in project activities.</w:t>
      </w:r>
    </w:p>
    <w:p w14:paraId="7744F4A1" w14:textId="77777777" w:rsidR="00544E58" w:rsidRDefault="00544E58" w:rsidP="00544E58">
      <w:pPr>
        <w:pStyle w:val="ListParagraph"/>
        <w:spacing w:line="360" w:lineRule="auto"/>
        <w:rPr>
          <w:b/>
          <w:bCs/>
          <w:sz w:val="22"/>
          <w:szCs w:val="22"/>
        </w:rPr>
      </w:pPr>
    </w:p>
    <w:p w14:paraId="76CC790C" w14:textId="77777777" w:rsidR="00544E58" w:rsidRDefault="00544E58" w:rsidP="00544E58">
      <w:pPr>
        <w:pStyle w:val="ListParagraph"/>
        <w:spacing w:line="360" w:lineRule="auto"/>
        <w:rPr>
          <w:b/>
          <w:bCs/>
          <w:sz w:val="22"/>
          <w:szCs w:val="22"/>
        </w:rPr>
      </w:pPr>
    </w:p>
    <w:p w14:paraId="25EF545F" w14:textId="77777777" w:rsidR="00544E58" w:rsidRDefault="00544E58" w:rsidP="00544E58">
      <w:pPr>
        <w:pStyle w:val="ListParagraph"/>
        <w:spacing w:line="360" w:lineRule="auto"/>
        <w:rPr>
          <w:b/>
          <w:bCs/>
          <w:sz w:val="22"/>
          <w:szCs w:val="22"/>
        </w:rPr>
      </w:pPr>
    </w:p>
    <w:p w14:paraId="1E44EA54" w14:textId="77777777" w:rsidR="00544E58" w:rsidRDefault="00544E58" w:rsidP="00544E58">
      <w:pPr>
        <w:pStyle w:val="ListParagraph"/>
        <w:spacing w:line="360" w:lineRule="auto"/>
        <w:rPr>
          <w:b/>
          <w:bCs/>
          <w:sz w:val="22"/>
          <w:szCs w:val="22"/>
        </w:rPr>
      </w:pPr>
    </w:p>
    <w:p w14:paraId="70946FBE" w14:textId="77777777" w:rsidR="00544E58" w:rsidRDefault="00544E58" w:rsidP="00544E58">
      <w:pPr>
        <w:pStyle w:val="ListParagraph"/>
        <w:spacing w:line="360" w:lineRule="auto"/>
        <w:rPr>
          <w:b/>
          <w:bCs/>
          <w:sz w:val="22"/>
          <w:szCs w:val="22"/>
        </w:rPr>
      </w:pPr>
    </w:p>
    <w:p w14:paraId="6AE2D287" w14:textId="77777777" w:rsidR="00544E58" w:rsidRDefault="00544E58" w:rsidP="00544E58">
      <w:pPr>
        <w:pStyle w:val="ListParagraph"/>
        <w:spacing w:line="360" w:lineRule="auto"/>
        <w:rPr>
          <w:b/>
          <w:bCs/>
          <w:sz w:val="22"/>
          <w:szCs w:val="22"/>
        </w:rPr>
      </w:pPr>
    </w:p>
    <w:p w14:paraId="14F1AC41" w14:textId="098FC0C4" w:rsidR="00544E58" w:rsidRDefault="00544E58" w:rsidP="00544E58">
      <w:pPr>
        <w:pStyle w:val="ListParagraph"/>
        <w:spacing w:line="360" w:lineRule="auto"/>
        <w:rPr>
          <w:b/>
          <w:bCs/>
          <w:sz w:val="22"/>
          <w:szCs w:val="22"/>
        </w:rPr>
      </w:pPr>
      <w:r w:rsidRPr="00544E58">
        <w:rPr>
          <w:b/>
          <w:bCs/>
          <w:sz w:val="22"/>
          <w:szCs w:val="22"/>
        </w:rPr>
        <w:lastRenderedPageBreak/>
        <w:t xml:space="preserve">Table 2. Stakeholder Communication Plan </w:t>
      </w:r>
    </w:p>
    <w:p w14:paraId="10FF6AD5" w14:textId="77777777" w:rsidR="00544E58" w:rsidRDefault="00544E58" w:rsidP="00544E58">
      <w:pPr>
        <w:pStyle w:val="ListParagraph"/>
        <w:spacing w:line="360" w:lineRule="auto"/>
        <w:rPr>
          <w:b/>
          <w:bCs/>
          <w:sz w:val="22"/>
          <w:szCs w:val="22"/>
        </w:rPr>
      </w:pPr>
    </w:p>
    <w:tbl>
      <w:tblPr>
        <w:tblStyle w:val="TableGrid"/>
        <w:tblW w:w="10774" w:type="dxa"/>
        <w:tblInd w:w="-714" w:type="dxa"/>
        <w:tblLook w:val="04A0" w:firstRow="1" w:lastRow="0" w:firstColumn="1" w:lastColumn="0" w:noHBand="0" w:noVBand="1"/>
      </w:tblPr>
      <w:tblGrid>
        <w:gridCol w:w="1679"/>
        <w:gridCol w:w="3126"/>
        <w:gridCol w:w="1340"/>
        <w:gridCol w:w="1843"/>
        <w:gridCol w:w="2786"/>
      </w:tblGrid>
      <w:tr w:rsidR="00544E58" w14:paraId="02FABB53" w14:textId="77777777" w:rsidTr="00544E58">
        <w:tc>
          <w:tcPr>
            <w:tcW w:w="1560" w:type="dxa"/>
          </w:tcPr>
          <w:p w14:paraId="6A2ACC54" w14:textId="30B3B1AF" w:rsidR="00544E58" w:rsidRPr="00544E58" w:rsidRDefault="00544E58" w:rsidP="00544E58">
            <w:pPr>
              <w:pStyle w:val="ListParagraph"/>
              <w:spacing w:line="360" w:lineRule="auto"/>
              <w:ind w:left="0"/>
              <w:rPr>
                <w:sz w:val="22"/>
                <w:szCs w:val="22"/>
              </w:rPr>
            </w:pPr>
            <w:r>
              <w:rPr>
                <w:sz w:val="22"/>
                <w:szCs w:val="22"/>
              </w:rPr>
              <w:t xml:space="preserve">Stakeholder </w:t>
            </w:r>
          </w:p>
        </w:tc>
        <w:tc>
          <w:tcPr>
            <w:tcW w:w="3192" w:type="dxa"/>
          </w:tcPr>
          <w:p w14:paraId="06ED94C0" w14:textId="52499972" w:rsidR="00544E58" w:rsidRPr="00544E58" w:rsidRDefault="00544E58" w:rsidP="00544E58">
            <w:pPr>
              <w:pStyle w:val="ListParagraph"/>
              <w:spacing w:line="360" w:lineRule="auto"/>
              <w:ind w:left="0"/>
              <w:rPr>
                <w:sz w:val="22"/>
                <w:szCs w:val="22"/>
              </w:rPr>
            </w:pPr>
            <w:r w:rsidRPr="00544E58">
              <w:rPr>
                <w:sz w:val="22"/>
                <w:szCs w:val="22"/>
              </w:rPr>
              <w:t xml:space="preserve">Information Shared </w:t>
            </w:r>
          </w:p>
        </w:tc>
        <w:tc>
          <w:tcPr>
            <w:tcW w:w="1344" w:type="dxa"/>
          </w:tcPr>
          <w:p w14:paraId="6370423E" w14:textId="64AAB11C" w:rsidR="00544E58" w:rsidRDefault="00544E58" w:rsidP="00544E58">
            <w:pPr>
              <w:pStyle w:val="ListParagraph"/>
              <w:spacing w:line="360" w:lineRule="auto"/>
              <w:ind w:left="0"/>
              <w:rPr>
                <w:b/>
                <w:bCs/>
                <w:sz w:val="22"/>
                <w:szCs w:val="22"/>
              </w:rPr>
            </w:pPr>
            <w:r>
              <w:rPr>
                <w:b/>
                <w:bCs/>
                <w:sz w:val="22"/>
                <w:szCs w:val="22"/>
              </w:rPr>
              <w:t>Frequency</w:t>
            </w:r>
          </w:p>
        </w:tc>
        <w:tc>
          <w:tcPr>
            <w:tcW w:w="1843" w:type="dxa"/>
          </w:tcPr>
          <w:p w14:paraId="64AA4313" w14:textId="078BC4E1" w:rsidR="00544E58" w:rsidRDefault="00544E58" w:rsidP="00544E58">
            <w:pPr>
              <w:pStyle w:val="ListParagraph"/>
              <w:spacing w:line="360" w:lineRule="auto"/>
              <w:ind w:left="0"/>
              <w:rPr>
                <w:b/>
                <w:bCs/>
                <w:sz w:val="22"/>
                <w:szCs w:val="22"/>
              </w:rPr>
            </w:pPr>
            <w:r>
              <w:rPr>
                <w:b/>
                <w:bCs/>
                <w:sz w:val="22"/>
                <w:szCs w:val="22"/>
              </w:rPr>
              <w:t xml:space="preserve">Communication Method </w:t>
            </w:r>
          </w:p>
        </w:tc>
        <w:tc>
          <w:tcPr>
            <w:tcW w:w="2835" w:type="dxa"/>
          </w:tcPr>
          <w:p w14:paraId="72DC2816" w14:textId="3FF3ED08" w:rsidR="00544E58" w:rsidRDefault="00544E58" w:rsidP="00544E58">
            <w:pPr>
              <w:pStyle w:val="ListParagraph"/>
              <w:spacing w:line="360" w:lineRule="auto"/>
              <w:ind w:left="0"/>
              <w:rPr>
                <w:b/>
                <w:bCs/>
                <w:sz w:val="22"/>
                <w:szCs w:val="22"/>
              </w:rPr>
            </w:pPr>
            <w:r>
              <w:rPr>
                <w:b/>
                <w:bCs/>
                <w:sz w:val="22"/>
                <w:szCs w:val="22"/>
              </w:rPr>
              <w:t>Jus</w:t>
            </w:r>
            <w:r w:rsidR="009E35BD">
              <w:rPr>
                <w:b/>
                <w:bCs/>
                <w:sz w:val="22"/>
                <w:szCs w:val="22"/>
              </w:rPr>
              <w:t xml:space="preserve">tification </w:t>
            </w:r>
          </w:p>
        </w:tc>
      </w:tr>
      <w:tr w:rsidR="00544E58" w14:paraId="76B59F00" w14:textId="77777777" w:rsidTr="00544E58">
        <w:trPr>
          <w:trHeight w:val="759"/>
        </w:trPr>
        <w:tc>
          <w:tcPr>
            <w:tcW w:w="1560" w:type="dxa"/>
          </w:tcPr>
          <w:p w14:paraId="67F0FED8" w14:textId="599EC1C7" w:rsidR="009E35BD" w:rsidRDefault="009E35BD" w:rsidP="00544E58">
            <w:pPr>
              <w:pStyle w:val="ListParagraph"/>
              <w:spacing w:line="360" w:lineRule="auto"/>
              <w:ind w:left="0"/>
              <w:rPr>
                <w:b/>
                <w:bCs/>
                <w:sz w:val="22"/>
                <w:szCs w:val="22"/>
              </w:rPr>
            </w:pPr>
            <w:r>
              <w:rPr>
                <w:b/>
                <w:bCs/>
                <w:sz w:val="22"/>
                <w:szCs w:val="22"/>
              </w:rPr>
              <w:t xml:space="preserve">Local Council </w:t>
            </w:r>
          </w:p>
        </w:tc>
        <w:tc>
          <w:tcPr>
            <w:tcW w:w="3192" w:type="dxa"/>
          </w:tcPr>
          <w:p w14:paraId="236D9E4E" w14:textId="40D67587" w:rsidR="00544E58" w:rsidRDefault="00D054D9" w:rsidP="00D054D9">
            <w:pPr>
              <w:pStyle w:val="ListParagraph"/>
              <w:spacing w:line="360" w:lineRule="auto"/>
              <w:ind w:left="0" w:firstLine="720"/>
              <w:rPr>
                <w:b/>
                <w:bCs/>
                <w:sz w:val="22"/>
                <w:szCs w:val="22"/>
              </w:rPr>
            </w:pPr>
            <w:r>
              <w:rPr>
                <w:b/>
                <w:bCs/>
                <w:sz w:val="22"/>
                <w:szCs w:val="22"/>
              </w:rPr>
              <w:t>Planning progress, legal compliance, project milestones, environmental reports</w:t>
            </w:r>
          </w:p>
        </w:tc>
        <w:tc>
          <w:tcPr>
            <w:tcW w:w="1344" w:type="dxa"/>
          </w:tcPr>
          <w:p w14:paraId="3F5EEE27" w14:textId="6BAD4253" w:rsidR="00544E58" w:rsidRDefault="00D054D9" w:rsidP="00544E58">
            <w:pPr>
              <w:pStyle w:val="ListParagraph"/>
              <w:spacing w:line="360" w:lineRule="auto"/>
              <w:ind w:left="0"/>
              <w:rPr>
                <w:b/>
                <w:bCs/>
                <w:sz w:val="22"/>
                <w:szCs w:val="22"/>
              </w:rPr>
            </w:pPr>
            <w:r>
              <w:rPr>
                <w:b/>
                <w:bCs/>
                <w:sz w:val="22"/>
                <w:szCs w:val="22"/>
              </w:rPr>
              <w:t>Monthly</w:t>
            </w:r>
          </w:p>
        </w:tc>
        <w:tc>
          <w:tcPr>
            <w:tcW w:w="1843" w:type="dxa"/>
          </w:tcPr>
          <w:p w14:paraId="37E32383" w14:textId="63DCCF42" w:rsidR="00544E58" w:rsidRDefault="00D054D9" w:rsidP="00544E58">
            <w:pPr>
              <w:pStyle w:val="ListParagraph"/>
              <w:spacing w:line="360" w:lineRule="auto"/>
              <w:ind w:left="0"/>
              <w:rPr>
                <w:b/>
                <w:bCs/>
                <w:sz w:val="22"/>
                <w:szCs w:val="22"/>
              </w:rPr>
            </w:pPr>
            <w:r>
              <w:rPr>
                <w:b/>
                <w:bCs/>
                <w:sz w:val="22"/>
                <w:szCs w:val="22"/>
              </w:rPr>
              <w:t>Formal meetings, email, official reports</w:t>
            </w:r>
          </w:p>
        </w:tc>
        <w:tc>
          <w:tcPr>
            <w:tcW w:w="2835" w:type="dxa"/>
          </w:tcPr>
          <w:p w14:paraId="1FD62E29" w14:textId="794FC77A" w:rsidR="00544E58" w:rsidRDefault="00D054D9" w:rsidP="00544E58">
            <w:pPr>
              <w:pStyle w:val="ListParagraph"/>
              <w:spacing w:line="360" w:lineRule="auto"/>
              <w:ind w:left="0"/>
              <w:rPr>
                <w:b/>
                <w:bCs/>
                <w:sz w:val="22"/>
                <w:szCs w:val="22"/>
              </w:rPr>
            </w:pPr>
            <w:r>
              <w:rPr>
                <w:b/>
                <w:bCs/>
                <w:sz w:val="22"/>
                <w:szCs w:val="22"/>
              </w:rPr>
              <w:t>High power requires detailed and regular reporting (PMI, 2021).</w:t>
            </w:r>
          </w:p>
        </w:tc>
      </w:tr>
      <w:tr w:rsidR="00544E58" w14:paraId="2E94C1D0" w14:textId="77777777" w:rsidTr="00544E58">
        <w:trPr>
          <w:trHeight w:val="684"/>
        </w:trPr>
        <w:tc>
          <w:tcPr>
            <w:tcW w:w="1560" w:type="dxa"/>
          </w:tcPr>
          <w:p w14:paraId="076FAB89" w14:textId="77777777" w:rsidR="00544E58" w:rsidRDefault="009E35BD" w:rsidP="00544E58">
            <w:pPr>
              <w:pStyle w:val="ListParagraph"/>
              <w:spacing w:line="360" w:lineRule="auto"/>
              <w:ind w:left="0"/>
              <w:rPr>
                <w:b/>
                <w:bCs/>
                <w:sz w:val="22"/>
                <w:szCs w:val="22"/>
              </w:rPr>
            </w:pPr>
            <w:r>
              <w:rPr>
                <w:b/>
                <w:bCs/>
                <w:sz w:val="22"/>
                <w:szCs w:val="22"/>
              </w:rPr>
              <w:t>Developers &amp;</w:t>
            </w:r>
          </w:p>
          <w:p w14:paraId="30A1C779" w14:textId="706D0214" w:rsidR="009E35BD" w:rsidRDefault="009E35BD" w:rsidP="00544E58">
            <w:pPr>
              <w:pStyle w:val="ListParagraph"/>
              <w:spacing w:line="360" w:lineRule="auto"/>
              <w:ind w:left="0"/>
              <w:rPr>
                <w:b/>
                <w:bCs/>
                <w:sz w:val="22"/>
                <w:szCs w:val="22"/>
              </w:rPr>
            </w:pPr>
            <w:r>
              <w:rPr>
                <w:b/>
                <w:bCs/>
                <w:sz w:val="22"/>
                <w:szCs w:val="22"/>
              </w:rPr>
              <w:t xml:space="preserve">Contractors </w:t>
            </w:r>
          </w:p>
        </w:tc>
        <w:tc>
          <w:tcPr>
            <w:tcW w:w="3192" w:type="dxa"/>
          </w:tcPr>
          <w:p w14:paraId="496E4C31" w14:textId="4035AECA" w:rsidR="00544E58" w:rsidRDefault="00D054D9" w:rsidP="00544E58">
            <w:pPr>
              <w:pStyle w:val="ListParagraph"/>
              <w:spacing w:line="360" w:lineRule="auto"/>
              <w:ind w:left="0"/>
              <w:rPr>
                <w:b/>
                <w:bCs/>
                <w:sz w:val="22"/>
                <w:szCs w:val="22"/>
              </w:rPr>
            </w:pPr>
            <w:r>
              <w:rPr>
                <w:b/>
                <w:bCs/>
                <w:sz w:val="22"/>
                <w:szCs w:val="22"/>
              </w:rPr>
              <w:t>Budget, schedule, construction progress, risks, health &amp; safety</w:t>
            </w:r>
          </w:p>
        </w:tc>
        <w:tc>
          <w:tcPr>
            <w:tcW w:w="1344" w:type="dxa"/>
          </w:tcPr>
          <w:p w14:paraId="276DC879" w14:textId="57730190" w:rsidR="00544E58" w:rsidRDefault="00D054D9" w:rsidP="00544E58">
            <w:pPr>
              <w:pStyle w:val="ListParagraph"/>
              <w:spacing w:line="360" w:lineRule="auto"/>
              <w:ind w:left="0"/>
              <w:rPr>
                <w:b/>
                <w:bCs/>
                <w:sz w:val="22"/>
                <w:szCs w:val="22"/>
              </w:rPr>
            </w:pPr>
            <w:r>
              <w:rPr>
                <w:b/>
                <w:bCs/>
                <w:sz w:val="22"/>
                <w:szCs w:val="22"/>
              </w:rPr>
              <w:t>Weekly</w:t>
            </w:r>
          </w:p>
        </w:tc>
        <w:tc>
          <w:tcPr>
            <w:tcW w:w="1843" w:type="dxa"/>
          </w:tcPr>
          <w:p w14:paraId="39B0872D" w14:textId="40B7CC7D" w:rsidR="00544E58" w:rsidRDefault="00D054D9" w:rsidP="00544E58">
            <w:pPr>
              <w:pStyle w:val="ListParagraph"/>
              <w:spacing w:line="360" w:lineRule="auto"/>
              <w:ind w:left="0"/>
              <w:rPr>
                <w:b/>
                <w:bCs/>
                <w:sz w:val="22"/>
                <w:szCs w:val="22"/>
              </w:rPr>
            </w:pPr>
            <w:r>
              <w:rPr>
                <w:b/>
                <w:bCs/>
                <w:sz w:val="22"/>
                <w:szCs w:val="22"/>
              </w:rPr>
              <w:t>Meetings, email, project management software</w:t>
            </w:r>
          </w:p>
        </w:tc>
        <w:tc>
          <w:tcPr>
            <w:tcW w:w="2835" w:type="dxa"/>
          </w:tcPr>
          <w:p w14:paraId="443E8C2F" w14:textId="0D419253" w:rsidR="00544E58" w:rsidRDefault="00D054D9" w:rsidP="00544E58">
            <w:pPr>
              <w:pStyle w:val="ListParagraph"/>
              <w:spacing w:line="360" w:lineRule="auto"/>
              <w:ind w:left="0"/>
              <w:rPr>
                <w:b/>
                <w:bCs/>
                <w:sz w:val="22"/>
                <w:szCs w:val="22"/>
              </w:rPr>
            </w:pPr>
            <w:r>
              <w:rPr>
                <w:b/>
                <w:bCs/>
                <w:sz w:val="22"/>
                <w:szCs w:val="22"/>
              </w:rPr>
              <w:t xml:space="preserve">Frequent communication supports decision-making and project </w:t>
            </w:r>
            <w:r w:rsidR="007318A5">
              <w:rPr>
                <w:b/>
                <w:bCs/>
                <w:sz w:val="22"/>
                <w:szCs w:val="22"/>
              </w:rPr>
              <w:t>delivery (Bourne,</w:t>
            </w:r>
            <w:r>
              <w:rPr>
                <w:b/>
                <w:bCs/>
                <w:sz w:val="22"/>
                <w:szCs w:val="22"/>
              </w:rPr>
              <w:t xml:space="preserve"> 20</w:t>
            </w:r>
            <w:r w:rsidR="002304BF">
              <w:rPr>
                <w:b/>
                <w:bCs/>
                <w:sz w:val="22"/>
                <w:szCs w:val="22"/>
              </w:rPr>
              <w:t>16).</w:t>
            </w:r>
          </w:p>
        </w:tc>
      </w:tr>
      <w:tr w:rsidR="00544E58" w14:paraId="0BA300F4" w14:textId="77777777" w:rsidTr="00544E58">
        <w:trPr>
          <w:trHeight w:val="709"/>
        </w:trPr>
        <w:tc>
          <w:tcPr>
            <w:tcW w:w="1560" w:type="dxa"/>
          </w:tcPr>
          <w:p w14:paraId="1BDC2121" w14:textId="71A9C667" w:rsidR="00544E58" w:rsidRDefault="009E35BD" w:rsidP="00544E58">
            <w:pPr>
              <w:pStyle w:val="ListParagraph"/>
              <w:spacing w:line="360" w:lineRule="auto"/>
              <w:ind w:left="0"/>
              <w:rPr>
                <w:b/>
                <w:bCs/>
                <w:sz w:val="22"/>
                <w:szCs w:val="22"/>
              </w:rPr>
            </w:pPr>
            <w:r>
              <w:rPr>
                <w:b/>
                <w:bCs/>
                <w:sz w:val="22"/>
                <w:szCs w:val="22"/>
              </w:rPr>
              <w:t xml:space="preserve">Local Residents </w:t>
            </w:r>
          </w:p>
        </w:tc>
        <w:tc>
          <w:tcPr>
            <w:tcW w:w="3192" w:type="dxa"/>
          </w:tcPr>
          <w:p w14:paraId="66EFBD49" w14:textId="13CEE473" w:rsidR="00544E58" w:rsidRDefault="00D054D9" w:rsidP="00544E58">
            <w:pPr>
              <w:pStyle w:val="ListParagraph"/>
              <w:spacing w:line="360" w:lineRule="auto"/>
              <w:ind w:left="0"/>
              <w:rPr>
                <w:b/>
                <w:bCs/>
                <w:sz w:val="22"/>
                <w:szCs w:val="22"/>
              </w:rPr>
            </w:pPr>
            <w:r>
              <w:rPr>
                <w:b/>
                <w:bCs/>
                <w:sz w:val="22"/>
                <w:szCs w:val="22"/>
              </w:rPr>
              <w:t>Construction updates, road closures, noise, timeline</w:t>
            </w:r>
          </w:p>
        </w:tc>
        <w:tc>
          <w:tcPr>
            <w:tcW w:w="1344" w:type="dxa"/>
          </w:tcPr>
          <w:p w14:paraId="163D929B" w14:textId="1E9BB359" w:rsidR="00544E58" w:rsidRDefault="00D054D9" w:rsidP="00544E58">
            <w:pPr>
              <w:pStyle w:val="ListParagraph"/>
              <w:spacing w:line="360" w:lineRule="auto"/>
              <w:ind w:left="0"/>
              <w:rPr>
                <w:b/>
                <w:bCs/>
                <w:sz w:val="22"/>
                <w:szCs w:val="22"/>
              </w:rPr>
            </w:pPr>
            <w:r>
              <w:rPr>
                <w:b/>
                <w:bCs/>
                <w:sz w:val="22"/>
                <w:szCs w:val="22"/>
              </w:rPr>
              <w:t>Monthly and when necessary</w:t>
            </w:r>
          </w:p>
        </w:tc>
        <w:tc>
          <w:tcPr>
            <w:tcW w:w="1843" w:type="dxa"/>
          </w:tcPr>
          <w:p w14:paraId="532E0C2A" w14:textId="1AC2E138" w:rsidR="00544E58" w:rsidRDefault="00D054D9" w:rsidP="00544E58">
            <w:pPr>
              <w:pStyle w:val="ListParagraph"/>
              <w:spacing w:line="360" w:lineRule="auto"/>
              <w:ind w:left="0"/>
              <w:rPr>
                <w:b/>
                <w:bCs/>
                <w:sz w:val="22"/>
                <w:szCs w:val="22"/>
              </w:rPr>
            </w:pPr>
            <w:r>
              <w:rPr>
                <w:b/>
                <w:bCs/>
                <w:sz w:val="22"/>
                <w:szCs w:val="22"/>
              </w:rPr>
              <w:t>Community meetings, letters, social media, website</w:t>
            </w:r>
          </w:p>
        </w:tc>
        <w:tc>
          <w:tcPr>
            <w:tcW w:w="2835" w:type="dxa"/>
          </w:tcPr>
          <w:p w14:paraId="28958884" w14:textId="757B868C" w:rsidR="00544E58" w:rsidRDefault="002304BF" w:rsidP="00544E58">
            <w:pPr>
              <w:pStyle w:val="ListParagraph"/>
              <w:spacing w:line="360" w:lineRule="auto"/>
              <w:ind w:left="0"/>
              <w:rPr>
                <w:b/>
                <w:bCs/>
                <w:sz w:val="22"/>
                <w:szCs w:val="22"/>
              </w:rPr>
            </w:pPr>
            <w:r>
              <w:rPr>
                <w:b/>
                <w:bCs/>
                <w:sz w:val="22"/>
                <w:szCs w:val="22"/>
              </w:rPr>
              <w:t>Early consultation reduces complaints and increases community support (Freeman, 1984).</w:t>
            </w:r>
          </w:p>
        </w:tc>
      </w:tr>
      <w:tr w:rsidR="00544E58" w14:paraId="659A664E" w14:textId="77777777" w:rsidTr="00544E58">
        <w:trPr>
          <w:trHeight w:val="704"/>
        </w:trPr>
        <w:tc>
          <w:tcPr>
            <w:tcW w:w="1560" w:type="dxa"/>
          </w:tcPr>
          <w:p w14:paraId="076851AF" w14:textId="775F6A19" w:rsidR="009E35BD" w:rsidRDefault="009E35BD" w:rsidP="00544E58">
            <w:pPr>
              <w:pStyle w:val="ListParagraph"/>
              <w:spacing w:line="360" w:lineRule="auto"/>
              <w:ind w:left="0"/>
              <w:rPr>
                <w:b/>
                <w:bCs/>
                <w:sz w:val="22"/>
                <w:szCs w:val="22"/>
              </w:rPr>
            </w:pPr>
            <w:r>
              <w:rPr>
                <w:b/>
                <w:bCs/>
                <w:sz w:val="22"/>
                <w:szCs w:val="22"/>
              </w:rPr>
              <w:t xml:space="preserve">Future Homeowners &amp; Tenants </w:t>
            </w:r>
          </w:p>
        </w:tc>
        <w:tc>
          <w:tcPr>
            <w:tcW w:w="3192" w:type="dxa"/>
          </w:tcPr>
          <w:p w14:paraId="48124D2A" w14:textId="20E2FE40" w:rsidR="00544E58" w:rsidRDefault="00D054D9" w:rsidP="00544E58">
            <w:pPr>
              <w:pStyle w:val="ListParagraph"/>
              <w:spacing w:line="360" w:lineRule="auto"/>
              <w:ind w:left="0"/>
              <w:rPr>
                <w:b/>
                <w:bCs/>
                <w:sz w:val="22"/>
                <w:szCs w:val="22"/>
              </w:rPr>
            </w:pPr>
            <w:r>
              <w:rPr>
                <w:b/>
                <w:bCs/>
                <w:sz w:val="22"/>
                <w:szCs w:val="22"/>
              </w:rPr>
              <w:t xml:space="preserve">Construction progress, expected completion dates, purchasing information </w:t>
            </w:r>
          </w:p>
        </w:tc>
        <w:tc>
          <w:tcPr>
            <w:tcW w:w="1344" w:type="dxa"/>
          </w:tcPr>
          <w:p w14:paraId="01270CA5" w14:textId="729035D9" w:rsidR="00544E58" w:rsidRDefault="00D054D9" w:rsidP="00544E58">
            <w:pPr>
              <w:pStyle w:val="ListParagraph"/>
              <w:spacing w:line="360" w:lineRule="auto"/>
              <w:ind w:left="0"/>
              <w:rPr>
                <w:b/>
                <w:bCs/>
                <w:sz w:val="22"/>
                <w:szCs w:val="22"/>
              </w:rPr>
            </w:pPr>
            <w:r>
              <w:rPr>
                <w:b/>
                <w:bCs/>
                <w:sz w:val="22"/>
                <w:szCs w:val="22"/>
              </w:rPr>
              <w:t>Quarterly</w:t>
            </w:r>
          </w:p>
        </w:tc>
        <w:tc>
          <w:tcPr>
            <w:tcW w:w="1843" w:type="dxa"/>
          </w:tcPr>
          <w:p w14:paraId="521CB4E3" w14:textId="3CF52385" w:rsidR="00544E58" w:rsidRDefault="00D054D9" w:rsidP="00544E58">
            <w:pPr>
              <w:pStyle w:val="ListParagraph"/>
              <w:spacing w:line="360" w:lineRule="auto"/>
              <w:ind w:left="0"/>
              <w:rPr>
                <w:b/>
                <w:bCs/>
                <w:sz w:val="22"/>
                <w:szCs w:val="22"/>
              </w:rPr>
            </w:pPr>
            <w:r>
              <w:rPr>
                <w:b/>
                <w:bCs/>
                <w:sz w:val="22"/>
                <w:szCs w:val="22"/>
              </w:rPr>
              <w:t>Email newsletters, website, social media</w:t>
            </w:r>
          </w:p>
        </w:tc>
        <w:tc>
          <w:tcPr>
            <w:tcW w:w="2835" w:type="dxa"/>
          </w:tcPr>
          <w:p w14:paraId="325442FB" w14:textId="1B8BE095" w:rsidR="00544E58" w:rsidRDefault="002304BF" w:rsidP="00544E58">
            <w:pPr>
              <w:pStyle w:val="ListParagraph"/>
              <w:spacing w:line="360" w:lineRule="auto"/>
              <w:ind w:left="0"/>
              <w:rPr>
                <w:b/>
                <w:bCs/>
                <w:sz w:val="22"/>
                <w:szCs w:val="22"/>
              </w:rPr>
            </w:pPr>
            <w:r>
              <w:rPr>
                <w:b/>
                <w:bCs/>
                <w:sz w:val="22"/>
                <w:szCs w:val="22"/>
              </w:rPr>
              <w:t>Keeps future occupants informed and manages expectations.</w:t>
            </w:r>
          </w:p>
        </w:tc>
      </w:tr>
      <w:tr w:rsidR="00544E58" w14:paraId="418A05A3" w14:textId="77777777" w:rsidTr="00544E58">
        <w:trPr>
          <w:trHeight w:val="686"/>
        </w:trPr>
        <w:tc>
          <w:tcPr>
            <w:tcW w:w="1560" w:type="dxa"/>
          </w:tcPr>
          <w:p w14:paraId="6F53B758" w14:textId="5165946A" w:rsidR="00544E58" w:rsidRDefault="009E35BD" w:rsidP="00544E58">
            <w:pPr>
              <w:pStyle w:val="ListParagraph"/>
              <w:spacing w:line="360" w:lineRule="auto"/>
              <w:ind w:left="0"/>
              <w:rPr>
                <w:b/>
                <w:bCs/>
                <w:sz w:val="22"/>
                <w:szCs w:val="22"/>
              </w:rPr>
            </w:pPr>
            <w:r>
              <w:rPr>
                <w:b/>
                <w:bCs/>
                <w:sz w:val="22"/>
                <w:szCs w:val="22"/>
              </w:rPr>
              <w:t>Local Businesses</w:t>
            </w:r>
          </w:p>
        </w:tc>
        <w:tc>
          <w:tcPr>
            <w:tcW w:w="3192" w:type="dxa"/>
          </w:tcPr>
          <w:p w14:paraId="79AD9237" w14:textId="165A0C76" w:rsidR="00544E58" w:rsidRDefault="00D054D9" w:rsidP="00544E58">
            <w:pPr>
              <w:pStyle w:val="ListParagraph"/>
              <w:spacing w:line="360" w:lineRule="auto"/>
              <w:ind w:left="0"/>
              <w:rPr>
                <w:b/>
                <w:bCs/>
                <w:sz w:val="22"/>
                <w:szCs w:val="22"/>
              </w:rPr>
            </w:pPr>
            <w:r>
              <w:rPr>
                <w:b/>
                <w:bCs/>
                <w:sz w:val="22"/>
                <w:szCs w:val="22"/>
              </w:rPr>
              <w:t xml:space="preserve">Road access, delivery arrangements, project milestones </w:t>
            </w:r>
          </w:p>
        </w:tc>
        <w:tc>
          <w:tcPr>
            <w:tcW w:w="1344" w:type="dxa"/>
          </w:tcPr>
          <w:p w14:paraId="12CF53BA" w14:textId="03943694" w:rsidR="00544E58" w:rsidRDefault="00D054D9" w:rsidP="00544E58">
            <w:pPr>
              <w:pStyle w:val="ListParagraph"/>
              <w:spacing w:line="360" w:lineRule="auto"/>
              <w:ind w:left="0"/>
              <w:rPr>
                <w:b/>
                <w:bCs/>
                <w:sz w:val="22"/>
                <w:szCs w:val="22"/>
              </w:rPr>
            </w:pPr>
            <w:r>
              <w:rPr>
                <w:b/>
                <w:bCs/>
                <w:sz w:val="22"/>
                <w:szCs w:val="22"/>
              </w:rPr>
              <w:t>Every two months</w:t>
            </w:r>
          </w:p>
        </w:tc>
        <w:tc>
          <w:tcPr>
            <w:tcW w:w="1843" w:type="dxa"/>
          </w:tcPr>
          <w:p w14:paraId="36CBB0E8" w14:textId="556CCE23" w:rsidR="00544E58" w:rsidRDefault="00D054D9" w:rsidP="00544E58">
            <w:pPr>
              <w:pStyle w:val="ListParagraph"/>
              <w:spacing w:line="360" w:lineRule="auto"/>
              <w:ind w:left="0"/>
              <w:rPr>
                <w:b/>
                <w:bCs/>
                <w:sz w:val="22"/>
                <w:szCs w:val="22"/>
              </w:rPr>
            </w:pPr>
            <w:r>
              <w:rPr>
                <w:b/>
                <w:bCs/>
                <w:sz w:val="22"/>
                <w:szCs w:val="22"/>
              </w:rPr>
              <w:t>Email, newsletters, business forums</w:t>
            </w:r>
          </w:p>
        </w:tc>
        <w:tc>
          <w:tcPr>
            <w:tcW w:w="2835" w:type="dxa"/>
          </w:tcPr>
          <w:p w14:paraId="3F4E7FCF" w14:textId="7C650528" w:rsidR="00544E58" w:rsidRDefault="002304BF" w:rsidP="00544E58">
            <w:pPr>
              <w:pStyle w:val="ListParagraph"/>
              <w:spacing w:line="360" w:lineRule="auto"/>
              <w:ind w:left="0"/>
              <w:rPr>
                <w:b/>
                <w:bCs/>
                <w:sz w:val="22"/>
                <w:szCs w:val="22"/>
              </w:rPr>
            </w:pPr>
            <w:r>
              <w:rPr>
                <w:b/>
                <w:bCs/>
                <w:sz w:val="22"/>
                <w:szCs w:val="22"/>
              </w:rPr>
              <w:t>Helps minimise disruption to commercial activities.</w:t>
            </w:r>
          </w:p>
        </w:tc>
      </w:tr>
      <w:tr w:rsidR="00544E58" w14:paraId="4F0B62A3" w14:textId="77777777" w:rsidTr="00544E58">
        <w:trPr>
          <w:trHeight w:val="710"/>
        </w:trPr>
        <w:tc>
          <w:tcPr>
            <w:tcW w:w="1560" w:type="dxa"/>
          </w:tcPr>
          <w:p w14:paraId="67070518" w14:textId="60C25F6D" w:rsidR="00544E58" w:rsidRDefault="009E35BD" w:rsidP="00544E58">
            <w:pPr>
              <w:pStyle w:val="ListParagraph"/>
              <w:spacing w:line="360" w:lineRule="auto"/>
              <w:ind w:left="0"/>
              <w:rPr>
                <w:b/>
                <w:bCs/>
                <w:sz w:val="22"/>
                <w:szCs w:val="22"/>
              </w:rPr>
            </w:pPr>
            <w:r>
              <w:rPr>
                <w:b/>
                <w:bCs/>
                <w:sz w:val="22"/>
                <w:szCs w:val="22"/>
              </w:rPr>
              <w:t>Environmental Organisations</w:t>
            </w:r>
          </w:p>
        </w:tc>
        <w:tc>
          <w:tcPr>
            <w:tcW w:w="3192" w:type="dxa"/>
          </w:tcPr>
          <w:p w14:paraId="135B637B" w14:textId="49540A69" w:rsidR="00544E58" w:rsidRDefault="00D054D9" w:rsidP="00544E58">
            <w:pPr>
              <w:pStyle w:val="ListParagraph"/>
              <w:spacing w:line="360" w:lineRule="auto"/>
              <w:ind w:left="0"/>
              <w:rPr>
                <w:b/>
                <w:bCs/>
                <w:sz w:val="22"/>
                <w:szCs w:val="22"/>
              </w:rPr>
            </w:pPr>
            <w:r>
              <w:rPr>
                <w:b/>
                <w:bCs/>
                <w:sz w:val="22"/>
                <w:szCs w:val="22"/>
              </w:rPr>
              <w:t>Sustainability initiatives, environmental monitoring, biodiversity reports</w:t>
            </w:r>
          </w:p>
        </w:tc>
        <w:tc>
          <w:tcPr>
            <w:tcW w:w="1344" w:type="dxa"/>
          </w:tcPr>
          <w:p w14:paraId="34041F87" w14:textId="7E384D07" w:rsidR="00544E58" w:rsidRDefault="00D054D9" w:rsidP="00544E58">
            <w:pPr>
              <w:pStyle w:val="ListParagraph"/>
              <w:spacing w:line="360" w:lineRule="auto"/>
              <w:ind w:left="0"/>
              <w:rPr>
                <w:b/>
                <w:bCs/>
                <w:sz w:val="22"/>
                <w:szCs w:val="22"/>
              </w:rPr>
            </w:pPr>
            <w:r>
              <w:rPr>
                <w:b/>
                <w:bCs/>
                <w:sz w:val="22"/>
                <w:szCs w:val="22"/>
              </w:rPr>
              <w:t>Quarterly</w:t>
            </w:r>
          </w:p>
        </w:tc>
        <w:tc>
          <w:tcPr>
            <w:tcW w:w="1843" w:type="dxa"/>
          </w:tcPr>
          <w:p w14:paraId="1D3A6093" w14:textId="414D75AE" w:rsidR="00544E58" w:rsidRDefault="00D054D9" w:rsidP="00544E58">
            <w:pPr>
              <w:pStyle w:val="ListParagraph"/>
              <w:spacing w:line="360" w:lineRule="auto"/>
              <w:ind w:left="0"/>
              <w:rPr>
                <w:b/>
                <w:bCs/>
                <w:sz w:val="22"/>
                <w:szCs w:val="22"/>
              </w:rPr>
            </w:pPr>
            <w:r>
              <w:rPr>
                <w:b/>
                <w:bCs/>
                <w:sz w:val="22"/>
                <w:szCs w:val="22"/>
              </w:rPr>
              <w:t xml:space="preserve">Reports, consultation meetings, email </w:t>
            </w:r>
          </w:p>
        </w:tc>
        <w:tc>
          <w:tcPr>
            <w:tcW w:w="2835" w:type="dxa"/>
          </w:tcPr>
          <w:p w14:paraId="6397BBC5" w14:textId="23FE3F68" w:rsidR="00544E58" w:rsidRDefault="002304BF" w:rsidP="00544E58">
            <w:pPr>
              <w:pStyle w:val="ListParagraph"/>
              <w:spacing w:line="360" w:lineRule="auto"/>
              <w:ind w:left="0"/>
              <w:rPr>
                <w:b/>
                <w:bCs/>
                <w:sz w:val="22"/>
                <w:szCs w:val="22"/>
              </w:rPr>
            </w:pPr>
            <w:r>
              <w:rPr>
                <w:b/>
                <w:bCs/>
                <w:sz w:val="22"/>
                <w:szCs w:val="22"/>
              </w:rPr>
              <w:t>Demonstrates commitment to environmental responsibility (UN-Habitat, 2020).</w:t>
            </w:r>
          </w:p>
        </w:tc>
      </w:tr>
    </w:tbl>
    <w:p w14:paraId="181F34B1" w14:textId="77777777" w:rsidR="00544E58" w:rsidRDefault="00544E58" w:rsidP="00544E58">
      <w:pPr>
        <w:pStyle w:val="ListParagraph"/>
        <w:spacing w:line="360" w:lineRule="auto"/>
        <w:rPr>
          <w:b/>
          <w:bCs/>
          <w:sz w:val="22"/>
          <w:szCs w:val="22"/>
        </w:rPr>
      </w:pPr>
    </w:p>
    <w:p w14:paraId="5D35055C" w14:textId="77777777" w:rsidR="00544E58" w:rsidRPr="00544E58" w:rsidRDefault="00544E58" w:rsidP="00544E58">
      <w:pPr>
        <w:pStyle w:val="ListParagraph"/>
        <w:spacing w:line="360" w:lineRule="auto"/>
        <w:rPr>
          <w:b/>
          <w:bCs/>
          <w:sz w:val="22"/>
          <w:szCs w:val="22"/>
        </w:rPr>
      </w:pPr>
    </w:p>
    <w:p w14:paraId="454EB084" w14:textId="27F158A3" w:rsidR="002304BF" w:rsidRPr="002304BF" w:rsidRDefault="002304BF" w:rsidP="002304BF">
      <w:pPr>
        <w:spacing w:line="360" w:lineRule="auto"/>
        <w:rPr>
          <w:sz w:val="22"/>
          <w:szCs w:val="22"/>
        </w:rPr>
      </w:pPr>
      <w:r w:rsidRPr="002304BF">
        <w:rPr>
          <w:sz w:val="22"/>
          <w:szCs w:val="22"/>
        </w:rPr>
        <w:t xml:space="preserve">The communication plan that has been presented </w:t>
      </w:r>
      <w:r w:rsidR="000F2D09" w:rsidRPr="002304BF">
        <w:rPr>
          <w:sz w:val="22"/>
          <w:szCs w:val="22"/>
        </w:rPr>
        <w:t>considers</w:t>
      </w:r>
      <w:r w:rsidRPr="002304BF">
        <w:rPr>
          <w:sz w:val="22"/>
          <w:szCs w:val="22"/>
        </w:rPr>
        <w:t xml:space="preserve"> the various requirements set out by each stakeholder group. Due to the fact that they are the ones who make the most important strategic decisions, stakeholders who hold more power, such as the </w:t>
      </w:r>
      <w:r w:rsidR="000F2D09">
        <w:rPr>
          <w:sz w:val="22"/>
          <w:szCs w:val="22"/>
        </w:rPr>
        <w:t>local council</w:t>
      </w:r>
      <w:r w:rsidRPr="002304BF">
        <w:rPr>
          <w:sz w:val="22"/>
          <w:szCs w:val="22"/>
        </w:rPr>
        <w:t xml:space="preserve"> and project </w:t>
      </w:r>
      <w:r w:rsidRPr="002304BF">
        <w:rPr>
          <w:sz w:val="22"/>
          <w:szCs w:val="22"/>
        </w:rPr>
        <w:lastRenderedPageBreak/>
        <w:t>developers, require communication that is both frequent and formal. In contrast, stakeholders who have less ability to make decisions but a high level of interest, such as future inhabitants, need frequent updates that preserve trust and openness without overloading them with material that is not required from a technical standpoint (Project Management Institute, 2021).</w:t>
      </w:r>
    </w:p>
    <w:p w14:paraId="2A6269E1" w14:textId="76D684E7" w:rsidR="00544E58" w:rsidRDefault="002304BF" w:rsidP="002304BF">
      <w:pPr>
        <w:spacing w:line="360" w:lineRule="auto"/>
        <w:rPr>
          <w:sz w:val="22"/>
          <w:szCs w:val="22"/>
        </w:rPr>
      </w:pPr>
      <w:r w:rsidRPr="002304BF">
        <w:rPr>
          <w:sz w:val="22"/>
          <w:szCs w:val="22"/>
        </w:rPr>
        <w:t>It is recommended that consultation activities start at the planning stage and continue all the way through construction and the actual completion of the project. During public consultation sessions, local people are given the opportunity to voice their views, and online feedback forms and surveys make it possible for a larger audience to participate. By ensuring that communication channels are kept open, project managers are able to identify problems at an earlier stage, promptly address concerns raised by stakeholders, and strengthen relationships that will last for a long time. According to Aaltonen and Kujala (2016) and Freeman (1984), this proactive approach helps to ensure that stakeholders are satisfied to a greater extent and contributes to the successful delivery of each project.</w:t>
      </w:r>
    </w:p>
    <w:p w14:paraId="5D9B020D" w14:textId="77777777" w:rsidR="002304BF" w:rsidRDefault="002304BF" w:rsidP="002304BF">
      <w:pPr>
        <w:spacing w:line="360" w:lineRule="auto"/>
        <w:rPr>
          <w:sz w:val="22"/>
          <w:szCs w:val="22"/>
        </w:rPr>
      </w:pPr>
    </w:p>
    <w:p w14:paraId="54E393A8" w14:textId="75DE013F" w:rsidR="002304BF" w:rsidRPr="002304BF" w:rsidRDefault="002304BF" w:rsidP="002304BF">
      <w:pPr>
        <w:spacing w:line="360" w:lineRule="auto"/>
        <w:rPr>
          <w:b/>
          <w:bCs/>
          <w:sz w:val="22"/>
          <w:szCs w:val="22"/>
        </w:rPr>
      </w:pPr>
      <w:r w:rsidRPr="002304BF">
        <w:rPr>
          <w:b/>
          <w:bCs/>
          <w:sz w:val="22"/>
          <w:szCs w:val="22"/>
        </w:rPr>
        <w:t>Element 3</w:t>
      </w:r>
    </w:p>
    <w:p w14:paraId="78201911" w14:textId="4453F185" w:rsidR="002304BF" w:rsidRDefault="002304BF" w:rsidP="002304BF">
      <w:pPr>
        <w:spacing w:line="360" w:lineRule="auto"/>
        <w:rPr>
          <w:b/>
          <w:bCs/>
        </w:rPr>
      </w:pPr>
      <w:r w:rsidRPr="002304BF">
        <w:rPr>
          <w:b/>
          <w:bCs/>
        </w:rPr>
        <w:t xml:space="preserve">Ethical Considerations in Stakeholder Consultation, Participation and Feedback </w:t>
      </w:r>
    </w:p>
    <w:p w14:paraId="5881FF68" w14:textId="77777777" w:rsidR="002304BF" w:rsidRDefault="002304BF" w:rsidP="002304BF">
      <w:pPr>
        <w:spacing w:line="360" w:lineRule="auto"/>
        <w:rPr>
          <w:b/>
          <w:bCs/>
        </w:rPr>
      </w:pPr>
    </w:p>
    <w:p w14:paraId="65BD0A21" w14:textId="0F9C9D4C" w:rsidR="002304BF" w:rsidRDefault="000F2D09" w:rsidP="002304BF">
      <w:pPr>
        <w:spacing w:line="360" w:lineRule="auto"/>
        <w:rPr>
          <w:color w:val="000000"/>
          <w:sz w:val="22"/>
          <w:szCs w:val="22"/>
        </w:rPr>
      </w:pPr>
      <w:r w:rsidRPr="000F2D09">
        <w:rPr>
          <w:color w:val="000000"/>
          <w:sz w:val="22"/>
          <w:szCs w:val="22"/>
        </w:rPr>
        <w:t xml:space="preserve">The opportunity for individuals and groups affected by a project to convey their views and contribute to decision-making is a critical component of successful project management, and stakeholder consultation is a critical component of this process. Ethical stakeholder engagement in a housing redevelopment project helps to identify concerns that may influence project </w:t>
      </w:r>
      <w:r>
        <w:rPr>
          <w:color w:val="000000"/>
          <w:sz w:val="22"/>
          <w:szCs w:val="22"/>
        </w:rPr>
        <w:t>outcomes while</w:t>
      </w:r>
      <w:r w:rsidRPr="000F2D09">
        <w:rPr>
          <w:color w:val="000000"/>
          <w:sz w:val="22"/>
          <w:szCs w:val="22"/>
        </w:rPr>
        <w:t xml:space="preserve"> also promoting transparency, accountability, and trust (Project Management Institute, 2021). Ethical consultation also facilitates improved decision-making by guaranteeing that all stakeholders are treated with fairness and respect throughout the project's lifecycle.</w:t>
      </w:r>
      <w:r w:rsidRPr="000F2D09">
        <w:rPr>
          <w:color w:val="000000"/>
          <w:sz w:val="22"/>
          <w:szCs w:val="22"/>
        </w:rPr>
        <w:br/>
        <w:t xml:space="preserve">In order to involve stakeholders in the proposed housing redevelopment project, a variety of consultation methods will be implemented. Local residents, businesses, and community representatives will have the opportunity to directly address the project team's concerns and discuss project proposals during public consultation meetings. These meetings foster open dialogue and offer stakeholders the chance to ask questions and receive prompt responses. Furthermore, online surveys will be implemented to solicit feedback from stakeholders who are unable to participate in in-person meetings. Surveys are an effective method for gathering </w:t>
      </w:r>
      <w:r w:rsidRPr="000F2D09">
        <w:rPr>
          <w:color w:val="000000"/>
          <w:sz w:val="22"/>
          <w:szCs w:val="22"/>
        </w:rPr>
        <w:lastRenderedPageBreak/>
        <w:t>information from a larger number of participants and enabling individuals to provide their honest opinions anonymously. Throughout the project, formal meetings will be held with the Local Council, developers, and environmental organisations to address planning requirements, regulatory compliance, and environmental performance (Bryson, 2018).</w:t>
      </w:r>
      <w:r w:rsidRPr="000F2D09">
        <w:rPr>
          <w:color w:val="000000"/>
          <w:sz w:val="22"/>
          <w:szCs w:val="22"/>
        </w:rPr>
        <w:br/>
        <w:t>Informed consent is one of the most critical ethical considerations when gathering stakeholder data. The purpose of the consultation, the manner in which their information will be utilised, and the fact that participation is voluntary must be comprehended by the participants. It is important to inform stakeholders that they have the option to withdraw from the consultation process at any time without incurring any negative repercussions. Building trust and demonstrating respect for the rights of participants are facilitated by providing clear information prior to collecting feedback (British Psychological Society, 2021).</w:t>
      </w:r>
      <w:r w:rsidRPr="000F2D09">
        <w:rPr>
          <w:color w:val="000000"/>
          <w:sz w:val="22"/>
          <w:szCs w:val="22"/>
        </w:rPr>
        <w:br/>
        <w:t>Confidentiality and data protection are additional significant ethical concerns. Personal information, such as names, contact details, and written responses, that is collected during consultations must be managed in accordance with the Data Protection Act 2018 and the UK General Data Protection Regulation (UK GDPR). In order to further safeguard the privacy of participants, survey responses should be anonymised prior to analysis whenever feasible.</w:t>
      </w:r>
      <w:r w:rsidRPr="000F2D09">
        <w:rPr>
          <w:color w:val="000000"/>
          <w:sz w:val="22"/>
          <w:szCs w:val="22"/>
        </w:rPr>
        <w:br/>
        <w:t>Another significant ethical challenge that arises during stakeholder consultation is bias. Important perspectives from less powerful groups may be disregarded if consultation activities exclusively involve the most influential stakeholders. For instance, local residents, elderly individuals, individuals with disabilities, or low-income households may be the most affected by redevelopment; however, they may not always have the most influential input during consultation. A combination of face-to-face meetings, online surveys, telephone consultations, and written correspondence should be employed to ensure that consultation opportunities are accessible to all stakeholder groups in order to minimise bias. The reliability of the information collected is enhanced and participation is increased by collecting feedback through multiple communication channels (Freeman, 1984).</w:t>
      </w:r>
      <w:r w:rsidRPr="000F2D09">
        <w:rPr>
          <w:color w:val="000000"/>
          <w:sz w:val="22"/>
          <w:szCs w:val="22"/>
        </w:rPr>
        <w:br/>
        <w:t xml:space="preserve">The project must also exhibit a robust dedication to Diversity, Equity, and Inclusion (DEI) throughout the consultation process. Diversity acknowledges that stakeholders originate from a variety of socioeconomic backgrounds, cultures, ages, and abilities. Inclusion guarantees that all stakeholders have an equal opportunity to participate in project decisions, while equity necessitates that consultation methods be modified to eliminate obstacles to participation (Chartered Institute of Personnel and Development, 2023). For instance, consultation documents should be composed in plain English, venues should be accessible to individuals with disabilities, and online consultation platforms should be compatible with assistive </w:t>
      </w:r>
      <w:r w:rsidRPr="000F2D09">
        <w:rPr>
          <w:color w:val="000000"/>
          <w:sz w:val="22"/>
          <w:szCs w:val="22"/>
        </w:rPr>
        <w:lastRenderedPageBreak/>
        <w:t>technologies. Translated materials or interpreters should be provided when necessary to prevent language barriers from preventing participation.</w:t>
      </w:r>
      <w:r w:rsidRPr="000F2D09">
        <w:rPr>
          <w:color w:val="000000"/>
          <w:sz w:val="22"/>
          <w:szCs w:val="22"/>
        </w:rPr>
        <w:br/>
        <w:t>Equally critical is the preservation of transparency during stakeholder consultation.</w:t>
      </w:r>
      <w:r w:rsidRPr="000F2D09">
        <w:rPr>
          <w:rStyle w:val="apple-converted-space"/>
          <w:color w:val="000000"/>
          <w:sz w:val="22"/>
          <w:szCs w:val="22"/>
        </w:rPr>
        <w:t> </w:t>
      </w:r>
      <w:r w:rsidRPr="000F2D09">
        <w:rPr>
          <w:color w:val="000000"/>
          <w:sz w:val="22"/>
          <w:szCs w:val="22"/>
        </w:rPr>
        <w:br/>
        <w:t>Several complementary methods will be employed to gather stakeholder feedback. Qualitative feedback will be collected through interviews, community meetings, open-ended survey questions, and written comments submitted via email or official correspondence.</w:t>
      </w:r>
      <w:r w:rsidRPr="000F2D09">
        <w:rPr>
          <w:rStyle w:val="apple-converted-space"/>
          <w:color w:val="000000"/>
          <w:sz w:val="22"/>
          <w:szCs w:val="22"/>
        </w:rPr>
        <w:t> </w:t>
      </w:r>
      <w:r w:rsidRPr="000F2D09">
        <w:rPr>
          <w:color w:val="000000"/>
          <w:sz w:val="22"/>
          <w:szCs w:val="22"/>
        </w:rPr>
        <w:br/>
        <w:t xml:space="preserve">The project management team will conduct a systematic review of the feedback that has been collected. In order to guarantee that decisions are representative of a diverse array of viewpoints, including those of local residents, businesses, and environmental organisations, as well as feedback from high-power stakeholders like the </w:t>
      </w:r>
      <w:r>
        <w:rPr>
          <w:color w:val="000000"/>
          <w:sz w:val="22"/>
          <w:szCs w:val="22"/>
        </w:rPr>
        <w:t>local council</w:t>
      </w:r>
      <w:r w:rsidRPr="000F2D09">
        <w:rPr>
          <w:color w:val="000000"/>
          <w:sz w:val="22"/>
          <w:szCs w:val="22"/>
        </w:rPr>
        <w:t xml:space="preserve"> and developers, will be </w:t>
      </w:r>
      <w:r w:rsidRPr="000F2D09">
        <w:rPr>
          <w:color w:val="000000"/>
          <w:sz w:val="22"/>
          <w:szCs w:val="22"/>
        </w:rPr>
        <w:t>considered</w:t>
      </w:r>
      <w:r w:rsidRPr="000F2D09">
        <w:rPr>
          <w:color w:val="000000"/>
          <w:sz w:val="22"/>
          <w:szCs w:val="22"/>
        </w:rPr>
        <w:t>. Any significant concerns that are identified during consultation will be documented, discussed during project meetings, and, when appropriate, incorporated into revised project plans.</w:t>
      </w:r>
    </w:p>
    <w:p w14:paraId="48646424" w14:textId="77777777" w:rsidR="000F2D09" w:rsidRDefault="000F2D09" w:rsidP="002304BF">
      <w:pPr>
        <w:spacing w:line="360" w:lineRule="auto"/>
        <w:rPr>
          <w:color w:val="000000"/>
          <w:sz w:val="22"/>
          <w:szCs w:val="22"/>
        </w:rPr>
      </w:pPr>
    </w:p>
    <w:p w14:paraId="372C6D39" w14:textId="54D02259" w:rsidR="000F2D09" w:rsidRPr="000F2D09" w:rsidRDefault="000F2D09" w:rsidP="002304BF">
      <w:pPr>
        <w:spacing w:line="360" w:lineRule="auto"/>
        <w:rPr>
          <w:b/>
          <w:bCs/>
          <w:color w:val="000000"/>
        </w:rPr>
      </w:pPr>
      <w:r w:rsidRPr="000F2D09">
        <w:rPr>
          <w:b/>
          <w:bCs/>
          <w:color w:val="000000"/>
        </w:rPr>
        <w:t xml:space="preserve">Element 4 </w:t>
      </w:r>
    </w:p>
    <w:p w14:paraId="7627410C" w14:textId="5B9056AC" w:rsidR="000F2D09" w:rsidRDefault="000F2D09" w:rsidP="002304BF">
      <w:pPr>
        <w:spacing w:line="360" w:lineRule="auto"/>
        <w:rPr>
          <w:b/>
          <w:bCs/>
          <w:color w:val="000000"/>
        </w:rPr>
      </w:pPr>
      <w:r w:rsidRPr="000F2D09">
        <w:rPr>
          <w:b/>
          <w:bCs/>
          <w:color w:val="000000"/>
        </w:rPr>
        <w:t xml:space="preserve">Conclusion and Reflection </w:t>
      </w:r>
    </w:p>
    <w:p w14:paraId="0E43387C" w14:textId="77777777" w:rsidR="000F2D09" w:rsidRDefault="000F2D09" w:rsidP="002304BF">
      <w:pPr>
        <w:spacing w:line="360" w:lineRule="auto"/>
        <w:rPr>
          <w:b/>
          <w:bCs/>
          <w:color w:val="000000"/>
        </w:rPr>
      </w:pPr>
    </w:p>
    <w:p w14:paraId="103F7305" w14:textId="622FB61A" w:rsidR="000F2D09" w:rsidRDefault="000F2D09" w:rsidP="002304BF">
      <w:pPr>
        <w:spacing w:line="360" w:lineRule="auto"/>
        <w:rPr>
          <w:color w:val="000000"/>
          <w:sz w:val="22"/>
          <w:szCs w:val="22"/>
        </w:rPr>
      </w:pPr>
      <w:r w:rsidRPr="000F2D09">
        <w:rPr>
          <w:color w:val="000000"/>
          <w:sz w:val="22"/>
          <w:szCs w:val="22"/>
        </w:rPr>
        <w:t>In complex infrastructure projects, such as housing redevelopment, effective stakeholder management is a critical component of successful project delivery. It has been demonstrated throughout this stakeholder management plan that the identification of stakeholders, the comprehension of their interests and influence, and the implementation of appropriate engagement strategies are essential for the maintenance of positive relationships with those affected by the project, as well as the achievement of project objectives. According to the Project Management Institute (2021), a structured stakeholder management approach enables project managers to anticipate potential conflicts, enhance communication, and foster collaboration throughout the project lifecycle.</w:t>
      </w:r>
      <w:r w:rsidRPr="000F2D09">
        <w:rPr>
          <w:color w:val="000000"/>
          <w:sz w:val="22"/>
          <w:szCs w:val="22"/>
        </w:rPr>
        <w:br/>
        <w:t xml:space="preserve">The stakeholder analysis demonstrated that the power, influence, and interest of various stakeholder groups are unevenly distributed. The Local Council and the Property Developer were designated as the most influential stakeholders due to their direct responsibility for the successful delivery of the project and their substantial decision-making authority. Simultaneously, it is imperative to acknowledge and address the legitimate interests of Local Residents, </w:t>
      </w:r>
      <w:r>
        <w:rPr>
          <w:color w:val="000000"/>
          <w:sz w:val="22"/>
          <w:szCs w:val="22"/>
        </w:rPr>
        <w:t>future homeowners,</w:t>
      </w:r>
      <w:r w:rsidRPr="000F2D09">
        <w:rPr>
          <w:color w:val="000000"/>
          <w:sz w:val="22"/>
          <w:szCs w:val="22"/>
        </w:rPr>
        <w:t xml:space="preserve"> </w:t>
      </w:r>
      <w:r w:rsidR="007318A5">
        <w:rPr>
          <w:color w:val="000000"/>
          <w:sz w:val="22"/>
          <w:szCs w:val="22"/>
        </w:rPr>
        <w:t>local businesses,</w:t>
      </w:r>
      <w:r w:rsidRPr="000F2D09">
        <w:rPr>
          <w:color w:val="000000"/>
          <w:sz w:val="22"/>
          <w:szCs w:val="22"/>
        </w:rPr>
        <w:t xml:space="preserve"> and </w:t>
      </w:r>
      <w:r>
        <w:rPr>
          <w:color w:val="000000"/>
          <w:sz w:val="22"/>
          <w:szCs w:val="22"/>
        </w:rPr>
        <w:t>environmental organisations</w:t>
      </w:r>
      <w:r w:rsidRPr="000F2D09">
        <w:rPr>
          <w:color w:val="000000"/>
          <w:sz w:val="22"/>
          <w:szCs w:val="22"/>
        </w:rPr>
        <w:t xml:space="preserve"> through </w:t>
      </w:r>
      <w:r w:rsidRPr="000F2D09">
        <w:rPr>
          <w:color w:val="000000"/>
          <w:sz w:val="22"/>
          <w:szCs w:val="22"/>
        </w:rPr>
        <w:lastRenderedPageBreak/>
        <w:t>appropriate engagement strategies. Project managers can more effectively allocate resources and prioritise communication efforts by utilising tools like the Power-Interest Matrix (Mendelow, 1991).</w:t>
      </w:r>
      <w:r w:rsidRPr="000F2D09">
        <w:rPr>
          <w:color w:val="000000"/>
          <w:sz w:val="22"/>
          <w:szCs w:val="22"/>
        </w:rPr>
        <w:br/>
        <w:t>This portfolio's communication and consultation strategies exemplify the importance of treating stakeholder engagement as a continuous process throughout the planning, construction, and project completion phases, rather than as a one-time event. Transparency is fostered and concerns are identified prior to becoming substantial project risks through consistent communication, including meetings, emails, newsletters, surveys, and community consultations. The likelihood of stakeholder support and long-term project success is also increased by open communication, which strengthens trust between project teams and stakeholders (Association for Project Management, 2019).</w:t>
      </w:r>
      <w:r w:rsidRPr="000F2D09">
        <w:rPr>
          <w:color w:val="000000"/>
          <w:sz w:val="22"/>
          <w:szCs w:val="22"/>
        </w:rPr>
        <w:br/>
        <w:t xml:space="preserve">Ethical stakeholder engagement is equally critical. The protection of personal data, the acquisition of informed consent, the reduction of bias, and the promotion of </w:t>
      </w:r>
      <w:r w:rsidR="007318A5">
        <w:rPr>
          <w:color w:val="000000"/>
          <w:sz w:val="22"/>
          <w:szCs w:val="22"/>
        </w:rPr>
        <w:t>diversity,</w:t>
      </w:r>
      <w:r w:rsidRPr="000F2D09">
        <w:rPr>
          <w:color w:val="000000"/>
          <w:sz w:val="22"/>
          <w:szCs w:val="22"/>
        </w:rPr>
        <w:t xml:space="preserve"> </w:t>
      </w:r>
      <w:r>
        <w:rPr>
          <w:color w:val="000000"/>
          <w:sz w:val="22"/>
          <w:szCs w:val="22"/>
        </w:rPr>
        <w:t>equity,</w:t>
      </w:r>
      <w:r w:rsidRPr="000F2D09">
        <w:rPr>
          <w:color w:val="000000"/>
          <w:sz w:val="22"/>
          <w:szCs w:val="22"/>
        </w:rPr>
        <w:t xml:space="preserve"> and </w:t>
      </w:r>
      <w:r>
        <w:rPr>
          <w:color w:val="000000"/>
          <w:sz w:val="22"/>
          <w:szCs w:val="22"/>
        </w:rPr>
        <w:t>inclusion</w:t>
      </w:r>
      <w:r w:rsidRPr="000F2D09">
        <w:rPr>
          <w:color w:val="000000"/>
          <w:sz w:val="22"/>
          <w:szCs w:val="22"/>
        </w:rPr>
        <w:t xml:space="preserve"> guarantee that consultation processes are equitable, transparent, and accessible to all stakeholders. These principles promote broader participation and guarantee that project decisions are informed by a diverse array of viewpoints, rather than the interests of the most influential groups (British Psychological Society, 2021). Organisations can enhance accountability and bolster public confidence in project delivery by incorporating ethical practices into stakeholder consultation.</w:t>
      </w:r>
      <w:r w:rsidRPr="000F2D09">
        <w:rPr>
          <w:color w:val="000000"/>
          <w:sz w:val="22"/>
          <w:szCs w:val="22"/>
        </w:rPr>
        <w:br/>
        <w:t xml:space="preserve">My comprehension of the fact that successful projects are contingent upon both technical expertise and human resources has been further solidified by my reflection on the development of this stakeholder management plan. I primarily associated project success with the delivery of work within the agreed-upon specifications, on schedule, and within budget prior to the completion of this portfolio. Nevertheless, research on stakeholder management has shown that these conventional measures are insufficient if stakeholder expectations are </w:t>
      </w:r>
      <w:r w:rsidR="007318A5">
        <w:rPr>
          <w:color w:val="000000"/>
          <w:sz w:val="22"/>
          <w:szCs w:val="22"/>
        </w:rPr>
        <w:t>disregarded, or</w:t>
      </w:r>
      <w:r w:rsidRPr="000F2D09">
        <w:rPr>
          <w:color w:val="000000"/>
          <w:sz w:val="22"/>
          <w:szCs w:val="22"/>
        </w:rPr>
        <w:t xml:space="preserve"> relationships are inadequately managed. Even projects that are technically successful may encounter delays, increased costs, or reputational harm if stakeholders feel excluded from the decision-making process (Freeman, 1984).</w:t>
      </w:r>
      <w:r w:rsidRPr="000F2D09">
        <w:rPr>
          <w:color w:val="000000"/>
          <w:sz w:val="22"/>
          <w:szCs w:val="22"/>
        </w:rPr>
        <w:br/>
        <w:t xml:space="preserve">The significance of identifying stakeholders at the outset of an undertaking is one of the most valuable teachings I have acquired. Project managers can develop effective communication strategies, identify potential concerns, and comprehend stakeholder expectations through early engagement, prior to the occurrence of conflicts. This proactive approach enables the more effective management of risks and generates opportunities for collaboration rather than confrontation. I have come to understand that stakeholder engagement should be considered a </w:t>
      </w:r>
      <w:r w:rsidRPr="000F2D09">
        <w:rPr>
          <w:color w:val="000000"/>
          <w:sz w:val="22"/>
          <w:szCs w:val="22"/>
        </w:rPr>
        <w:lastRenderedPageBreak/>
        <w:t>strategic investment rather than an administrative necessity (Bryson, 2018).</w:t>
      </w:r>
      <w:r w:rsidRPr="000F2D09">
        <w:rPr>
          <w:color w:val="000000"/>
          <w:sz w:val="22"/>
          <w:szCs w:val="22"/>
        </w:rPr>
        <w:br/>
        <w:t>Another critical realisation that emerged from the completion of this portfolio is the significance of communication in the establishment of trust. Depending on their level of influence, responsibilities, and interests, various constituents necessitate distinct categories of information and communication methods. Customising communication to the specific requirements of each stakeholder fosters constructive feedback, enhances participation, and enhances comprehension. I have also come to the realisation that communication is not solely about the exchange of information; it is also about actively listening to stakeholder concerns and demonstrating that their opinions have influenced project decisions. According to the Project Management Institute (2021), this reciprocal process fosters informed decision-making and fortifies relationships.</w:t>
      </w:r>
      <w:r w:rsidRPr="000F2D09">
        <w:rPr>
          <w:color w:val="000000"/>
          <w:sz w:val="22"/>
          <w:szCs w:val="22"/>
        </w:rPr>
        <w:br/>
        <w:t xml:space="preserve">Additionally, the research conducted for this assignment has heightened my understanding of the ethical obligations that are linked to stakeholder engagement. In order to ensure fair consultation, project managers must safeguard the privacy of stakeholders and maintain </w:t>
      </w:r>
      <w:r>
        <w:rPr>
          <w:color w:val="000000"/>
          <w:sz w:val="22"/>
          <w:szCs w:val="22"/>
        </w:rPr>
        <w:t>confidentiality while</w:t>
      </w:r>
      <w:r w:rsidRPr="000F2D09">
        <w:rPr>
          <w:color w:val="000000"/>
          <w:sz w:val="22"/>
          <w:szCs w:val="22"/>
        </w:rPr>
        <w:t xml:space="preserve"> also considering equality, accessibility, and inclusion. Ensuring that all stakeholders have the opportunity to participate, irrespective of their personal circumstances or background, promotes more sustainable and balanced decision-making. These ethical considerations are of particular significance in housing redevelopment initiatives, as they have a direct impact on the quality of life, communities, and residences of individuals (Chartered Institute of Personnel and Development, 2023).</w:t>
      </w:r>
      <w:r w:rsidRPr="000F2D09">
        <w:rPr>
          <w:color w:val="000000"/>
          <w:sz w:val="22"/>
          <w:szCs w:val="22"/>
        </w:rPr>
        <w:br/>
        <w:t xml:space="preserve">In conclusion, this assignment has illustrated that effective stakeholder engagement is not only essential for project success but also for long-term sustainability. Economic, social, and environmental objectives must be </w:t>
      </w:r>
      <w:r w:rsidRPr="000F2D09">
        <w:rPr>
          <w:color w:val="000000"/>
          <w:sz w:val="22"/>
          <w:szCs w:val="22"/>
        </w:rPr>
        <w:t>considered</w:t>
      </w:r>
      <w:r w:rsidRPr="000F2D09">
        <w:rPr>
          <w:color w:val="000000"/>
          <w:sz w:val="22"/>
          <w:szCs w:val="22"/>
        </w:rPr>
        <w:t xml:space="preserve"> simultaneously in sustainable infrastructure projects. By involving stakeholders at every stage of the project lifecycle, it is possible to guarantee that redevelopment projects satisfy the requirements of the community, safeguard environmental resources, and generate enduring value for future generations. I am of the opinion that the knowledge I have acquired from this portfolio will be beneficial in my future career. This is due to the fact that stakeholder management is relevant in a variety of professional sectors, such as public administration, project management, and policing, where successful outcomes are contingent upon ethical decision-making, communication, and collaboration (United Nations, 2015).</w:t>
      </w:r>
      <w:r w:rsidRPr="000F2D09">
        <w:rPr>
          <w:color w:val="000000"/>
          <w:sz w:val="22"/>
          <w:szCs w:val="22"/>
        </w:rPr>
        <w:br/>
        <w:t xml:space="preserve">In conclusion, the completion of this stakeholder management plan has enhanced my comprehension of the ways in which structured stakeholder analysis, </w:t>
      </w:r>
      <w:r w:rsidR="007318A5">
        <w:rPr>
          <w:color w:val="000000"/>
          <w:sz w:val="22"/>
          <w:szCs w:val="22"/>
        </w:rPr>
        <w:t>effective communication, ethical</w:t>
      </w:r>
      <w:r w:rsidRPr="000F2D09">
        <w:rPr>
          <w:color w:val="000000"/>
          <w:sz w:val="22"/>
          <w:szCs w:val="22"/>
        </w:rPr>
        <w:t xml:space="preserve"> consultation, and continuous engagement are essential components of successful and </w:t>
      </w:r>
      <w:r w:rsidRPr="000F2D09">
        <w:rPr>
          <w:color w:val="000000"/>
          <w:sz w:val="22"/>
          <w:szCs w:val="22"/>
        </w:rPr>
        <w:lastRenderedPageBreak/>
        <w:t xml:space="preserve">sustainable project delivery. These principles will mould my future project management approach and underscore the significance of prioritising stakeholders in the planning and decision-making phases of </w:t>
      </w:r>
      <w:r>
        <w:rPr>
          <w:color w:val="000000"/>
          <w:sz w:val="22"/>
          <w:szCs w:val="22"/>
        </w:rPr>
        <w:t>projects.</w:t>
      </w:r>
    </w:p>
    <w:p w14:paraId="352DC313" w14:textId="77777777" w:rsidR="007318A5" w:rsidRDefault="007318A5" w:rsidP="002304BF">
      <w:pPr>
        <w:spacing w:line="360" w:lineRule="auto"/>
        <w:rPr>
          <w:color w:val="000000"/>
          <w:sz w:val="22"/>
          <w:szCs w:val="22"/>
        </w:rPr>
      </w:pPr>
    </w:p>
    <w:p w14:paraId="47B017EA" w14:textId="73AC80C1" w:rsidR="007318A5" w:rsidRDefault="007318A5" w:rsidP="002304BF">
      <w:pPr>
        <w:spacing w:line="360" w:lineRule="auto"/>
        <w:rPr>
          <w:b/>
          <w:bCs/>
          <w:color w:val="000000"/>
        </w:rPr>
      </w:pPr>
      <w:r w:rsidRPr="007318A5">
        <w:rPr>
          <w:b/>
          <w:bCs/>
          <w:color w:val="000000"/>
          <w:sz w:val="28"/>
          <w:szCs w:val="28"/>
        </w:rPr>
        <w:t>Reference</w:t>
      </w:r>
      <w:r w:rsidRPr="007318A5">
        <w:rPr>
          <w:b/>
          <w:bCs/>
          <w:color w:val="000000"/>
        </w:rPr>
        <w:t xml:space="preserve"> </w:t>
      </w:r>
    </w:p>
    <w:p w14:paraId="44DC8CBF" w14:textId="77777777" w:rsidR="007318A5" w:rsidRDefault="007318A5" w:rsidP="002304BF">
      <w:pPr>
        <w:spacing w:line="360" w:lineRule="auto"/>
        <w:rPr>
          <w:b/>
          <w:bCs/>
          <w:color w:val="000000"/>
        </w:rPr>
      </w:pPr>
    </w:p>
    <w:p w14:paraId="6D9E4A2C"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Association for Project Management (2019) </w:t>
      </w:r>
      <w:r w:rsidRPr="007318A5">
        <w:rPr>
          <w:rFonts w:cs="AppleSystemUIFont"/>
          <w:i/>
          <w:iCs/>
          <w:kern w:val="0"/>
          <w:sz w:val="22"/>
          <w:szCs w:val="22"/>
        </w:rPr>
        <w:t>APM Body of Knowledge</w:t>
      </w:r>
      <w:r w:rsidRPr="007318A5">
        <w:rPr>
          <w:rFonts w:cs="AppleSystemUIFont"/>
          <w:kern w:val="0"/>
          <w:sz w:val="22"/>
          <w:szCs w:val="22"/>
        </w:rPr>
        <w:t>. 7th edn. Princes Risborough: Association for Project Management.</w:t>
      </w:r>
    </w:p>
    <w:p w14:paraId="7B988D08"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Bourne, L. (2016) </w:t>
      </w:r>
      <w:r w:rsidRPr="007318A5">
        <w:rPr>
          <w:rFonts w:cs="AppleSystemUIFont"/>
          <w:i/>
          <w:iCs/>
          <w:kern w:val="0"/>
          <w:sz w:val="22"/>
          <w:szCs w:val="22"/>
        </w:rPr>
        <w:t>Stakeholder Relationship Management: A Maturity Model for Organisational Implementation</w:t>
      </w:r>
      <w:r w:rsidRPr="007318A5">
        <w:rPr>
          <w:rFonts w:cs="AppleSystemUIFont"/>
          <w:kern w:val="0"/>
          <w:sz w:val="22"/>
          <w:szCs w:val="22"/>
        </w:rPr>
        <w:t>. 2nd edn. London: Routledge.</w:t>
      </w:r>
    </w:p>
    <w:p w14:paraId="67E208F8"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British Psychological Society (2021) </w:t>
      </w:r>
      <w:r w:rsidRPr="007318A5">
        <w:rPr>
          <w:rFonts w:cs="AppleSystemUIFont"/>
          <w:i/>
          <w:iCs/>
          <w:kern w:val="0"/>
          <w:sz w:val="22"/>
          <w:szCs w:val="22"/>
        </w:rPr>
        <w:t>Code of Human Research Ethics</w:t>
      </w:r>
      <w:r w:rsidRPr="007318A5">
        <w:rPr>
          <w:rFonts w:cs="AppleSystemUIFont"/>
          <w:kern w:val="0"/>
          <w:sz w:val="22"/>
          <w:szCs w:val="22"/>
        </w:rPr>
        <w:t>. 4th edn. Leicester: British Psychological Society.</w:t>
      </w:r>
    </w:p>
    <w:p w14:paraId="5524B3D8"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Bryson, J.M. (2018) </w:t>
      </w:r>
      <w:r w:rsidRPr="007318A5">
        <w:rPr>
          <w:rFonts w:cs="AppleSystemUIFont"/>
          <w:i/>
          <w:iCs/>
          <w:kern w:val="0"/>
          <w:sz w:val="22"/>
          <w:szCs w:val="22"/>
        </w:rPr>
        <w:t>Strategic Planning for Public and Nonprofit Organizations</w:t>
      </w:r>
      <w:r w:rsidRPr="007318A5">
        <w:rPr>
          <w:rFonts w:cs="AppleSystemUIFont"/>
          <w:kern w:val="0"/>
          <w:sz w:val="22"/>
          <w:szCs w:val="22"/>
        </w:rPr>
        <w:t>. 5th edn. Hoboken, NJ: John Wiley &amp; Sons.</w:t>
      </w:r>
    </w:p>
    <w:p w14:paraId="303226D9"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Chartered Institute of Personnel and Development (2023) </w:t>
      </w:r>
      <w:r w:rsidRPr="007318A5">
        <w:rPr>
          <w:rFonts w:cs="AppleSystemUIFont"/>
          <w:i/>
          <w:iCs/>
          <w:kern w:val="0"/>
          <w:sz w:val="22"/>
          <w:szCs w:val="22"/>
        </w:rPr>
        <w:t>Inclusion and Diversity</w:t>
      </w:r>
      <w:r w:rsidRPr="007318A5">
        <w:rPr>
          <w:rFonts w:cs="AppleSystemUIFont"/>
          <w:kern w:val="0"/>
          <w:sz w:val="22"/>
          <w:szCs w:val="22"/>
        </w:rPr>
        <w:t>. London: CIPD.</w:t>
      </w:r>
    </w:p>
    <w:p w14:paraId="6997071C" w14:textId="297AD6A0"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Sangbad</w:t>
      </w:r>
      <w:r w:rsidRPr="007318A5">
        <w:rPr>
          <w:rFonts w:cs="AppleSystemUIFont"/>
          <w:kern w:val="0"/>
          <w:sz w:val="22"/>
          <w:szCs w:val="22"/>
        </w:rPr>
        <w:t xml:space="preserve">, O., </w:t>
      </w:r>
      <w:r w:rsidRPr="007318A5">
        <w:rPr>
          <w:rFonts w:cs="AppleSystemUIFont"/>
          <w:kern w:val="0"/>
          <w:sz w:val="22"/>
          <w:szCs w:val="22"/>
        </w:rPr>
        <w:t>Faye</w:t>
      </w:r>
      <w:r w:rsidRPr="007318A5">
        <w:rPr>
          <w:rFonts w:cs="AppleSystemUIFont"/>
          <w:kern w:val="0"/>
          <w:sz w:val="22"/>
          <w:szCs w:val="22"/>
        </w:rPr>
        <w:t xml:space="preserve">, A.R. and others (2024) ‘Factors analysis on stakeholder management to achieve sustainable building projects’, </w:t>
      </w:r>
      <w:r w:rsidRPr="007318A5">
        <w:rPr>
          <w:rFonts w:cs="AppleSystemUIFont"/>
          <w:i/>
          <w:iCs/>
          <w:kern w:val="0"/>
          <w:sz w:val="22"/>
          <w:szCs w:val="22"/>
        </w:rPr>
        <w:t>International Journal of Construction Management</w:t>
      </w:r>
      <w:r w:rsidRPr="007318A5">
        <w:rPr>
          <w:rFonts w:cs="AppleSystemUIFont"/>
          <w:kern w:val="0"/>
          <w:sz w:val="22"/>
          <w:szCs w:val="22"/>
        </w:rPr>
        <w:t>.</w:t>
      </w:r>
    </w:p>
    <w:p w14:paraId="1A920B12"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Freeman, R.E. (1984) </w:t>
      </w:r>
      <w:r w:rsidRPr="007318A5">
        <w:rPr>
          <w:rFonts w:cs="AppleSystemUIFont"/>
          <w:i/>
          <w:iCs/>
          <w:kern w:val="0"/>
          <w:sz w:val="22"/>
          <w:szCs w:val="22"/>
        </w:rPr>
        <w:t>Strategic Management: A Stakeholder Approach</w:t>
      </w:r>
      <w:r w:rsidRPr="007318A5">
        <w:rPr>
          <w:rFonts w:cs="AppleSystemUIFont"/>
          <w:kern w:val="0"/>
          <w:sz w:val="22"/>
          <w:szCs w:val="22"/>
        </w:rPr>
        <w:t>. Boston, MA: Pitman.</w:t>
      </w:r>
    </w:p>
    <w:p w14:paraId="212DA71B"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Information Commissioner's Office (2024) </w:t>
      </w:r>
      <w:r w:rsidRPr="007318A5">
        <w:rPr>
          <w:rFonts w:cs="AppleSystemUIFont"/>
          <w:i/>
          <w:iCs/>
          <w:kern w:val="0"/>
          <w:sz w:val="22"/>
          <w:szCs w:val="22"/>
        </w:rPr>
        <w:t>Guide to UK GDPR</w:t>
      </w:r>
      <w:r w:rsidRPr="007318A5">
        <w:rPr>
          <w:rFonts w:cs="AppleSystemUIFont"/>
          <w:kern w:val="0"/>
          <w:sz w:val="22"/>
          <w:szCs w:val="22"/>
        </w:rPr>
        <w:t>. Wilmslow: Information Commissioner's Office.</w:t>
      </w:r>
    </w:p>
    <w:p w14:paraId="4659C7D0"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Mendelow, A.L. (1991) ‘Stakeholder Mapping’, </w:t>
      </w:r>
      <w:r w:rsidRPr="007318A5">
        <w:rPr>
          <w:rFonts w:cs="AppleSystemUIFont"/>
          <w:i/>
          <w:iCs/>
          <w:kern w:val="0"/>
          <w:sz w:val="22"/>
          <w:szCs w:val="22"/>
        </w:rPr>
        <w:t>Proceedings of the 2nd International Conference on Information Systems</w:t>
      </w:r>
      <w:r w:rsidRPr="007318A5">
        <w:rPr>
          <w:rFonts w:cs="AppleSystemUIFont"/>
          <w:kern w:val="0"/>
          <w:sz w:val="22"/>
          <w:szCs w:val="22"/>
        </w:rPr>
        <w:t>. Cambridge, MA.</w:t>
      </w:r>
    </w:p>
    <w:p w14:paraId="003A915A"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Project Management Institute (2021) </w:t>
      </w:r>
      <w:r w:rsidRPr="007318A5">
        <w:rPr>
          <w:rFonts w:cs="AppleSystemUIFont"/>
          <w:i/>
          <w:iCs/>
          <w:kern w:val="0"/>
          <w:sz w:val="22"/>
          <w:szCs w:val="22"/>
        </w:rPr>
        <w:t>A Guide to the Project Management Body of Knowledge (PMBOK® Guide)</w:t>
      </w:r>
      <w:r w:rsidRPr="007318A5">
        <w:rPr>
          <w:rFonts w:cs="AppleSystemUIFont"/>
          <w:kern w:val="0"/>
          <w:sz w:val="22"/>
          <w:szCs w:val="22"/>
        </w:rPr>
        <w:t>. 7th edn. Newtown Square, PA: Project Management Institute.</w:t>
      </w:r>
    </w:p>
    <w:p w14:paraId="71EAA534" w14:textId="083E2368"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UN-Habitat </w:t>
      </w:r>
      <w:r>
        <w:rPr>
          <w:rFonts w:cs="AppleSystemUIFont"/>
          <w:kern w:val="0"/>
          <w:sz w:val="22"/>
          <w:szCs w:val="22"/>
        </w:rPr>
        <w:t>(2020).</w:t>
      </w:r>
      <w:r w:rsidRPr="007318A5">
        <w:rPr>
          <w:rFonts w:cs="AppleSystemUIFont"/>
          <w:kern w:val="0"/>
          <w:sz w:val="22"/>
          <w:szCs w:val="22"/>
        </w:rPr>
        <w:t xml:space="preserve"> </w:t>
      </w:r>
      <w:r w:rsidRPr="007318A5">
        <w:rPr>
          <w:rFonts w:cs="AppleSystemUIFont"/>
          <w:i/>
          <w:iCs/>
          <w:kern w:val="0"/>
          <w:sz w:val="22"/>
          <w:szCs w:val="22"/>
        </w:rPr>
        <w:t xml:space="preserve">World Cities Report 2020: The Value of Sustainable </w:t>
      </w:r>
      <w:r>
        <w:rPr>
          <w:rFonts w:cs="AppleSystemUIFont"/>
          <w:i/>
          <w:iCs/>
          <w:kern w:val="0"/>
          <w:sz w:val="22"/>
          <w:szCs w:val="22"/>
        </w:rPr>
        <w:t>Urbanisation.</w:t>
      </w:r>
      <w:r w:rsidRPr="007318A5">
        <w:rPr>
          <w:rFonts w:cs="AppleSystemUIFont"/>
          <w:kern w:val="0"/>
          <w:sz w:val="22"/>
          <w:szCs w:val="22"/>
        </w:rPr>
        <w:t xml:space="preserve"> Nairobi: United Nations Human Settlements Programme.</w:t>
      </w:r>
    </w:p>
    <w:p w14:paraId="50E669CA" w14:textId="77777777" w:rsidR="007318A5" w:rsidRPr="007318A5" w:rsidRDefault="007318A5" w:rsidP="007318A5">
      <w:pPr>
        <w:autoSpaceDE w:val="0"/>
        <w:autoSpaceDN w:val="0"/>
        <w:adjustRightInd w:val="0"/>
        <w:spacing w:after="0" w:line="360" w:lineRule="auto"/>
        <w:rPr>
          <w:rFonts w:cs="AppleSystemUIFont"/>
          <w:kern w:val="0"/>
          <w:sz w:val="22"/>
          <w:szCs w:val="22"/>
        </w:rPr>
      </w:pPr>
      <w:r w:rsidRPr="007318A5">
        <w:rPr>
          <w:rFonts w:cs="AppleSystemUIFont"/>
          <w:kern w:val="0"/>
          <w:sz w:val="22"/>
          <w:szCs w:val="22"/>
        </w:rPr>
        <w:t xml:space="preserve">United Nations (2015) </w:t>
      </w:r>
      <w:r w:rsidRPr="007318A5">
        <w:rPr>
          <w:rFonts w:cs="AppleSystemUIFont"/>
          <w:i/>
          <w:iCs/>
          <w:kern w:val="0"/>
          <w:sz w:val="22"/>
          <w:szCs w:val="22"/>
        </w:rPr>
        <w:t>Transforming Our World: The 2030 Agenda for Sustainable Development</w:t>
      </w:r>
      <w:r w:rsidRPr="007318A5">
        <w:rPr>
          <w:rFonts w:cs="AppleSystemUIFont"/>
          <w:kern w:val="0"/>
          <w:sz w:val="22"/>
          <w:szCs w:val="22"/>
        </w:rPr>
        <w:t>. New York: United Nations.</w:t>
      </w:r>
    </w:p>
    <w:p w14:paraId="7BC48B2B" w14:textId="77777777" w:rsidR="007318A5" w:rsidRPr="007318A5" w:rsidRDefault="007318A5" w:rsidP="002304BF">
      <w:pPr>
        <w:spacing w:line="360" w:lineRule="auto"/>
        <w:rPr>
          <w:b/>
          <w:bCs/>
          <w:sz w:val="28"/>
          <w:szCs w:val="28"/>
        </w:rPr>
      </w:pPr>
    </w:p>
    <w:sectPr w:rsidR="007318A5" w:rsidRPr="007318A5" w:rsidSect="00F83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07700"/>
    <w:multiLevelType w:val="hybridMultilevel"/>
    <w:tmpl w:val="1834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81FF7"/>
    <w:multiLevelType w:val="hybridMultilevel"/>
    <w:tmpl w:val="128C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45E69"/>
    <w:multiLevelType w:val="hybridMultilevel"/>
    <w:tmpl w:val="5FC2F8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92D29F3"/>
    <w:multiLevelType w:val="hybridMultilevel"/>
    <w:tmpl w:val="DF0C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113495">
    <w:abstractNumId w:val="0"/>
  </w:num>
  <w:num w:numId="2" w16cid:durableId="1900050232">
    <w:abstractNumId w:val="3"/>
  </w:num>
  <w:num w:numId="3" w16cid:durableId="321197999">
    <w:abstractNumId w:val="2"/>
  </w:num>
  <w:num w:numId="4" w16cid:durableId="645163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83"/>
    <w:rsid w:val="000F2D09"/>
    <w:rsid w:val="001717FB"/>
    <w:rsid w:val="002304BF"/>
    <w:rsid w:val="00257416"/>
    <w:rsid w:val="00274283"/>
    <w:rsid w:val="00395EFC"/>
    <w:rsid w:val="004B3597"/>
    <w:rsid w:val="004E35DE"/>
    <w:rsid w:val="00544E58"/>
    <w:rsid w:val="006522A7"/>
    <w:rsid w:val="007318A5"/>
    <w:rsid w:val="009E35BD"/>
    <w:rsid w:val="00C04A7F"/>
    <w:rsid w:val="00D054D9"/>
    <w:rsid w:val="00F835BF"/>
    <w:rsid w:val="00FB3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DF001"/>
  <w15:chartTrackingRefBased/>
  <w15:docId w15:val="{A18B8CF1-2226-D146-970E-6A6C811B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2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2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2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2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2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2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2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2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2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283"/>
    <w:rPr>
      <w:rFonts w:eastAsiaTheme="majorEastAsia" w:cstheme="majorBidi"/>
      <w:color w:val="272727" w:themeColor="text1" w:themeTint="D8"/>
    </w:rPr>
  </w:style>
  <w:style w:type="paragraph" w:styleId="Title">
    <w:name w:val="Title"/>
    <w:basedOn w:val="Normal"/>
    <w:next w:val="Normal"/>
    <w:link w:val="TitleChar"/>
    <w:uiPriority w:val="10"/>
    <w:qFormat/>
    <w:rsid w:val="002742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2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283"/>
    <w:pPr>
      <w:spacing w:before="160"/>
      <w:jc w:val="center"/>
    </w:pPr>
    <w:rPr>
      <w:i/>
      <w:iCs/>
      <w:color w:val="404040" w:themeColor="text1" w:themeTint="BF"/>
    </w:rPr>
  </w:style>
  <w:style w:type="character" w:customStyle="1" w:styleId="QuoteChar">
    <w:name w:val="Quote Char"/>
    <w:basedOn w:val="DefaultParagraphFont"/>
    <w:link w:val="Quote"/>
    <w:uiPriority w:val="29"/>
    <w:rsid w:val="00274283"/>
    <w:rPr>
      <w:i/>
      <w:iCs/>
      <w:color w:val="404040" w:themeColor="text1" w:themeTint="BF"/>
    </w:rPr>
  </w:style>
  <w:style w:type="paragraph" w:styleId="ListParagraph">
    <w:name w:val="List Paragraph"/>
    <w:basedOn w:val="Normal"/>
    <w:uiPriority w:val="34"/>
    <w:qFormat/>
    <w:rsid w:val="00274283"/>
    <w:pPr>
      <w:ind w:left="720"/>
      <w:contextualSpacing/>
    </w:pPr>
  </w:style>
  <w:style w:type="character" w:styleId="IntenseEmphasis">
    <w:name w:val="Intense Emphasis"/>
    <w:basedOn w:val="DefaultParagraphFont"/>
    <w:uiPriority w:val="21"/>
    <w:qFormat/>
    <w:rsid w:val="00274283"/>
    <w:rPr>
      <w:i/>
      <w:iCs/>
      <w:color w:val="0F4761" w:themeColor="accent1" w:themeShade="BF"/>
    </w:rPr>
  </w:style>
  <w:style w:type="paragraph" w:styleId="IntenseQuote">
    <w:name w:val="Intense Quote"/>
    <w:basedOn w:val="Normal"/>
    <w:next w:val="Normal"/>
    <w:link w:val="IntenseQuoteChar"/>
    <w:uiPriority w:val="30"/>
    <w:qFormat/>
    <w:rsid w:val="002742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283"/>
    <w:rPr>
      <w:i/>
      <w:iCs/>
      <w:color w:val="0F4761" w:themeColor="accent1" w:themeShade="BF"/>
    </w:rPr>
  </w:style>
  <w:style w:type="character" w:styleId="IntenseReference">
    <w:name w:val="Intense Reference"/>
    <w:basedOn w:val="DefaultParagraphFont"/>
    <w:uiPriority w:val="32"/>
    <w:qFormat/>
    <w:rsid w:val="00274283"/>
    <w:rPr>
      <w:b/>
      <w:bCs/>
      <w:smallCaps/>
      <w:color w:val="0F4761" w:themeColor="accent1" w:themeShade="BF"/>
      <w:spacing w:val="5"/>
    </w:rPr>
  </w:style>
  <w:style w:type="table" w:styleId="TableGrid">
    <w:name w:val="Table Grid"/>
    <w:basedOn w:val="TableNormal"/>
    <w:uiPriority w:val="39"/>
    <w:rsid w:val="004E3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F2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13</Pages>
  <Words>3850</Words>
  <Characters>21950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cp:revision>
  <dcterms:created xsi:type="dcterms:W3CDTF">2026-07-26T06:14:00Z</dcterms:created>
  <dcterms:modified xsi:type="dcterms:W3CDTF">2026-07-26T10:28:00Z</dcterms:modified>
</cp:coreProperties>
</file>