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9AD57" w14:textId="56DC0305" w:rsidR="007106BD" w:rsidRPr="00280F36" w:rsidRDefault="006E27B9" w:rsidP="00280F36">
      <w:pPr>
        <w:spacing w:line="360" w:lineRule="auto"/>
        <w:rPr>
          <w:rStyle w:val="Strong"/>
          <w:rFonts w:ascii="Arial" w:eastAsia="Times New Roman" w:hAnsi="Arial" w:cs="Arial"/>
          <w:color w:val="000000" w:themeColor="text1"/>
          <w:sz w:val="22"/>
          <w:szCs w:val="22"/>
        </w:rPr>
      </w:pPr>
      <w:r w:rsidRPr="00280F36">
        <w:rPr>
          <w:rFonts w:ascii="Arial" w:eastAsia="Times New Roman" w:hAnsi="Arial" w:cs="Arial"/>
          <w:b/>
          <w:bCs/>
          <w:noProof/>
          <w:color w:val="000000" w:themeColor="text1"/>
          <w:sz w:val="22"/>
          <w:szCs w:val="22"/>
        </w:rPr>
        <w:drawing>
          <wp:anchor distT="0" distB="0" distL="114300" distR="114300" simplePos="0" relativeHeight="251672576" behindDoc="0" locked="0" layoutInCell="1" allowOverlap="1" wp14:anchorId="516CA80A" wp14:editId="77868BDE">
            <wp:simplePos x="0" y="0"/>
            <wp:positionH relativeFrom="column">
              <wp:posOffset>0</wp:posOffset>
            </wp:positionH>
            <wp:positionV relativeFrom="paragraph">
              <wp:posOffset>471170</wp:posOffset>
            </wp:positionV>
            <wp:extent cx="5731510" cy="3009265"/>
            <wp:effectExtent l="0" t="0" r="2540" b="635"/>
            <wp:wrapTopAndBottom/>
            <wp:docPr id="97829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90216" name="Picture 978290216"/>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3604EDDC" w14:textId="5C3EF64C" w:rsidR="00E4321F" w:rsidRPr="00280F36" w:rsidRDefault="00E4321F" w:rsidP="00280F36">
      <w:pPr>
        <w:spacing w:line="360" w:lineRule="auto"/>
        <w:jc w:val="center"/>
        <w:rPr>
          <w:rFonts w:ascii="Arial" w:hAnsi="Arial" w:cs="Arial"/>
          <w:color w:val="000000" w:themeColor="text1"/>
          <w:sz w:val="22"/>
          <w:szCs w:val="22"/>
        </w:rPr>
      </w:pPr>
    </w:p>
    <w:p w14:paraId="0722CD48" w14:textId="57C2DFBA" w:rsidR="00F220F9" w:rsidRPr="00880A49"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 xml:space="preserve">Name: </w:t>
      </w:r>
    </w:p>
    <w:p w14:paraId="0523BC42" w14:textId="550E95F3" w:rsidR="00880A49" w:rsidRPr="00880A49"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Student no:</w:t>
      </w:r>
    </w:p>
    <w:p w14:paraId="3301C5E2" w14:textId="22432EB3" w:rsidR="00880A49" w:rsidRDefault="00880A49" w:rsidP="00280F36">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Module:</w:t>
      </w:r>
    </w:p>
    <w:p w14:paraId="29C41F23" w14:textId="7DAE11F3" w:rsidR="00880A49" w:rsidRDefault="00880A49" w:rsidP="00280F36">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Module Code:</w:t>
      </w:r>
    </w:p>
    <w:p w14:paraId="32FE24B9" w14:textId="7091B36D" w:rsidR="00880A49" w:rsidRDefault="00880A49" w:rsidP="00280F36">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Assignment Title:</w:t>
      </w:r>
    </w:p>
    <w:p w14:paraId="4BD0A654" w14:textId="4C1C5508" w:rsidR="00880A49" w:rsidRPr="00A14B43"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Lecture:</w:t>
      </w:r>
      <w:r w:rsidR="00A14B43">
        <w:rPr>
          <w:rFonts w:ascii="Arial" w:hAnsi="Arial" w:cs="Arial"/>
          <w:b/>
          <w:bCs/>
          <w:color w:val="000000" w:themeColor="text1"/>
          <w:sz w:val="22"/>
          <w:szCs w:val="22"/>
        </w:rPr>
        <w:t xml:space="preserve"> </w:t>
      </w:r>
      <w:r w:rsidR="00A14B43">
        <w:rPr>
          <w:rFonts w:ascii="Arial" w:hAnsi="Arial" w:cs="Arial"/>
          <w:color w:val="000000" w:themeColor="text1"/>
          <w:sz w:val="22"/>
          <w:szCs w:val="22"/>
        </w:rPr>
        <w:t>Fahad Khan</w:t>
      </w:r>
    </w:p>
    <w:p w14:paraId="4AB7F156" w14:textId="2145636F" w:rsidR="003C1B6D" w:rsidRPr="00280F36" w:rsidRDefault="00F220F9" w:rsidP="00280F36">
      <w:p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br w:type="page"/>
      </w:r>
    </w:p>
    <w:p w14:paraId="0DB25DB7" w14:textId="77777777" w:rsidR="003C1B6D" w:rsidRPr="00280F36" w:rsidRDefault="003C1B6D" w:rsidP="00280F36">
      <w:pPr>
        <w:pStyle w:val="NormalWeb"/>
        <w:spacing w:line="360" w:lineRule="auto"/>
        <w:rPr>
          <w:rFonts w:ascii="Arial" w:hAnsi="Arial" w:cs="Arial"/>
          <w:color w:val="000000" w:themeColor="text1"/>
          <w:sz w:val="32"/>
          <w:szCs w:val="32"/>
        </w:rPr>
      </w:pPr>
      <w:r w:rsidRPr="00280F36">
        <w:rPr>
          <w:rStyle w:val="Strong"/>
          <w:rFonts w:ascii="Arial" w:hAnsi="Arial" w:cs="Arial"/>
          <w:color w:val="000000" w:themeColor="text1"/>
          <w:sz w:val="32"/>
          <w:szCs w:val="32"/>
        </w:rPr>
        <w:lastRenderedPageBreak/>
        <w:t>A Critical Case Report of Leadership, Governance and Systems Thinking in Improving Patient Safety: An Analysis of an NHS Infant Morphine Overdose Incident</w:t>
      </w:r>
    </w:p>
    <w:p w14:paraId="0EC1F76C" w14:textId="77777777" w:rsidR="003C1B6D" w:rsidRDefault="003C1B6D" w:rsidP="00280F36">
      <w:pPr>
        <w:pStyle w:val="Heading1"/>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Introduction</w:t>
      </w:r>
    </w:p>
    <w:p w14:paraId="4002E5EF" w14:textId="26DD990C"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 xml:space="preserve">Patient safety is a fundamental priority within health and social care organisations, as system failures can result in avoidable harm, reduced quality of care and loss of public confidence. This report critically examines an infant morphine overdose incident within the North East and Yorkshire NHS region, where a four-week-old baby received morphine sulphate oral solution at a concentration approximately 20 times higher than intended. The infant required emergency naloxone treatment but survived; however, national incident analysis identified this as the fifth similar occurrence since 2018, with a previous case resulting in the death of a baby (NHS North East and Yorkshire, 2023). This case provides an opportunity to evaluate how leadership, governance and systems thinking influence patient safety and </w:t>
      </w:r>
      <w:r w:rsidR="00125953">
        <w:rPr>
          <w:rFonts w:ascii="Arial" w:hAnsi="Arial" w:cs="Arial"/>
          <w:sz w:val="22"/>
          <w:szCs w:val="22"/>
        </w:rPr>
        <w:t xml:space="preserve">the </w:t>
      </w:r>
      <w:r w:rsidRPr="000317A0">
        <w:rPr>
          <w:rFonts w:ascii="Arial" w:hAnsi="Arial" w:cs="Arial"/>
          <w:sz w:val="22"/>
          <w:szCs w:val="22"/>
        </w:rPr>
        <w:t>prevention of avoidable harm.</w:t>
      </w:r>
    </w:p>
    <w:p w14:paraId="7219C073" w14:textId="1A0C297B"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Leadership in health and social care involves influencing, motivating and supporting teams to achieve shared objectives and improve outcomes (Northouse, 2022). In patient safety contexts, leadership requires creating environments where staff feel psychologically safe to raise concerns, challenge unsafe practices and contribute to improvement (Edmondson, 1999).</w:t>
      </w:r>
    </w:p>
    <w:p w14:paraId="486F3A62" w14:textId="378CA7A9"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Healthcare organisations operate through centralised and decentralised structures. Centralisation promotes consistency and standardisation but may reduce local responsiveness, whereas decentralisation supports frontline decision-making but can create variation and accountability challenges (Mintzberg, 1983). Effective governance requires balance between national standards and local autonomy.</w:t>
      </w:r>
    </w:p>
    <w:p w14:paraId="4C78BCC9" w14:textId="1020E370"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Different leadership approaches influence responses to safety incidents. Transformational leadership promotes shared values and improvement cultures (Bass, 1985), while transactional leadership supports procedures and compliance (Burns, 1978). Situational leadership highlights the need for adapting leadership approaches according to complexity and circumstances (Hersey and Blanchard,1969).</w:t>
      </w:r>
    </w:p>
    <w:p w14:paraId="06AA9D63" w14:textId="77777777" w:rsidR="00AD75C8" w:rsidRDefault="00EF0D0A" w:rsidP="00AD75C8">
      <w:pPr>
        <w:spacing w:line="360" w:lineRule="auto"/>
        <w:rPr>
          <w:rFonts w:ascii="Arial" w:hAnsi="Arial" w:cs="Arial"/>
          <w:sz w:val="22"/>
          <w:szCs w:val="22"/>
        </w:rPr>
      </w:pPr>
      <w:r w:rsidRPr="000317A0">
        <w:rPr>
          <w:rFonts w:ascii="Arial" w:hAnsi="Arial" w:cs="Arial"/>
          <w:sz w:val="22"/>
          <w:szCs w:val="22"/>
        </w:rPr>
        <w:t xml:space="preserve">This report analyses the infant morphine overdose incident using systems thinking, governance theory and leadership frameworks. It examines the wider healthcare system context, evaluates centralised and decentralised structures, applies leadership theories and </w:t>
      </w:r>
      <w:r w:rsidRPr="000317A0">
        <w:rPr>
          <w:rFonts w:ascii="Arial" w:hAnsi="Arial" w:cs="Arial"/>
          <w:sz w:val="22"/>
          <w:szCs w:val="22"/>
        </w:rPr>
        <w:lastRenderedPageBreak/>
        <w:t>identifies evidence-based recommendations to strengthen patient safety and organisational performance.</w:t>
      </w:r>
    </w:p>
    <w:p w14:paraId="63015CA3" w14:textId="3CF7BA15" w:rsidR="00D75C62" w:rsidRPr="00AD75C8" w:rsidRDefault="00D75C62" w:rsidP="00AD75C8">
      <w:pPr>
        <w:spacing w:line="360" w:lineRule="auto"/>
        <w:rPr>
          <w:rFonts w:ascii="Arial" w:hAnsi="Arial" w:cs="Arial"/>
          <w:sz w:val="22"/>
          <w:szCs w:val="22"/>
        </w:rPr>
      </w:pPr>
      <w:r w:rsidRPr="00280F36">
        <w:rPr>
          <w:rFonts w:ascii="Arial" w:eastAsia="Times New Roman" w:hAnsi="Arial" w:cs="Arial"/>
          <w:b/>
          <w:bCs/>
          <w:color w:val="000000" w:themeColor="text1"/>
          <w:sz w:val="22"/>
          <w:szCs w:val="22"/>
        </w:rPr>
        <w:t>A. Identifying the Problem and Setting the System Context: Applying Systems Thinking and the Rich Picture Approach</w:t>
      </w:r>
    </w:p>
    <w:p w14:paraId="464BC99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selected case study involves a serious medication safety incident affecting a four-week-old infant in the North East and Yorkshire region of the NHS. The infant was prescribed morphine sulphate oral solution but was supplied with a formulation containing a significantly higher concentration than intended. The parents received a 10 mg/5 ml preparation instead of the intended 100 micrograms/ml preparation, resulting in a potential overdose approximately 20 times greater than the prescribed dose. Although the infant survived following emergency treatment with naloxone, the incident exposed weaknesses within medication governance, communication processes and organisational learning systems (NHS North East and Yorkshire, 2023).</w:t>
      </w:r>
    </w:p>
    <w:p w14:paraId="64822AD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critical analysis of this incident requires moving beyond an individual error perspective and examining the wider healthcare system in which the failure occurred. Healthcare delivery involves complex interactions between professionals, policies, technology, resources and organisational structures. Therefore, patient safety incidents often occur when multiple weaknesses align rather than because of one person’s actions alone (Reason, 1997). This approach is supported by the systems perspective of patient safety, which argues that organisations must understand why safeguards failed rather than simply identifying who made the error (Kohn, Corrigan and Donaldson, 2000).</w:t>
      </w:r>
    </w:p>
    <w:p w14:paraId="70B1F9F4"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Global and National Context of Medication Safety</w:t>
      </w:r>
    </w:p>
    <w:p w14:paraId="76CEF7E7" w14:textId="7AEA18F1"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Medication-related harm represents a significant global patient safety challenge. The World Health Organization (WHO) identifies medication errors as a major cause of avoidable patient harm and launched the Global Patient Safety Challenge “Medication Without Harm” to reduce severe medication-related injuries worldwide (WHO, 2017). </w:t>
      </w:r>
    </w:p>
    <w:p w14:paraId="7D09594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global relevance of this incident is demonstrated by the fact that medication errors frequently occur because of weaknesses within healthcare systems, including inadequate communication, unclear responsibilities, poor information transfer and insufficient safety monitoring (WHO, 2021). Therefore, the infant morphine overdose should not be viewed solely as an isolated clinical mistake but as an example of wider vulnerabilities present within complex healthcare systems.</w:t>
      </w:r>
    </w:p>
    <w:p w14:paraId="6AB28BBF"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Within the United Kingdom, medication safety remains a significant priority for NHS organisations. NHS England’s Patient Safety Strategy highlights that reducing avoidable harm requires stronger safety cultures, improved reporting systems and effective learning from incidents (NHS England, 2019). High-risk medicines, including opioids such as morphine, require additional controls because small errors in prescribing or dispensing can result in severe consequences. NICE (2021) emphasises that medicines optimisation requires organisations to implement reliable processes, effective communication and appropriate monitoring systems to ensure medicines are used safely.</w:t>
      </w:r>
    </w:p>
    <w:p w14:paraId="5EA81CF0"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repeated occurrence of similar morphine incidents demonstrates a gap between the existence of safety policies and their practical implementation. Although national controls existed regarding specialist medicines, these safeguards did not consistently prevent errors from reaching patients. This suggests weaknesses within the translation of policy into frontline practice and highlights the importance of leadership in ensuring that governance systems are actively embedded.</w:t>
      </w:r>
    </w:p>
    <w:p w14:paraId="726B1B5F"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Applying Systems Thinking to the Incident</w:t>
      </w:r>
    </w:p>
    <w:p w14:paraId="1205F2D7"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Systems thinking provides a useful framework for analysing healthcare failures because it recognises that organisations operate as complex adaptive systems where different components influence each other (Braithwaite et al., 2018). Within this case, the medication pathway involved multiple interconnected elements, including specialist prescribing, pharmacy dispensing, medication governance, communication between services and parental understanding of administration instructions.</w:t>
      </w:r>
    </w:p>
    <w:p w14:paraId="0941E82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Reason’s (1997, 2000) Swiss Cheese Model of organisational accidents illustrates how harm occurs when multiple protective barriers fail simultaneously. In this case, potential safety barriers included appropriate prescribing decisions, pharmacy checking procedures, clear medication labelling, communication between professionals and education provided to the family. While each individual safety measure may have existed, weaknesses across several stages allowed the error to progress until it reached the infant.</w:t>
      </w:r>
    </w:p>
    <w:p w14:paraId="407466BA"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human factors approach further demonstrates why focusing only on individual responsibility is inadequate. Dekker (2014) argues that healthcare errors should be understood within the conditions in which professionals work, including workload pressures, system design and communication processes. Therefore, improvement requires examining the organisational environment that allowed the error to occur rather than assigning blame to individual staff members.</w:t>
      </w:r>
    </w:p>
    <w:p w14:paraId="4C95D4BF"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Governance and Underlying System Challenges</w:t>
      </w:r>
    </w:p>
    <w:p w14:paraId="2B0F81CC"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governance responsibility for this incident existed across multiple levels. Locally, NHS organisations and healthcare providers were responsible for implementing safe medication processes, monitoring risks and ensuring staff followed appropriate procedures. Regionally, systems were responsible for sharing learning and coordinating improvements. Nationally, NHS England and regulatory bodies provided standards and guidance intended to improve patient safety.</w:t>
      </w:r>
    </w:p>
    <w:p w14:paraId="0CF343D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repeated incidents suggest weaknesses in feedback mechanisms between these levels. Effective governance requires not only developing policies but ensuring that learning from incidents leads to measurable change. The NHS Patient Safety Incident Response Framework emphasises the importance of understanding contributing factors and developing system improvements rather than relying on blame-focused investigations (NHS England, 2022).</w:t>
      </w:r>
    </w:p>
    <w:p w14:paraId="0D0989DA" w14:textId="30605E7F" w:rsidR="00DA1962"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pressures may also influence safety performance. Workforce shortages, increasing demand and operational pressures can reduce the capacity of organisations to undertake improvement activities and reflective learning (The King’s Fund, 2023).</w:t>
      </w:r>
      <w:r w:rsidR="00F4598A">
        <w:rPr>
          <w:rFonts w:ascii="Arial" w:hAnsi="Arial" w:cs="Arial"/>
          <w:color w:val="000000" w:themeColor="text1"/>
          <w:sz w:val="22"/>
          <w:szCs w:val="22"/>
        </w:rPr>
        <w:t>The Care Quality Commission (CQC, 2022) highlights that workforce pressures and organisational challenges can affect the ability of health and care providers to maintain safe, effective and high-quality services. Although these factors do not directly cause errors, they may increase vulnerability by creating environments where communication failures and process weaknesses are more likely.</w:t>
      </w:r>
    </w:p>
    <w:p w14:paraId="57A335D5" w14:textId="7C15E92D" w:rsidR="00944B5E" w:rsidRDefault="002536D8" w:rsidP="00280F36">
      <w:pPr>
        <w:pStyle w:val="NormalWeb"/>
        <w:spacing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73600" behindDoc="1" locked="0" layoutInCell="1" allowOverlap="1" wp14:anchorId="22BF8CD1" wp14:editId="517E612D">
            <wp:simplePos x="0" y="0"/>
            <wp:positionH relativeFrom="column">
              <wp:posOffset>-44450</wp:posOffset>
            </wp:positionH>
            <wp:positionV relativeFrom="paragraph">
              <wp:posOffset>172085</wp:posOffset>
            </wp:positionV>
            <wp:extent cx="5541010" cy="2482850"/>
            <wp:effectExtent l="0" t="0" r="2540" b="0"/>
            <wp:wrapTight wrapText="bothSides">
              <wp:wrapPolygon edited="0">
                <wp:start x="0" y="0"/>
                <wp:lineTo x="0" y="21379"/>
                <wp:lineTo x="21536" y="21379"/>
                <wp:lineTo x="21536" y="0"/>
                <wp:lineTo x="0" y="0"/>
              </wp:wrapPolygon>
            </wp:wrapTight>
            <wp:docPr id="46269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94274" name="Picture 1"/>
                    <pic:cNvPicPr/>
                  </pic:nvPicPr>
                  <pic:blipFill>
                    <a:blip r:embed="rId8"/>
                    <a:srcRect l="4149" r="4149"/>
                    <a:stretch>
                      <a:fillRect/>
                    </a:stretch>
                  </pic:blipFill>
                  <pic:spPr bwMode="auto">
                    <a:xfrm>
                      <a:off x="0" y="0"/>
                      <a:ext cx="5541010" cy="2482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5C62" w:rsidRPr="00280F36">
        <w:rPr>
          <w:rFonts w:ascii="Arial" w:hAnsi="Arial" w:cs="Arial"/>
          <w:color w:val="000000" w:themeColor="text1"/>
          <w:sz w:val="22"/>
          <w:szCs w:val="22"/>
        </w:rPr>
        <w:t xml:space="preserve"> </w:t>
      </w:r>
      <w:r w:rsidR="00DA1962" w:rsidRPr="00DA1962">
        <w:rPr>
          <w:rFonts w:ascii="Arial" w:hAnsi="Arial" w:cs="Arial"/>
          <w:b/>
          <w:bCs/>
          <w:color w:val="000000" w:themeColor="text1"/>
          <w:sz w:val="22"/>
          <w:szCs w:val="22"/>
        </w:rPr>
        <w:t>Rich Picture Analysis:</w:t>
      </w:r>
    </w:p>
    <w:p w14:paraId="7DE624BF" w14:textId="43B28A28" w:rsidR="00094792" w:rsidRPr="006D1FC7" w:rsidRDefault="00094792" w:rsidP="00280F36">
      <w:pPr>
        <w:pStyle w:val="NormalWeb"/>
        <w:spacing w:line="360" w:lineRule="auto"/>
        <w:rPr>
          <w:rFonts w:ascii="Arial" w:hAnsi="Arial" w:cs="Arial"/>
          <w:color w:val="000000" w:themeColor="text1"/>
          <w:sz w:val="18"/>
          <w:szCs w:val="18"/>
        </w:rPr>
      </w:pPr>
      <w:r w:rsidRPr="006D1FC7">
        <w:rPr>
          <w:rFonts w:ascii="Arial" w:hAnsi="Arial" w:cs="Arial"/>
          <w:color w:val="000000" w:themeColor="text1"/>
          <w:sz w:val="18"/>
          <w:szCs w:val="18"/>
        </w:rPr>
        <w:t>Figure 1: Rich Picture illustrating the interacting system factors contributing to the NHS infant morphine overdose incident</w:t>
      </w:r>
    </w:p>
    <w:p w14:paraId="5B4BED7C" w14:textId="72D8E1DF" w:rsidR="00397B7C" w:rsidRPr="00094792" w:rsidRDefault="00D75C62" w:rsidP="00280F36">
      <w:pPr>
        <w:pStyle w:val="NormalWeb"/>
        <w:spacing w:line="360" w:lineRule="auto"/>
        <w:rPr>
          <w:rStyle w:val="Strong"/>
          <w:rFonts w:ascii="Arial" w:hAnsi="Arial" w:cs="Arial"/>
          <w:b w:val="0"/>
          <w:bCs w:val="0"/>
          <w:color w:val="000000" w:themeColor="text1"/>
          <w:sz w:val="22"/>
          <w:szCs w:val="22"/>
        </w:rPr>
      </w:pPr>
      <w:r w:rsidRPr="00280F36">
        <w:rPr>
          <w:rFonts w:ascii="Arial" w:hAnsi="Arial" w:cs="Arial"/>
          <w:color w:val="000000" w:themeColor="text1"/>
          <w:sz w:val="22"/>
          <w:szCs w:val="22"/>
        </w:rPr>
        <w:lastRenderedPageBreak/>
        <w:t>A rich picture illustrates the complexity of the incident by mapping the relationships between people, processes and structures involved.</w:t>
      </w:r>
    </w:p>
    <w:p w14:paraId="3056E100" w14:textId="1279E4F4" w:rsidR="00F80958" w:rsidRDefault="00F80958" w:rsidP="00280F36">
      <w:pPr>
        <w:pStyle w:val="NormalWeb"/>
        <w:spacing w:line="360" w:lineRule="auto"/>
        <w:rPr>
          <w:rStyle w:val="Strong"/>
          <w:rFonts w:ascii="Arial" w:hAnsi="Arial" w:cs="Arial"/>
          <w:b w:val="0"/>
          <w:bCs w:val="0"/>
          <w:color w:val="000000" w:themeColor="text1"/>
          <w:sz w:val="22"/>
          <w:szCs w:val="22"/>
        </w:rPr>
      </w:pPr>
      <w:r>
        <w:rPr>
          <w:rStyle w:val="Strong"/>
          <w:rFonts w:ascii="Arial" w:hAnsi="Arial" w:cs="Arial"/>
          <w:b w:val="0"/>
          <w:bCs w:val="0"/>
          <w:color w:val="000000" w:themeColor="text1"/>
          <w:sz w:val="22"/>
          <w:szCs w:val="22"/>
        </w:rPr>
        <w:t>This reinforces a systems thinking perspective by demonstrating that the incident emerged from interactions between multiple components rather than a single individual action.</w:t>
      </w:r>
    </w:p>
    <w:p w14:paraId="534C32F3" w14:textId="17DB4252" w:rsidR="005C14DB" w:rsidRPr="004B7AC5" w:rsidRDefault="005C14DB" w:rsidP="00280F36">
      <w:pPr>
        <w:pStyle w:val="NormalWeb"/>
        <w:spacing w:line="360" w:lineRule="auto"/>
        <w:rPr>
          <w:rStyle w:val="Strong"/>
          <w:rFonts w:ascii="Arial" w:hAnsi="Arial" w:cs="Arial"/>
          <w:b w:val="0"/>
          <w:bCs w:val="0"/>
          <w:color w:val="000000" w:themeColor="text1"/>
          <w:sz w:val="22"/>
          <w:szCs w:val="22"/>
        </w:rPr>
      </w:pPr>
      <w:r>
        <w:rPr>
          <w:rStyle w:val="Strong"/>
          <w:rFonts w:ascii="Arial" w:hAnsi="Arial" w:cs="Arial"/>
          <w:b w:val="0"/>
          <w:bCs w:val="0"/>
          <w:color w:val="000000" w:themeColor="text1"/>
          <w:sz w:val="22"/>
          <w:szCs w:val="22"/>
        </w:rPr>
        <w:t>The rich picture identifies important feedback loops and dependencies. Previous incidents generated learning opportunities, but these were insufficiently converted into system redesign. Communication gaps between different healthcare settings increased risk because responsibility was distributed across several organisations. This demonstrates that patient safety depends on effective coordination between all parts of the system.</w:t>
      </w:r>
    </w:p>
    <w:p w14:paraId="32764CF1" w14:textId="27AE0D96"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Patient and family factors</w:t>
      </w:r>
    </w:p>
    <w:p w14:paraId="7F727617"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Infant dependent on safe medication management.</w:t>
      </w:r>
    </w:p>
    <w:p w14:paraId="65294790"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Parents reliant on accurate information and clear instructions.</w:t>
      </w:r>
    </w:p>
    <w:p w14:paraId="7BAB5F36"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Potential risk from misunderstanding medication concentration.</w:t>
      </w:r>
    </w:p>
    <w:p w14:paraId="78709D2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Healthcare professionals</w:t>
      </w:r>
    </w:p>
    <w:p w14:paraId="134957F4"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Doctors responsible for prescribing decisions.</w:t>
      </w:r>
    </w:p>
    <w:p w14:paraId="7FBFF870"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Pharmacists responsible for dispensing and safety checks.</w:t>
      </w:r>
    </w:p>
    <w:p w14:paraId="02AAE7DD"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Nurses and community professionals involved in communication and monitoring.</w:t>
      </w:r>
    </w:p>
    <w:p w14:paraId="718DB078"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Organisational systems</w:t>
      </w:r>
    </w:p>
    <w:p w14:paraId="63B7EBB9"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NHS Trust governance structures.</w:t>
      </w:r>
    </w:p>
    <w:p w14:paraId="21DAF9D7"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Medication safety committees.</w:t>
      </w:r>
    </w:p>
    <w:p w14:paraId="68AF7A94"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National prescribing guidance.</w:t>
      </w:r>
    </w:p>
    <w:p w14:paraId="2EFE78ED"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Reporting and learning systems.</w:t>
      </w:r>
    </w:p>
    <w:p w14:paraId="7371EAE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Communication pathways</w:t>
      </w:r>
    </w:p>
    <w:p w14:paraId="744E3CDE"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Information transfer between hospital and community services.</w:t>
      </w:r>
    </w:p>
    <w:p w14:paraId="78820875"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Communication of medication strength and administration instructions.</w:t>
      </w:r>
    </w:p>
    <w:p w14:paraId="2F8B5B6E"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Feedback from previous incidents.</w:t>
      </w:r>
    </w:p>
    <w:p w14:paraId="63F3BF96" w14:textId="3D65C28C" w:rsidR="004D5231" w:rsidRPr="00F00573" w:rsidRDefault="00D75C62" w:rsidP="00F00573">
      <w:pPr>
        <w:pStyle w:val="NormalWeb"/>
        <w:spacing w:line="360" w:lineRule="auto"/>
        <w:rPr>
          <w:rStyle w:val="Strong"/>
          <w:rFonts w:ascii="Arial" w:hAnsi="Arial" w:cs="Arial"/>
          <w:b w:val="0"/>
          <w:bCs w:val="0"/>
          <w:color w:val="000000" w:themeColor="text1"/>
          <w:sz w:val="22"/>
          <w:szCs w:val="22"/>
        </w:rPr>
      </w:pPr>
      <w:r w:rsidRPr="00280F36">
        <w:rPr>
          <w:rFonts w:ascii="Arial" w:hAnsi="Arial" w:cs="Arial"/>
          <w:color w:val="000000" w:themeColor="text1"/>
          <w:sz w:val="22"/>
          <w:szCs w:val="22"/>
        </w:rPr>
        <w:t xml:space="preserve">Overall, the incident reflects a failure of system reliability rather than an isolated mistake. The interaction between governance weaknesses, communication problems and insufficient </w:t>
      </w:r>
      <w:r w:rsidRPr="00280F36">
        <w:rPr>
          <w:rFonts w:ascii="Arial" w:hAnsi="Arial" w:cs="Arial"/>
          <w:color w:val="000000" w:themeColor="text1"/>
          <w:sz w:val="22"/>
          <w:szCs w:val="22"/>
        </w:rPr>
        <w:lastRenderedPageBreak/>
        <w:t>organisational learning created conditions where harm could occur. Understanding these factors provides the foundation for evaluating how centralised and decentralised structures influenced the organisation’s ability to manage risk and improve performance.</w:t>
      </w:r>
    </w:p>
    <w:p w14:paraId="3FFA9391" w14:textId="0D83B7BE" w:rsidR="00563D09" w:rsidRPr="008D4DFD" w:rsidRDefault="00563D09" w:rsidP="00586322">
      <w:pPr>
        <w:pStyle w:val="NormalWeb"/>
        <w:rPr>
          <w:rFonts w:ascii="Arial" w:hAnsi="Arial" w:cs="Arial"/>
          <w:sz w:val="22"/>
          <w:szCs w:val="22"/>
        </w:rPr>
      </w:pPr>
      <w:r w:rsidRPr="008D4DFD">
        <w:rPr>
          <w:rStyle w:val="Strong"/>
          <w:rFonts w:ascii="Arial" w:hAnsi="Arial" w:cs="Arial"/>
          <w:sz w:val="22"/>
          <w:szCs w:val="22"/>
        </w:rPr>
        <w:t>Table 1: CATWOE Analysis of the Infant Morphine Overdose Incident</w:t>
      </w:r>
    </w:p>
    <w:tbl>
      <w:tblPr>
        <w:tblStyle w:val="GridTable2-Accent5"/>
        <w:tblW w:w="0" w:type="auto"/>
        <w:tblLook w:val="04A0" w:firstRow="1" w:lastRow="0" w:firstColumn="1" w:lastColumn="0" w:noHBand="0" w:noVBand="1"/>
      </w:tblPr>
      <w:tblGrid>
        <w:gridCol w:w="2121"/>
        <w:gridCol w:w="6905"/>
      </w:tblGrid>
      <w:tr w:rsidR="00563D09" w:rsidRPr="008D4DFD" w14:paraId="7ED8EFE2" w14:textId="77777777" w:rsidTr="004E72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BF885" w14:textId="77777777" w:rsidR="00563D09" w:rsidRPr="008D4DFD" w:rsidRDefault="00563D09" w:rsidP="00586322">
            <w:pPr>
              <w:jc w:val="center"/>
              <w:rPr>
                <w:rFonts w:ascii="Arial" w:eastAsia="Times New Roman" w:hAnsi="Arial" w:cs="Arial"/>
                <w:b w:val="0"/>
                <w:bCs w:val="0"/>
                <w:sz w:val="22"/>
                <w:szCs w:val="22"/>
              </w:rPr>
            </w:pPr>
            <w:r w:rsidRPr="008D4DFD">
              <w:rPr>
                <w:rStyle w:val="Strong"/>
                <w:rFonts w:ascii="Arial" w:eastAsia="Times New Roman" w:hAnsi="Arial" w:cs="Arial"/>
                <w:sz w:val="22"/>
                <w:szCs w:val="22"/>
              </w:rPr>
              <w:t>CATWOE Element</w:t>
            </w:r>
          </w:p>
        </w:tc>
        <w:tc>
          <w:tcPr>
            <w:tcW w:w="0" w:type="auto"/>
            <w:hideMark/>
          </w:tcPr>
          <w:p w14:paraId="7F79CDCB" w14:textId="77777777" w:rsidR="00563D09" w:rsidRPr="008D4DFD" w:rsidRDefault="00563D09" w:rsidP="0058632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2"/>
                <w:szCs w:val="22"/>
              </w:rPr>
            </w:pPr>
            <w:r w:rsidRPr="008D4DFD">
              <w:rPr>
                <w:rStyle w:val="Strong"/>
                <w:rFonts w:ascii="Arial" w:eastAsia="Times New Roman" w:hAnsi="Arial" w:cs="Arial"/>
                <w:sz w:val="22"/>
                <w:szCs w:val="22"/>
              </w:rPr>
              <w:t>Application to Case Study</w:t>
            </w:r>
          </w:p>
        </w:tc>
      </w:tr>
      <w:tr w:rsidR="00563D09" w:rsidRPr="008D4DFD" w14:paraId="2B5F93B7" w14:textId="77777777" w:rsidTr="00427D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77BD24"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Customers</w:t>
            </w:r>
          </w:p>
        </w:tc>
        <w:tc>
          <w:tcPr>
            <w:tcW w:w="0" w:type="auto"/>
            <w:hideMark/>
          </w:tcPr>
          <w:p w14:paraId="039FFAA7"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The infant and family affected by the medication error, as well as future patients who depend on safe medication systems.</w:t>
            </w:r>
          </w:p>
        </w:tc>
      </w:tr>
      <w:tr w:rsidR="00563D09" w:rsidRPr="008D4DFD" w14:paraId="602284CD" w14:textId="77777777" w:rsidTr="00427DEA">
        <w:tc>
          <w:tcPr>
            <w:cnfStyle w:val="001000000000" w:firstRow="0" w:lastRow="0" w:firstColumn="1" w:lastColumn="0" w:oddVBand="0" w:evenVBand="0" w:oddHBand="0" w:evenHBand="0" w:firstRowFirstColumn="0" w:firstRowLastColumn="0" w:lastRowFirstColumn="0" w:lastRowLastColumn="0"/>
            <w:tcW w:w="0" w:type="auto"/>
            <w:shd w:val="clear" w:color="auto" w:fill="CAEDFB" w:themeFill="accent4" w:themeFillTint="33"/>
            <w:hideMark/>
          </w:tcPr>
          <w:p w14:paraId="0CB28C0E"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Actors</w:t>
            </w:r>
          </w:p>
        </w:tc>
        <w:tc>
          <w:tcPr>
            <w:tcW w:w="0" w:type="auto"/>
            <w:shd w:val="clear" w:color="auto" w:fill="CAEDFB" w:themeFill="accent4" w:themeFillTint="33"/>
            <w:hideMark/>
          </w:tcPr>
          <w:p w14:paraId="38B3ADE2"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Doctors, pharmacists, nurses, NHS Trust leaders and medicines governance teams involved in prescribing, dispensing and monitoring medication safety.</w:t>
            </w:r>
          </w:p>
        </w:tc>
      </w:tr>
      <w:tr w:rsidR="00563D09" w:rsidRPr="008D4DFD" w14:paraId="646E9775" w14:textId="77777777" w:rsidTr="00AD14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1F0C7" w:themeFill="accent3" w:themeFillTint="33"/>
            <w:hideMark/>
          </w:tcPr>
          <w:p w14:paraId="274D942D"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Transformation</w:t>
            </w:r>
          </w:p>
        </w:tc>
        <w:tc>
          <w:tcPr>
            <w:tcW w:w="0" w:type="auto"/>
            <w:shd w:val="clear" w:color="auto" w:fill="C1F0C7" w:themeFill="accent3" w:themeFillTint="33"/>
            <w:hideMark/>
          </w:tcPr>
          <w:p w14:paraId="663A44CF"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Transforming an unsafe medication pathway into a safer, learning-focused system that reduces avoidable medication harm.</w:t>
            </w:r>
          </w:p>
        </w:tc>
      </w:tr>
      <w:tr w:rsidR="00563D09" w:rsidRPr="008D4DFD" w14:paraId="1B0A66C3" w14:textId="77777777" w:rsidTr="00AD1493">
        <w:tc>
          <w:tcPr>
            <w:cnfStyle w:val="001000000000" w:firstRow="0" w:lastRow="0" w:firstColumn="1" w:lastColumn="0" w:oddVBand="0" w:evenVBand="0" w:oddHBand="0" w:evenHBand="0" w:firstRowFirstColumn="0" w:firstRowLastColumn="0" w:lastRowFirstColumn="0" w:lastRowLastColumn="0"/>
            <w:tcW w:w="0" w:type="auto"/>
            <w:shd w:val="clear" w:color="auto" w:fill="FE9292"/>
            <w:hideMark/>
          </w:tcPr>
          <w:p w14:paraId="01B550AE"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Worldview</w:t>
            </w:r>
          </w:p>
        </w:tc>
        <w:tc>
          <w:tcPr>
            <w:tcW w:w="0" w:type="auto"/>
            <w:shd w:val="clear" w:color="auto" w:fill="FE9292"/>
            <w:hideMark/>
          </w:tcPr>
          <w:p w14:paraId="23E4C947"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Patient safety incidents are caused by interactions between systems, processes and organisational factors rather than individual error alone.</w:t>
            </w:r>
          </w:p>
        </w:tc>
      </w:tr>
      <w:tr w:rsidR="00563D09" w:rsidRPr="008D4DFD" w14:paraId="4A82C9C5" w14:textId="77777777" w:rsidTr="00AD14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D965"/>
            <w:hideMark/>
          </w:tcPr>
          <w:p w14:paraId="791519A2"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Owners</w:t>
            </w:r>
          </w:p>
        </w:tc>
        <w:tc>
          <w:tcPr>
            <w:tcW w:w="0" w:type="auto"/>
            <w:shd w:val="clear" w:color="auto" w:fill="FFD965"/>
            <w:hideMark/>
          </w:tcPr>
          <w:p w14:paraId="3985510A"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NHS organisations, clinical leaders and governance teams responsible for implementing and sustaining safety improvements.</w:t>
            </w:r>
          </w:p>
        </w:tc>
      </w:tr>
      <w:tr w:rsidR="00563D09" w:rsidRPr="008D4DFD" w14:paraId="48A26CE3" w14:textId="77777777" w:rsidTr="00AD1493">
        <w:tc>
          <w:tcPr>
            <w:cnfStyle w:val="001000000000" w:firstRow="0" w:lastRow="0" w:firstColumn="1" w:lastColumn="0" w:oddVBand="0" w:evenVBand="0" w:oddHBand="0" w:evenHBand="0" w:firstRowFirstColumn="0" w:firstRowLastColumn="0" w:lastRowFirstColumn="0" w:lastRowLastColumn="0"/>
            <w:tcW w:w="0" w:type="auto"/>
            <w:shd w:val="clear" w:color="auto" w:fill="C7A2E3"/>
            <w:hideMark/>
          </w:tcPr>
          <w:p w14:paraId="16835BF1"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Environmental Constraints</w:t>
            </w:r>
          </w:p>
        </w:tc>
        <w:tc>
          <w:tcPr>
            <w:tcW w:w="0" w:type="auto"/>
            <w:shd w:val="clear" w:color="auto" w:fill="C7A2E3"/>
            <w:hideMark/>
          </w:tcPr>
          <w:p w14:paraId="486AEA11"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Workforce pressures, healthcare complexity, regulatory requirements, high-risk medicines and resource limitations influencing service delivery.</w:t>
            </w:r>
          </w:p>
        </w:tc>
      </w:tr>
    </w:tbl>
    <w:p w14:paraId="7276507C" w14:textId="6E139A44" w:rsidR="00563D09" w:rsidRPr="00011FC8" w:rsidRDefault="00563D09" w:rsidP="00011FC8">
      <w:pPr>
        <w:pStyle w:val="NormalWeb"/>
        <w:rPr>
          <w:rFonts w:ascii="Arial" w:hAnsi="Arial" w:cs="Arial"/>
          <w:b/>
          <w:bCs/>
          <w:sz w:val="22"/>
          <w:szCs w:val="22"/>
        </w:rPr>
      </w:pPr>
      <w:r w:rsidRPr="008D4DFD">
        <w:rPr>
          <w:rStyle w:val="Strong"/>
          <w:rFonts w:ascii="Arial" w:hAnsi="Arial" w:cs="Arial"/>
          <w:b w:val="0"/>
          <w:bCs w:val="0"/>
          <w:sz w:val="22"/>
          <w:szCs w:val="22"/>
        </w:rPr>
        <w:t xml:space="preserve">Source: </w:t>
      </w:r>
      <w:r w:rsidR="00031FD0">
        <w:rPr>
          <w:rStyle w:val="Strong"/>
          <w:rFonts w:ascii="Arial" w:hAnsi="Arial" w:cs="Arial"/>
          <w:b w:val="0"/>
          <w:bCs w:val="0"/>
          <w:sz w:val="22"/>
          <w:szCs w:val="22"/>
        </w:rPr>
        <w:t>A</w:t>
      </w:r>
      <w:r w:rsidRPr="008D4DFD">
        <w:rPr>
          <w:rStyle w:val="Strong"/>
          <w:rFonts w:ascii="Arial" w:hAnsi="Arial" w:cs="Arial"/>
          <w:b w:val="0"/>
          <w:bCs w:val="0"/>
          <w:sz w:val="22"/>
          <w:szCs w:val="22"/>
        </w:rPr>
        <w:t>nalysis based on Checkland’s (1981) CATWOE framework.</w:t>
      </w:r>
    </w:p>
    <w:p w14:paraId="792AFB1B" w14:textId="77777777" w:rsidR="000245E7" w:rsidRPr="00280F36" w:rsidRDefault="000245E7"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B. Centralisation or Decentralisation within the Case Study</w:t>
      </w:r>
    </w:p>
    <w:p w14:paraId="00F031CD"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organisations require governance structures that enable safe decision-making, effective accountability and continuous improvement. The NHS operates through a combination of centralised and decentralised approaches, where national bodies establish strategic direction and safety standards while local organisations retain responsibility for implementation and operational decisions. The infant morphine overdose incident demonstrates how the relationship between central control and local autonomy influenced medication safety, crisis management and organisational learning.</w:t>
      </w:r>
    </w:p>
    <w:p w14:paraId="19B323AC" w14:textId="77777777" w:rsidR="000245E7" w:rsidRPr="001A6AC3" w:rsidRDefault="000245E7" w:rsidP="00280F36">
      <w:pPr>
        <w:pStyle w:val="Heading2"/>
        <w:spacing w:line="360" w:lineRule="auto"/>
        <w:rPr>
          <w:rFonts w:ascii="Arial" w:eastAsia="Times New Roman" w:hAnsi="Arial" w:cs="Arial"/>
          <w:color w:val="000000" w:themeColor="text1"/>
          <w:sz w:val="22"/>
          <w:szCs w:val="22"/>
        </w:rPr>
      </w:pPr>
      <w:r w:rsidRPr="001A6AC3">
        <w:rPr>
          <w:rFonts w:ascii="Arial" w:eastAsia="Times New Roman" w:hAnsi="Arial" w:cs="Arial"/>
          <w:color w:val="000000" w:themeColor="text1"/>
          <w:sz w:val="22"/>
          <w:szCs w:val="22"/>
        </w:rPr>
        <w:t>Centralisation within the Case Study</w:t>
      </w:r>
    </w:p>
    <w:p w14:paraId="086C38AF"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Centralisation refers to a system where authority and decision-making responsibilities are concentrated at higher organisational levels (Mintzberg, 1983). Within healthcare, </w:t>
      </w:r>
      <w:r w:rsidRPr="00280F36">
        <w:rPr>
          <w:rFonts w:ascii="Arial" w:hAnsi="Arial" w:cs="Arial"/>
          <w:color w:val="000000" w:themeColor="text1"/>
          <w:sz w:val="22"/>
          <w:szCs w:val="22"/>
        </w:rPr>
        <w:lastRenderedPageBreak/>
        <w:t>centralised approaches are often used to improve consistency, reduce variation and establish minimum safety standards across services. In the NHS, centralisation is evident through national organisations such as NHS England and NICE, which develop policies, guidance and frameworks designed to improve quality and safety.</w:t>
      </w:r>
    </w:p>
    <w:p w14:paraId="3AC73D38"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Within this case study, the classification of concentrated morphine sulphate oral solution as a specialist “red drug” demonstrates a centralised safety approach. Restricting the prescribing and dispensing of high-risk medicines aims to ensure that appropriate safeguards are applied and that specialist oversight is maintained. Standardisation is particularly important for medicines where incorrect doses or formulations can result in severe harm.</w:t>
      </w:r>
    </w:p>
    <w:p w14:paraId="088472E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key advantage of centralisation is that it enables learning from individual incidents to influence wider healthcare practice. Without national coordination, safety improvements may remain limited to one organisation rather than being shared across the wider health system. The WHO (2017) emphasises that medication safety requires system-wide approaches, including standardised processes, clear guidance and effective monitoring mechanisms.</w:t>
      </w:r>
    </w:p>
    <w:p w14:paraId="5C39238B" w14:textId="2C26EA03"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National frameworks such as the NHS Patient Safety Strategy provide organisations with common principles for improving safety culture, reporting incidents and reducing avoidable harm (NHS England, 2019). This creates consistency across healthcare services and reduces the risk of significant variation in practice.</w:t>
      </w:r>
    </w:p>
    <w:p w14:paraId="17156F9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centralisation also has limitations. A highly centralised system may create distance between policy-makers and frontline professionals, meaning that decisions may not fully reflect practical challenges experienced during service delivery. Healthcare environments are complex, and risks identified by frontline staff may not always be visible to those developing national policies. Greenhalgh et al. (2018) argue that healthcare systems involve complexity and uncertainty, meaning that improvement cannot rely solely on top-down approaches.</w:t>
      </w:r>
    </w:p>
    <w:p w14:paraId="2C673433"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 this case, although national safety guidance existed, similar morphine incidents continued to occur. This suggests that centralised policies were not sufficient on their own to ensure safe practice. A potential weakness was not the absence of standards, but the gap between national expectations and local implementation. This highlights the importance of leadership in ensuring policies become embedded within everyday practice.</w:t>
      </w:r>
    </w:p>
    <w:p w14:paraId="0E4A466C" w14:textId="77777777" w:rsidR="000245E7" w:rsidRPr="00280F36" w:rsidRDefault="000245E7"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Decentralisation within the Case Study</w:t>
      </w:r>
    </w:p>
    <w:p w14:paraId="527C520F"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Decentralisation involves distributing authority and decision-making closer to frontline teams and local organisations (Mintzberg, 1983). Within the NHS, decentralised structures allow Trusts, clinical teams and pharmacy departments to adapt national guidance according to local circumstances. This approach recognises that healthcare professionals working directly with patients often have valuable insight into operational risks and improvement opportunities.</w:t>
      </w:r>
    </w:p>
    <w:p w14:paraId="0664E577"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significant advantage of decentralisation is increased responsiveness. Local teams can identify problems quickly and implement solutions that reflect their specific environment. For example, pharmacy teams may recognise local risks associated with medication storage, prescribing practices or communication processes and develop targeted interventions. This flexibility can support innovation and encourage staff involvement in improvement activities.</w:t>
      </w:r>
    </w:p>
    <w:p w14:paraId="67C3BBCD"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Decentralisation also supports distributed leadership, where responsibility for improvement is shared across professional groups rather than being controlled solely by senior leaders. West et al. (2015) argue that effective healthcare organisations require leadership at all levels, enabling staff to contribute their expertise and participate in decision-making.</w:t>
      </w:r>
    </w:p>
    <w:p w14:paraId="5B08A2CE"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decentralised systems can create challenges. Greater local autonomy may result in variation between organisations, particularly when implementing safety procedures. In medication management, inconsistency between services can increase risks because patients often move between hospitals, community services and primary care. The infant morphine incident demonstrates how fragmented responsibilities across different parts of the healthcare system can create opportunities for communication failure.</w:t>
      </w:r>
    </w:p>
    <w:p w14:paraId="755A91EC"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Another limitation is accountability. When multiple organisations are involved in a patient’s care pathway, responsibility for preventing harm can become unclear. Although decentralisation encourages local decision-making, it requires strong governance mechanisms to ensure that organisations remain aligned with national safety expectations.</w:t>
      </w:r>
    </w:p>
    <w:p w14:paraId="2E9D09D0" w14:textId="77777777" w:rsidR="000245E7" w:rsidRPr="00280F36" w:rsidRDefault="000245E7"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Critical Evaluation: Finding the Balance</w:t>
      </w:r>
    </w:p>
    <w:p w14:paraId="598E4CCC"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The case study demonstrates that neither complete centralisation nor complete decentralisation is sufficient for managing healthcare safety challenges. Centralised systems provide essential standardisation and oversight, while decentralised systems provide </w:t>
      </w:r>
      <w:r w:rsidRPr="00280F36">
        <w:rPr>
          <w:rFonts w:ascii="Arial" w:hAnsi="Arial" w:cs="Arial"/>
          <w:color w:val="000000" w:themeColor="text1"/>
          <w:sz w:val="22"/>
          <w:szCs w:val="22"/>
        </w:rPr>
        <w:lastRenderedPageBreak/>
        <w:t>adaptability and frontline responsiveness. The most effective approach is therefore a balanced model where national standards are combined with local empowerment.</w:t>
      </w:r>
    </w:p>
    <w:p w14:paraId="43251EF4"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suggests that the NHS had appropriate centralised controls, but weaknesses occurred during local implementation and coordination. The existence of national policies did not prevent the error because safety depends on how policies are translated into everyday practice. This supports the argument that healthcare organisations require both reliable systems and adaptive leadership.</w:t>
      </w:r>
    </w:p>
    <w:p w14:paraId="02213F40"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balanced governance model reflects the concept of “regulated autonomy”, where organisations maintain flexibility while operating within clear safety expectations. Local teams should have the authority to identify risks and develop solutions, but these improvements should be supported by national learning systems and shared standards.</w:t>
      </w:r>
    </w:p>
    <w:p w14:paraId="50842E1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Data and performance monitoring are essential in maintaining this balance. Healthcare organisations should use incident reports, safety audits and outcome measures to identify whether policies are achieving their intended outcomes. Bevan and Hood (2006) highlight that performance measurement can influence organisational behaviour, but leaders must ensure that targets support genuine improvement rather than simply compliance.</w:t>
      </w:r>
    </w:p>
    <w:p w14:paraId="79E96998"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Therefore, the morphine overdose incident highlights that the challenge was not simply whether the NHS structure was centralised or decentralised. Instead, the problem was the interaction between different levels of governance. National policies, local decision-making and frontline practice must operate as an integrated system. Effective leadership is required to connect these levels, ensuring that safety information flows throughout the organisation and that learning from incidents results in meaningful change.</w:t>
      </w:r>
    </w:p>
    <w:p w14:paraId="7D74DF7D" w14:textId="77777777" w:rsidR="005F68D5" w:rsidRPr="00280F36" w:rsidRDefault="005F68D5"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C. Leadership Theories and Application to the Case Study</w:t>
      </w:r>
    </w:p>
    <w:p w14:paraId="07AEB314"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Leadership is a critical factor in determining how healthcare organisations respond to safety challenges, manage change and improve performance. In complex healthcare systems, leaders influence not only operational decisions but also organisational culture, staff behaviour and the ability of teams to learn from failure. The infant morphine overdose incident highlights the importance of leadership approaches that promote accountability, collaboration and continuous improvement. Applying different leadership theories allows evaluation of whether the response to the incident was effective and what alternative approaches may have reduced the risk of recurrence.</w:t>
      </w:r>
    </w:p>
    <w:p w14:paraId="5418B2B2"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Transformational Leadership</w:t>
      </w:r>
    </w:p>
    <w:p w14:paraId="528C4BDA"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Transformational leadership focuses on inspiring individuals, creating shared values and motivating teams to achieve improvement beyond routine expectations (Bass, 1985). Within healthcare, transformational leaders encourage innovation, empower staff and promote cultures where patient safety becomes a collective responsibility. This approach is particularly relevant to patient safety because reducing harm requires cultural change rather than simply introducing additional policies.</w:t>
      </w:r>
    </w:p>
    <w:p w14:paraId="6B46C754"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Applied to the morphine incident, transformational leadership would require leaders to explore why repeated medication errors occurred and create an environment where staff could openly discuss weaknesses within the system. Rather than focusing on individual blame, leaders should encourage learning from incidents and redesign processes to prevent recurrence. This aligns with Reason’s (1997) argument that organisational failures often result from hidden system weaknesses rather than isolated human mistakes.</w:t>
      </w:r>
    </w:p>
    <w:p w14:paraId="1559D94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Evidence suggests that transformational leadership can improve healthcare quality by strengthening teamwork, engagement and organisational learning. West et al. (2015) argue that compassionate and inclusive leadership supports innovation by encouraging staff to contribute ideas and identify risks. This is important because frontline professionals are often best positioned to recognise problems within clinical processes.</w:t>
      </w:r>
    </w:p>
    <w:p w14:paraId="32F0502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the recurrence of similar morphine incidents indicates that leadership responses may have been more reactive than transformational. Although investigations and reviews occurred after incidents, the continued presence of similar failures suggests that learning was not sufficiently embedded into system redesign. A transformational approach would require leaders to anticipate risks, engage staff proactively and create stronger mechanisms for translating learning into practice.</w:t>
      </w:r>
    </w:p>
    <w:p w14:paraId="483EE0B3"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Transactional Leadership</w:t>
      </w:r>
    </w:p>
    <w:p w14:paraId="2F3EFD48"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Transactional leadership focuses on structure, supervision, performance monitoring and compliance with established procedures (Burns, 1978). Within healthcare, this approach remains important because safe care depends on reliable systems, especially when managing high-risk medicines.</w:t>
      </w:r>
    </w:p>
    <w:p w14:paraId="1E878D39"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In this case, transactional leadership is demonstrated through medication policies, prescribing standards and restrictions surrounding specialist medicines. The existence of </w:t>
      </w:r>
      <w:r w:rsidRPr="00280F36">
        <w:rPr>
          <w:rFonts w:ascii="Arial" w:hAnsi="Arial" w:cs="Arial"/>
          <w:color w:val="000000" w:themeColor="text1"/>
          <w:sz w:val="22"/>
          <w:szCs w:val="22"/>
        </w:rPr>
        <w:lastRenderedPageBreak/>
        <w:t>governance procedures shows that the healthcare system recognised the risks associated with concentrated morphine preparations. Clear rules, checking procedures and accountability structures are essential components of safe healthcare delivery.</w:t>
      </w:r>
    </w:p>
    <w:p w14:paraId="596EC1C2"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limitation of transactional leadership is that it may encourage staff to focus on whether procedures have been followed rather than questioning whether the system itself remains safe. Quality improvement requires organisations to move beyond compliance and develop learning cultures where staff actively identify opportunities for improvement (The Health Foundation, 2021).</w:t>
      </w:r>
    </w:p>
    <w:p w14:paraId="090C253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Therefore, transactional leadership should support rather than replace transformational approaches. Policies and standards provide essential foundations, but leaders must ensure that these are continuously reviewed and adapted based on evidence and frontline experience.</w:t>
      </w:r>
    </w:p>
    <w:p w14:paraId="31FB89FD"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Situational Leadership</w:t>
      </w:r>
    </w:p>
    <w:p w14:paraId="19E989CD"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Situational leadership suggests that effective leaders adapt their approach depending on the circumstances, the complexity of the problem and the needs of the workforce (Hersey and Blanchard, 1969). Healthcare leaders frequently need to change their approach depending on whether they are responding to an immediate crisis or implementing long-term improvement.</w:t>
      </w:r>
    </w:p>
    <w:p w14:paraId="2F583D9D"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During the immediate morphine overdose incident, a directive leadership approach would have been necessary to ensure rapid clinical intervention, investigation and risk management. However, preventing future incidents requires a different leadership approach involving collaboration, reflection and organisational learning.</w:t>
      </w:r>
    </w:p>
    <w:p w14:paraId="67407617"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repeated occurrence of similar medication incidents suggests that although immediate responses may have been effective, longer-term adaptive leadership was required. Leaders needed to move beyond crisis management and address underlying issues such as communication failures, fragmented responsibility and weaknesses in safety systems.</w:t>
      </w:r>
    </w:p>
    <w:p w14:paraId="2EFF4A3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Situational leadership is therefore valuable because it recognises that healthcare challenges cannot be managed through one fixed leadership style. Leaders must balance decisive action during emergencies with inclusive approaches during improvement processes.</w:t>
      </w:r>
    </w:p>
    <w:p w14:paraId="12CDFA9E"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Distributed and Compassionate Leadership</w:t>
      </w:r>
    </w:p>
    <w:p w14:paraId="03143773"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Modern healthcare increasingly recognises the importance of distributed leadership, where responsibility for improvement is shared across professional groups. Rather than relying solely on senior managers, distributed leadership enables doctors, nurses, pharmacists and other staff to contribute to organisational decision-making (West et al., 2015).</w:t>
      </w:r>
    </w:p>
    <w:p w14:paraId="399FE529"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This approach is particularly relevant to the morphine incident because the medication pathway involved multiple professionals and services. Shared leadership could improve communication between departments and reduce the risk of safety issues being overlooked between organisational boundaries.</w:t>
      </w:r>
    </w:p>
    <w:p w14:paraId="46271A15"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Compassionate leadership is also essential because safety depends on psychological safety. Edmondson (1999) highlights that teams perform better when individuals feel able to raise concerns without fear of blame. In healthcare, staff must feel confident reporting risks because unreported concerns cannot be addressed.</w:t>
      </w:r>
    </w:p>
    <w:p w14:paraId="65206D58"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West (2021) argues that compassionate leaders listen, understand challenges and take action to support improvement. Applying this approach would help create a culture where staff are encouraged to identify medication risks and contribute to safer systems.</w:t>
      </w:r>
    </w:p>
    <w:p w14:paraId="280FC161"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Critical Evaluation of Leadership Effectiveness</w:t>
      </w:r>
    </w:p>
    <w:p w14:paraId="7F7A7C1A"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case suggests that leadership within the system was predominantly reactive rather than proactive. The organisation responded after harm occurred, but repeated incidents indicate that preventative leadership strategies were insufficient. Effective leadership requires moving beyond investigating failures towards anticipating risks and creating resilient systems.</w:t>
      </w:r>
    </w:p>
    <w:p w14:paraId="18F7F7CB"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most appropriate approach for improving medication safety would be a combination of leadership styles. Transactional leadership remains necessary for maintaining medication standards and accountability, while transformational, distributed and compassionate leadership are required to create cultural change and continuous learning.</w:t>
      </w:r>
    </w:p>
    <w:p w14:paraId="7BE9F472"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demonstrates that healthcare leadership is not simply about managing people; it involves shaping systems, influencing behaviour and ensuring that organisations learn from experience. Leaders who combine strong governance with inclusive decision-making are more likely to create safer healthcare environments and improve long-term organisational performance.</w:t>
      </w:r>
    </w:p>
    <w:p w14:paraId="7A6C32EB" w14:textId="77777777" w:rsidR="00CC0BD1" w:rsidRPr="00280F36" w:rsidRDefault="00CC0BD1"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lastRenderedPageBreak/>
        <w:t>D. Improvement and Lessons Learned</w:t>
      </w:r>
    </w:p>
    <w:p w14:paraId="23EA69F8"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infant morphine overdose incident demonstrates that improving healthcare performance requires more than correcting individual errors; it requires organisations to examine how leadership, governance and system design interact to influence patient safety. A systems approach recognises that healthcare failures are usually caused by multiple contributing factors rather than a single mistake (Reason, 1997). Therefore, effective improvement requires healthcare organisations to identify underlying vulnerabilities, strengthen safety culture and develop mechanisms that prevent similar incidents from recurring.</w:t>
      </w:r>
    </w:p>
    <w:p w14:paraId="72F007A9"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Strengthening Medication Safety Systems</w:t>
      </w:r>
    </w:p>
    <w:p w14:paraId="7D62E3EA" w14:textId="77777777" w:rsidR="00CC0BD1"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primary improvement area identified from this case is the need to strengthen medication safety processes surrounding high-risk medicines. Although concentrated morphine sulphate oral solution was recognised as requiring specialist oversight, existing safeguards failed to prevent an incorrect formulation reaching the patient. The recurrence of similar incidents indicates that previous learning opportunities were not sufficiently translated into reliable system improvements.</w:t>
      </w:r>
    </w:p>
    <w:p w14:paraId="0C94EEE9" w14:textId="77777777" w:rsidR="00CA560A" w:rsidRPr="002D2BF8" w:rsidRDefault="00CA560A">
      <w:pPr>
        <w:pStyle w:val="Heading3"/>
        <w:rPr>
          <w:rFonts w:ascii="Arial" w:eastAsia="Times New Roman" w:hAnsi="Arial" w:cs="Arial"/>
          <w:color w:val="000000" w:themeColor="text1"/>
          <w:kern w:val="0"/>
          <w:sz w:val="22"/>
          <w:szCs w:val="22"/>
          <w14:ligatures w14:val="none"/>
        </w:rPr>
      </w:pPr>
      <w:r w:rsidRPr="002D2BF8">
        <w:rPr>
          <w:rFonts w:ascii="Arial" w:eastAsia="Times New Roman" w:hAnsi="Arial" w:cs="Arial"/>
          <w:color w:val="000000" w:themeColor="text1"/>
          <w:sz w:val="22"/>
          <w:szCs w:val="22"/>
        </w:rPr>
        <w:t>Table 2: Identified Safety Failures and Evidence-Based Improvement Strategies</w:t>
      </w:r>
    </w:p>
    <w:tbl>
      <w:tblPr>
        <w:tblStyle w:val="GridTable1Light-Accent1"/>
        <w:tblW w:w="0" w:type="auto"/>
        <w:tblLook w:val="04A0" w:firstRow="1" w:lastRow="0" w:firstColumn="1" w:lastColumn="0" w:noHBand="0" w:noVBand="1"/>
      </w:tblPr>
      <w:tblGrid>
        <w:gridCol w:w="2854"/>
        <w:gridCol w:w="3030"/>
        <w:gridCol w:w="3132"/>
      </w:tblGrid>
      <w:tr w:rsidR="00CA560A" w:rsidRPr="002D2BF8" w14:paraId="623F419B" w14:textId="77777777" w:rsidTr="00862F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1E4F5" w:themeFill="accent1" w:themeFillTint="33"/>
            <w:hideMark/>
          </w:tcPr>
          <w:p w14:paraId="489E1791" w14:textId="77777777" w:rsidR="00CA560A" w:rsidRPr="002D2BF8" w:rsidRDefault="00CA560A">
            <w:pPr>
              <w:jc w:val="center"/>
              <w:rPr>
                <w:rFonts w:ascii="Arial" w:eastAsia="Times New Roman" w:hAnsi="Arial" w:cs="Arial"/>
                <w:color w:val="000000" w:themeColor="text1"/>
                <w:sz w:val="22"/>
                <w:szCs w:val="22"/>
              </w:rPr>
            </w:pPr>
            <w:r w:rsidRPr="002D2BF8">
              <w:rPr>
                <w:rFonts w:ascii="Arial" w:eastAsia="Times New Roman" w:hAnsi="Arial" w:cs="Arial"/>
                <w:b w:val="0"/>
                <w:bCs w:val="0"/>
                <w:color w:val="000000" w:themeColor="text1"/>
                <w:sz w:val="22"/>
                <w:szCs w:val="22"/>
              </w:rPr>
              <w:t>Problem Identified</w:t>
            </w:r>
          </w:p>
        </w:tc>
        <w:tc>
          <w:tcPr>
            <w:tcW w:w="0" w:type="auto"/>
            <w:shd w:val="clear" w:color="auto" w:fill="C1E4F5" w:themeFill="accent1" w:themeFillTint="33"/>
            <w:hideMark/>
          </w:tcPr>
          <w:p w14:paraId="73FAF4FB" w14:textId="77777777" w:rsidR="00CA560A" w:rsidRPr="002D2BF8" w:rsidRDefault="00CA560A">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2"/>
                <w:szCs w:val="22"/>
              </w:rPr>
            </w:pPr>
            <w:r w:rsidRPr="002D2BF8">
              <w:rPr>
                <w:rFonts w:ascii="Arial" w:eastAsia="Times New Roman" w:hAnsi="Arial" w:cs="Arial"/>
                <w:b w:val="0"/>
                <w:bCs w:val="0"/>
                <w:color w:val="000000" w:themeColor="text1"/>
                <w:sz w:val="22"/>
                <w:szCs w:val="22"/>
              </w:rPr>
              <w:t>Supporting Evidence</w:t>
            </w:r>
          </w:p>
        </w:tc>
        <w:tc>
          <w:tcPr>
            <w:tcW w:w="0" w:type="auto"/>
            <w:shd w:val="clear" w:color="auto" w:fill="C1E4F5" w:themeFill="accent1" w:themeFillTint="33"/>
            <w:hideMark/>
          </w:tcPr>
          <w:p w14:paraId="7D95432E" w14:textId="77777777" w:rsidR="00CA560A" w:rsidRPr="002D2BF8" w:rsidRDefault="00CA560A">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2"/>
                <w:szCs w:val="22"/>
              </w:rPr>
            </w:pPr>
            <w:r w:rsidRPr="002D2BF8">
              <w:rPr>
                <w:rFonts w:ascii="Arial" w:eastAsia="Times New Roman" w:hAnsi="Arial" w:cs="Arial"/>
                <w:b w:val="0"/>
                <w:bCs w:val="0"/>
                <w:color w:val="000000" w:themeColor="text1"/>
                <w:sz w:val="22"/>
                <w:szCs w:val="22"/>
              </w:rPr>
              <w:t>Improvement Strategy / Solution</w:t>
            </w:r>
          </w:p>
        </w:tc>
      </w:tr>
      <w:tr w:rsidR="00CA560A" w:rsidRPr="002D2BF8" w14:paraId="245B9EFC"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2FC4C7ED" w14:textId="77777777" w:rsidR="00CA560A" w:rsidRPr="002D2BF8" w:rsidRDefault="00CA560A" w:rsidP="009961F3">
            <w:pPr>
              <w:spacing w:line="360" w:lineRule="auto"/>
              <w:rPr>
                <w:rFonts w:ascii="Arial" w:eastAsia="Times New Roman" w:hAnsi="Arial" w:cs="Arial"/>
                <w:b w:val="0"/>
                <w:bCs w:val="0"/>
                <w:sz w:val="22"/>
                <w:szCs w:val="22"/>
              </w:rPr>
            </w:pPr>
            <w:r w:rsidRPr="002D2BF8">
              <w:rPr>
                <w:rFonts w:ascii="Arial" w:eastAsia="Times New Roman" w:hAnsi="Arial" w:cs="Arial"/>
                <w:sz w:val="22"/>
                <w:szCs w:val="22"/>
              </w:rPr>
              <w:t>Handwritten discharge summary used abbreviations (‘mcg’) and did not clearly state medication strength or volume.</w:t>
            </w:r>
          </w:p>
        </w:tc>
        <w:tc>
          <w:tcPr>
            <w:tcW w:w="0" w:type="auto"/>
            <w:hideMark/>
          </w:tcPr>
          <w:p w14:paraId="2B36A92A"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The NHS North East and Yorkshire review identified repeated morphine concentration errors, with this being the fifth similar incident since 2018 (NHS North East and Yorkshire, 2023).</w:t>
            </w:r>
          </w:p>
        </w:tc>
        <w:tc>
          <w:tcPr>
            <w:tcW w:w="0" w:type="auto"/>
            <w:hideMark/>
          </w:tcPr>
          <w:p w14:paraId="6B047078"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Introduce mandatory electronic discharge summaries with structured medication fields requiring full drug name, concentration, dose and administration volume.</w:t>
            </w:r>
          </w:p>
        </w:tc>
      </w:tr>
      <w:tr w:rsidR="00CA560A" w:rsidRPr="002D2BF8" w14:paraId="435AC826"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69EEF8E5" w14:textId="5CF0FC26" w:rsidR="00CA560A" w:rsidRPr="002D2BF8" w:rsidRDefault="00A670E5" w:rsidP="009961F3">
            <w:pPr>
              <w:spacing w:line="360" w:lineRule="auto"/>
              <w:rPr>
                <w:rFonts w:ascii="Arial" w:eastAsia="Times New Roman" w:hAnsi="Arial" w:cs="Arial"/>
                <w:sz w:val="22"/>
                <w:szCs w:val="22"/>
              </w:rPr>
            </w:pPr>
            <w:r>
              <w:rPr>
                <w:rFonts w:ascii="Arial" w:eastAsia="Times New Roman" w:hAnsi="Arial" w:cs="Arial"/>
                <w:sz w:val="22"/>
                <w:szCs w:val="22"/>
              </w:rPr>
              <w:t xml:space="preserve">High Risk </w:t>
            </w:r>
            <w:r w:rsidR="00947390">
              <w:rPr>
                <w:rFonts w:ascii="Arial" w:eastAsia="Times New Roman" w:hAnsi="Arial" w:cs="Arial"/>
                <w:sz w:val="22"/>
                <w:szCs w:val="22"/>
              </w:rPr>
              <w:t xml:space="preserve">Morphine </w:t>
            </w:r>
            <w:r w:rsidR="00CA560A" w:rsidRPr="002D2BF8">
              <w:rPr>
                <w:rFonts w:ascii="Arial" w:eastAsia="Times New Roman" w:hAnsi="Arial" w:cs="Arial"/>
                <w:sz w:val="22"/>
                <w:szCs w:val="22"/>
              </w:rPr>
              <w:t>classification was not visible across hospital, GP and community pharmacy systems.</w:t>
            </w:r>
          </w:p>
        </w:tc>
        <w:tc>
          <w:tcPr>
            <w:tcW w:w="0" w:type="auto"/>
            <w:hideMark/>
          </w:tcPr>
          <w:p w14:paraId="0FCF50BF"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Although concentrated morphine was recognised as a high-risk specialist medicine, existing controls did not prevent the error occurring after transfer of care (NHS North East and Yorkshire, 2023).</w:t>
            </w:r>
          </w:p>
        </w:tc>
        <w:tc>
          <w:tcPr>
            <w:tcW w:w="0" w:type="auto"/>
            <w:hideMark/>
          </w:tcPr>
          <w:p w14:paraId="1F5963EA"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Develop integrated electronic prescribing systems with persistent high-risk medicine alerts that transfer across healthcare settings.</w:t>
            </w:r>
          </w:p>
        </w:tc>
      </w:tr>
      <w:tr w:rsidR="00CA560A" w:rsidRPr="002D2BF8" w14:paraId="4C84704B"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0CBD1FDE"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lastRenderedPageBreak/>
              <w:t>Medication safety concerns were communicated indirectly through pharmacy technicians and GP reception staff rather than directly between clinicians.</w:t>
            </w:r>
          </w:p>
        </w:tc>
        <w:tc>
          <w:tcPr>
            <w:tcW w:w="0" w:type="auto"/>
            <w:hideMark/>
          </w:tcPr>
          <w:p w14:paraId="4E7C34C1"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Effective communication is recognised as a key component of patient safety, while poor information transfer contributes to avoidable medication harm (WHO, 2017; O’Daniel and Rosenstein, 2008).</w:t>
            </w:r>
          </w:p>
        </w:tc>
        <w:tc>
          <w:tcPr>
            <w:tcW w:w="0" w:type="auto"/>
            <w:hideMark/>
          </w:tcPr>
          <w:p w14:paraId="0E00B74B"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Require direct clinician-to-clinician communication for any query involving controlled drugs, paediatric medicines or unfamiliar medication strengths.</w:t>
            </w:r>
          </w:p>
        </w:tc>
      </w:tr>
      <w:tr w:rsidR="00CA560A" w:rsidRPr="002D2BF8" w14:paraId="1FBB0152"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0FD4C1FE"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No appropriate measuring device was supplied for the very small 0.1ml dose and verbal reassurance was accepted.</w:t>
            </w:r>
          </w:p>
        </w:tc>
        <w:tc>
          <w:tcPr>
            <w:tcW w:w="0" w:type="auto"/>
            <w:hideMark/>
          </w:tcPr>
          <w:p w14:paraId="7022F175"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Medication errors frequently occur due to weaknesses in administration processes, communication and human factors (WHO, 2017).</w:t>
            </w:r>
          </w:p>
        </w:tc>
        <w:tc>
          <w:tcPr>
            <w:tcW w:w="0" w:type="auto"/>
            <w:hideMark/>
          </w:tcPr>
          <w:p w14:paraId="0795FA96"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Provide appropriate oral syringes for low-volume paediatric medicines and introduce teach-back methods where parents demonstrate their understanding of dosage instructions.</w:t>
            </w:r>
          </w:p>
        </w:tc>
      </w:tr>
      <w:tr w:rsidR="00CA560A" w:rsidRPr="002D2BF8" w14:paraId="774B34CE"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642E5C70"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Reliance on staff familiarity with rare high-risk medicines created vulnerability.</w:t>
            </w:r>
          </w:p>
        </w:tc>
        <w:tc>
          <w:tcPr>
            <w:tcW w:w="0" w:type="auto"/>
            <w:hideMark/>
          </w:tcPr>
          <w:p w14:paraId="619D109F"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Workforce pressures, increasing demand and staffing shortages can reduce organisational capacity to maintain safe systems and learning processes (The King’s Fund, 2023).</w:t>
            </w:r>
          </w:p>
        </w:tc>
        <w:tc>
          <w:tcPr>
            <w:tcW w:w="0" w:type="auto"/>
            <w:hideMark/>
          </w:tcPr>
          <w:p w14:paraId="61939F18"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Introduce mandatory training and induction regarding high-risk medicines for locum, agency and newly rotating staff.</w:t>
            </w:r>
          </w:p>
        </w:tc>
      </w:tr>
      <w:tr w:rsidR="00CA560A" w:rsidRPr="002D2BF8" w14:paraId="665F27C0"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1B35C1EB"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Previous incidents generated learning opportunities but changes were not embedded across the wider system.</w:t>
            </w:r>
          </w:p>
        </w:tc>
        <w:tc>
          <w:tcPr>
            <w:tcW w:w="0" w:type="auto"/>
            <w:hideMark/>
          </w:tcPr>
          <w:p w14:paraId="785D0A3E"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The recurrence of five similar incidents since 2018 suggests that learning was not effectively translated into wider system redesign (NHS North East and Yorkshire, 2023).</w:t>
            </w:r>
          </w:p>
        </w:tc>
        <w:tc>
          <w:tcPr>
            <w:tcW w:w="0" w:type="auto"/>
            <w:hideMark/>
          </w:tcPr>
          <w:p w14:paraId="245EDD5E"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Establish national review of repeated medication incidents, monitor implementation of recommendations and use safety data to support continuous improvement.</w:t>
            </w:r>
          </w:p>
        </w:tc>
      </w:tr>
    </w:tbl>
    <w:p w14:paraId="65A10140" w14:textId="77777777" w:rsidR="00CA560A" w:rsidRPr="00CA560A" w:rsidRDefault="00CA560A">
      <w:pPr>
        <w:pStyle w:val="z-TopofForm"/>
      </w:pPr>
      <w:r w:rsidRPr="00CA560A">
        <w:t>Top of Form</w:t>
      </w:r>
    </w:p>
    <w:p w14:paraId="6CB9D0A2" w14:textId="77777777" w:rsidR="00CA560A" w:rsidRPr="00CA560A" w:rsidRDefault="00CA560A">
      <w:pPr>
        <w:pStyle w:val="placeholder"/>
        <w:rPr>
          <w:rFonts w:ascii="Arial" w:hAnsi="Arial" w:cs="Arial"/>
        </w:rPr>
      </w:pPr>
    </w:p>
    <w:p w14:paraId="2F85D5A2" w14:textId="77777777" w:rsidR="00CA560A" w:rsidRDefault="00CA560A">
      <w:pPr>
        <w:pStyle w:val="z-BottomofForm"/>
      </w:pPr>
      <w:r>
        <w:t>Bottom of Form</w:t>
      </w:r>
    </w:p>
    <w:p w14:paraId="7AFB3D6A" w14:textId="332FFFA0" w:rsidR="00860801" w:rsidRDefault="00860801"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WHO (2017) identifies medication safety as a global priority and recommends system-based interventions rather than reliance on individual vigilance. Therefore, improvements should combine electronic prescribing, pharmacist verification, clear medication labelling and </w:t>
      </w:r>
      <w:r>
        <w:rPr>
          <w:rFonts w:ascii="Arial" w:hAnsi="Arial" w:cs="Arial"/>
          <w:color w:val="000000" w:themeColor="text1"/>
          <w:sz w:val="22"/>
          <w:szCs w:val="22"/>
        </w:rPr>
        <w:lastRenderedPageBreak/>
        <w:t>strong human-factor approaches, recognising that technology alone cannot eliminate risks within complex healthcare systems (</w:t>
      </w:r>
      <w:proofErr w:type="spellStart"/>
      <w:r>
        <w:rPr>
          <w:rFonts w:ascii="Arial" w:hAnsi="Arial" w:cs="Arial"/>
          <w:color w:val="000000" w:themeColor="text1"/>
          <w:sz w:val="22"/>
          <w:szCs w:val="22"/>
        </w:rPr>
        <w:t>Carayon</w:t>
      </w:r>
      <w:proofErr w:type="spellEnd"/>
      <w:r>
        <w:rPr>
          <w:rFonts w:ascii="Arial" w:hAnsi="Arial" w:cs="Arial"/>
          <w:color w:val="000000" w:themeColor="text1"/>
          <w:sz w:val="22"/>
          <w:szCs w:val="22"/>
        </w:rPr>
        <w:t xml:space="preserve"> et al., 2014).</w:t>
      </w:r>
    </w:p>
    <w:p w14:paraId="154B3ADC" w14:textId="77777777" w:rsidR="00CC0BD1"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Developing a Stronger Learning Culture</w:t>
      </w:r>
    </w:p>
    <w:p w14:paraId="0E238AF4" w14:textId="04966C0A" w:rsidR="00F24D7C" w:rsidRPr="00F24D7C" w:rsidRDefault="00F24D7C" w:rsidP="00F24D7C">
      <w:pPr>
        <w:spacing w:line="360" w:lineRule="auto"/>
        <w:rPr>
          <w:rFonts w:ascii="Arial" w:hAnsi="Arial" w:cs="Arial"/>
          <w:sz w:val="22"/>
          <w:szCs w:val="22"/>
        </w:rPr>
      </w:pPr>
      <w:r w:rsidRPr="00F24D7C">
        <w:rPr>
          <w:rFonts w:ascii="Arial" w:hAnsi="Arial" w:cs="Arial"/>
          <w:sz w:val="22"/>
          <w:szCs w:val="22"/>
        </w:rPr>
        <w:t>Repeated morphine errors indicate that learning from previous incidents was not effectively translated into sustainable system change. Patient safety requires organisations to convert incident findings into measurable improvements.</w:t>
      </w:r>
    </w:p>
    <w:p w14:paraId="4A03433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NHS Patient Safety Incident Response Framework promotes a shift away from blame-focused investigations towards understanding contributing factors and improving systems (NHS England, 2022). This approach reflects modern patient safety thinking, where errors are viewed as opportunities to examine weaknesses in processes, communication and decision-making.</w:t>
      </w:r>
    </w:p>
    <w:p w14:paraId="7A363786"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Leaders should ensure that incident investigations involve multidisciplinary teams, including clinicians, pharmacists, governance professionals and where appropriate, patients and families. Collaborative investigation improves understanding of the factors contributing to harm and supports the development of realistic solutions.</w:t>
      </w:r>
    </w:p>
    <w:p w14:paraId="0CFCF669"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organisations should also evaluate whether recommended actions following incidents have achieved measurable improvement. Too often, investigations identify problems but fail to monitor whether interventions reduce future risk. Regular audits, safety indicators and feedback mechanisms are required to ensure continuous improvement.</w:t>
      </w:r>
    </w:p>
    <w:p w14:paraId="5F85CED1"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Improving Communication and System Integration</w:t>
      </w:r>
    </w:p>
    <w:p w14:paraId="2B5C1C5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case highlights the risks associated with fragmented healthcare delivery. The infant’s medication pathway involved different professionals and services, meaning safe care depended on effective communication between organisational boundaries. When responsibility is distributed across multiple services, there is increased potential for information loss and unclear accountability.</w:t>
      </w:r>
    </w:p>
    <w:p w14:paraId="07B8FFF8"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should therefore focus on strengthening integration between hospitals, pharmacies, primary care and community services. Shared communication systems, structured handovers and clear responsibilities for medication management can reduce risks associated with transitions of care.</w:t>
      </w:r>
    </w:p>
    <w:p w14:paraId="5F407AF3"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The NHS Long Term Plan emphasises the importance of integrated care systems that encourage collaboration between organisations and reduce fragmentation (NHS England, </w:t>
      </w:r>
      <w:r w:rsidRPr="00280F36">
        <w:rPr>
          <w:rFonts w:ascii="Arial" w:hAnsi="Arial" w:cs="Arial"/>
          <w:color w:val="000000" w:themeColor="text1"/>
          <w:sz w:val="22"/>
          <w:szCs w:val="22"/>
        </w:rPr>
        <w:lastRenderedPageBreak/>
        <w:t>2019). Effective integration requires leadership that promotes shared responsibility rather than allowing professional or organisational boundaries to limit communication.</w:t>
      </w:r>
    </w:p>
    <w:p w14:paraId="47B99C69"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Enhancing Psychological Safety and Staff Engagement</w:t>
      </w:r>
    </w:p>
    <w:p w14:paraId="36B243B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Another important lesson is the need to develop psychological safety within healthcare teams. Edmondson (1999) identifies psychological safety as essential for learning because staff are more likely to report concerns, discuss mistakes and contribute ideas when they feel supported.</w:t>
      </w:r>
    </w:p>
    <w:p w14:paraId="6FDC4F3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blame culture can prevent organisations from identifying risks because staff may avoid reporting problems due to fear of criticism. In contrast, compassionate leadership encourages openness and improvement by recognising the challenges faced by healthcare professionals (West, 2021).</w:t>
      </w:r>
    </w:p>
    <w:p w14:paraId="71D8EB37"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leaders should therefore promote environments where staff are encouraged to question processes, report safety concerns and participate in improvement activities. This is particularly important in medication safety because frontline professionals often identify risks before serious harm occurs.</w:t>
      </w:r>
    </w:p>
    <w:p w14:paraId="29C49A30"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Using Data to Support Continuous Improvement</w:t>
      </w:r>
    </w:p>
    <w:p w14:paraId="765BEAF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strategies must be supported by reliable data. Healthcare organisations should use medication incident data, audit findings and safety performance measures to identify trends and evaluate whether interventions are effective. Quality improvement approaches provide structured methods for testing changes, measuring outcomes and sustaining improvements over time (The Health Foundation, 2021).</w:t>
      </w:r>
    </w:p>
    <w:p w14:paraId="3F52FE0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Data should not simply be used retrospectively after harm has occurred; it should support proactive risk identification. By monitoring patterns in medication errors, organisations can identify emerging risks and intervene before patients are harmed.</w:t>
      </w:r>
    </w:p>
    <w:p w14:paraId="6DE7E74C" w14:textId="77777777" w:rsidR="00CC0BD1"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Overall Lessons for Healthcare Organisations</w:t>
      </w:r>
    </w:p>
    <w:p w14:paraId="09A5C7C1" w14:textId="5EAA8608" w:rsidR="00E270CD" w:rsidRPr="00E14435" w:rsidRDefault="00E14435" w:rsidP="00E14435">
      <w:pPr>
        <w:spacing w:line="360" w:lineRule="auto"/>
        <w:rPr>
          <w:rFonts w:ascii="Arial" w:hAnsi="Arial" w:cs="Arial"/>
          <w:sz w:val="22"/>
          <w:szCs w:val="22"/>
        </w:rPr>
      </w:pPr>
      <w:r w:rsidRPr="00E14435">
        <w:rPr>
          <w:rFonts w:ascii="Arial" w:hAnsi="Arial" w:cs="Arial"/>
          <w:sz w:val="22"/>
          <w:szCs w:val="22"/>
        </w:rPr>
        <w:t>The incident demonstrates that patient safety depends on the interaction between leadership, governance and system design. Multiple barriers failed; therefore, improvement requires a whole-system approach.</w:t>
      </w:r>
    </w:p>
    <w:p w14:paraId="676860A0"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Other healthcare organisations can learn that policies alone do not guarantee safety. Effective implementation requires leadership that supports staff, governance systems that </w:t>
      </w:r>
      <w:r w:rsidRPr="00280F36">
        <w:rPr>
          <w:rFonts w:ascii="Arial" w:hAnsi="Arial" w:cs="Arial"/>
          <w:color w:val="000000" w:themeColor="text1"/>
          <w:sz w:val="22"/>
          <w:szCs w:val="22"/>
        </w:rPr>
        <w:lastRenderedPageBreak/>
        <w:t>promote accountability and data-driven approaches that enable continuous learning. Organisations should aim to become learning systems where evidence from incidents is actively used to redesign services and improve outcomes.</w:t>
      </w:r>
    </w:p>
    <w:p w14:paraId="2A4FCEA4"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case demonstrates that sustainable improvement requires moving from reactive responses towards proactive safety management. By combining strong governance, transformational leadership and systems thinking, healthcare organisations can reduce avoidable harm and improve the reliability of care.</w:t>
      </w:r>
    </w:p>
    <w:p w14:paraId="46745A3A" w14:textId="77777777" w:rsidR="0026325D" w:rsidRPr="00280F36" w:rsidRDefault="0026325D"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Recommendations</w:t>
      </w:r>
    </w:p>
    <w:p w14:paraId="78B62F88"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Based on the analysis of the infant morphine overdose incident, several recommendations are proposed to strengthen patient safety, improve organisational performance and support sustainable healthcare improvement. These recommendations focus on leadership, governance, communication, system integration and continuous learning.</w:t>
      </w:r>
    </w:p>
    <w:p w14:paraId="004A6F71"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1. Adopt Transformational and Distributed Leadership Approaches</w:t>
      </w:r>
    </w:p>
    <w:p w14:paraId="42A1FF44" w14:textId="77777777" w:rsidR="0026325D"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organisation should strengthen transformational and distributed leadership approaches to create a proactive safety culture. Transformational leadership would enable leaders to develop a shared vision for safer care, encourage innovation and support staff involvement in improvement activities (Bass, 1985). Distributed leadership should also be promoted because patient safety cannot be achieved through senior leadership alone; it requires active involvement from healthcare professionals across different roles and services (West et al., 2015).</w:t>
      </w:r>
    </w:p>
    <w:p w14:paraId="3E98C630" w14:textId="05F801D2" w:rsidR="00390C50" w:rsidRPr="00390C50" w:rsidRDefault="00390C50" w:rsidP="00280F36">
      <w:pPr>
        <w:pStyle w:val="NormalWeb"/>
        <w:spacing w:line="360" w:lineRule="auto"/>
        <w:rPr>
          <w:rFonts w:ascii="Arial" w:hAnsi="Arial" w:cs="Arial"/>
          <w:color w:val="000000" w:themeColor="text1"/>
          <w:sz w:val="22"/>
          <w:szCs w:val="22"/>
        </w:rPr>
      </w:pPr>
      <w:r w:rsidRPr="00390C50">
        <w:rPr>
          <w:rFonts w:ascii="Arial" w:hAnsi="Arial" w:cs="Arial"/>
          <w:color w:val="000000" w:themeColor="text1"/>
          <w:sz w:val="22"/>
          <w:szCs w:val="22"/>
        </w:rPr>
        <w:t>Leaders should adopt a proactive approach by anticipating risks, encouraging staff engagement and creating psychologically safe environments where concerns can be raised (Edmondson, 1999).</w:t>
      </w:r>
    </w:p>
    <w:p w14:paraId="0BBDD30C"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2. Strengthen Medication Governance and Safety Controls</w:t>
      </w:r>
    </w:p>
    <w:p w14:paraId="0D0805AE" w14:textId="07CEA6E7" w:rsidR="007045BA" w:rsidRDefault="007045BA"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High-risk medicines require strengthened governance because repeated incidents demonstrate gaps between policy and implementation.</w:t>
      </w:r>
    </w:p>
    <w:p w14:paraId="5F33DBE3"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Actions should include:</w:t>
      </w:r>
    </w:p>
    <w:p w14:paraId="638787C0"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improving electronic prescribing alerts for high-risk medicines;</w:t>
      </w:r>
    </w:p>
    <w:p w14:paraId="616FCD5B"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introducing robust pharmacist verification processes;</w:t>
      </w:r>
    </w:p>
    <w:p w14:paraId="1925F886"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ensuring clear differentiation between medication concentrations;</w:t>
      </w:r>
    </w:p>
    <w:p w14:paraId="60BBE5B3"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conducting regular medication safety audits;</w:t>
      </w:r>
    </w:p>
    <w:p w14:paraId="2367E6A3"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monitoring compliance with safety procedures.</w:t>
      </w:r>
    </w:p>
    <w:p w14:paraId="6407B030"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These measures reflect WHO (2017) recommendations that medication safety requires reliable systems rather than dependence on individual memory or vigilance.</w:t>
      </w:r>
    </w:p>
    <w:p w14:paraId="7CF98AEE" w14:textId="2A96167D" w:rsidR="006C5CE0" w:rsidRPr="005B45EF" w:rsidRDefault="0026325D" w:rsidP="005B45EF">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3. Improve Communication and Integrated Working</w:t>
      </w:r>
    </w:p>
    <w:p w14:paraId="7464A8A8"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demonstrates the risks associated with fragmented care pathways. Healthcare organisations should strengthen communication between hospitals, pharmacies, general practitioners and community services.</w:t>
      </w:r>
    </w:p>
    <w:p w14:paraId="54A7311D"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strategies should include:</w:t>
      </w:r>
    </w:p>
    <w:p w14:paraId="2D13F795"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structured transfer-of-care communication;</w:t>
      </w:r>
    </w:p>
    <w:p w14:paraId="720DE4FE"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shared documentation systems;</w:t>
      </w:r>
    </w:p>
    <w:p w14:paraId="1A16EA9F"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clear accountability for medication management;</w:t>
      </w:r>
    </w:p>
    <w:p w14:paraId="7C33A376"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multidisciplinary safety discussions.</w:t>
      </w:r>
    </w:p>
    <w:p w14:paraId="6412CD91"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Integrated working reduces the risk of information being lost between services and supports safer patient journeys. This aligns with the NHS Long Term Plan, which emphasises collaboration between organisations to improve continuity and quality of care (NHS England, 2019).</w:t>
      </w:r>
    </w:p>
    <w:p w14:paraId="40651C80"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4. Develop Continuous Learning and Improvement Systems</w:t>
      </w:r>
    </w:p>
    <w:p w14:paraId="020338C4"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organisation should strengthen mechanisms for learning from incidents by ensuring that investigations result in measurable improvements. The NHS Patient Safety Incident Response Framework promotes learning-focused investigations that identify system weaknesses and support prevention of future harm (NHS England, 2022).</w:t>
      </w:r>
    </w:p>
    <w:p w14:paraId="50A557A5"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leaders should monitor whether improvement actions are effective through:</w:t>
      </w:r>
    </w:p>
    <w:p w14:paraId="722047BB"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medication safety indicators;</w:t>
      </w:r>
    </w:p>
    <w:p w14:paraId="5B6CCC44"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incident trend analysis;</w:t>
      </w:r>
    </w:p>
    <w:p w14:paraId="77E525CA"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staff feedback;</w:t>
      </w:r>
    </w:p>
    <w:p w14:paraId="2CE7B576"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regular quality improvement reviews.</w:t>
      </w:r>
    </w:p>
    <w:p w14:paraId="50294C1A" w14:textId="0386DFD3"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 xml:space="preserve">Using evidence and data in this way supports continuous improvement and strengthens </w:t>
      </w:r>
      <w:r w:rsidR="00250C18" w:rsidRPr="00280F36">
        <w:rPr>
          <w:rFonts w:ascii="Arial" w:hAnsi="Arial" w:cs="Arial"/>
          <w:color w:val="000000" w:themeColor="text1"/>
          <w:sz w:val="22"/>
          <w:szCs w:val="22"/>
        </w:rPr>
        <w:t>accountability.</w:t>
      </w:r>
      <w:r w:rsidR="00250C18">
        <w:rPr>
          <w:rFonts w:ascii="Arial" w:hAnsi="Arial" w:cs="Arial"/>
          <w:color w:val="000000" w:themeColor="text1"/>
          <w:sz w:val="22"/>
          <w:szCs w:val="22"/>
        </w:rPr>
        <w:t xml:space="preserve"> This reflects the CQC’s (2022) view that effective providers require robust systems for monitoring performance, identifying risks and embedding learning to improve patient safety.</w:t>
      </w:r>
    </w:p>
    <w:p w14:paraId="5B597249"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5. Increase Patient and Family Co-production</w:t>
      </w:r>
    </w:p>
    <w:p w14:paraId="1182497E"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Patients and families should be recognised as important partners in improving healthcare safety. Clear communication with families regarding medicines, including confirmation of understanding, can act as an additional safety barrier. Healthcare organisations should use accessible language and encourage families to ask questions about medication instructions.</w:t>
      </w:r>
    </w:p>
    <w:p w14:paraId="4E4A1AA0" w14:textId="77777777" w:rsidR="0026325D"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Co-production supports person-centred care by ensuring that improvement strategies consider the experiences of those receiving services.</w:t>
      </w:r>
    </w:p>
    <w:p w14:paraId="11B66975" w14:textId="7BDF9DC1" w:rsidR="009D5ECA" w:rsidRPr="00241688" w:rsidRDefault="009D5ECA" w:rsidP="00280F36">
      <w:pPr>
        <w:pStyle w:val="NormalWeb"/>
        <w:spacing w:line="360" w:lineRule="auto"/>
        <w:rPr>
          <w:rFonts w:ascii="Arial" w:hAnsi="Arial" w:cs="Arial"/>
          <w:b/>
          <w:bCs/>
          <w:color w:val="000000" w:themeColor="text1"/>
          <w:sz w:val="22"/>
          <w:szCs w:val="22"/>
        </w:rPr>
      </w:pPr>
      <w:r w:rsidRPr="00241688">
        <w:rPr>
          <w:rFonts w:ascii="Arial" w:hAnsi="Arial" w:cs="Arial"/>
          <w:b/>
          <w:bCs/>
          <w:color w:val="000000" w:themeColor="text1"/>
          <w:sz w:val="22"/>
          <w:szCs w:val="22"/>
        </w:rPr>
        <w:t>Proposed Transformation Strategy</w:t>
      </w:r>
    </w:p>
    <w:p w14:paraId="1DF85D03" w14:textId="453A8363" w:rsidR="009D5ECA" w:rsidRPr="00280F36" w:rsidRDefault="009D5ECA"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 systems-based transformation strategy, informed by the Plan-Do-Study-Act (PDSA) improvement cycle, should be introduced to redesign medication safety </w:t>
      </w:r>
      <w:r w:rsidR="002D177F">
        <w:rPr>
          <w:rFonts w:ascii="Arial" w:hAnsi="Arial" w:cs="Arial"/>
          <w:color w:val="000000" w:themeColor="text1"/>
          <w:sz w:val="22"/>
          <w:szCs w:val="22"/>
        </w:rPr>
        <w:t>processes. The</w:t>
      </w:r>
      <w:r w:rsidR="00076FEF">
        <w:rPr>
          <w:rFonts w:ascii="Arial" w:hAnsi="Arial" w:cs="Arial"/>
          <w:color w:val="000000" w:themeColor="text1"/>
          <w:sz w:val="22"/>
          <w:szCs w:val="22"/>
        </w:rPr>
        <w:t xml:space="preserve"> PDSA model supports iterative testing of change by allowing healthcare teams to plan interventions, implement them on a small scale, evaluate outcomes and refine processes before wider implementation (Batalden and Davidoff, 2007).</w:t>
      </w:r>
      <w:r>
        <w:rPr>
          <w:rFonts w:ascii="Arial" w:hAnsi="Arial" w:cs="Arial"/>
          <w:color w:val="000000" w:themeColor="text1"/>
          <w:sz w:val="22"/>
          <w:szCs w:val="22"/>
        </w:rPr>
        <w:t xml:space="preserve"> The strategy would combine electronic prescribing safeguards, multidisciplinary medication reviews, staff engagement and continuous measurement of safety outcomes. Success should be evaluated through reductions in medication incidents, improved reporting culture, audit compliance and staff confidence in raising concerns. This approach would support sustainable improvement by integrating leadership, governance and evidence-based quality improvement.</w:t>
      </w:r>
    </w:p>
    <w:p w14:paraId="0BEC3A47" w14:textId="77777777" w:rsidR="0026325D" w:rsidRPr="00241688" w:rsidRDefault="0026325D" w:rsidP="00280F36">
      <w:pPr>
        <w:pStyle w:val="Heading2"/>
        <w:spacing w:line="360" w:lineRule="auto"/>
        <w:rPr>
          <w:rFonts w:ascii="Arial" w:eastAsia="Times New Roman" w:hAnsi="Arial" w:cs="Arial"/>
          <w:b/>
          <w:bCs/>
          <w:color w:val="000000" w:themeColor="text1"/>
          <w:sz w:val="22"/>
          <w:szCs w:val="22"/>
        </w:rPr>
      </w:pPr>
      <w:r w:rsidRPr="00241688">
        <w:rPr>
          <w:rFonts w:ascii="Arial" w:eastAsia="Times New Roman" w:hAnsi="Arial" w:cs="Arial"/>
          <w:b/>
          <w:bCs/>
          <w:color w:val="000000" w:themeColor="text1"/>
          <w:sz w:val="22"/>
          <w:szCs w:val="22"/>
        </w:rPr>
        <w:t>Summary of Recommendations</w:t>
      </w:r>
    </w:p>
    <w:p w14:paraId="00847A95"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organisation should adopt a balanced approach combining strong governance with empowered frontline leadership. National standards remain essential for consistency, but local teams must have the authority and support to identify risks and develop improvements. By integrating transformational leadership, effective medication governance, communication systems and continuous learning, healthcare organisations can improve both technical efficiency by reducing avoidable harm and allocative efficiency by directing resources towards interventions with the greatest safety benefit.</w:t>
      </w:r>
    </w:p>
    <w:p w14:paraId="40FD3306" w14:textId="77777777" w:rsidR="00583B39" w:rsidRDefault="00583B39" w:rsidP="00280F36">
      <w:pPr>
        <w:pStyle w:val="Heading1"/>
        <w:spacing w:line="360" w:lineRule="auto"/>
        <w:rPr>
          <w:rFonts w:ascii="Arial" w:eastAsia="Times New Roman" w:hAnsi="Arial" w:cs="Arial"/>
          <w:b/>
          <w:bCs/>
          <w:color w:val="000000" w:themeColor="text1"/>
          <w:sz w:val="22"/>
          <w:szCs w:val="22"/>
        </w:rPr>
      </w:pPr>
      <w:r w:rsidRPr="00280F36">
        <w:rPr>
          <w:rFonts w:ascii="Arial" w:eastAsia="Times New Roman" w:hAnsi="Arial" w:cs="Arial"/>
          <w:b/>
          <w:bCs/>
          <w:color w:val="000000" w:themeColor="text1"/>
          <w:sz w:val="22"/>
          <w:szCs w:val="22"/>
        </w:rPr>
        <w:lastRenderedPageBreak/>
        <w:t>Conclusion</w:t>
      </w:r>
    </w:p>
    <w:p w14:paraId="46E3B545" w14:textId="58CDD1A9" w:rsidR="008A0CE1" w:rsidRPr="00611390" w:rsidRDefault="00904BE5" w:rsidP="00611390">
      <w:pPr>
        <w:spacing w:line="360" w:lineRule="auto"/>
        <w:rPr>
          <w:rFonts w:ascii="Arial" w:hAnsi="Arial" w:cs="Arial"/>
          <w:sz w:val="22"/>
          <w:szCs w:val="22"/>
          <w:lang w:eastAsia="en-US"/>
        </w:rPr>
      </w:pPr>
      <w:r w:rsidRPr="00611390">
        <w:rPr>
          <w:rFonts w:ascii="Arial" w:eastAsia="Times New Roman" w:hAnsi="Arial" w:cs="Arial"/>
          <w:sz w:val="22"/>
          <w:szCs w:val="22"/>
        </w:rPr>
        <w:t>This case report has examined the 2023 NHS infant morphine overdose incident to explore how leadership, governance and systems thinking interact to influence patient safety. The analysis demonstrates that the incident was not caused by an individual error alone, but by weaknesses within a complex system where centralised safety policies were not effectively translated into a decentralised and poorly integrated care pathway. Limited feedback mechanisms prevented frontline concerns from reaching decision-makers who could have prevented harm.</w:t>
      </w:r>
    </w:p>
    <w:p w14:paraId="361A4C74" w14:textId="5FCFC5E5" w:rsidR="008A0CE1" w:rsidRPr="00611390" w:rsidRDefault="006B0DDC" w:rsidP="00611390">
      <w:pPr>
        <w:spacing w:line="360" w:lineRule="auto"/>
        <w:rPr>
          <w:rFonts w:ascii="Arial" w:hAnsi="Arial" w:cs="Arial"/>
          <w:sz w:val="22"/>
          <w:szCs w:val="22"/>
          <w:lang w:eastAsia="en-US"/>
        </w:rPr>
      </w:pPr>
      <w:r w:rsidRPr="00611390">
        <w:rPr>
          <w:rFonts w:ascii="Arial" w:hAnsi="Arial" w:cs="Arial"/>
          <w:sz w:val="22"/>
          <w:szCs w:val="22"/>
          <w:lang w:eastAsia="en-US"/>
        </w:rPr>
        <w:t>Evidence from the World Health Organization, NHS incident reporting systems and the Institute for Healthcare Improvement highlights that medication-related harm is a systemic and preventable challenge associated with communication failures, workforce pressures and weaknesses in safety processes. The recurrence of this incident as the fifth similar case since 2018 demonstrates that previous learning was not fully embedded into system redesign.</w:t>
      </w:r>
    </w:p>
    <w:p w14:paraId="17A373DF" w14:textId="3DC60C93" w:rsidR="006B0DDC" w:rsidRPr="00611390" w:rsidRDefault="00611390" w:rsidP="00611390">
      <w:pPr>
        <w:spacing w:line="360" w:lineRule="auto"/>
        <w:rPr>
          <w:rFonts w:ascii="Arial" w:hAnsi="Arial" w:cs="Arial"/>
          <w:sz w:val="22"/>
          <w:szCs w:val="22"/>
          <w:lang w:eastAsia="en-US"/>
        </w:rPr>
      </w:pPr>
      <w:r w:rsidRPr="00611390">
        <w:rPr>
          <w:rFonts w:ascii="Arial" w:hAnsi="Arial" w:cs="Arial"/>
          <w:sz w:val="22"/>
          <w:szCs w:val="22"/>
          <w:lang w:eastAsia="en-US"/>
        </w:rPr>
        <w:t>The central lesson for health and social care organisations is that leadership, governance and systems thinking must operate together. Governance establishes safety expectations, systems determine how these are implemented, and leadership influences whether staff feel empowered to identify and escalate risks. Sustainable improvement requires closing gaps between policy and practice, adopting leadership approaches appropriate to risk and complexity, and using incident data and near-misses as opportunities for continuous learning and redesign rather than retrospective accountability.</w:t>
      </w:r>
    </w:p>
    <w:p w14:paraId="4E72317B" w14:textId="23CD2252" w:rsidR="00611390" w:rsidRDefault="005C3960" w:rsidP="00E41FA5">
      <w:pPr>
        <w:pStyle w:val="z-BottomofForm"/>
      </w:pPr>
      <w:r>
        <w:t>Bottom of Form</w:t>
      </w:r>
    </w:p>
    <w:p w14:paraId="1022FA6C" w14:textId="77777777" w:rsidR="00611390" w:rsidRDefault="00611390" w:rsidP="00611390">
      <w:pPr>
        <w:rPr>
          <w:lang w:eastAsia="en-US"/>
        </w:rPr>
      </w:pPr>
    </w:p>
    <w:p w14:paraId="43A4AB7E" w14:textId="77777777" w:rsidR="00611390" w:rsidRDefault="00611390" w:rsidP="00611390">
      <w:pPr>
        <w:rPr>
          <w:lang w:eastAsia="en-US"/>
        </w:rPr>
      </w:pPr>
    </w:p>
    <w:p w14:paraId="71916CB3" w14:textId="77777777" w:rsidR="00611390" w:rsidRDefault="00611390" w:rsidP="00611390">
      <w:pPr>
        <w:rPr>
          <w:lang w:eastAsia="en-US"/>
        </w:rPr>
      </w:pPr>
    </w:p>
    <w:p w14:paraId="7E2AD7C8" w14:textId="77777777" w:rsidR="00611390" w:rsidRPr="00611390" w:rsidRDefault="00611390" w:rsidP="00611390">
      <w:pPr>
        <w:rPr>
          <w:lang w:eastAsia="en-US"/>
        </w:rPr>
      </w:pPr>
    </w:p>
    <w:p w14:paraId="1980083A" w14:textId="77777777" w:rsidR="00E41FA5" w:rsidRDefault="00E41FA5" w:rsidP="00280F36">
      <w:pPr>
        <w:pStyle w:val="Heading1"/>
        <w:spacing w:line="360" w:lineRule="auto"/>
        <w:rPr>
          <w:rFonts w:ascii="Arial" w:eastAsia="Times New Roman" w:hAnsi="Arial" w:cs="Arial"/>
          <w:b/>
          <w:bCs/>
          <w:color w:val="000000" w:themeColor="text1"/>
          <w:sz w:val="28"/>
          <w:szCs w:val="28"/>
        </w:rPr>
      </w:pPr>
    </w:p>
    <w:p w14:paraId="74A5D064" w14:textId="77777777" w:rsidR="002C4452" w:rsidRDefault="002C4452" w:rsidP="002C4452"/>
    <w:p w14:paraId="4885FC6B" w14:textId="77777777" w:rsidR="002C4452" w:rsidRDefault="002C4452" w:rsidP="002C4452"/>
    <w:p w14:paraId="2A057292" w14:textId="77777777" w:rsidR="002C4452" w:rsidRDefault="002C4452" w:rsidP="002C4452"/>
    <w:p w14:paraId="72411C22" w14:textId="77777777" w:rsidR="002C4452" w:rsidRPr="002C4452" w:rsidRDefault="002C4452" w:rsidP="002C4452"/>
    <w:p w14:paraId="26DACE58" w14:textId="500BFBEE" w:rsidR="002E677D" w:rsidRPr="00280F36" w:rsidRDefault="002E677D" w:rsidP="00280F36">
      <w:pPr>
        <w:pStyle w:val="Heading1"/>
        <w:spacing w:line="360" w:lineRule="auto"/>
        <w:rPr>
          <w:rFonts w:ascii="Arial" w:eastAsia="Times New Roman" w:hAnsi="Arial" w:cs="Arial"/>
          <w:b/>
          <w:bCs/>
          <w:color w:val="000000" w:themeColor="text1"/>
          <w:sz w:val="28"/>
          <w:szCs w:val="28"/>
        </w:rPr>
      </w:pPr>
      <w:r w:rsidRPr="00280F36">
        <w:rPr>
          <w:rFonts w:ascii="Arial" w:eastAsia="Times New Roman" w:hAnsi="Arial" w:cs="Arial"/>
          <w:b/>
          <w:bCs/>
          <w:color w:val="000000" w:themeColor="text1"/>
          <w:sz w:val="28"/>
          <w:szCs w:val="28"/>
        </w:rPr>
        <w:lastRenderedPageBreak/>
        <w:t>References</w:t>
      </w:r>
    </w:p>
    <w:p w14:paraId="2A91E874" w14:textId="499F21D3" w:rsidR="003577F3" w:rsidRPr="00280F36" w:rsidRDefault="003577F3" w:rsidP="00280F36">
      <w:pPr>
        <w:spacing w:line="360" w:lineRule="auto"/>
        <w:rPr>
          <w:rFonts w:ascii="Arial" w:hAnsi="Arial" w:cs="Arial"/>
          <w:sz w:val="22"/>
          <w:szCs w:val="22"/>
        </w:rPr>
      </w:pPr>
      <w:r w:rsidRPr="00280F36">
        <w:rPr>
          <w:rStyle w:val="Strong"/>
          <w:rFonts w:ascii="Arial" w:eastAsia="Times New Roman" w:hAnsi="Arial" w:cs="Arial"/>
          <w:b w:val="0"/>
          <w:bCs w:val="0"/>
          <w:sz w:val="22"/>
          <w:szCs w:val="22"/>
        </w:rPr>
        <w:t>Batalden, P.B. and Davidoff, F. (2007)</w:t>
      </w:r>
      <w:r w:rsidRPr="00280F36">
        <w:rPr>
          <w:rFonts w:ascii="Arial" w:eastAsia="Times New Roman" w:hAnsi="Arial" w:cs="Arial"/>
          <w:b/>
          <w:bCs/>
          <w:sz w:val="22"/>
          <w:szCs w:val="22"/>
        </w:rPr>
        <w:t xml:space="preserve"> ‘</w:t>
      </w:r>
      <w:r w:rsidRPr="00280F36">
        <w:rPr>
          <w:rFonts w:ascii="Arial" w:eastAsia="Times New Roman" w:hAnsi="Arial" w:cs="Arial"/>
          <w:sz w:val="22"/>
          <w:szCs w:val="22"/>
        </w:rPr>
        <w:t xml:space="preserve">Quality improvement research: the key to accelerating healthcare improvement’, </w:t>
      </w:r>
      <w:r w:rsidRPr="00280F36">
        <w:rPr>
          <w:rStyle w:val="Emphasis"/>
          <w:rFonts w:ascii="Arial" w:eastAsia="Times New Roman" w:hAnsi="Arial" w:cs="Arial"/>
          <w:sz w:val="22"/>
          <w:szCs w:val="22"/>
        </w:rPr>
        <w:t>Quality and Safety in Health Care</w:t>
      </w:r>
      <w:r w:rsidRPr="00280F36">
        <w:rPr>
          <w:rFonts w:ascii="Arial" w:eastAsia="Times New Roman" w:hAnsi="Arial" w:cs="Arial"/>
          <w:sz w:val="22"/>
          <w:szCs w:val="22"/>
        </w:rPr>
        <w:t>, 16(1), pp.2–3. doi:10.1136/qshc.2006.022046.</w:t>
      </w:r>
    </w:p>
    <w:p w14:paraId="332ADC5D"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Bass, B.M. (1985) </w:t>
      </w:r>
      <w:r w:rsidRPr="00280F36">
        <w:rPr>
          <w:rStyle w:val="Emphasis"/>
          <w:rFonts w:ascii="Arial" w:hAnsi="Arial" w:cs="Arial"/>
          <w:sz w:val="22"/>
          <w:szCs w:val="22"/>
        </w:rPr>
        <w:t>Leadership and Performance Beyond Expectations</w:t>
      </w:r>
      <w:r w:rsidRPr="00280F36">
        <w:rPr>
          <w:rFonts w:ascii="Arial" w:hAnsi="Arial" w:cs="Arial"/>
          <w:sz w:val="22"/>
          <w:szCs w:val="22"/>
        </w:rPr>
        <w:t>. New York: Free Press.</w:t>
      </w:r>
    </w:p>
    <w:p w14:paraId="0E549FD3" w14:textId="6590B76B"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Bevan, G. and Hood, C. (2006) ‘What’s measured is what matters: targets and gaming in the English public health care system’, </w:t>
      </w:r>
      <w:r w:rsidRPr="00280F36">
        <w:rPr>
          <w:rStyle w:val="Emphasis"/>
          <w:rFonts w:ascii="Arial" w:hAnsi="Arial" w:cs="Arial"/>
          <w:sz w:val="22"/>
          <w:szCs w:val="22"/>
        </w:rPr>
        <w:t>Public Administration</w:t>
      </w:r>
      <w:r w:rsidRPr="00280F36">
        <w:rPr>
          <w:rFonts w:ascii="Arial" w:hAnsi="Arial" w:cs="Arial"/>
          <w:sz w:val="22"/>
          <w:szCs w:val="22"/>
        </w:rPr>
        <w:t>, 84(3), pp.517–538. doi:10.1111/j.1467-9299.2006.00600.x</w:t>
      </w:r>
      <w:r w:rsidR="00614C4F" w:rsidRPr="00280F36">
        <w:rPr>
          <w:rFonts w:ascii="Arial" w:hAnsi="Arial" w:cs="Arial"/>
          <w:sz w:val="22"/>
          <w:szCs w:val="22"/>
        </w:rPr>
        <w:t>.</w:t>
      </w:r>
    </w:p>
    <w:p w14:paraId="5F84126E" w14:textId="694A503B"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Braithwaite, J., </w:t>
      </w:r>
      <w:proofErr w:type="spellStart"/>
      <w:r w:rsidRPr="00280F36">
        <w:rPr>
          <w:rFonts w:ascii="Arial" w:hAnsi="Arial" w:cs="Arial"/>
          <w:sz w:val="22"/>
          <w:szCs w:val="22"/>
        </w:rPr>
        <w:t>Churruca</w:t>
      </w:r>
      <w:proofErr w:type="spellEnd"/>
      <w:r w:rsidRPr="00280F36">
        <w:rPr>
          <w:rFonts w:ascii="Arial" w:hAnsi="Arial" w:cs="Arial"/>
          <w:sz w:val="22"/>
          <w:szCs w:val="22"/>
        </w:rPr>
        <w:t xml:space="preserve">, K., Long, J.C., Ellis, L.A. and </w:t>
      </w:r>
      <w:proofErr w:type="spellStart"/>
      <w:r w:rsidRPr="00280F36">
        <w:rPr>
          <w:rFonts w:ascii="Arial" w:hAnsi="Arial" w:cs="Arial"/>
          <w:sz w:val="22"/>
          <w:szCs w:val="22"/>
        </w:rPr>
        <w:t>Herkes</w:t>
      </w:r>
      <w:proofErr w:type="spellEnd"/>
      <w:r w:rsidRPr="00280F36">
        <w:rPr>
          <w:rFonts w:ascii="Arial" w:hAnsi="Arial" w:cs="Arial"/>
          <w:sz w:val="22"/>
          <w:szCs w:val="22"/>
        </w:rPr>
        <w:t xml:space="preserve">, J. (2018) ‘When complexity science meets implementation science: a theoretical and empirical analysis of systems change’, </w:t>
      </w:r>
      <w:r w:rsidRPr="00280F36">
        <w:rPr>
          <w:rStyle w:val="Emphasis"/>
          <w:rFonts w:ascii="Arial" w:hAnsi="Arial" w:cs="Arial"/>
          <w:sz w:val="22"/>
          <w:szCs w:val="22"/>
        </w:rPr>
        <w:t>BMC Medicine</w:t>
      </w:r>
      <w:r w:rsidRPr="00280F36">
        <w:rPr>
          <w:rFonts w:ascii="Arial" w:hAnsi="Arial" w:cs="Arial"/>
          <w:sz w:val="22"/>
          <w:szCs w:val="22"/>
        </w:rPr>
        <w:t xml:space="preserve">, 16, 63. Available at: </w:t>
      </w:r>
      <w:hyperlink r:id="rId9" w:history="1">
        <w:r w:rsidRPr="00280F36">
          <w:rPr>
            <w:rStyle w:val="Hyperlink"/>
            <w:rFonts w:ascii="Arial" w:hAnsi="Arial" w:cs="Arial"/>
            <w:sz w:val="22"/>
            <w:szCs w:val="22"/>
          </w:rPr>
          <w:t>https://bmcmedicine.biomedcentral.com/articles/10.1186/s12916-018-1057-z</w:t>
        </w:r>
      </w:hyperlink>
      <w:r w:rsidRPr="00280F36">
        <w:rPr>
          <w:rFonts w:ascii="Arial" w:hAnsi="Arial" w:cs="Arial"/>
          <w:sz w:val="22"/>
          <w:szCs w:val="22"/>
        </w:rPr>
        <w:t xml:space="preserve"> (Accessed: 1</w:t>
      </w:r>
      <w:r w:rsidR="00392177">
        <w:rPr>
          <w:rFonts w:ascii="Arial" w:hAnsi="Arial" w:cs="Arial"/>
          <w:sz w:val="22"/>
          <w:szCs w:val="22"/>
        </w:rPr>
        <w:t>1</w:t>
      </w:r>
      <w:r w:rsidRPr="00280F36">
        <w:rPr>
          <w:rFonts w:ascii="Arial" w:hAnsi="Arial" w:cs="Arial"/>
          <w:sz w:val="22"/>
          <w:szCs w:val="22"/>
        </w:rPr>
        <w:t xml:space="preserve"> July 2026).</w:t>
      </w:r>
    </w:p>
    <w:p w14:paraId="68C3E950"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Burns, J.M. (1978) </w:t>
      </w:r>
      <w:r w:rsidRPr="00280F36">
        <w:rPr>
          <w:rStyle w:val="Emphasis"/>
          <w:rFonts w:ascii="Arial" w:hAnsi="Arial" w:cs="Arial"/>
          <w:sz w:val="22"/>
          <w:szCs w:val="22"/>
        </w:rPr>
        <w:t>Leadership</w:t>
      </w:r>
      <w:r w:rsidRPr="00280F36">
        <w:rPr>
          <w:rFonts w:ascii="Arial" w:hAnsi="Arial" w:cs="Arial"/>
          <w:sz w:val="22"/>
          <w:szCs w:val="22"/>
        </w:rPr>
        <w:t>. New York: Harper &amp; Row.</w:t>
      </w:r>
    </w:p>
    <w:p w14:paraId="3EDA9CB8"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Carayon</w:t>
      </w:r>
      <w:proofErr w:type="spellEnd"/>
      <w:r w:rsidRPr="00280F36">
        <w:rPr>
          <w:rFonts w:ascii="Arial" w:hAnsi="Arial" w:cs="Arial"/>
          <w:sz w:val="22"/>
          <w:szCs w:val="22"/>
        </w:rPr>
        <w:t xml:space="preserve">, P., </w:t>
      </w:r>
      <w:proofErr w:type="spellStart"/>
      <w:r w:rsidRPr="00280F36">
        <w:rPr>
          <w:rFonts w:ascii="Arial" w:hAnsi="Arial" w:cs="Arial"/>
          <w:sz w:val="22"/>
          <w:szCs w:val="22"/>
        </w:rPr>
        <w:t>Wetterneck</w:t>
      </w:r>
      <w:proofErr w:type="spellEnd"/>
      <w:r w:rsidRPr="00280F36">
        <w:rPr>
          <w:rFonts w:ascii="Arial" w:hAnsi="Arial" w:cs="Arial"/>
          <w:sz w:val="22"/>
          <w:szCs w:val="22"/>
        </w:rPr>
        <w:t xml:space="preserve">, T.B., Rivera-Rodriguez, A.J., </w:t>
      </w:r>
      <w:proofErr w:type="spellStart"/>
      <w:r w:rsidRPr="00280F36">
        <w:rPr>
          <w:rFonts w:ascii="Arial" w:hAnsi="Arial" w:cs="Arial"/>
          <w:sz w:val="22"/>
          <w:szCs w:val="22"/>
        </w:rPr>
        <w:t>Hundt</w:t>
      </w:r>
      <w:proofErr w:type="spellEnd"/>
      <w:r w:rsidRPr="00280F36">
        <w:rPr>
          <w:rFonts w:ascii="Arial" w:hAnsi="Arial" w:cs="Arial"/>
          <w:sz w:val="22"/>
          <w:szCs w:val="22"/>
        </w:rPr>
        <w:t xml:space="preserve">, A.S., </w:t>
      </w:r>
      <w:proofErr w:type="spellStart"/>
      <w:r w:rsidRPr="00280F36">
        <w:rPr>
          <w:rFonts w:ascii="Arial" w:hAnsi="Arial" w:cs="Arial"/>
          <w:sz w:val="22"/>
          <w:szCs w:val="22"/>
        </w:rPr>
        <w:t>Hoonakker</w:t>
      </w:r>
      <w:proofErr w:type="spellEnd"/>
      <w:r w:rsidRPr="00280F36">
        <w:rPr>
          <w:rFonts w:ascii="Arial" w:hAnsi="Arial" w:cs="Arial"/>
          <w:sz w:val="22"/>
          <w:szCs w:val="22"/>
        </w:rPr>
        <w:t xml:space="preserve">, P., Holden, R. and </w:t>
      </w:r>
      <w:proofErr w:type="spellStart"/>
      <w:r w:rsidRPr="00280F36">
        <w:rPr>
          <w:rFonts w:ascii="Arial" w:hAnsi="Arial" w:cs="Arial"/>
          <w:sz w:val="22"/>
          <w:szCs w:val="22"/>
        </w:rPr>
        <w:t>Gurses</w:t>
      </w:r>
      <w:proofErr w:type="spellEnd"/>
      <w:r w:rsidRPr="00280F36">
        <w:rPr>
          <w:rFonts w:ascii="Arial" w:hAnsi="Arial" w:cs="Arial"/>
          <w:sz w:val="22"/>
          <w:szCs w:val="22"/>
        </w:rPr>
        <w:t xml:space="preserve">, A.P. (2014) ‘Human factors systems approach to healthcare quality and patient safety’, </w:t>
      </w:r>
      <w:r w:rsidRPr="00280F36">
        <w:rPr>
          <w:rStyle w:val="Emphasis"/>
          <w:rFonts w:ascii="Arial" w:hAnsi="Arial" w:cs="Arial"/>
          <w:sz w:val="22"/>
          <w:szCs w:val="22"/>
        </w:rPr>
        <w:t>Applied Ergonomics</w:t>
      </w:r>
      <w:r w:rsidRPr="00280F36">
        <w:rPr>
          <w:rFonts w:ascii="Arial" w:hAnsi="Arial" w:cs="Arial"/>
          <w:sz w:val="22"/>
          <w:szCs w:val="22"/>
        </w:rPr>
        <w:t>, 45(1), pp.14–25. doi:10.1016/j.apergo.2013.04.023.</w:t>
      </w:r>
    </w:p>
    <w:p w14:paraId="63BB25F1" w14:textId="77777777" w:rsidR="002E677D"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Care Quality Commission (CQC) (2022) </w:t>
      </w:r>
      <w:r w:rsidRPr="00280F36">
        <w:rPr>
          <w:rStyle w:val="Emphasis"/>
          <w:rFonts w:ascii="Arial" w:hAnsi="Arial" w:cs="Arial"/>
          <w:sz w:val="22"/>
          <w:szCs w:val="22"/>
        </w:rPr>
        <w:t>The State of Health Care and Adult Social Care in England 2021/22</w:t>
      </w:r>
      <w:r w:rsidRPr="00280F36">
        <w:rPr>
          <w:rFonts w:ascii="Arial" w:hAnsi="Arial" w:cs="Arial"/>
          <w:sz w:val="22"/>
          <w:szCs w:val="22"/>
        </w:rPr>
        <w:t xml:space="preserve">. Available at: </w:t>
      </w:r>
      <w:hyperlink r:id="rId10" w:history="1">
        <w:r w:rsidRPr="00280F36">
          <w:rPr>
            <w:rStyle w:val="Hyperlink"/>
            <w:rFonts w:ascii="Arial" w:hAnsi="Arial" w:cs="Arial"/>
            <w:sz w:val="22"/>
            <w:szCs w:val="22"/>
          </w:rPr>
          <w:t>https://www.cqc.org.uk/publications/major-report/state-care</w:t>
        </w:r>
      </w:hyperlink>
      <w:r w:rsidRPr="00280F36">
        <w:rPr>
          <w:rFonts w:ascii="Arial" w:hAnsi="Arial" w:cs="Arial"/>
          <w:sz w:val="22"/>
          <w:szCs w:val="22"/>
        </w:rPr>
        <w:t xml:space="preserve"> (Accessed: 18 July 2026).</w:t>
      </w:r>
    </w:p>
    <w:p w14:paraId="5887A10E" w14:textId="10D4755A" w:rsidR="001D05B0" w:rsidRPr="001D05B0" w:rsidRDefault="001D05B0" w:rsidP="00280F36">
      <w:pPr>
        <w:pStyle w:val="NormalWeb"/>
        <w:spacing w:line="360" w:lineRule="auto"/>
        <w:rPr>
          <w:rFonts w:ascii="Arial" w:hAnsi="Arial" w:cs="Arial"/>
          <w:sz w:val="22"/>
          <w:szCs w:val="22"/>
        </w:rPr>
      </w:pPr>
      <w:proofErr w:type="spellStart"/>
      <w:r w:rsidRPr="001D05B0">
        <w:rPr>
          <w:rFonts w:ascii="Arial" w:eastAsia="Times New Roman" w:hAnsi="Arial" w:cs="Arial"/>
          <w:sz w:val="22"/>
          <w:szCs w:val="22"/>
        </w:rPr>
        <w:t>Checkland</w:t>
      </w:r>
      <w:proofErr w:type="spellEnd"/>
      <w:r w:rsidRPr="001D05B0">
        <w:rPr>
          <w:rFonts w:ascii="Arial" w:eastAsia="Times New Roman" w:hAnsi="Arial" w:cs="Arial"/>
          <w:sz w:val="22"/>
          <w:szCs w:val="22"/>
        </w:rPr>
        <w:t xml:space="preserve">, P. (1981) </w:t>
      </w:r>
      <w:r w:rsidRPr="001D05B0">
        <w:rPr>
          <w:rStyle w:val="Emphasis"/>
          <w:rFonts w:ascii="Arial" w:eastAsia="Times New Roman" w:hAnsi="Arial" w:cs="Arial"/>
          <w:sz w:val="22"/>
          <w:szCs w:val="22"/>
        </w:rPr>
        <w:t>Systems Thinking, Systems Practice</w:t>
      </w:r>
      <w:r w:rsidRPr="001D05B0">
        <w:rPr>
          <w:rFonts w:ascii="Arial" w:eastAsia="Times New Roman" w:hAnsi="Arial" w:cs="Arial"/>
          <w:sz w:val="22"/>
          <w:szCs w:val="22"/>
        </w:rPr>
        <w:t>. Chichester: John Wiley &amp; Sons.</w:t>
      </w:r>
    </w:p>
    <w:p w14:paraId="1DAB8C5C"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Dekker, S. (2014) </w:t>
      </w:r>
      <w:r w:rsidRPr="00280F36">
        <w:rPr>
          <w:rStyle w:val="Emphasis"/>
          <w:rFonts w:ascii="Arial" w:hAnsi="Arial" w:cs="Arial"/>
          <w:sz w:val="22"/>
          <w:szCs w:val="22"/>
        </w:rPr>
        <w:t>The Field Guide to Understanding “Human Error”</w:t>
      </w:r>
      <w:r w:rsidRPr="00280F36">
        <w:rPr>
          <w:rFonts w:ascii="Arial" w:hAnsi="Arial" w:cs="Arial"/>
          <w:sz w:val="22"/>
          <w:szCs w:val="22"/>
        </w:rPr>
        <w:t xml:space="preserve">. 3rd edn. Farnham: </w:t>
      </w:r>
      <w:proofErr w:type="spellStart"/>
      <w:r w:rsidRPr="00280F36">
        <w:rPr>
          <w:rFonts w:ascii="Arial" w:hAnsi="Arial" w:cs="Arial"/>
          <w:sz w:val="22"/>
          <w:szCs w:val="22"/>
        </w:rPr>
        <w:t>Ashgate</w:t>
      </w:r>
      <w:proofErr w:type="spellEnd"/>
      <w:r w:rsidRPr="00280F36">
        <w:rPr>
          <w:rFonts w:ascii="Arial" w:hAnsi="Arial" w:cs="Arial"/>
          <w:sz w:val="22"/>
          <w:szCs w:val="22"/>
        </w:rPr>
        <w:t>.</w:t>
      </w:r>
    </w:p>
    <w:p w14:paraId="1535A814" w14:textId="288FA874" w:rsidR="00EC2697" w:rsidRPr="00280F36" w:rsidRDefault="00EC2697"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 xml:space="preserve">Dixon-Woods, M., </w:t>
      </w:r>
      <w:proofErr w:type="spellStart"/>
      <w:r w:rsidRPr="00280F36">
        <w:rPr>
          <w:rStyle w:val="Strong"/>
          <w:rFonts w:ascii="Arial" w:eastAsia="Times New Roman" w:hAnsi="Arial" w:cs="Arial"/>
          <w:b w:val="0"/>
          <w:bCs w:val="0"/>
          <w:sz w:val="22"/>
          <w:szCs w:val="22"/>
        </w:rPr>
        <w:t>McNicol</w:t>
      </w:r>
      <w:proofErr w:type="spellEnd"/>
      <w:r w:rsidRPr="00280F36">
        <w:rPr>
          <w:rStyle w:val="Strong"/>
          <w:rFonts w:ascii="Arial" w:eastAsia="Times New Roman" w:hAnsi="Arial" w:cs="Arial"/>
          <w:b w:val="0"/>
          <w:bCs w:val="0"/>
          <w:sz w:val="22"/>
          <w:szCs w:val="22"/>
        </w:rPr>
        <w:t>, S. and Martin, G. (2012)</w:t>
      </w:r>
      <w:r w:rsidRPr="00280F36">
        <w:rPr>
          <w:rFonts w:ascii="Arial" w:eastAsia="Times New Roman" w:hAnsi="Arial" w:cs="Arial"/>
          <w:b/>
          <w:bCs/>
          <w:sz w:val="22"/>
          <w:szCs w:val="22"/>
        </w:rPr>
        <w:t xml:space="preserve"> </w:t>
      </w:r>
      <w:r w:rsidRPr="00280F36">
        <w:rPr>
          <w:rFonts w:ascii="Arial" w:eastAsia="Times New Roman" w:hAnsi="Arial" w:cs="Arial"/>
          <w:sz w:val="22"/>
          <w:szCs w:val="22"/>
        </w:rPr>
        <w:t xml:space="preserve">‘Ten challenges in improving quality in healthcare: lessons from the Health Foundation’s programme evaluations and relevant literature’, </w:t>
      </w:r>
      <w:r w:rsidRPr="00280F36">
        <w:rPr>
          <w:rStyle w:val="Emphasis"/>
          <w:rFonts w:ascii="Arial" w:eastAsia="Times New Roman" w:hAnsi="Arial" w:cs="Arial"/>
          <w:sz w:val="22"/>
          <w:szCs w:val="22"/>
        </w:rPr>
        <w:t>BMJ Quality &amp; Safety</w:t>
      </w:r>
      <w:r w:rsidRPr="00280F36">
        <w:rPr>
          <w:rFonts w:ascii="Arial" w:eastAsia="Times New Roman" w:hAnsi="Arial" w:cs="Arial"/>
          <w:sz w:val="22"/>
          <w:szCs w:val="22"/>
        </w:rPr>
        <w:t>, 21(10), pp.876–884. doi:10.1136/bmjqs-2011-000760.</w:t>
      </w:r>
    </w:p>
    <w:p w14:paraId="593457EC"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Edmondson, A. (1999) ‘Psychological safety and learning behaviour in work teams’, </w:t>
      </w:r>
      <w:r w:rsidRPr="00280F36">
        <w:rPr>
          <w:rStyle w:val="Emphasis"/>
          <w:rFonts w:ascii="Arial" w:hAnsi="Arial" w:cs="Arial"/>
          <w:sz w:val="22"/>
          <w:szCs w:val="22"/>
        </w:rPr>
        <w:t>Administrative Science Quarterly</w:t>
      </w:r>
      <w:r w:rsidRPr="00280F36">
        <w:rPr>
          <w:rFonts w:ascii="Arial" w:hAnsi="Arial" w:cs="Arial"/>
          <w:sz w:val="22"/>
          <w:szCs w:val="22"/>
        </w:rPr>
        <w:t>, 44(2), pp.350–383. doi:10.2307/2666999.</w:t>
      </w:r>
    </w:p>
    <w:p w14:paraId="481DE2E8"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lastRenderedPageBreak/>
        <w:t>Gawande</w:t>
      </w:r>
      <w:proofErr w:type="spellEnd"/>
      <w:r w:rsidRPr="00280F36">
        <w:rPr>
          <w:rFonts w:ascii="Arial" w:hAnsi="Arial" w:cs="Arial"/>
          <w:sz w:val="22"/>
          <w:szCs w:val="22"/>
        </w:rPr>
        <w:t xml:space="preserve">, A. (2007) </w:t>
      </w:r>
      <w:r w:rsidRPr="00280F36">
        <w:rPr>
          <w:rStyle w:val="Emphasis"/>
          <w:rFonts w:ascii="Arial" w:hAnsi="Arial" w:cs="Arial"/>
          <w:sz w:val="22"/>
          <w:szCs w:val="22"/>
        </w:rPr>
        <w:t>Better: A Surgeon’s Notes on Performance</w:t>
      </w:r>
      <w:r w:rsidRPr="00280F36">
        <w:rPr>
          <w:rFonts w:ascii="Arial" w:hAnsi="Arial" w:cs="Arial"/>
          <w:sz w:val="22"/>
          <w:szCs w:val="22"/>
        </w:rPr>
        <w:t>. London: Profile Books.</w:t>
      </w:r>
    </w:p>
    <w:p w14:paraId="3D96C6E2"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Greenhalgh, T., </w:t>
      </w:r>
      <w:proofErr w:type="spellStart"/>
      <w:r w:rsidRPr="00280F36">
        <w:rPr>
          <w:rFonts w:ascii="Arial" w:hAnsi="Arial" w:cs="Arial"/>
          <w:sz w:val="22"/>
          <w:szCs w:val="22"/>
        </w:rPr>
        <w:t>Papoutsi</w:t>
      </w:r>
      <w:proofErr w:type="spellEnd"/>
      <w:r w:rsidRPr="00280F36">
        <w:rPr>
          <w:rFonts w:ascii="Arial" w:hAnsi="Arial" w:cs="Arial"/>
          <w:sz w:val="22"/>
          <w:szCs w:val="22"/>
        </w:rPr>
        <w:t xml:space="preserve">, C. and Shaw, S. (2018) ‘Researching complexity in health services’, </w:t>
      </w:r>
      <w:r w:rsidRPr="00280F36">
        <w:rPr>
          <w:rStyle w:val="Emphasis"/>
          <w:rFonts w:ascii="Arial" w:hAnsi="Arial" w:cs="Arial"/>
          <w:sz w:val="22"/>
          <w:szCs w:val="22"/>
        </w:rPr>
        <w:t>The Lancet</w:t>
      </w:r>
      <w:r w:rsidRPr="00280F36">
        <w:rPr>
          <w:rFonts w:ascii="Arial" w:hAnsi="Arial" w:cs="Arial"/>
          <w:sz w:val="22"/>
          <w:szCs w:val="22"/>
        </w:rPr>
        <w:t>, 392(10162), pp.139–140. doi:10.1016/S0140-6736(18)31117-0.</w:t>
      </w:r>
    </w:p>
    <w:p w14:paraId="5C58957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Hersey, P. and Blanchard, K.H. (1969) ‘Life cycle theory of leadership’, </w:t>
      </w:r>
      <w:r w:rsidRPr="00280F36">
        <w:rPr>
          <w:rStyle w:val="Emphasis"/>
          <w:rFonts w:ascii="Arial" w:hAnsi="Arial" w:cs="Arial"/>
          <w:sz w:val="22"/>
          <w:szCs w:val="22"/>
        </w:rPr>
        <w:t>Training and Development Journal</w:t>
      </w:r>
      <w:r w:rsidRPr="00280F36">
        <w:rPr>
          <w:rFonts w:ascii="Arial" w:hAnsi="Arial" w:cs="Arial"/>
          <w:sz w:val="22"/>
          <w:szCs w:val="22"/>
        </w:rPr>
        <w:t>, 23(5), pp.26–34.</w:t>
      </w:r>
    </w:p>
    <w:p w14:paraId="4D6A7CAC" w14:textId="0C6F4083"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Institute for Healthcare Improvement (IHI) (2020) </w:t>
      </w:r>
      <w:r w:rsidRPr="00280F36">
        <w:rPr>
          <w:rStyle w:val="Emphasis"/>
          <w:rFonts w:ascii="Arial" w:hAnsi="Arial" w:cs="Arial"/>
          <w:sz w:val="22"/>
          <w:szCs w:val="22"/>
        </w:rPr>
        <w:t>Science of Improvement: How to Improve</w:t>
      </w:r>
      <w:r w:rsidRPr="00280F36">
        <w:rPr>
          <w:rFonts w:ascii="Arial" w:hAnsi="Arial" w:cs="Arial"/>
          <w:sz w:val="22"/>
          <w:szCs w:val="22"/>
        </w:rPr>
        <w:t xml:space="preserve">. Available at: </w:t>
      </w:r>
      <w:hyperlink r:id="rId11" w:history="1">
        <w:r w:rsidRPr="00280F36">
          <w:rPr>
            <w:rStyle w:val="Hyperlink"/>
            <w:rFonts w:ascii="Arial" w:hAnsi="Arial" w:cs="Arial"/>
            <w:sz w:val="22"/>
            <w:szCs w:val="22"/>
          </w:rPr>
          <w:t>https://www.ihi.org/resources/Pages/HowtoImprove/default.aspx</w:t>
        </w:r>
      </w:hyperlink>
      <w:r w:rsidRPr="00280F36">
        <w:rPr>
          <w:rFonts w:ascii="Arial" w:hAnsi="Arial" w:cs="Arial"/>
          <w:sz w:val="22"/>
          <w:szCs w:val="22"/>
        </w:rPr>
        <w:t xml:space="preserve"> (Accessed: 1</w:t>
      </w:r>
      <w:r w:rsidR="00392177">
        <w:rPr>
          <w:rFonts w:ascii="Arial" w:hAnsi="Arial" w:cs="Arial"/>
          <w:sz w:val="22"/>
          <w:szCs w:val="22"/>
        </w:rPr>
        <w:t>7</w:t>
      </w:r>
      <w:r w:rsidRPr="00280F36">
        <w:rPr>
          <w:rFonts w:ascii="Arial" w:hAnsi="Arial" w:cs="Arial"/>
          <w:sz w:val="22"/>
          <w:szCs w:val="22"/>
        </w:rPr>
        <w:t xml:space="preserve"> July 2026).</w:t>
      </w:r>
    </w:p>
    <w:p w14:paraId="093DC427"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Kohn, L.T., Corrigan, J.M. and Donaldson, M.S. (eds.) (2000) </w:t>
      </w:r>
      <w:r w:rsidRPr="00280F36">
        <w:rPr>
          <w:rStyle w:val="Emphasis"/>
          <w:rFonts w:ascii="Arial" w:hAnsi="Arial" w:cs="Arial"/>
          <w:sz w:val="22"/>
          <w:szCs w:val="22"/>
        </w:rPr>
        <w:t>To Err Is Human: Building a Safer Health System</w:t>
      </w:r>
      <w:r w:rsidRPr="00280F36">
        <w:rPr>
          <w:rFonts w:ascii="Arial" w:hAnsi="Arial" w:cs="Arial"/>
          <w:sz w:val="22"/>
          <w:szCs w:val="22"/>
        </w:rPr>
        <w:t>. Washington DC: National Academy Press.</w:t>
      </w:r>
    </w:p>
    <w:p w14:paraId="219AD4B3"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Kotter, J.P. (2012) </w:t>
      </w:r>
      <w:r w:rsidRPr="00280F36">
        <w:rPr>
          <w:rStyle w:val="Emphasis"/>
          <w:rFonts w:ascii="Arial" w:hAnsi="Arial" w:cs="Arial"/>
          <w:sz w:val="22"/>
          <w:szCs w:val="22"/>
        </w:rPr>
        <w:t>Leading Change</w:t>
      </w:r>
      <w:r w:rsidRPr="00280F36">
        <w:rPr>
          <w:rFonts w:ascii="Arial" w:hAnsi="Arial" w:cs="Arial"/>
          <w:sz w:val="22"/>
          <w:szCs w:val="22"/>
        </w:rPr>
        <w:t>. Boston: Harvard Business Review Press.</w:t>
      </w:r>
    </w:p>
    <w:p w14:paraId="4BDEAA46"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Leape</w:t>
      </w:r>
      <w:proofErr w:type="spellEnd"/>
      <w:r w:rsidRPr="00280F36">
        <w:rPr>
          <w:rFonts w:ascii="Arial" w:hAnsi="Arial" w:cs="Arial"/>
          <w:sz w:val="22"/>
          <w:szCs w:val="22"/>
        </w:rPr>
        <w:t xml:space="preserve">, L.L. (1994) ‘Error in medicine’, </w:t>
      </w:r>
      <w:r w:rsidRPr="00280F36">
        <w:rPr>
          <w:rStyle w:val="Emphasis"/>
          <w:rFonts w:ascii="Arial" w:hAnsi="Arial" w:cs="Arial"/>
          <w:sz w:val="22"/>
          <w:szCs w:val="22"/>
        </w:rPr>
        <w:t>JAMA</w:t>
      </w:r>
      <w:r w:rsidRPr="00280F36">
        <w:rPr>
          <w:rFonts w:ascii="Arial" w:hAnsi="Arial" w:cs="Arial"/>
          <w:sz w:val="22"/>
          <w:szCs w:val="22"/>
        </w:rPr>
        <w:t>, 272(23), pp.1851–1857. doi:10.1001/jama.1994.03520230061039.</w:t>
      </w:r>
    </w:p>
    <w:p w14:paraId="383711B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Mintzberg, H. (1983) </w:t>
      </w:r>
      <w:r w:rsidRPr="00280F36">
        <w:rPr>
          <w:rStyle w:val="Emphasis"/>
          <w:rFonts w:ascii="Arial" w:hAnsi="Arial" w:cs="Arial"/>
          <w:sz w:val="22"/>
          <w:szCs w:val="22"/>
        </w:rPr>
        <w:t>Structure in Fives: Designing Effective Organizations</w:t>
      </w:r>
      <w:r w:rsidRPr="00280F36">
        <w:rPr>
          <w:rFonts w:ascii="Arial" w:hAnsi="Arial" w:cs="Arial"/>
          <w:sz w:val="22"/>
          <w:szCs w:val="22"/>
        </w:rPr>
        <w:t>. Englewood Cliffs, NJ: Prentice Hall.</w:t>
      </w:r>
    </w:p>
    <w:p w14:paraId="33AEEACD" w14:textId="0619048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National Institute for Health and Care Excellence (NICE) (2021) </w:t>
      </w:r>
      <w:r w:rsidRPr="00280F36">
        <w:rPr>
          <w:rStyle w:val="Emphasis"/>
          <w:rFonts w:ascii="Arial" w:hAnsi="Arial" w:cs="Arial"/>
          <w:sz w:val="22"/>
          <w:szCs w:val="22"/>
        </w:rPr>
        <w:t>Medicines Optimisation: The Safe and Effective Use of Medicines to Enable the Best Possible Outcomes</w:t>
      </w:r>
      <w:r w:rsidRPr="00280F36">
        <w:rPr>
          <w:rFonts w:ascii="Arial" w:hAnsi="Arial" w:cs="Arial"/>
          <w:sz w:val="22"/>
          <w:szCs w:val="22"/>
        </w:rPr>
        <w:t xml:space="preserve">. Available at: </w:t>
      </w:r>
      <w:hyperlink r:id="rId12" w:history="1">
        <w:r w:rsidRPr="00280F36">
          <w:rPr>
            <w:rStyle w:val="Hyperlink"/>
            <w:rFonts w:ascii="Arial" w:hAnsi="Arial" w:cs="Arial"/>
            <w:sz w:val="22"/>
            <w:szCs w:val="22"/>
          </w:rPr>
          <w:t>https://www.nice.org.uk/guidance/ng5</w:t>
        </w:r>
      </w:hyperlink>
      <w:r w:rsidRPr="00280F36">
        <w:rPr>
          <w:rFonts w:ascii="Arial" w:hAnsi="Arial" w:cs="Arial"/>
          <w:sz w:val="22"/>
          <w:szCs w:val="22"/>
        </w:rPr>
        <w:t xml:space="preserve"> (Accessed: 1</w:t>
      </w:r>
      <w:r w:rsidR="00DE1C6B">
        <w:rPr>
          <w:rFonts w:ascii="Arial" w:hAnsi="Arial" w:cs="Arial"/>
          <w:sz w:val="22"/>
          <w:szCs w:val="22"/>
        </w:rPr>
        <w:t>1</w:t>
      </w:r>
      <w:r w:rsidRPr="00280F36">
        <w:rPr>
          <w:rFonts w:ascii="Arial" w:hAnsi="Arial" w:cs="Arial"/>
          <w:sz w:val="22"/>
          <w:szCs w:val="22"/>
        </w:rPr>
        <w:t xml:space="preserve"> July 2026).</w:t>
      </w:r>
    </w:p>
    <w:p w14:paraId="58728E17" w14:textId="67064F90" w:rsidR="002E677D" w:rsidRDefault="002E677D" w:rsidP="00280F36">
      <w:pPr>
        <w:pStyle w:val="NormalWeb"/>
        <w:spacing w:line="360" w:lineRule="auto"/>
        <w:rPr>
          <w:rFonts w:ascii="Arial" w:hAnsi="Arial" w:cs="Arial"/>
          <w:sz w:val="22"/>
          <w:szCs w:val="22"/>
        </w:rPr>
      </w:pPr>
      <w:r w:rsidRPr="00280F36">
        <w:rPr>
          <w:rFonts w:ascii="Arial" w:hAnsi="Arial" w:cs="Arial"/>
          <w:sz w:val="22"/>
          <w:szCs w:val="22"/>
        </w:rPr>
        <w:t>N</w:t>
      </w:r>
      <w:r w:rsidR="00C343DD">
        <w:rPr>
          <w:rFonts w:ascii="Arial" w:hAnsi="Arial" w:cs="Arial"/>
          <w:sz w:val="22"/>
          <w:szCs w:val="22"/>
        </w:rPr>
        <w:t>HS</w:t>
      </w:r>
      <w:r w:rsidR="00930D35">
        <w:rPr>
          <w:rFonts w:ascii="Arial" w:hAnsi="Arial" w:cs="Arial"/>
          <w:sz w:val="22"/>
          <w:szCs w:val="22"/>
        </w:rPr>
        <w:t xml:space="preserve"> England</w:t>
      </w:r>
      <w:r w:rsidRPr="00280F36">
        <w:rPr>
          <w:rFonts w:ascii="Arial" w:hAnsi="Arial" w:cs="Arial"/>
          <w:sz w:val="22"/>
          <w:szCs w:val="22"/>
        </w:rPr>
        <w:t xml:space="preserve"> (2022) </w:t>
      </w:r>
      <w:r w:rsidRPr="00280F36">
        <w:rPr>
          <w:rStyle w:val="Emphasis"/>
          <w:rFonts w:ascii="Arial" w:hAnsi="Arial" w:cs="Arial"/>
          <w:sz w:val="22"/>
          <w:szCs w:val="22"/>
        </w:rPr>
        <w:t>Patient Safety Incident Response Framework</w:t>
      </w:r>
      <w:r w:rsidRPr="00280F36">
        <w:rPr>
          <w:rFonts w:ascii="Arial" w:hAnsi="Arial" w:cs="Arial"/>
          <w:sz w:val="22"/>
          <w:szCs w:val="22"/>
        </w:rPr>
        <w:t>. Available at:</w:t>
      </w:r>
      <w:r w:rsidR="00930D35">
        <w:rPr>
          <w:rFonts w:ascii="Arial" w:hAnsi="Arial" w:cs="Arial"/>
          <w:sz w:val="22"/>
          <w:szCs w:val="22"/>
        </w:rPr>
        <w:t xml:space="preserve"> </w:t>
      </w:r>
      <w:hyperlink r:id="rId13" w:history="1">
        <w:r w:rsidR="00841888" w:rsidRPr="009B725A">
          <w:rPr>
            <w:rStyle w:val="Hyperlink"/>
            <w:rFonts w:ascii="Arial" w:hAnsi="Arial" w:cs="Arial"/>
            <w:sz w:val="22"/>
            <w:szCs w:val="22"/>
          </w:rPr>
          <w:t>https://www.england.nhs.uk/patient-safety/patient-safety-insight/incident-response-framework/</w:t>
        </w:r>
      </w:hyperlink>
      <w:r w:rsidR="00841888">
        <w:rPr>
          <w:rFonts w:ascii="Arial" w:hAnsi="Arial" w:cs="Arial"/>
          <w:sz w:val="22"/>
          <w:szCs w:val="22"/>
        </w:rPr>
        <w:t xml:space="preserve"> </w:t>
      </w:r>
      <w:r w:rsidRPr="00280F36">
        <w:rPr>
          <w:rFonts w:ascii="Arial" w:hAnsi="Arial" w:cs="Arial"/>
          <w:sz w:val="22"/>
          <w:szCs w:val="22"/>
        </w:rPr>
        <w:t xml:space="preserve"> (Accessed: 1</w:t>
      </w:r>
      <w:r w:rsidR="00DE1C6B">
        <w:rPr>
          <w:rFonts w:ascii="Arial" w:hAnsi="Arial" w:cs="Arial"/>
          <w:sz w:val="22"/>
          <w:szCs w:val="22"/>
        </w:rPr>
        <w:t>0</w:t>
      </w:r>
      <w:r w:rsidRPr="00280F36">
        <w:rPr>
          <w:rFonts w:ascii="Arial" w:hAnsi="Arial" w:cs="Arial"/>
          <w:sz w:val="22"/>
          <w:szCs w:val="22"/>
        </w:rPr>
        <w:t xml:space="preserve"> July 2026).</w:t>
      </w:r>
    </w:p>
    <w:p w14:paraId="48FC0964" w14:textId="4EDB9C36" w:rsidR="00A852B0" w:rsidRPr="007464F3" w:rsidRDefault="00A852B0" w:rsidP="00280F36">
      <w:pPr>
        <w:pStyle w:val="NormalWeb"/>
        <w:spacing w:line="360" w:lineRule="auto"/>
        <w:rPr>
          <w:rFonts w:ascii="Arial" w:hAnsi="Arial" w:cs="Arial"/>
          <w:sz w:val="22"/>
          <w:szCs w:val="22"/>
        </w:rPr>
      </w:pPr>
      <w:r w:rsidRPr="007464F3">
        <w:rPr>
          <w:rFonts w:ascii="Arial" w:eastAsia="Times New Roman" w:hAnsi="Arial" w:cs="Arial"/>
          <w:sz w:val="22"/>
          <w:szCs w:val="22"/>
        </w:rPr>
        <w:t xml:space="preserve">NHS North East and Yorkshire (2023) </w:t>
      </w:r>
      <w:r w:rsidRPr="007464F3">
        <w:rPr>
          <w:rStyle w:val="Emphasis"/>
          <w:rFonts w:ascii="Arial" w:eastAsia="Times New Roman" w:hAnsi="Arial" w:cs="Arial"/>
          <w:sz w:val="22"/>
          <w:szCs w:val="22"/>
        </w:rPr>
        <w:t>Serious Incident Case Study: Infant Morphine Overdose Investigation Summary and Learning</w:t>
      </w:r>
      <w:r w:rsidRPr="007464F3">
        <w:rPr>
          <w:rFonts w:ascii="Arial" w:eastAsia="Times New Roman" w:hAnsi="Arial" w:cs="Arial"/>
          <w:sz w:val="22"/>
          <w:szCs w:val="22"/>
        </w:rPr>
        <w:t xml:space="preserve">. NHS England North East and Yorkshire. Available at: </w:t>
      </w:r>
      <w:hyperlink r:id="rId14" w:tgtFrame="_new" w:history="1">
        <w:r w:rsidRPr="007464F3">
          <w:rPr>
            <w:rStyle w:val="Hyperlink"/>
            <w:rFonts w:ascii="Arial" w:eastAsia="Times New Roman" w:hAnsi="Arial" w:cs="Arial"/>
            <w:sz w:val="22"/>
            <w:szCs w:val="22"/>
          </w:rPr>
          <w:t>https://northyorkshireccg.nhs.uk/wp-content/uploads/2023/09/11.07.23-NHS-NEY-INFANT-MORPHINE-OVERDOSE-CASE-STUDY.pdf</w:t>
        </w:r>
      </w:hyperlink>
      <w:r w:rsidRPr="007464F3">
        <w:rPr>
          <w:rFonts w:ascii="Arial" w:eastAsia="Times New Roman" w:hAnsi="Arial" w:cs="Arial"/>
          <w:sz w:val="22"/>
          <w:szCs w:val="22"/>
        </w:rPr>
        <w:t xml:space="preserve"> (Accessed: </w:t>
      </w:r>
      <w:r w:rsidR="007464F3" w:rsidRPr="007464F3">
        <w:rPr>
          <w:rFonts w:ascii="Arial" w:eastAsia="Times New Roman" w:hAnsi="Arial" w:cs="Arial"/>
          <w:sz w:val="22"/>
          <w:szCs w:val="22"/>
        </w:rPr>
        <w:t>10</w:t>
      </w:r>
      <w:r w:rsidRPr="007464F3">
        <w:rPr>
          <w:rFonts w:ascii="Arial" w:eastAsia="Times New Roman" w:hAnsi="Arial" w:cs="Arial"/>
          <w:sz w:val="22"/>
          <w:szCs w:val="22"/>
        </w:rPr>
        <w:t xml:space="preserve"> July 2026).</w:t>
      </w:r>
    </w:p>
    <w:p w14:paraId="3DC1FD78" w14:textId="4A690E64"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(2019) </w:t>
      </w:r>
      <w:r w:rsidRPr="00280F36">
        <w:rPr>
          <w:rStyle w:val="Emphasis"/>
          <w:rFonts w:ascii="Arial" w:hAnsi="Arial" w:cs="Arial"/>
          <w:sz w:val="22"/>
          <w:szCs w:val="22"/>
        </w:rPr>
        <w:t>The NHS Patient Safety Strategy: Safer Culture, Safer Systems, Safer Patients</w:t>
      </w:r>
      <w:r w:rsidRPr="00280F36">
        <w:rPr>
          <w:rFonts w:ascii="Arial" w:hAnsi="Arial" w:cs="Arial"/>
          <w:sz w:val="22"/>
          <w:szCs w:val="22"/>
        </w:rPr>
        <w:t xml:space="preserve">. Available at: </w:t>
      </w:r>
      <w:hyperlink r:id="rId15" w:history="1">
        <w:r w:rsidRPr="00280F36">
          <w:rPr>
            <w:rStyle w:val="Hyperlink"/>
            <w:rFonts w:ascii="Arial" w:hAnsi="Arial" w:cs="Arial"/>
            <w:sz w:val="22"/>
            <w:szCs w:val="22"/>
          </w:rPr>
          <w:t>https://www.england.nhs.uk/patient-safety/the-nhs-patient-safety-strategy/</w:t>
        </w:r>
      </w:hyperlink>
      <w:r w:rsidRPr="00280F36">
        <w:rPr>
          <w:rFonts w:ascii="Arial" w:hAnsi="Arial" w:cs="Arial"/>
          <w:sz w:val="22"/>
          <w:szCs w:val="22"/>
        </w:rPr>
        <w:t xml:space="preserve"> (Accessed: 1</w:t>
      </w:r>
      <w:r w:rsidR="00DE1C6B">
        <w:rPr>
          <w:rFonts w:ascii="Arial" w:hAnsi="Arial" w:cs="Arial"/>
          <w:sz w:val="22"/>
          <w:szCs w:val="22"/>
        </w:rPr>
        <w:t>9</w:t>
      </w:r>
      <w:r w:rsidRPr="00280F36">
        <w:rPr>
          <w:rFonts w:ascii="Arial" w:hAnsi="Arial" w:cs="Arial"/>
          <w:sz w:val="22"/>
          <w:szCs w:val="22"/>
        </w:rPr>
        <w:t xml:space="preserve"> July 2026).</w:t>
      </w:r>
    </w:p>
    <w:p w14:paraId="5625BAC3"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lastRenderedPageBreak/>
        <w:t xml:space="preserve">NHS England (2019) </w:t>
      </w:r>
      <w:r w:rsidRPr="00280F36">
        <w:rPr>
          <w:rStyle w:val="Emphasis"/>
          <w:rFonts w:ascii="Arial" w:hAnsi="Arial" w:cs="Arial"/>
          <w:sz w:val="22"/>
          <w:szCs w:val="22"/>
        </w:rPr>
        <w:t>The NHS Long Term Plan</w:t>
      </w:r>
      <w:r w:rsidRPr="00280F36">
        <w:rPr>
          <w:rFonts w:ascii="Arial" w:hAnsi="Arial" w:cs="Arial"/>
          <w:sz w:val="22"/>
          <w:szCs w:val="22"/>
        </w:rPr>
        <w:t xml:space="preserve">. Available at: </w:t>
      </w:r>
      <w:hyperlink r:id="rId16" w:history="1">
        <w:r w:rsidRPr="00280F36">
          <w:rPr>
            <w:rStyle w:val="Hyperlink"/>
            <w:rFonts w:ascii="Arial" w:hAnsi="Arial" w:cs="Arial"/>
            <w:sz w:val="22"/>
            <w:szCs w:val="22"/>
          </w:rPr>
          <w:t>https://www.longtermplan.nhs.uk</w:t>
        </w:r>
      </w:hyperlink>
      <w:r w:rsidRPr="00280F36">
        <w:rPr>
          <w:rFonts w:ascii="Arial" w:hAnsi="Arial" w:cs="Arial"/>
          <w:sz w:val="22"/>
          <w:szCs w:val="22"/>
        </w:rPr>
        <w:t xml:space="preserve"> (Accessed: 18 July 2026).</w:t>
      </w:r>
    </w:p>
    <w:p w14:paraId="007AA056" w14:textId="41C4F095"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(2022) </w:t>
      </w:r>
      <w:r w:rsidRPr="00280F36">
        <w:rPr>
          <w:rStyle w:val="Emphasis"/>
          <w:rFonts w:ascii="Arial" w:hAnsi="Arial" w:cs="Arial"/>
          <w:sz w:val="22"/>
          <w:szCs w:val="22"/>
        </w:rPr>
        <w:t>Patient Safety Incident Response Framework</w:t>
      </w:r>
      <w:r w:rsidRPr="00280F36">
        <w:rPr>
          <w:rFonts w:ascii="Arial" w:hAnsi="Arial" w:cs="Arial"/>
          <w:sz w:val="22"/>
          <w:szCs w:val="22"/>
        </w:rPr>
        <w:t xml:space="preserve">. Available at: </w:t>
      </w:r>
      <w:hyperlink r:id="rId17" w:history="1">
        <w:r w:rsidRPr="00280F36">
          <w:rPr>
            <w:rStyle w:val="Hyperlink"/>
            <w:rFonts w:ascii="Arial" w:hAnsi="Arial" w:cs="Arial"/>
            <w:sz w:val="22"/>
            <w:szCs w:val="22"/>
          </w:rPr>
          <w:t>https://www.england.nhs.uk/patient-safety/incident-response-framework/</w:t>
        </w:r>
      </w:hyperlink>
      <w:r w:rsidRPr="00280F36">
        <w:rPr>
          <w:rFonts w:ascii="Arial" w:hAnsi="Arial" w:cs="Arial"/>
          <w:sz w:val="22"/>
          <w:szCs w:val="22"/>
        </w:rPr>
        <w:t xml:space="preserve"> (Accessed: </w:t>
      </w:r>
      <w:r w:rsidR="00DE1C6B">
        <w:rPr>
          <w:rFonts w:ascii="Arial" w:hAnsi="Arial" w:cs="Arial"/>
          <w:sz w:val="22"/>
          <w:szCs w:val="22"/>
        </w:rPr>
        <w:t xml:space="preserve">20 </w:t>
      </w:r>
      <w:r w:rsidRPr="00280F36">
        <w:rPr>
          <w:rFonts w:ascii="Arial" w:hAnsi="Arial" w:cs="Arial"/>
          <w:sz w:val="22"/>
          <w:szCs w:val="22"/>
        </w:rPr>
        <w:t>July 2026).</w:t>
      </w:r>
    </w:p>
    <w:p w14:paraId="7B65C061" w14:textId="2F7EDA03"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(2023) </w:t>
      </w:r>
      <w:r w:rsidRPr="00280F36">
        <w:rPr>
          <w:rStyle w:val="Emphasis"/>
          <w:rFonts w:ascii="Arial" w:hAnsi="Arial" w:cs="Arial"/>
          <w:sz w:val="22"/>
          <w:szCs w:val="22"/>
        </w:rPr>
        <w:t>National Patient Safety Improvement Programmes</w:t>
      </w:r>
      <w:r w:rsidRPr="00280F36">
        <w:rPr>
          <w:rFonts w:ascii="Arial" w:hAnsi="Arial" w:cs="Arial"/>
          <w:sz w:val="22"/>
          <w:szCs w:val="22"/>
        </w:rPr>
        <w:t xml:space="preserve">. Available at: </w:t>
      </w:r>
      <w:hyperlink r:id="rId18" w:history="1">
        <w:r w:rsidRPr="00280F36">
          <w:rPr>
            <w:rStyle w:val="Hyperlink"/>
            <w:rFonts w:ascii="Arial" w:hAnsi="Arial" w:cs="Arial"/>
            <w:sz w:val="22"/>
            <w:szCs w:val="22"/>
          </w:rPr>
          <w:t>https://www.england.nhs.uk/patient-safety/patient-safety-improvement-programmes/</w:t>
        </w:r>
      </w:hyperlink>
      <w:r w:rsidRPr="00280F36">
        <w:rPr>
          <w:rFonts w:ascii="Arial" w:hAnsi="Arial" w:cs="Arial"/>
          <w:sz w:val="22"/>
          <w:szCs w:val="22"/>
        </w:rPr>
        <w:t xml:space="preserve"> (Accessed: </w:t>
      </w:r>
      <w:r w:rsidR="00DE1C6B">
        <w:rPr>
          <w:rFonts w:ascii="Arial" w:hAnsi="Arial" w:cs="Arial"/>
          <w:sz w:val="22"/>
          <w:szCs w:val="22"/>
        </w:rPr>
        <w:t>20</w:t>
      </w:r>
      <w:r w:rsidRPr="00280F36">
        <w:rPr>
          <w:rFonts w:ascii="Arial" w:hAnsi="Arial" w:cs="Arial"/>
          <w:sz w:val="22"/>
          <w:szCs w:val="22"/>
        </w:rPr>
        <w:t xml:space="preserve"> July 2026).</w:t>
      </w:r>
    </w:p>
    <w:p w14:paraId="668F5AC1" w14:textId="578067AA" w:rsidR="00516B36" w:rsidRPr="00280F36" w:rsidRDefault="00516B36"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NHS England (2023</w:t>
      </w:r>
      <w:r w:rsidRPr="00280F36">
        <w:rPr>
          <w:rStyle w:val="Strong"/>
          <w:rFonts w:ascii="Arial" w:eastAsia="Times New Roman" w:hAnsi="Arial" w:cs="Arial"/>
          <w:sz w:val="22"/>
          <w:szCs w:val="22"/>
        </w:rPr>
        <w:t>)</w:t>
      </w:r>
      <w:r w:rsidRPr="00280F36">
        <w:rPr>
          <w:rFonts w:ascii="Arial" w:eastAsia="Times New Roman" w:hAnsi="Arial" w:cs="Arial"/>
          <w:sz w:val="22"/>
          <w:szCs w:val="22"/>
        </w:rPr>
        <w:t xml:space="preserve"> </w:t>
      </w:r>
      <w:r w:rsidRPr="00280F36">
        <w:rPr>
          <w:rStyle w:val="Emphasis"/>
          <w:rFonts w:ascii="Arial" w:eastAsia="Times New Roman" w:hAnsi="Arial" w:cs="Arial"/>
          <w:sz w:val="22"/>
          <w:szCs w:val="22"/>
        </w:rPr>
        <w:t>NHS Patient Safety Strategy: Safety Culture and Learning Systems</w:t>
      </w:r>
      <w:r w:rsidRPr="00280F36">
        <w:rPr>
          <w:rFonts w:ascii="Arial" w:eastAsia="Times New Roman" w:hAnsi="Arial" w:cs="Arial"/>
          <w:sz w:val="22"/>
          <w:szCs w:val="22"/>
        </w:rPr>
        <w:t xml:space="preserve">. Available at: </w:t>
      </w:r>
      <w:hyperlink r:id="rId19" w:tgtFrame="_new" w:history="1">
        <w:r w:rsidRPr="00280F36">
          <w:rPr>
            <w:rStyle w:val="Hyperlink"/>
            <w:rFonts w:ascii="Arial" w:eastAsia="Times New Roman" w:hAnsi="Arial" w:cs="Arial"/>
            <w:sz w:val="22"/>
            <w:szCs w:val="22"/>
          </w:rPr>
          <w:t>https://www.england.nhs.uk/patient-safety/</w:t>
        </w:r>
      </w:hyperlink>
      <w:r w:rsidRPr="00280F36">
        <w:rPr>
          <w:rFonts w:ascii="Arial" w:eastAsia="Times New Roman" w:hAnsi="Arial" w:cs="Arial"/>
          <w:sz w:val="22"/>
          <w:szCs w:val="22"/>
        </w:rPr>
        <w:t xml:space="preserve"> (Accessed: 1</w:t>
      </w:r>
      <w:r w:rsidR="00DE1C6B">
        <w:rPr>
          <w:rFonts w:ascii="Arial" w:eastAsia="Times New Roman" w:hAnsi="Arial" w:cs="Arial"/>
          <w:sz w:val="22"/>
          <w:szCs w:val="22"/>
        </w:rPr>
        <w:t>3</w:t>
      </w:r>
      <w:r w:rsidRPr="00280F36">
        <w:rPr>
          <w:rFonts w:ascii="Arial" w:eastAsia="Times New Roman" w:hAnsi="Arial" w:cs="Arial"/>
          <w:sz w:val="22"/>
          <w:szCs w:val="22"/>
        </w:rPr>
        <w:t xml:space="preserve"> July 2026).</w:t>
      </w:r>
    </w:p>
    <w:p w14:paraId="099251D6"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North East and Yorkshire (2023) </w:t>
      </w:r>
      <w:r w:rsidRPr="00280F36">
        <w:rPr>
          <w:rStyle w:val="Emphasis"/>
          <w:rFonts w:ascii="Arial" w:hAnsi="Arial" w:cs="Arial"/>
          <w:sz w:val="22"/>
          <w:szCs w:val="22"/>
        </w:rPr>
        <w:t>Infant Morphine Overdose Case Study: Medication Safety Incident</w:t>
      </w:r>
      <w:r w:rsidRPr="00280F36">
        <w:rPr>
          <w:rFonts w:ascii="Arial" w:hAnsi="Arial" w:cs="Arial"/>
          <w:sz w:val="22"/>
          <w:szCs w:val="22"/>
        </w:rPr>
        <w:t xml:space="preserve">. Available at: </w:t>
      </w:r>
      <w:hyperlink r:id="rId20" w:history="1">
        <w:r w:rsidRPr="00280F36">
          <w:rPr>
            <w:rStyle w:val="Hyperlink"/>
            <w:rFonts w:ascii="Arial" w:hAnsi="Arial" w:cs="Arial"/>
            <w:sz w:val="22"/>
            <w:szCs w:val="22"/>
          </w:rPr>
          <w:t>https://northyorkshireccg.nhs.uk/wp-content/uploads/2023/09/11.07.23-NHS-NEY-INFANT-MORPHINE-OVERDOSE-CASE-STUDY.pdf</w:t>
        </w:r>
      </w:hyperlink>
      <w:r w:rsidRPr="00280F36">
        <w:rPr>
          <w:rFonts w:ascii="Arial" w:hAnsi="Arial" w:cs="Arial"/>
          <w:sz w:val="22"/>
          <w:szCs w:val="22"/>
        </w:rPr>
        <w:t xml:space="preserve"> (Accessed: 18 July 2026).</w:t>
      </w:r>
    </w:p>
    <w:p w14:paraId="4D5A42B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Northouse, P.G. (2022) </w:t>
      </w:r>
      <w:r w:rsidRPr="00280F36">
        <w:rPr>
          <w:rStyle w:val="Emphasis"/>
          <w:rFonts w:ascii="Arial" w:hAnsi="Arial" w:cs="Arial"/>
          <w:sz w:val="22"/>
          <w:szCs w:val="22"/>
        </w:rPr>
        <w:t>Leadership: Theory and Practice</w:t>
      </w:r>
      <w:r w:rsidRPr="00280F36">
        <w:rPr>
          <w:rFonts w:ascii="Arial" w:hAnsi="Arial" w:cs="Arial"/>
          <w:sz w:val="22"/>
          <w:szCs w:val="22"/>
        </w:rPr>
        <w:t>. 9th edn. Thousand Oaks, CA: Sage Publications.</w:t>
      </w:r>
    </w:p>
    <w:p w14:paraId="600E2FBD" w14:textId="0F53FF0A" w:rsidR="00431419" w:rsidRPr="00280F36" w:rsidRDefault="00431419"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O’Daniel, M. and Rosenstein, A.H. (2008)</w:t>
      </w:r>
      <w:r w:rsidRPr="00280F36">
        <w:rPr>
          <w:rFonts w:ascii="Arial" w:eastAsia="Times New Roman" w:hAnsi="Arial" w:cs="Arial"/>
          <w:sz w:val="22"/>
          <w:szCs w:val="22"/>
        </w:rPr>
        <w:t xml:space="preserve"> ‘Professional communication and team collaboration’, in Hughes, R.G. (ed.) </w:t>
      </w:r>
      <w:r w:rsidRPr="00280F36">
        <w:rPr>
          <w:rStyle w:val="Emphasis"/>
          <w:rFonts w:ascii="Arial" w:eastAsia="Times New Roman" w:hAnsi="Arial" w:cs="Arial"/>
          <w:sz w:val="22"/>
          <w:szCs w:val="22"/>
        </w:rPr>
        <w:t>Patient Safety and Quality: An Evidence-Based Handbook for Nurses</w:t>
      </w:r>
      <w:r w:rsidRPr="00280F36">
        <w:rPr>
          <w:rFonts w:ascii="Arial" w:eastAsia="Times New Roman" w:hAnsi="Arial" w:cs="Arial"/>
          <w:sz w:val="22"/>
          <w:szCs w:val="22"/>
        </w:rPr>
        <w:t xml:space="preserve">. Rockville, MD: Agency for Healthcare Research and Quality. Available at: </w:t>
      </w:r>
      <w:hyperlink r:id="rId21" w:tgtFrame="_new" w:history="1">
        <w:r w:rsidRPr="00280F36">
          <w:rPr>
            <w:rStyle w:val="Hyperlink"/>
            <w:rFonts w:ascii="Arial" w:eastAsia="Times New Roman" w:hAnsi="Arial" w:cs="Arial"/>
            <w:sz w:val="22"/>
            <w:szCs w:val="22"/>
          </w:rPr>
          <w:t>https://www.ncbi.nlm.nih.gov/books/NBK2637/</w:t>
        </w:r>
      </w:hyperlink>
      <w:r w:rsidRPr="00280F36">
        <w:rPr>
          <w:rFonts w:ascii="Arial" w:eastAsia="Times New Roman" w:hAnsi="Arial" w:cs="Arial"/>
          <w:sz w:val="22"/>
          <w:szCs w:val="22"/>
        </w:rPr>
        <w:t xml:space="preserve"> (Accessed: 1</w:t>
      </w:r>
      <w:r w:rsidR="00DE1C6B">
        <w:rPr>
          <w:rFonts w:ascii="Arial" w:eastAsia="Times New Roman" w:hAnsi="Arial" w:cs="Arial"/>
          <w:sz w:val="22"/>
          <w:szCs w:val="22"/>
        </w:rPr>
        <w:t>1</w:t>
      </w:r>
      <w:r w:rsidRPr="00280F36">
        <w:rPr>
          <w:rFonts w:ascii="Arial" w:eastAsia="Times New Roman" w:hAnsi="Arial" w:cs="Arial"/>
          <w:sz w:val="22"/>
          <w:szCs w:val="22"/>
        </w:rPr>
        <w:t xml:space="preserve"> July 2026).</w:t>
      </w:r>
    </w:p>
    <w:p w14:paraId="1ABDC391"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Reason, J. (1997) </w:t>
      </w:r>
      <w:r w:rsidRPr="00280F36">
        <w:rPr>
          <w:rStyle w:val="Emphasis"/>
          <w:rFonts w:ascii="Arial" w:hAnsi="Arial" w:cs="Arial"/>
          <w:sz w:val="22"/>
          <w:szCs w:val="22"/>
        </w:rPr>
        <w:t>Managing the Risks of Organisational Accidents</w:t>
      </w:r>
      <w:r w:rsidRPr="00280F36">
        <w:rPr>
          <w:rFonts w:ascii="Arial" w:hAnsi="Arial" w:cs="Arial"/>
          <w:sz w:val="22"/>
          <w:szCs w:val="22"/>
        </w:rPr>
        <w:t xml:space="preserve">. Aldershot: </w:t>
      </w:r>
      <w:proofErr w:type="spellStart"/>
      <w:r w:rsidRPr="00280F36">
        <w:rPr>
          <w:rFonts w:ascii="Arial" w:hAnsi="Arial" w:cs="Arial"/>
          <w:sz w:val="22"/>
          <w:szCs w:val="22"/>
        </w:rPr>
        <w:t>Ashgate</w:t>
      </w:r>
      <w:proofErr w:type="spellEnd"/>
      <w:r w:rsidRPr="00280F36">
        <w:rPr>
          <w:rFonts w:ascii="Arial" w:hAnsi="Arial" w:cs="Arial"/>
          <w:sz w:val="22"/>
          <w:szCs w:val="22"/>
        </w:rPr>
        <w:t>.</w:t>
      </w:r>
    </w:p>
    <w:p w14:paraId="7D0452C9"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Reason, J. (2000) ‘Human error: models and management’, </w:t>
      </w:r>
      <w:r w:rsidRPr="00280F36">
        <w:rPr>
          <w:rStyle w:val="Emphasis"/>
          <w:rFonts w:ascii="Arial" w:hAnsi="Arial" w:cs="Arial"/>
          <w:sz w:val="22"/>
          <w:szCs w:val="22"/>
        </w:rPr>
        <w:t>BMJ</w:t>
      </w:r>
      <w:r w:rsidRPr="00280F36">
        <w:rPr>
          <w:rFonts w:ascii="Arial" w:hAnsi="Arial" w:cs="Arial"/>
          <w:sz w:val="22"/>
          <w:szCs w:val="22"/>
        </w:rPr>
        <w:t>, 320(7237), pp.768–770. doi:10.1136/bmj.320.7237.768.</w:t>
      </w:r>
    </w:p>
    <w:p w14:paraId="29E8E34E"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Senge</w:t>
      </w:r>
      <w:proofErr w:type="spellEnd"/>
      <w:r w:rsidRPr="00280F36">
        <w:rPr>
          <w:rFonts w:ascii="Arial" w:hAnsi="Arial" w:cs="Arial"/>
          <w:sz w:val="22"/>
          <w:szCs w:val="22"/>
        </w:rPr>
        <w:t xml:space="preserve">, P.M. (1990) </w:t>
      </w:r>
      <w:r w:rsidRPr="00280F36">
        <w:rPr>
          <w:rStyle w:val="Emphasis"/>
          <w:rFonts w:ascii="Arial" w:hAnsi="Arial" w:cs="Arial"/>
          <w:sz w:val="22"/>
          <w:szCs w:val="22"/>
        </w:rPr>
        <w:t>The Fifth Discipline: The Art and Practice of the Learning Organization</w:t>
      </w:r>
      <w:r w:rsidRPr="00280F36">
        <w:rPr>
          <w:rFonts w:ascii="Arial" w:hAnsi="Arial" w:cs="Arial"/>
          <w:sz w:val="22"/>
          <w:szCs w:val="22"/>
        </w:rPr>
        <w:t>. New York: Doubleday.</w:t>
      </w:r>
    </w:p>
    <w:p w14:paraId="6664EB98" w14:textId="609FC559"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The Health Foundation (2021) </w:t>
      </w:r>
      <w:r w:rsidRPr="00280F36">
        <w:rPr>
          <w:rStyle w:val="Emphasis"/>
          <w:rFonts w:ascii="Arial" w:hAnsi="Arial" w:cs="Arial"/>
          <w:sz w:val="22"/>
          <w:szCs w:val="22"/>
        </w:rPr>
        <w:t>Quality Improvement Made Simple: What Everyone Should Know About Healthcare Quality Improvement</w:t>
      </w:r>
      <w:r w:rsidRPr="00280F36">
        <w:rPr>
          <w:rFonts w:ascii="Arial" w:hAnsi="Arial" w:cs="Arial"/>
          <w:sz w:val="22"/>
          <w:szCs w:val="22"/>
        </w:rPr>
        <w:t xml:space="preserve">. Available at: </w:t>
      </w:r>
      <w:hyperlink r:id="rId22" w:history="1">
        <w:r w:rsidRPr="00280F36">
          <w:rPr>
            <w:rStyle w:val="Hyperlink"/>
            <w:rFonts w:ascii="Arial" w:hAnsi="Arial" w:cs="Arial"/>
            <w:sz w:val="22"/>
            <w:szCs w:val="22"/>
          </w:rPr>
          <w:t>https://www.health.org.uk/publications/quality-improvement-made-simple</w:t>
        </w:r>
      </w:hyperlink>
      <w:r w:rsidRPr="00280F36">
        <w:rPr>
          <w:rFonts w:ascii="Arial" w:hAnsi="Arial" w:cs="Arial"/>
          <w:sz w:val="22"/>
          <w:szCs w:val="22"/>
        </w:rPr>
        <w:t xml:space="preserve"> (Accessed: 1</w:t>
      </w:r>
      <w:r w:rsidR="00124B27">
        <w:rPr>
          <w:rFonts w:ascii="Arial" w:hAnsi="Arial" w:cs="Arial"/>
          <w:sz w:val="22"/>
          <w:szCs w:val="22"/>
        </w:rPr>
        <w:t>3</w:t>
      </w:r>
      <w:r w:rsidRPr="00280F36">
        <w:rPr>
          <w:rFonts w:ascii="Arial" w:hAnsi="Arial" w:cs="Arial"/>
          <w:sz w:val="22"/>
          <w:szCs w:val="22"/>
        </w:rPr>
        <w:t xml:space="preserve"> July 2026).</w:t>
      </w:r>
    </w:p>
    <w:p w14:paraId="48AF1244" w14:textId="1B90E189"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lastRenderedPageBreak/>
        <w:t xml:space="preserve">The King’s Fund (2023) </w:t>
      </w:r>
      <w:r w:rsidRPr="00280F36">
        <w:rPr>
          <w:rStyle w:val="Emphasis"/>
          <w:rFonts w:ascii="Arial" w:hAnsi="Arial" w:cs="Arial"/>
          <w:sz w:val="22"/>
          <w:szCs w:val="22"/>
        </w:rPr>
        <w:t>The NHS Workforce Crisis: What Can Be Done?</w:t>
      </w:r>
      <w:r w:rsidRPr="00280F36">
        <w:rPr>
          <w:rFonts w:ascii="Arial" w:hAnsi="Arial" w:cs="Arial"/>
          <w:sz w:val="22"/>
          <w:szCs w:val="22"/>
        </w:rPr>
        <w:t xml:space="preserve"> Available at: </w:t>
      </w:r>
      <w:hyperlink r:id="rId23" w:history="1">
        <w:r w:rsidRPr="00280F36">
          <w:rPr>
            <w:rStyle w:val="Hyperlink"/>
            <w:rFonts w:ascii="Arial" w:hAnsi="Arial" w:cs="Arial"/>
            <w:sz w:val="22"/>
            <w:szCs w:val="22"/>
          </w:rPr>
          <w:t>https://www.kingsfund.org.uk</w:t>
        </w:r>
      </w:hyperlink>
      <w:r w:rsidRPr="00280F36">
        <w:rPr>
          <w:rFonts w:ascii="Arial" w:hAnsi="Arial" w:cs="Arial"/>
          <w:sz w:val="22"/>
          <w:szCs w:val="22"/>
        </w:rPr>
        <w:t xml:space="preserve"> (Accessed: 1</w:t>
      </w:r>
      <w:r w:rsidR="00124B27">
        <w:rPr>
          <w:rFonts w:ascii="Arial" w:hAnsi="Arial" w:cs="Arial"/>
          <w:sz w:val="22"/>
          <w:szCs w:val="22"/>
        </w:rPr>
        <w:t xml:space="preserve">3 </w:t>
      </w:r>
      <w:r w:rsidRPr="00280F36">
        <w:rPr>
          <w:rFonts w:ascii="Arial" w:hAnsi="Arial" w:cs="Arial"/>
          <w:sz w:val="22"/>
          <w:szCs w:val="22"/>
        </w:rPr>
        <w:t>July 2026).</w:t>
      </w:r>
    </w:p>
    <w:p w14:paraId="7F5C91B1"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Vincent, C. (2010) </w:t>
      </w:r>
      <w:r w:rsidRPr="00280F36">
        <w:rPr>
          <w:rStyle w:val="Emphasis"/>
          <w:rFonts w:ascii="Arial" w:hAnsi="Arial" w:cs="Arial"/>
          <w:sz w:val="22"/>
          <w:szCs w:val="22"/>
        </w:rPr>
        <w:t>Patient Safety</w:t>
      </w:r>
      <w:r w:rsidRPr="00280F36">
        <w:rPr>
          <w:rFonts w:ascii="Arial" w:hAnsi="Arial" w:cs="Arial"/>
          <w:sz w:val="22"/>
          <w:szCs w:val="22"/>
        </w:rPr>
        <w:t>. 2nd edn. Chichester: Wiley-Blackwell.</w:t>
      </w:r>
    </w:p>
    <w:p w14:paraId="1D4E2F16" w14:textId="66D8090D"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West, M., Eckert, R., Collins, B. and </w:t>
      </w:r>
      <w:proofErr w:type="spellStart"/>
      <w:r w:rsidRPr="00280F36">
        <w:rPr>
          <w:rFonts w:ascii="Arial" w:hAnsi="Arial" w:cs="Arial"/>
          <w:sz w:val="22"/>
          <w:szCs w:val="22"/>
        </w:rPr>
        <w:t>Chowla</w:t>
      </w:r>
      <w:proofErr w:type="spellEnd"/>
      <w:r w:rsidRPr="00280F36">
        <w:rPr>
          <w:rFonts w:ascii="Arial" w:hAnsi="Arial" w:cs="Arial"/>
          <w:sz w:val="22"/>
          <w:szCs w:val="22"/>
        </w:rPr>
        <w:t xml:space="preserve">, R. (2015) </w:t>
      </w:r>
      <w:r w:rsidRPr="00280F36">
        <w:rPr>
          <w:rStyle w:val="Emphasis"/>
          <w:rFonts w:ascii="Arial" w:hAnsi="Arial" w:cs="Arial"/>
          <w:sz w:val="22"/>
          <w:szCs w:val="22"/>
        </w:rPr>
        <w:t>Caring to Change: How Compassionate Leadership Can Stimulate Innovation in Health Care</w:t>
      </w:r>
      <w:r w:rsidRPr="00280F36">
        <w:rPr>
          <w:rFonts w:ascii="Arial" w:hAnsi="Arial" w:cs="Arial"/>
          <w:sz w:val="22"/>
          <w:szCs w:val="22"/>
        </w:rPr>
        <w:t xml:space="preserve">. London: The King’s Fund. Available at: </w:t>
      </w:r>
      <w:hyperlink r:id="rId24" w:history="1">
        <w:r w:rsidRPr="00280F36">
          <w:rPr>
            <w:rStyle w:val="Hyperlink"/>
            <w:rFonts w:ascii="Arial" w:hAnsi="Arial" w:cs="Arial"/>
            <w:sz w:val="22"/>
            <w:szCs w:val="22"/>
          </w:rPr>
          <w:t>https://www.kingsfund.org.uk/publications/caring-change</w:t>
        </w:r>
      </w:hyperlink>
      <w:r w:rsidRPr="00280F36">
        <w:rPr>
          <w:rFonts w:ascii="Arial" w:hAnsi="Arial" w:cs="Arial"/>
          <w:sz w:val="22"/>
          <w:szCs w:val="22"/>
        </w:rPr>
        <w:t xml:space="preserve"> (Accessed: 1</w:t>
      </w:r>
      <w:r w:rsidR="00124B27">
        <w:rPr>
          <w:rFonts w:ascii="Arial" w:hAnsi="Arial" w:cs="Arial"/>
          <w:sz w:val="22"/>
          <w:szCs w:val="22"/>
        </w:rPr>
        <w:t>5</w:t>
      </w:r>
      <w:r w:rsidRPr="00280F36">
        <w:rPr>
          <w:rFonts w:ascii="Arial" w:hAnsi="Arial" w:cs="Arial"/>
          <w:sz w:val="22"/>
          <w:szCs w:val="22"/>
        </w:rPr>
        <w:t xml:space="preserve"> July 2026).</w:t>
      </w:r>
    </w:p>
    <w:p w14:paraId="5B71152A"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West, M. (2021) </w:t>
      </w:r>
      <w:r w:rsidRPr="00280F36">
        <w:rPr>
          <w:rStyle w:val="Emphasis"/>
          <w:rFonts w:ascii="Arial" w:hAnsi="Arial" w:cs="Arial"/>
          <w:sz w:val="22"/>
          <w:szCs w:val="22"/>
        </w:rPr>
        <w:t>Compassionate Leadership: Sustaining Wisdom, Humanity and Presence in Health and Social Care</w:t>
      </w:r>
      <w:r w:rsidRPr="00280F36">
        <w:rPr>
          <w:rFonts w:ascii="Arial" w:hAnsi="Arial" w:cs="Arial"/>
          <w:sz w:val="22"/>
          <w:szCs w:val="22"/>
        </w:rPr>
        <w:t>. London: Swirling Leaf Press.</w:t>
      </w:r>
    </w:p>
    <w:p w14:paraId="1C45D29D"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(2017) </w:t>
      </w:r>
      <w:r w:rsidRPr="00280F36">
        <w:rPr>
          <w:rStyle w:val="Emphasis"/>
          <w:rFonts w:ascii="Arial" w:hAnsi="Arial" w:cs="Arial"/>
          <w:sz w:val="22"/>
          <w:szCs w:val="22"/>
        </w:rPr>
        <w:t>Medication Without Harm: Global Patient Safety Challenge on Medication Safety</w:t>
      </w:r>
      <w:r w:rsidRPr="00280F36">
        <w:rPr>
          <w:rFonts w:ascii="Arial" w:hAnsi="Arial" w:cs="Arial"/>
          <w:sz w:val="22"/>
          <w:szCs w:val="22"/>
        </w:rPr>
        <w:t xml:space="preserve">. Geneva: WHO. Available at: </w:t>
      </w:r>
      <w:hyperlink r:id="rId25" w:history="1">
        <w:r w:rsidRPr="00280F36">
          <w:rPr>
            <w:rStyle w:val="Hyperlink"/>
            <w:rFonts w:ascii="Arial" w:hAnsi="Arial" w:cs="Arial"/>
            <w:sz w:val="22"/>
            <w:szCs w:val="22"/>
          </w:rPr>
          <w:t>https://www.who.int/initiatives/medication-without-harm</w:t>
        </w:r>
      </w:hyperlink>
      <w:r w:rsidRPr="00280F36">
        <w:rPr>
          <w:rFonts w:ascii="Arial" w:hAnsi="Arial" w:cs="Arial"/>
          <w:sz w:val="22"/>
          <w:szCs w:val="22"/>
        </w:rPr>
        <w:t xml:space="preserve"> (Accessed: 18 July 2026).</w:t>
      </w:r>
    </w:p>
    <w:p w14:paraId="3DAD8928" w14:textId="695E1548"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(2021) </w:t>
      </w:r>
      <w:r w:rsidRPr="00280F36">
        <w:rPr>
          <w:rStyle w:val="Emphasis"/>
          <w:rFonts w:ascii="Arial" w:hAnsi="Arial" w:cs="Arial"/>
          <w:sz w:val="22"/>
          <w:szCs w:val="22"/>
        </w:rPr>
        <w:t>Global Patient Safety Action Plan 2021–2030: Towards Eliminating Avoidable Harm in Health Care</w:t>
      </w:r>
      <w:r w:rsidRPr="00280F36">
        <w:rPr>
          <w:rFonts w:ascii="Arial" w:hAnsi="Arial" w:cs="Arial"/>
          <w:sz w:val="22"/>
          <w:szCs w:val="22"/>
        </w:rPr>
        <w:t xml:space="preserve">. Geneva: WHO. Available at: </w:t>
      </w:r>
      <w:hyperlink r:id="rId26" w:history="1">
        <w:r w:rsidRPr="00280F36">
          <w:rPr>
            <w:rStyle w:val="Hyperlink"/>
            <w:rFonts w:ascii="Arial" w:hAnsi="Arial" w:cs="Arial"/>
            <w:sz w:val="22"/>
            <w:szCs w:val="22"/>
          </w:rPr>
          <w:t>https://www.who.int/publications/i/item/9789240032705</w:t>
        </w:r>
      </w:hyperlink>
      <w:r w:rsidRPr="00280F36">
        <w:rPr>
          <w:rFonts w:ascii="Arial" w:hAnsi="Arial" w:cs="Arial"/>
          <w:sz w:val="22"/>
          <w:szCs w:val="22"/>
        </w:rPr>
        <w:t xml:space="preserve"> (Accessed: </w:t>
      </w:r>
      <w:r w:rsidR="00221DBB">
        <w:rPr>
          <w:rFonts w:ascii="Arial" w:hAnsi="Arial" w:cs="Arial"/>
          <w:sz w:val="22"/>
          <w:szCs w:val="22"/>
        </w:rPr>
        <w:t xml:space="preserve">20 </w:t>
      </w:r>
      <w:r w:rsidRPr="00280F36">
        <w:rPr>
          <w:rFonts w:ascii="Arial" w:hAnsi="Arial" w:cs="Arial"/>
          <w:sz w:val="22"/>
          <w:szCs w:val="22"/>
        </w:rPr>
        <w:t>July 2026).</w:t>
      </w:r>
    </w:p>
    <w:p w14:paraId="45739F3E"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(2022) </w:t>
      </w:r>
      <w:r w:rsidRPr="00280F36">
        <w:rPr>
          <w:rStyle w:val="Emphasis"/>
          <w:rFonts w:ascii="Arial" w:hAnsi="Arial" w:cs="Arial"/>
          <w:sz w:val="22"/>
          <w:szCs w:val="22"/>
        </w:rPr>
        <w:t>Global Report on Patient Safety</w:t>
      </w:r>
      <w:r w:rsidRPr="00280F36">
        <w:rPr>
          <w:rFonts w:ascii="Arial" w:hAnsi="Arial" w:cs="Arial"/>
          <w:sz w:val="22"/>
          <w:szCs w:val="22"/>
        </w:rPr>
        <w:t xml:space="preserve">. Geneva: WHO. Available at: </w:t>
      </w:r>
      <w:hyperlink r:id="rId27" w:history="1">
        <w:r w:rsidRPr="00280F36">
          <w:rPr>
            <w:rStyle w:val="Hyperlink"/>
            <w:rFonts w:ascii="Arial" w:hAnsi="Arial" w:cs="Arial"/>
            <w:sz w:val="22"/>
            <w:szCs w:val="22"/>
          </w:rPr>
          <w:t>https://www.who.int/publications/i/item/9789240055070</w:t>
        </w:r>
      </w:hyperlink>
      <w:r w:rsidRPr="00280F36">
        <w:rPr>
          <w:rFonts w:ascii="Arial" w:hAnsi="Arial" w:cs="Arial"/>
          <w:sz w:val="22"/>
          <w:szCs w:val="22"/>
        </w:rPr>
        <w:t xml:space="preserve"> (Accessed: 18 July 2026).</w:t>
      </w:r>
    </w:p>
    <w:p w14:paraId="7FB0F3F2" w14:textId="58FEC4D6"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(2023) </w:t>
      </w:r>
      <w:r w:rsidRPr="00280F36">
        <w:rPr>
          <w:rStyle w:val="Emphasis"/>
          <w:rFonts w:ascii="Arial" w:hAnsi="Arial" w:cs="Arial"/>
          <w:sz w:val="22"/>
          <w:szCs w:val="22"/>
        </w:rPr>
        <w:t>Patient Safety</w:t>
      </w:r>
      <w:r w:rsidRPr="00280F36">
        <w:rPr>
          <w:rFonts w:ascii="Arial" w:hAnsi="Arial" w:cs="Arial"/>
          <w:sz w:val="22"/>
          <w:szCs w:val="22"/>
        </w:rPr>
        <w:t xml:space="preserve">. Available at: </w:t>
      </w:r>
      <w:hyperlink r:id="rId28" w:history="1">
        <w:r w:rsidRPr="00280F36">
          <w:rPr>
            <w:rStyle w:val="Hyperlink"/>
            <w:rFonts w:ascii="Arial" w:hAnsi="Arial" w:cs="Arial"/>
            <w:sz w:val="22"/>
            <w:szCs w:val="22"/>
          </w:rPr>
          <w:t>https://www.who.int/health-topics/patient-safety</w:t>
        </w:r>
      </w:hyperlink>
      <w:r w:rsidRPr="00280F36">
        <w:rPr>
          <w:rFonts w:ascii="Arial" w:hAnsi="Arial" w:cs="Arial"/>
          <w:sz w:val="22"/>
          <w:szCs w:val="22"/>
        </w:rPr>
        <w:t xml:space="preserve"> (Accessed: 1</w:t>
      </w:r>
      <w:r w:rsidR="00221DBB">
        <w:rPr>
          <w:rFonts w:ascii="Arial" w:hAnsi="Arial" w:cs="Arial"/>
          <w:sz w:val="22"/>
          <w:szCs w:val="22"/>
        </w:rPr>
        <w:t xml:space="preserve">9 </w:t>
      </w:r>
      <w:r w:rsidRPr="00280F36">
        <w:rPr>
          <w:rFonts w:ascii="Arial" w:hAnsi="Arial" w:cs="Arial"/>
          <w:sz w:val="22"/>
          <w:szCs w:val="22"/>
        </w:rPr>
        <w:t>July 2026).</w:t>
      </w:r>
    </w:p>
    <w:p w14:paraId="1B3D81DC" w14:textId="53970D49" w:rsidR="00F220F9" w:rsidRPr="00280F36" w:rsidRDefault="00F220F9" w:rsidP="00280F36">
      <w:pPr>
        <w:spacing w:line="360" w:lineRule="auto"/>
        <w:rPr>
          <w:rFonts w:ascii="Arial" w:hAnsi="Arial" w:cs="Arial"/>
          <w:color w:val="000000" w:themeColor="text1"/>
          <w:sz w:val="22"/>
          <w:szCs w:val="22"/>
        </w:rPr>
      </w:pPr>
    </w:p>
    <w:sectPr w:rsidR="00F220F9" w:rsidRPr="00280F36">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E2B3F" w14:textId="77777777" w:rsidR="00500B2E" w:rsidRDefault="00500B2E" w:rsidP="00545A69">
      <w:pPr>
        <w:spacing w:after="0" w:line="240" w:lineRule="auto"/>
      </w:pPr>
      <w:r>
        <w:separator/>
      </w:r>
    </w:p>
  </w:endnote>
  <w:endnote w:type="continuationSeparator" w:id="0">
    <w:p w14:paraId="3B2567D5" w14:textId="77777777" w:rsidR="00500B2E" w:rsidRDefault="00500B2E" w:rsidP="00545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7816178"/>
      <w:docPartObj>
        <w:docPartGallery w:val="Page Numbers (Bottom of Page)"/>
        <w:docPartUnique/>
      </w:docPartObj>
    </w:sdtPr>
    <w:sdtEndPr>
      <w:rPr>
        <w:rStyle w:val="PageNumber"/>
      </w:rPr>
    </w:sdtEndPr>
    <w:sdtContent>
      <w:p w14:paraId="075ED1FE" w14:textId="3E656642" w:rsidR="00545A69" w:rsidRDefault="00545A69" w:rsidP="004D503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FDAF5" w14:textId="77777777" w:rsidR="00545A69" w:rsidRDefault="00545A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3032813"/>
      <w:docPartObj>
        <w:docPartGallery w:val="Page Numbers (Bottom of Page)"/>
        <w:docPartUnique/>
      </w:docPartObj>
    </w:sdtPr>
    <w:sdtEndPr>
      <w:rPr>
        <w:rStyle w:val="PageNumber"/>
      </w:rPr>
    </w:sdtEndPr>
    <w:sdtContent>
      <w:p w14:paraId="57736DC5" w14:textId="4CAB2713" w:rsidR="00545A69" w:rsidRDefault="00545A69" w:rsidP="004D503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126FF25" w14:textId="77777777" w:rsidR="00545A69" w:rsidRDefault="00545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85412" w14:textId="77777777" w:rsidR="00500B2E" w:rsidRDefault="00500B2E" w:rsidP="00545A69">
      <w:pPr>
        <w:spacing w:after="0" w:line="240" w:lineRule="auto"/>
      </w:pPr>
      <w:r>
        <w:separator/>
      </w:r>
    </w:p>
  </w:footnote>
  <w:footnote w:type="continuationSeparator" w:id="0">
    <w:p w14:paraId="51D4EEAD" w14:textId="77777777" w:rsidR="00500B2E" w:rsidRDefault="00500B2E" w:rsidP="00545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72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579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12F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D44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990563"/>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86C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321B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596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77B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528909">
    <w:abstractNumId w:val="4"/>
  </w:num>
  <w:num w:numId="2" w16cid:durableId="1981766056">
    <w:abstractNumId w:val="8"/>
  </w:num>
  <w:num w:numId="3" w16cid:durableId="671645000">
    <w:abstractNumId w:val="7"/>
  </w:num>
  <w:num w:numId="4" w16cid:durableId="1387485177">
    <w:abstractNumId w:val="3"/>
  </w:num>
  <w:num w:numId="5" w16cid:durableId="1533490660">
    <w:abstractNumId w:val="6"/>
  </w:num>
  <w:num w:numId="6" w16cid:durableId="1732844592">
    <w:abstractNumId w:val="2"/>
  </w:num>
  <w:num w:numId="7" w16cid:durableId="1244681695">
    <w:abstractNumId w:val="0"/>
  </w:num>
  <w:num w:numId="8" w16cid:durableId="573321699">
    <w:abstractNumId w:val="1"/>
  </w:num>
  <w:num w:numId="9" w16cid:durableId="15948936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6BD"/>
    <w:rsid w:val="000036ED"/>
    <w:rsid w:val="00011FC8"/>
    <w:rsid w:val="00012F6D"/>
    <w:rsid w:val="000146A5"/>
    <w:rsid w:val="00016374"/>
    <w:rsid w:val="000211E3"/>
    <w:rsid w:val="000245E7"/>
    <w:rsid w:val="000317A0"/>
    <w:rsid w:val="00031FD0"/>
    <w:rsid w:val="00033F47"/>
    <w:rsid w:val="00034E0F"/>
    <w:rsid w:val="000363B1"/>
    <w:rsid w:val="00040D3A"/>
    <w:rsid w:val="00042092"/>
    <w:rsid w:val="00051449"/>
    <w:rsid w:val="00051DEC"/>
    <w:rsid w:val="0005292F"/>
    <w:rsid w:val="00052A1B"/>
    <w:rsid w:val="0005361B"/>
    <w:rsid w:val="000546A7"/>
    <w:rsid w:val="00061DAE"/>
    <w:rsid w:val="00070E3F"/>
    <w:rsid w:val="00076FEF"/>
    <w:rsid w:val="000818E5"/>
    <w:rsid w:val="000854DD"/>
    <w:rsid w:val="0008655D"/>
    <w:rsid w:val="000910FD"/>
    <w:rsid w:val="00093312"/>
    <w:rsid w:val="00094792"/>
    <w:rsid w:val="00094D0F"/>
    <w:rsid w:val="000954E1"/>
    <w:rsid w:val="000955FE"/>
    <w:rsid w:val="00097FCB"/>
    <w:rsid w:val="000A2E35"/>
    <w:rsid w:val="000A4713"/>
    <w:rsid w:val="000A4967"/>
    <w:rsid w:val="000A67C1"/>
    <w:rsid w:val="000A6CA3"/>
    <w:rsid w:val="000B3844"/>
    <w:rsid w:val="000B7133"/>
    <w:rsid w:val="000C2AD7"/>
    <w:rsid w:val="000C7039"/>
    <w:rsid w:val="000C73BE"/>
    <w:rsid w:val="000D67F1"/>
    <w:rsid w:val="000E27EC"/>
    <w:rsid w:val="000E7157"/>
    <w:rsid w:val="00105681"/>
    <w:rsid w:val="00123664"/>
    <w:rsid w:val="00124B27"/>
    <w:rsid w:val="00125953"/>
    <w:rsid w:val="00125B20"/>
    <w:rsid w:val="0013360E"/>
    <w:rsid w:val="00133FFE"/>
    <w:rsid w:val="00134043"/>
    <w:rsid w:val="00137ABB"/>
    <w:rsid w:val="001402D9"/>
    <w:rsid w:val="00144668"/>
    <w:rsid w:val="00150E2C"/>
    <w:rsid w:val="00151114"/>
    <w:rsid w:val="00155DAF"/>
    <w:rsid w:val="001677D2"/>
    <w:rsid w:val="001745BC"/>
    <w:rsid w:val="00175864"/>
    <w:rsid w:val="00176A87"/>
    <w:rsid w:val="00182448"/>
    <w:rsid w:val="00182EB0"/>
    <w:rsid w:val="00196CC8"/>
    <w:rsid w:val="001A20FF"/>
    <w:rsid w:val="001A40B1"/>
    <w:rsid w:val="001A6AC3"/>
    <w:rsid w:val="001B7845"/>
    <w:rsid w:val="001B7B8D"/>
    <w:rsid w:val="001D05B0"/>
    <w:rsid w:val="001D06DE"/>
    <w:rsid w:val="001D0C32"/>
    <w:rsid w:val="001D25B9"/>
    <w:rsid w:val="001D5735"/>
    <w:rsid w:val="001E6006"/>
    <w:rsid w:val="001F3C6C"/>
    <w:rsid w:val="001F66EA"/>
    <w:rsid w:val="001F7774"/>
    <w:rsid w:val="0020474B"/>
    <w:rsid w:val="0020593E"/>
    <w:rsid w:val="00206694"/>
    <w:rsid w:val="00211710"/>
    <w:rsid w:val="00212C0C"/>
    <w:rsid w:val="00215556"/>
    <w:rsid w:val="0021711D"/>
    <w:rsid w:val="00221DBB"/>
    <w:rsid w:val="00223E77"/>
    <w:rsid w:val="00224F9C"/>
    <w:rsid w:val="00225BE9"/>
    <w:rsid w:val="00230056"/>
    <w:rsid w:val="0023332B"/>
    <w:rsid w:val="002407B1"/>
    <w:rsid w:val="00241688"/>
    <w:rsid w:val="00241B9F"/>
    <w:rsid w:val="00241F0D"/>
    <w:rsid w:val="00244144"/>
    <w:rsid w:val="0024614D"/>
    <w:rsid w:val="0024627F"/>
    <w:rsid w:val="00250C18"/>
    <w:rsid w:val="002536D8"/>
    <w:rsid w:val="0025429B"/>
    <w:rsid w:val="002601B7"/>
    <w:rsid w:val="00261719"/>
    <w:rsid w:val="0026325D"/>
    <w:rsid w:val="00267FE3"/>
    <w:rsid w:val="0027125D"/>
    <w:rsid w:val="00271CD7"/>
    <w:rsid w:val="00280F36"/>
    <w:rsid w:val="002866A6"/>
    <w:rsid w:val="002940D1"/>
    <w:rsid w:val="002A1565"/>
    <w:rsid w:val="002A1E23"/>
    <w:rsid w:val="002A5758"/>
    <w:rsid w:val="002A6937"/>
    <w:rsid w:val="002B673C"/>
    <w:rsid w:val="002B7061"/>
    <w:rsid w:val="002C4452"/>
    <w:rsid w:val="002D177F"/>
    <w:rsid w:val="002D2BF8"/>
    <w:rsid w:val="002D2E0E"/>
    <w:rsid w:val="002D4839"/>
    <w:rsid w:val="002D5910"/>
    <w:rsid w:val="002D6008"/>
    <w:rsid w:val="002E677D"/>
    <w:rsid w:val="002F0055"/>
    <w:rsid w:val="002F0C16"/>
    <w:rsid w:val="002F68D9"/>
    <w:rsid w:val="002F7BCA"/>
    <w:rsid w:val="00301CC0"/>
    <w:rsid w:val="00303BE2"/>
    <w:rsid w:val="003040E2"/>
    <w:rsid w:val="00317211"/>
    <w:rsid w:val="00320D5D"/>
    <w:rsid w:val="00321BE6"/>
    <w:rsid w:val="00321F96"/>
    <w:rsid w:val="00324C07"/>
    <w:rsid w:val="003262B1"/>
    <w:rsid w:val="0033429D"/>
    <w:rsid w:val="00336DE3"/>
    <w:rsid w:val="0034577E"/>
    <w:rsid w:val="00352105"/>
    <w:rsid w:val="00354A5F"/>
    <w:rsid w:val="00354E6D"/>
    <w:rsid w:val="003577F3"/>
    <w:rsid w:val="003654F8"/>
    <w:rsid w:val="00367297"/>
    <w:rsid w:val="00367403"/>
    <w:rsid w:val="0037025F"/>
    <w:rsid w:val="00371AB0"/>
    <w:rsid w:val="003749AA"/>
    <w:rsid w:val="00374DE8"/>
    <w:rsid w:val="00383DE7"/>
    <w:rsid w:val="00390462"/>
    <w:rsid w:val="00390C50"/>
    <w:rsid w:val="00392177"/>
    <w:rsid w:val="0039412B"/>
    <w:rsid w:val="00397B7C"/>
    <w:rsid w:val="003A1209"/>
    <w:rsid w:val="003A7161"/>
    <w:rsid w:val="003B0E06"/>
    <w:rsid w:val="003B25A1"/>
    <w:rsid w:val="003B31D6"/>
    <w:rsid w:val="003B4AE4"/>
    <w:rsid w:val="003C0B05"/>
    <w:rsid w:val="003C1B6D"/>
    <w:rsid w:val="003C41B9"/>
    <w:rsid w:val="003C472D"/>
    <w:rsid w:val="003C606B"/>
    <w:rsid w:val="003D2EA1"/>
    <w:rsid w:val="003E1C78"/>
    <w:rsid w:val="003E2AE4"/>
    <w:rsid w:val="003F0F0D"/>
    <w:rsid w:val="003F1029"/>
    <w:rsid w:val="003F514E"/>
    <w:rsid w:val="0040681F"/>
    <w:rsid w:val="00407C88"/>
    <w:rsid w:val="00416D31"/>
    <w:rsid w:val="00425168"/>
    <w:rsid w:val="00427DEA"/>
    <w:rsid w:val="00431419"/>
    <w:rsid w:val="00432116"/>
    <w:rsid w:val="00446521"/>
    <w:rsid w:val="00446C36"/>
    <w:rsid w:val="0045437F"/>
    <w:rsid w:val="00454E16"/>
    <w:rsid w:val="00456ED6"/>
    <w:rsid w:val="00464104"/>
    <w:rsid w:val="00464B5F"/>
    <w:rsid w:val="0047157B"/>
    <w:rsid w:val="00475905"/>
    <w:rsid w:val="0047773A"/>
    <w:rsid w:val="0048522D"/>
    <w:rsid w:val="0048577C"/>
    <w:rsid w:val="00487126"/>
    <w:rsid w:val="00487B5A"/>
    <w:rsid w:val="0049004F"/>
    <w:rsid w:val="004908DA"/>
    <w:rsid w:val="00491E94"/>
    <w:rsid w:val="004962AF"/>
    <w:rsid w:val="004A2E3D"/>
    <w:rsid w:val="004A5EC3"/>
    <w:rsid w:val="004A5F03"/>
    <w:rsid w:val="004B1CBF"/>
    <w:rsid w:val="004B4219"/>
    <w:rsid w:val="004B7AC5"/>
    <w:rsid w:val="004C07CB"/>
    <w:rsid w:val="004C11A1"/>
    <w:rsid w:val="004D00E0"/>
    <w:rsid w:val="004D2087"/>
    <w:rsid w:val="004D27AB"/>
    <w:rsid w:val="004D3133"/>
    <w:rsid w:val="004D5032"/>
    <w:rsid w:val="004D5231"/>
    <w:rsid w:val="004D654E"/>
    <w:rsid w:val="004D7A27"/>
    <w:rsid w:val="004E5029"/>
    <w:rsid w:val="004E5886"/>
    <w:rsid w:val="004E7268"/>
    <w:rsid w:val="004F3672"/>
    <w:rsid w:val="00500B2E"/>
    <w:rsid w:val="00510786"/>
    <w:rsid w:val="0051095C"/>
    <w:rsid w:val="00513296"/>
    <w:rsid w:val="0051557B"/>
    <w:rsid w:val="00516B36"/>
    <w:rsid w:val="00524FB8"/>
    <w:rsid w:val="00530091"/>
    <w:rsid w:val="00545A69"/>
    <w:rsid w:val="00546C4B"/>
    <w:rsid w:val="00562C5D"/>
    <w:rsid w:val="00563D09"/>
    <w:rsid w:val="00564571"/>
    <w:rsid w:val="00565948"/>
    <w:rsid w:val="00566429"/>
    <w:rsid w:val="00570913"/>
    <w:rsid w:val="00570DF4"/>
    <w:rsid w:val="005763FA"/>
    <w:rsid w:val="00583B39"/>
    <w:rsid w:val="00585B33"/>
    <w:rsid w:val="00597816"/>
    <w:rsid w:val="005A0393"/>
    <w:rsid w:val="005A1493"/>
    <w:rsid w:val="005A3E3D"/>
    <w:rsid w:val="005B3463"/>
    <w:rsid w:val="005B45EF"/>
    <w:rsid w:val="005C14DB"/>
    <w:rsid w:val="005C30CE"/>
    <w:rsid w:val="005C3960"/>
    <w:rsid w:val="005D4012"/>
    <w:rsid w:val="005D6818"/>
    <w:rsid w:val="005E067A"/>
    <w:rsid w:val="005E25B1"/>
    <w:rsid w:val="005E5BC1"/>
    <w:rsid w:val="005F146A"/>
    <w:rsid w:val="005F3CD4"/>
    <w:rsid w:val="005F4EF5"/>
    <w:rsid w:val="005F68D5"/>
    <w:rsid w:val="005F7397"/>
    <w:rsid w:val="005F7E35"/>
    <w:rsid w:val="00604386"/>
    <w:rsid w:val="00605AD3"/>
    <w:rsid w:val="00607EF4"/>
    <w:rsid w:val="00611390"/>
    <w:rsid w:val="00612F16"/>
    <w:rsid w:val="00614C4F"/>
    <w:rsid w:val="00623706"/>
    <w:rsid w:val="00624D0C"/>
    <w:rsid w:val="006259EA"/>
    <w:rsid w:val="00631D23"/>
    <w:rsid w:val="0064577F"/>
    <w:rsid w:val="006462B9"/>
    <w:rsid w:val="00652D99"/>
    <w:rsid w:val="00657492"/>
    <w:rsid w:val="00663DF7"/>
    <w:rsid w:val="00671B70"/>
    <w:rsid w:val="00672805"/>
    <w:rsid w:val="00680B4C"/>
    <w:rsid w:val="00694781"/>
    <w:rsid w:val="00695DD0"/>
    <w:rsid w:val="006A242D"/>
    <w:rsid w:val="006A32D4"/>
    <w:rsid w:val="006A449E"/>
    <w:rsid w:val="006A5405"/>
    <w:rsid w:val="006A58A5"/>
    <w:rsid w:val="006B0DDC"/>
    <w:rsid w:val="006B3D39"/>
    <w:rsid w:val="006B498B"/>
    <w:rsid w:val="006B5421"/>
    <w:rsid w:val="006B5606"/>
    <w:rsid w:val="006C3DB0"/>
    <w:rsid w:val="006C5CE0"/>
    <w:rsid w:val="006D0B94"/>
    <w:rsid w:val="006D1FC7"/>
    <w:rsid w:val="006D7C6E"/>
    <w:rsid w:val="006E2753"/>
    <w:rsid w:val="006E27B9"/>
    <w:rsid w:val="006F16AD"/>
    <w:rsid w:val="006F1EF1"/>
    <w:rsid w:val="006F3E98"/>
    <w:rsid w:val="006F465D"/>
    <w:rsid w:val="007045BA"/>
    <w:rsid w:val="007106BD"/>
    <w:rsid w:val="0071180D"/>
    <w:rsid w:val="007156E4"/>
    <w:rsid w:val="00725573"/>
    <w:rsid w:val="00725EB4"/>
    <w:rsid w:val="00730952"/>
    <w:rsid w:val="00730C5E"/>
    <w:rsid w:val="007319FD"/>
    <w:rsid w:val="00740968"/>
    <w:rsid w:val="00742F3E"/>
    <w:rsid w:val="007464F3"/>
    <w:rsid w:val="0074690B"/>
    <w:rsid w:val="00751685"/>
    <w:rsid w:val="00766475"/>
    <w:rsid w:val="0076697B"/>
    <w:rsid w:val="00770B77"/>
    <w:rsid w:val="00772868"/>
    <w:rsid w:val="007836D2"/>
    <w:rsid w:val="00783D9F"/>
    <w:rsid w:val="00792BDA"/>
    <w:rsid w:val="007A037F"/>
    <w:rsid w:val="007B1A44"/>
    <w:rsid w:val="007B1C19"/>
    <w:rsid w:val="007B20E4"/>
    <w:rsid w:val="007B6231"/>
    <w:rsid w:val="007C0445"/>
    <w:rsid w:val="007C220D"/>
    <w:rsid w:val="007C27CA"/>
    <w:rsid w:val="007C6EE1"/>
    <w:rsid w:val="007D0732"/>
    <w:rsid w:val="007D6755"/>
    <w:rsid w:val="007E4005"/>
    <w:rsid w:val="007F4461"/>
    <w:rsid w:val="008014E2"/>
    <w:rsid w:val="00805052"/>
    <w:rsid w:val="00806C37"/>
    <w:rsid w:val="0081297A"/>
    <w:rsid w:val="00816526"/>
    <w:rsid w:val="00820119"/>
    <w:rsid w:val="00821670"/>
    <w:rsid w:val="00822F3C"/>
    <w:rsid w:val="008245B8"/>
    <w:rsid w:val="0082539C"/>
    <w:rsid w:val="00825671"/>
    <w:rsid w:val="008334FF"/>
    <w:rsid w:val="00836905"/>
    <w:rsid w:val="00840D4F"/>
    <w:rsid w:val="00841888"/>
    <w:rsid w:val="008425B7"/>
    <w:rsid w:val="00844460"/>
    <w:rsid w:val="00850A38"/>
    <w:rsid w:val="00852C9A"/>
    <w:rsid w:val="00852D95"/>
    <w:rsid w:val="00860801"/>
    <w:rsid w:val="00860944"/>
    <w:rsid w:val="00861C99"/>
    <w:rsid w:val="00862FB4"/>
    <w:rsid w:val="00863B45"/>
    <w:rsid w:val="00864A82"/>
    <w:rsid w:val="008650CD"/>
    <w:rsid w:val="0087132A"/>
    <w:rsid w:val="008803D6"/>
    <w:rsid w:val="00880A49"/>
    <w:rsid w:val="00883915"/>
    <w:rsid w:val="0088671B"/>
    <w:rsid w:val="00892600"/>
    <w:rsid w:val="008A0460"/>
    <w:rsid w:val="008A0CE1"/>
    <w:rsid w:val="008A5E59"/>
    <w:rsid w:val="008A64E6"/>
    <w:rsid w:val="008A7472"/>
    <w:rsid w:val="008A7FF0"/>
    <w:rsid w:val="008B01AE"/>
    <w:rsid w:val="008B4C2E"/>
    <w:rsid w:val="008B7F91"/>
    <w:rsid w:val="008C18DA"/>
    <w:rsid w:val="008D4111"/>
    <w:rsid w:val="008D4DFD"/>
    <w:rsid w:val="008E0946"/>
    <w:rsid w:val="008E2A71"/>
    <w:rsid w:val="008E4F87"/>
    <w:rsid w:val="008F54AC"/>
    <w:rsid w:val="00900121"/>
    <w:rsid w:val="00903F27"/>
    <w:rsid w:val="00904B4A"/>
    <w:rsid w:val="00904BE5"/>
    <w:rsid w:val="00911576"/>
    <w:rsid w:val="0091400E"/>
    <w:rsid w:val="00914617"/>
    <w:rsid w:val="00914DF8"/>
    <w:rsid w:val="00920960"/>
    <w:rsid w:val="009258F7"/>
    <w:rsid w:val="00930D35"/>
    <w:rsid w:val="00932ECA"/>
    <w:rsid w:val="00942734"/>
    <w:rsid w:val="00944B5E"/>
    <w:rsid w:val="00947390"/>
    <w:rsid w:val="009479DB"/>
    <w:rsid w:val="00951D7A"/>
    <w:rsid w:val="00952EC6"/>
    <w:rsid w:val="009563DB"/>
    <w:rsid w:val="00960CEC"/>
    <w:rsid w:val="009618B8"/>
    <w:rsid w:val="00967825"/>
    <w:rsid w:val="0097245D"/>
    <w:rsid w:val="00973A1B"/>
    <w:rsid w:val="00986AA5"/>
    <w:rsid w:val="0099054F"/>
    <w:rsid w:val="00994AE9"/>
    <w:rsid w:val="009961F3"/>
    <w:rsid w:val="009A78FF"/>
    <w:rsid w:val="009C5D3F"/>
    <w:rsid w:val="009D11D5"/>
    <w:rsid w:val="009D3AC3"/>
    <w:rsid w:val="009D53D5"/>
    <w:rsid w:val="009D5ECA"/>
    <w:rsid w:val="009D5FF4"/>
    <w:rsid w:val="009E2CF0"/>
    <w:rsid w:val="009E3BB5"/>
    <w:rsid w:val="009E4B71"/>
    <w:rsid w:val="009F00BA"/>
    <w:rsid w:val="009F5B20"/>
    <w:rsid w:val="009F7DDA"/>
    <w:rsid w:val="00A00A94"/>
    <w:rsid w:val="00A0120C"/>
    <w:rsid w:val="00A0181E"/>
    <w:rsid w:val="00A02A9E"/>
    <w:rsid w:val="00A02B70"/>
    <w:rsid w:val="00A1414D"/>
    <w:rsid w:val="00A14B43"/>
    <w:rsid w:val="00A17546"/>
    <w:rsid w:val="00A20A78"/>
    <w:rsid w:val="00A22398"/>
    <w:rsid w:val="00A23E0A"/>
    <w:rsid w:val="00A3162A"/>
    <w:rsid w:val="00A338EF"/>
    <w:rsid w:val="00A35A38"/>
    <w:rsid w:val="00A40B3F"/>
    <w:rsid w:val="00A427BE"/>
    <w:rsid w:val="00A5074D"/>
    <w:rsid w:val="00A55758"/>
    <w:rsid w:val="00A6652A"/>
    <w:rsid w:val="00A670E5"/>
    <w:rsid w:val="00A75A04"/>
    <w:rsid w:val="00A82DD2"/>
    <w:rsid w:val="00A831DD"/>
    <w:rsid w:val="00A852B0"/>
    <w:rsid w:val="00A86547"/>
    <w:rsid w:val="00A87063"/>
    <w:rsid w:val="00A95C33"/>
    <w:rsid w:val="00A96D80"/>
    <w:rsid w:val="00AA2443"/>
    <w:rsid w:val="00AA4364"/>
    <w:rsid w:val="00AA5584"/>
    <w:rsid w:val="00AB3833"/>
    <w:rsid w:val="00AB489C"/>
    <w:rsid w:val="00AB67D0"/>
    <w:rsid w:val="00AC3C14"/>
    <w:rsid w:val="00AC7CF1"/>
    <w:rsid w:val="00AD1493"/>
    <w:rsid w:val="00AD33DB"/>
    <w:rsid w:val="00AD75C8"/>
    <w:rsid w:val="00AE1CD7"/>
    <w:rsid w:val="00AE4A6D"/>
    <w:rsid w:val="00AE5982"/>
    <w:rsid w:val="00AE6281"/>
    <w:rsid w:val="00AF45A6"/>
    <w:rsid w:val="00AF5BF5"/>
    <w:rsid w:val="00B02D02"/>
    <w:rsid w:val="00B060C8"/>
    <w:rsid w:val="00B07417"/>
    <w:rsid w:val="00B110D8"/>
    <w:rsid w:val="00B1130D"/>
    <w:rsid w:val="00B11791"/>
    <w:rsid w:val="00B12A83"/>
    <w:rsid w:val="00B14168"/>
    <w:rsid w:val="00B1449C"/>
    <w:rsid w:val="00B151C8"/>
    <w:rsid w:val="00B178B0"/>
    <w:rsid w:val="00B2592A"/>
    <w:rsid w:val="00B315FD"/>
    <w:rsid w:val="00B31CF4"/>
    <w:rsid w:val="00B44B6F"/>
    <w:rsid w:val="00B44C40"/>
    <w:rsid w:val="00B50AE4"/>
    <w:rsid w:val="00B50C58"/>
    <w:rsid w:val="00B50E13"/>
    <w:rsid w:val="00B612E4"/>
    <w:rsid w:val="00B64DDB"/>
    <w:rsid w:val="00B6581F"/>
    <w:rsid w:val="00B71634"/>
    <w:rsid w:val="00B72112"/>
    <w:rsid w:val="00B73A0E"/>
    <w:rsid w:val="00B81F04"/>
    <w:rsid w:val="00B87370"/>
    <w:rsid w:val="00B87B64"/>
    <w:rsid w:val="00B949F6"/>
    <w:rsid w:val="00B95FA1"/>
    <w:rsid w:val="00BA1B79"/>
    <w:rsid w:val="00BA4425"/>
    <w:rsid w:val="00BA5435"/>
    <w:rsid w:val="00BB6441"/>
    <w:rsid w:val="00BC09CB"/>
    <w:rsid w:val="00BD3779"/>
    <w:rsid w:val="00BE094F"/>
    <w:rsid w:val="00BE2D2A"/>
    <w:rsid w:val="00BE3025"/>
    <w:rsid w:val="00BE65E0"/>
    <w:rsid w:val="00BF3CB2"/>
    <w:rsid w:val="00BF46CE"/>
    <w:rsid w:val="00BF6E07"/>
    <w:rsid w:val="00C03050"/>
    <w:rsid w:val="00C049AE"/>
    <w:rsid w:val="00C0545F"/>
    <w:rsid w:val="00C123D6"/>
    <w:rsid w:val="00C3010C"/>
    <w:rsid w:val="00C343DD"/>
    <w:rsid w:val="00C368AC"/>
    <w:rsid w:val="00C4468B"/>
    <w:rsid w:val="00C47B55"/>
    <w:rsid w:val="00C5041A"/>
    <w:rsid w:val="00C54C44"/>
    <w:rsid w:val="00C654A2"/>
    <w:rsid w:val="00C65F43"/>
    <w:rsid w:val="00C700AD"/>
    <w:rsid w:val="00C9089D"/>
    <w:rsid w:val="00C90903"/>
    <w:rsid w:val="00C9230D"/>
    <w:rsid w:val="00C92F12"/>
    <w:rsid w:val="00CA1BAE"/>
    <w:rsid w:val="00CA3667"/>
    <w:rsid w:val="00CA3A0E"/>
    <w:rsid w:val="00CA560A"/>
    <w:rsid w:val="00CB0456"/>
    <w:rsid w:val="00CB4153"/>
    <w:rsid w:val="00CC0BD1"/>
    <w:rsid w:val="00CC1D41"/>
    <w:rsid w:val="00CD4D7A"/>
    <w:rsid w:val="00CE4D4E"/>
    <w:rsid w:val="00CF075B"/>
    <w:rsid w:val="00CF1C02"/>
    <w:rsid w:val="00CF426B"/>
    <w:rsid w:val="00CF42AD"/>
    <w:rsid w:val="00CF6187"/>
    <w:rsid w:val="00D050D5"/>
    <w:rsid w:val="00D139B8"/>
    <w:rsid w:val="00D21B85"/>
    <w:rsid w:val="00D234B7"/>
    <w:rsid w:val="00D26B90"/>
    <w:rsid w:val="00D32997"/>
    <w:rsid w:val="00D44FC3"/>
    <w:rsid w:val="00D479AC"/>
    <w:rsid w:val="00D500F1"/>
    <w:rsid w:val="00D5207D"/>
    <w:rsid w:val="00D52B23"/>
    <w:rsid w:val="00D538A0"/>
    <w:rsid w:val="00D539A4"/>
    <w:rsid w:val="00D53CA4"/>
    <w:rsid w:val="00D5454F"/>
    <w:rsid w:val="00D57095"/>
    <w:rsid w:val="00D61CF5"/>
    <w:rsid w:val="00D70C4C"/>
    <w:rsid w:val="00D7291E"/>
    <w:rsid w:val="00D73F42"/>
    <w:rsid w:val="00D747BB"/>
    <w:rsid w:val="00D757B5"/>
    <w:rsid w:val="00D75C62"/>
    <w:rsid w:val="00D75EFA"/>
    <w:rsid w:val="00D90124"/>
    <w:rsid w:val="00D90AE5"/>
    <w:rsid w:val="00D931B7"/>
    <w:rsid w:val="00D9534A"/>
    <w:rsid w:val="00D962A3"/>
    <w:rsid w:val="00DA09B8"/>
    <w:rsid w:val="00DA0F5E"/>
    <w:rsid w:val="00DA1962"/>
    <w:rsid w:val="00DA2DDC"/>
    <w:rsid w:val="00DA2F0E"/>
    <w:rsid w:val="00DA5A63"/>
    <w:rsid w:val="00DA7D67"/>
    <w:rsid w:val="00DB0D2F"/>
    <w:rsid w:val="00DB160B"/>
    <w:rsid w:val="00DB2FC4"/>
    <w:rsid w:val="00DC4613"/>
    <w:rsid w:val="00DD2780"/>
    <w:rsid w:val="00DD490A"/>
    <w:rsid w:val="00DD4D67"/>
    <w:rsid w:val="00DE1C6B"/>
    <w:rsid w:val="00DE2239"/>
    <w:rsid w:val="00DF107D"/>
    <w:rsid w:val="00DF1CFA"/>
    <w:rsid w:val="00E0200D"/>
    <w:rsid w:val="00E10B73"/>
    <w:rsid w:val="00E11C44"/>
    <w:rsid w:val="00E1406A"/>
    <w:rsid w:val="00E14435"/>
    <w:rsid w:val="00E251BB"/>
    <w:rsid w:val="00E270CD"/>
    <w:rsid w:val="00E31C48"/>
    <w:rsid w:val="00E41FA5"/>
    <w:rsid w:val="00E4321F"/>
    <w:rsid w:val="00E434C0"/>
    <w:rsid w:val="00E52182"/>
    <w:rsid w:val="00E57EED"/>
    <w:rsid w:val="00E62D9F"/>
    <w:rsid w:val="00E62FAF"/>
    <w:rsid w:val="00E64AF4"/>
    <w:rsid w:val="00E70CE8"/>
    <w:rsid w:val="00E7358F"/>
    <w:rsid w:val="00E73B23"/>
    <w:rsid w:val="00E75399"/>
    <w:rsid w:val="00E77932"/>
    <w:rsid w:val="00E844CB"/>
    <w:rsid w:val="00E84715"/>
    <w:rsid w:val="00E91049"/>
    <w:rsid w:val="00E93D9F"/>
    <w:rsid w:val="00E96397"/>
    <w:rsid w:val="00EA24D9"/>
    <w:rsid w:val="00EA6C68"/>
    <w:rsid w:val="00EB19D9"/>
    <w:rsid w:val="00EB1C45"/>
    <w:rsid w:val="00EB3009"/>
    <w:rsid w:val="00EB680B"/>
    <w:rsid w:val="00EC0DF8"/>
    <w:rsid w:val="00EC2697"/>
    <w:rsid w:val="00EC408D"/>
    <w:rsid w:val="00EC68C4"/>
    <w:rsid w:val="00EC7943"/>
    <w:rsid w:val="00ED35C4"/>
    <w:rsid w:val="00ED3853"/>
    <w:rsid w:val="00EF0D0A"/>
    <w:rsid w:val="00EF6266"/>
    <w:rsid w:val="00EF7395"/>
    <w:rsid w:val="00F00573"/>
    <w:rsid w:val="00F02B73"/>
    <w:rsid w:val="00F10642"/>
    <w:rsid w:val="00F111E6"/>
    <w:rsid w:val="00F220F9"/>
    <w:rsid w:val="00F23AA2"/>
    <w:rsid w:val="00F24D7C"/>
    <w:rsid w:val="00F25BAD"/>
    <w:rsid w:val="00F31CFF"/>
    <w:rsid w:val="00F31D2C"/>
    <w:rsid w:val="00F32DCC"/>
    <w:rsid w:val="00F334CA"/>
    <w:rsid w:val="00F41B7F"/>
    <w:rsid w:val="00F4598A"/>
    <w:rsid w:val="00F465C0"/>
    <w:rsid w:val="00F52CA5"/>
    <w:rsid w:val="00F601B8"/>
    <w:rsid w:val="00F6239F"/>
    <w:rsid w:val="00F635D8"/>
    <w:rsid w:val="00F704BA"/>
    <w:rsid w:val="00F7438B"/>
    <w:rsid w:val="00F750D7"/>
    <w:rsid w:val="00F80958"/>
    <w:rsid w:val="00F82F76"/>
    <w:rsid w:val="00F853C1"/>
    <w:rsid w:val="00F86493"/>
    <w:rsid w:val="00F96CB0"/>
    <w:rsid w:val="00FA5680"/>
    <w:rsid w:val="00FA67E3"/>
    <w:rsid w:val="00FB1ED6"/>
    <w:rsid w:val="00FB4A23"/>
    <w:rsid w:val="00FB5536"/>
    <w:rsid w:val="00FB6875"/>
    <w:rsid w:val="00FB7EBE"/>
    <w:rsid w:val="00FC3BAA"/>
    <w:rsid w:val="00FC590B"/>
    <w:rsid w:val="00FD23B9"/>
    <w:rsid w:val="00FE02D4"/>
    <w:rsid w:val="00FE0C79"/>
    <w:rsid w:val="00FE13A4"/>
    <w:rsid w:val="00FE7267"/>
    <w:rsid w:val="00FF2DCC"/>
    <w:rsid w:val="00FF48CF"/>
    <w:rsid w:val="00FF4C5C"/>
    <w:rsid w:val="08A40CA4"/>
    <w:rsid w:val="0B2B4B1E"/>
    <w:rsid w:val="40A315C8"/>
    <w:rsid w:val="652A976F"/>
    <w:rsid w:val="7B1DE9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8C516"/>
  <w15:chartTrackingRefBased/>
  <w15:docId w15:val="{B9F3EE01-8FD4-49B6-B4B9-363CA656B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6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6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6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6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6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6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6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6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6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6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6BD"/>
    <w:rPr>
      <w:rFonts w:eastAsiaTheme="majorEastAsia" w:cstheme="majorBidi"/>
      <w:color w:val="272727" w:themeColor="text1" w:themeTint="D8"/>
    </w:rPr>
  </w:style>
  <w:style w:type="paragraph" w:styleId="Title">
    <w:name w:val="Title"/>
    <w:basedOn w:val="Normal"/>
    <w:next w:val="Normal"/>
    <w:link w:val="TitleChar"/>
    <w:uiPriority w:val="10"/>
    <w:qFormat/>
    <w:rsid w:val="00710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6BD"/>
    <w:pPr>
      <w:spacing w:before="160"/>
      <w:jc w:val="center"/>
    </w:pPr>
    <w:rPr>
      <w:i/>
      <w:iCs/>
      <w:color w:val="404040" w:themeColor="text1" w:themeTint="BF"/>
    </w:rPr>
  </w:style>
  <w:style w:type="character" w:customStyle="1" w:styleId="QuoteChar">
    <w:name w:val="Quote Char"/>
    <w:basedOn w:val="DefaultParagraphFont"/>
    <w:link w:val="Quote"/>
    <w:uiPriority w:val="29"/>
    <w:rsid w:val="007106BD"/>
    <w:rPr>
      <w:i/>
      <w:iCs/>
      <w:color w:val="404040" w:themeColor="text1" w:themeTint="BF"/>
    </w:rPr>
  </w:style>
  <w:style w:type="paragraph" w:styleId="ListParagraph">
    <w:name w:val="List Paragraph"/>
    <w:basedOn w:val="Normal"/>
    <w:uiPriority w:val="34"/>
    <w:qFormat/>
    <w:rsid w:val="007106BD"/>
    <w:pPr>
      <w:ind w:left="720"/>
      <w:contextualSpacing/>
    </w:pPr>
  </w:style>
  <w:style w:type="character" w:styleId="IntenseEmphasis">
    <w:name w:val="Intense Emphasis"/>
    <w:basedOn w:val="DefaultParagraphFont"/>
    <w:uiPriority w:val="21"/>
    <w:qFormat/>
    <w:rsid w:val="007106BD"/>
    <w:rPr>
      <w:i/>
      <w:iCs/>
      <w:color w:val="0F4761" w:themeColor="accent1" w:themeShade="BF"/>
    </w:rPr>
  </w:style>
  <w:style w:type="paragraph" w:styleId="IntenseQuote">
    <w:name w:val="Intense Quote"/>
    <w:basedOn w:val="Normal"/>
    <w:next w:val="Normal"/>
    <w:link w:val="IntenseQuoteChar"/>
    <w:uiPriority w:val="30"/>
    <w:qFormat/>
    <w:rsid w:val="007106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6BD"/>
    <w:rPr>
      <w:i/>
      <w:iCs/>
      <w:color w:val="0F4761" w:themeColor="accent1" w:themeShade="BF"/>
    </w:rPr>
  </w:style>
  <w:style w:type="character" w:styleId="IntenseReference">
    <w:name w:val="Intense Reference"/>
    <w:basedOn w:val="DefaultParagraphFont"/>
    <w:uiPriority w:val="32"/>
    <w:qFormat/>
    <w:rsid w:val="007106BD"/>
    <w:rPr>
      <w:b/>
      <w:bCs/>
      <w:smallCaps/>
      <w:color w:val="0F4761" w:themeColor="accent1" w:themeShade="BF"/>
      <w:spacing w:val="5"/>
    </w:rPr>
  </w:style>
  <w:style w:type="character" w:styleId="Strong">
    <w:name w:val="Strong"/>
    <w:basedOn w:val="DefaultParagraphFont"/>
    <w:uiPriority w:val="22"/>
    <w:qFormat/>
    <w:rsid w:val="007106BD"/>
    <w:rPr>
      <w:b/>
      <w:bCs/>
    </w:rPr>
  </w:style>
  <w:style w:type="table" w:styleId="TableGrid">
    <w:name w:val="Table Grid"/>
    <w:basedOn w:val="TableNormal"/>
    <w:uiPriority w:val="39"/>
    <w:rsid w:val="00886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AC3C14"/>
    <w:rPr>
      <w:i/>
      <w:iCs/>
      <w:color w:val="404040" w:themeColor="text1" w:themeTint="BF"/>
    </w:rPr>
  </w:style>
  <w:style w:type="character" w:styleId="SubtleReference">
    <w:name w:val="Subtle Reference"/>
    <w:basedOn w:val="DefaultParagraphFont"/>
    <w:uiPriority w:val="31"/>
    <w:qFormat/>
    <w:rsid w:val="00AC3C14"/>
    <w:rPr>
      <w:smallCaps/>
      <w:color w:val="5A5A5A" w:themeColor="text1" w:themeTint="A5"/>
    </w:rPr>
  </w:style>
  <w:style w:type="character" w:styleId="Emphasis">
    <w:name w:val="Emphasis"/>
    <w:basedOn w:val="DefaultParagraphFont"/>
    <w:uiPriority w:val="20"/>
    <w:qFormat/>
    <w:rsid w:val="009D11D5"/>
    <w:rPr>
      <w:i/>
      <w:iCs/>
    </w:rPr>
  </w:style>
  <w:style w:type="paragraph" w:styleId="Header">
    <w:name w:val="header"/>
    <w:basedOn w:val="Normal"/>
    <w:link w:val="HeaderChar"/>
    <w:uiPriority w:val="99"/>
    <w:unhideWhenUsed/>
    <w:rsid w:val="00545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A69"/>
  </w:style>
  <w:style w:type="paragraph" w:styleId="Footer">
    <w:name w:val="footer"/>
    <w:basedOn w:val="Normal"/>
    <w:link w:val="FooterChar"/>
    <w:uiPriority w:val="99"/>
    <w:unhideWhenUsed/>
    <w:rsid w:val="00545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A69"/>
  </w:style>
  <w:style w:type="character" w:styleId="PageNumber">
    <w:name w:val="page number"/>
    <w:basedOn w:val="DefaultParagraphFont"/>
    <w:uiPriority w:val="99"/>
    <w:semiHidden/>
    <w:unhideWhenUsed/>
    <w:rsid w:val="00545A69"/>
  </w:style>
  <w:style w:type="character" w:customStyle="1" w:styleId="whitespace-normal">
    <w:name w:val="whitespace-normal"/>
    <w:basedOn w:val="DefaultParagraphFont"/>
    <w:rsid w:val="00806C37"/>
  </w:style>
  <w:style w:type="paragraph" w:styleId="NormalWeb">
    <w:name w:val="Normal (Web)"/>
    <w:basedOn w:val="Normal"/>
    <w:uiPriority w:val="99"/>
    <w:unhideWhenUsed/>
    <w:rsid w:val="000B3844"/>
    <w:pPr>
      <w:spacing w:before="100" w:beforeAutospacing="1" w:after="100" w:afterAutospacing="1" w:line="240" w:lineRule="auto"/>
    </w:pPr>
    <w:rPr>
      <w:rFonts w:ascii="Times New Roman" w:hAnsi="Times New Roman" w:cs="Times New Roman"/>
      <w:kern w:val="0"/>
      <w14:ligatures w14:val="none"/>
    </w:rPr>
  </w:style>
  <w:style w:type="table" w:styleId="GridTable4-Accent5">
    <w:name w:val="Grid Table 4 Accent 5"/>
    <w:basedOn w:val="TableNormal"/>
    <w:uiPriority w:val="49"/>
    <w:rsid w:val="00CF618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2E677D"/>
    <w:rPr>
      <w:color w:val="0000FF"/>
      <w:u w:val="single"/>
    </w:rPr>
  </w:style>
  <w:style w:type="table" w:styleId="GridTable2-Accent5">
    <w:name w:val="Grid Table 2 Accent 5"/>
    <w:basedOn w:val="TableNormal"/>
    <w:uiPriority w:val="47"/>
    <w:rsid w:val="004E7268"/>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z-TopofForm">
    <w:name w:val="HTML Top of Form"/>
    <w:basedOn w:val="Normal"/>
    <w:next w:val="Normal"/>
    <w:link w:val="z-TopofFormChar"/>
    <w:hidden/>
    <w:uiPriority w:val="99"/>
    <w:semiHidden/>
    <w:unhideWhenUsed/>
    <w:rsid w:val="00CA560A"/>
    <w:pPr>
      <w:pBdr>
        <w:bottom w:val="single" w:sz="6" w:space="1" w:color="auto"/>
      </w:pBdr>
      <w:spacing w:after="0" w:line="240" w:lineRule="auto"/>
      <w:jc w:val="center"/>
    </w:pPr>
    <w:rPr>
      <w:rFonts w:ascii="Arial" w:hAnsi="Arial" w:cs="Arial"/>
      <w:vanish/>
      <w:kern w:val="0"/>
      <w:sz w:val="16"/>
      <w:szCs w:val="16"/>
      <w:lang w:eastAsia="en-US"/>
      <w14:ligatures w14:val="none"/>
    </w:rPr>
  </w:style>
  <w:style w:type="character" w:customStyle="1" w:styleId="z-TopofFormChar">
    <w:name w:val="z-Top of Form Char"/>
    <w:basedOn w:val="DefaultParagraphFont"/>
    <w:link w:val="z-TopofForm"/>
    <w:uiPriority w:val="99"/>
    <w:semiHidden/>
    <w:rsid w:val="00CA560A"/>
    <w:rPr>
      <w:rFonts w:ascii="Arial" w:hAnsi="Arial" w:cs="Arial"/>
      <w:vanish/>
      <w:kern w:val="0"/>
      <w:sz w:val="16"/>
      <w:szCs w:val="16"/>
      <w:lang w:eastAsia="en-US"/>
      <w14:ligatures w14:val="none"/>
    </w:rPr>
  </w:style>
  <w:style w:type="paragraph" w:customStyle="1" w:styleId="placeholder">
    <w:name w:val="placeholder"/>
    <w:basedOn w:val="Normal"/>
    <w:rsid w:val="00CA560A"/>
    <w:pPr>
      <w:spacing w:before="100" w:beforeAutospacing="1" w:after="100" w:afterAutospacing="1" w:line="240" w:lineRule="auto"/>
    </w:pPr>
    <w:rPr>
      <w:rFonts w:ascii="Times New Roman" w:hAnsi="Times New Roman" w:cs="Times New Roman"/>
      <w:kern w:val="0"/>
      <w:lang w:eastAsia="en-US"/>
      <w14:ligatures w14:val="none"/>
    </w:rPr>
  </w:style>
  <w:style w:type="paragraph" w:styleId="z-BottomofForm">
    <w:name w:val="HTML Bottom of Form"/>
    <w:basedOn w:val="Normal"/>
    <w:next w:val="Normal"/>
    <w:link w:val="z-BottomofFormChar"/>
    <w:hidden/>
    <w:uiPriority w:val="99"/>
    <w:unhideWhenUsed/>
    <w:rsid w:val="00CA560A"/>
    <w:pPr>
      <w:pBdr>
        <w:top w:val="single" w:sz="6" w:space="1" w:color="auto"/>
      </w:pBdr>
      <w:spacing w:after="0" w:line="240" w:lineRule="auto"/>
      <w:jc w:val="center"/>
    </w:pPr>
    <w:rPr>
      <w:rFonts w:ascii="Arial" w:hAnsi="Arial" w:cs="Arial"/>
      <w:vanish/>
      <w:kern w:val="0"/>
      <w:sz w:val="16"/>
      <w:szCs w:val="16"/>
      <w:lang w:eastAsia="en-US"/>
      <w14:ligatures w14:val="none"/>
    </w:rPr>
  </w:style>
  <w:style w:type="character" w:customStyle="1" w:styleId="z-BottomofFormChar">
    <w:name w:val="z-Bottom of Form Char"/>
    <w:basedOn w:val="DefaultParagraphFont"/>
    <w:link w:val="z-BottomofForm"/>
    <w:uiPriority w:val="99"/>
    <w:rsid w:val="00CA560A"/>
    <w:rPr>
      <w:rFonts w:ascii="Arial" w:hAnsi="Arial" w:cs="Arial"/>
      <w:vanish/>
      <w:kern w:val="0"/>
      <w:sz w:val="16"/>
      <w:szCs w:val="16"/>
      <w:lang w:eastAsia="en-US"/>
      <w14:ligatures w14:val="none"/>
    </w:rPr>
  </w:style>
  <w:style w:type="table" w:styleId="GridTable1Light-Accent1">
    <w:name w:val="Grid Table 1 Light Accent 1"/>
    <w:basedOn w:val="TableNormal"/>
    <w:uiPriority w:val="46"/>
    <w:rsid w:val="00862FB4"/>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663DF7"/>
    <w:rPr>
      <w:color w:val="96607D" w:themeColor="followedHyperlink"/>
      <w:u w:val="single"/>
    </w:rPr>
  </w:style>
  <w:style w:type="character" w:styleId="UnresolvedMention">
    <w:name w:val="Unresolved Mention"/>
    <w:basedOn w:val="DefaultParagraphFont"/>
    <w:uiPriority w:val="99"/>
    <w:semiHidden/>
    <w:unhideWhenUsed/>
    <w:rsid w:val="008418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 /><Relationship Id="rId13" Type="http://schemas.openxmlformats.org/officeDocument/2006/relationships/hyperlink" Target="https://www.england.nhs.uk/patient-safety/patient-safety-insight/incident-response-framework/" TargetMode="External" /><Relationship Id="rId18" Type="http://schemas.openxmlformats.org/officeDocument/2006/relationships/hyperlink" Target="https://www.england.nhs.uk/patient-safety/patient-safety-improvement-programmes/" TargetMode="External" /><Relationship Id="rId26" Type="http://schemas.openxmlformats.org/officeDocument/2006/relationships/hyperlink" Target="https://www.who.int/publications/i/item/9789240032705" TargetMode="External" /><Relationship Id="rId3" Type="http://schemas.openxmlformats.org/officeDocument/2006/relationships/settings" Target="settings.xml" /><Relationship Id="rId21" Type="http://schemas.openxmlformats.org/officeDocument/2006/relationships/hyperlink" Target="https://www.ncbi.nlm.nih.gov/books/NBK2637/" TargetMode="External" /><Relationship Id="rId7" Type="http://schemas.openxmlformats.org/officeDocument/2006/relationships/image" Target="media/image1.jpeg" /><Relationship Id="rId12" Type="http://schemas.openxmlformats.org/officeDocument/2006/relationships/hyperlink" Target="https://www.nice.org.uk/guidance/ng5" TargetMode="External" /><Relationship Id="rId17" Type="http://schemas.openxmlformats.org/officeDocument/2006/relationships/hyperlink" Target="https://www.england.nhs.uk/patient-safety/incident-response-framework/" TargetMode="External" /><Relationship Id="rId25" Type="http://schemas.openxmlformats.org/officeDocument/2006/relationships/hyperlink" Target="https://www.who.int/initiatives/medication-without-harm" TargetMode="External" /><Relationship Id="rId2" Type="http://schemas.openxmlformats.org/officeDocument/2006/relationships/styles" Target="styles.xml" /><Relationship Id="rId16" Type="http://schemas.openxmlformats.org/officeDocument/2006/relationships/hyperlink" Target="https://www.longtermplan.nhs.uk/" TargetMode="External" /><Relationship Id="rId20" Type="http://schemas.openxmlformats.org/officeDocument/2006/relationships/hyperlink" Target="https://northyorkshireccg.nhs.uk/wp-content/uploads/2023/09/11.07.23-NHS-NEY-INFANT-MORPHINE-OVERDOSE-CASE-STUDY.pdf"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ihi.org/resources/Pages/HowtoImprove/default.aspx" TargetMode="External" /><Relationship Id="rId24" Type="http://schemas.openxmlformats.org/officeDocument/2006/relationships/hyperlink" Target="https://www.kingsfund.org.uk/publications/caring-change"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england.nhs.uk/patient-safety/the-nhs-patient-safety-strategy/" TargetMode="External" /><Relationship Id="rId23" Type="http://schemas.openxmlformats.org/officeDocument/2006/relationships/hyperlink" Target="https://www.kingsfund.org.uk/" TargetMode="External" /><Relationship Id="rId28" Type="http://schemas.openxmlformats.org/officeDocument/2006/relationships/hyperlink" Target="https://www.who.int/health-topics/patient-safety" TargetMode="External" /><Relationship Id="rId10" Type="http://schemas.openxmlformats.org/officeDocument/2006/relationships/hyperlink" Target="https://www.cqc.org.uk/publications/major-report/state-care" TargetMode="External" /><Relationship Id="rId19" Type="http://schemas.openxmlformats.org/officeDocument/2006/relationships/hyperlink" Target="https://www.england.nhs.uk/patient-safety/"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bmcmedicine.biomedcentral.com/articles/10.1186/s12916-018-1057-z" TargetMode="External" /><Relationship Id="rId14" Type="http://schemas.openxmlformats.org/officeDocument/2006/relationships/hyperlink" Target="https://northyorkshireccg.nhs.uk/wp-content/uploads/2023/09/11.07.23-NHS-NEY-INFANT-MORPHINE-OVERDOSE-CASE-STUDY.pdf" TargetMode="External" /><Relationship Id="rId22" Type="http://schemas.openxmlformats.org/officeDocument/2006/relationships/hyperlink" Target="https://www.health.org.uk/publications/quality-improvement-made-simple" TargetMode="External" /><Relationship Id="rId27" Type="http://schemas.openxmlformats.org/officeDocument/2006/relationships/hyperlink" Target="https://www.who.int/publications/i/item/9789240055070" TargetMode="Externa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490</TotalTime>
  <Pages>25</Pages>
  <Words>7908</Words>
  <Characters>45077</Characters>
  <Application>Microsoft Office Word</Application>
  <DocSecurity>0</DocSecurity>
  <Lines>375</Lines>
  <Paragraphs>105</Paragraphs>
  <ScaleCrop>false</ScaleCrop>
  <Company/>
  <LinksUpToDate>false</LinksUpToDate>
  <CharactersWithSpaces>52880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641</cp:revision>
  <dcterms:created xsi:type="dcterms:W3CDTF">2026-05-17T15:47:00Z</dcterms:created>
  <dcterms:modified xsi:type="dcterms:W3CDTF">2026-07-25T17:34:00Z</dcterms:modified>
</cp:coreProperties>
</file>