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Calibri" w:hAnsi="Calibri" w:cs="Calibri" w:eastAsia="Calibri"/>
          <w:color w:val="auto"/>
          <w:spacing w:val="0"/>
          <w:position w:val="0"/>
          <w:sz w:val="22"/>
          <w:shd w:fill="auto" w:val="clear"/>
        </w:rPr>
      </w:pPr>
      <w:r>
        <w:object w:dxaOrig="7480" w:dyaOrig="2455">
          <v:rect xmlns:o="urn:schemas-microsoft-com:office:office" xmlns:v="urn:schemas-microsoft-com:vml" id="rectole0000000000" style="width:374.000000pt;height:122.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54"/>
          <w:u w:val="single"/>
          <w:shd w:fill="auto" w:val="clear"/>
        </w:rPr>
      </w:pPr>
      <w:r>
        <w:rPr>
          <w:rFonts w:ascii="Calibri" w:hAnsi="Calibri" w:cs="Calibri" w:eastAsia="Calibri"/>
          <w:b/>
          <w:color w:val="auto"/>
          <w:spacing w:val="0"/>
          <w:position w:val="0"/>
          <w:sz w:val="54"/>
          <w:u w:val="single"/>
          <w:shd w:fill="auto" w:val="clear"/>
        </w:rPr>
        <w:t xml:space="preserve">Title Page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36"/>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Cody Patterson Walkingshaw</w:t>
      </w: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Student Number </w:t>
      </w:r>
      <w:r>
        <w:rPr>
          <w:rFonts w:ascii="Calibri" w:hAnsi="Calibri" w:cs="Calibri" w:eastAsia="Calibri"/>
          <w:color w:val="auto"/>
          <w:spacing w:val="0"/>
          <w:position w:val="0"/>
          <w:sz w:val="48"/>
          <w:shd w:fill="auto" w:val="clear"/>
        </w:rPr>
        <w:t xml:space="preserve">—</w:t>
      </w:r>
      <w:r>
        <w:rPr>
          <w:rFonts w:ascii="Calibri" w:hAnsi="Calibri" w:cs="Calibri" w:eastAsia="Calibri"/>
          <w:color w:val="auto"/>
          <w:spacing w:val="0"/>
          <w:position w:val="0"/>
          <w:sz w:val="48"/>
          <w:shd w:fill="auto" w:val="clear"/>
        </w:rPr>
        <w:t xml:space="preserve"> 2004850 </w:t>
      </w: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Module Code </w:t>
      </w:r>
      <w:r>
        <w:rPr>
          <w:rFonts w:ascii="Calibri" w:hAnsi="Calibri" w:cs="Calibri" w:eastAsia="Calibri"/>
          <w:color w:val="auto"/>
          <w:spacing w:val="0"/>
          <w:position w:val="0"/>
          <w:sz w:val="48"/>
          <w:shd w:fill="auto" w:val="clear"/>
        </w:rPr>
        <w:t xml:space="preserve">—</w:t>
      </w:r>
      <w:r>
        <w:rPr>
          <w:rFonts w:ascii="Calibri" w:hAnsi="Calibri" w:cs="Calibri" w:eastAsia="Calibri"/>
          <w:color w:val="auto"/>
          <w:spacing w:val="0"/>
          <w:position w:val="0"/>
          <w:sz w:val="48"/>
          <w:shd w:fill="auto" w:val="clear"/>
        </w:rPr>
        <w:t xml:space="preserve"> ADPB6001</w:t>
      </w: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48"/>
          <w:shd w:fill="auto" w:val="clear"/>
        </w:rPr>
        <w:t xml:space="preserve">Module Name </w:t>
      </w:r>
      <w:r>
        <w:rPr>
          <w:rFonts w:ascii="Calibri" w:hAnsi="Calibri" w:cs="Calibri" w:eastAsia="Calibri"/>
          <w:color w:val="auto"/>
          <w:spacing w:val="0"/>
          <w:position w:val="0"/>
          <w:sz w:val="48"/>
          <w:shd w:fill="auto" w:val="clear"/>
        </w:rPr>
        <w:t xml:space="preserve">—</w:t>
      </w:r>
      <w:r>
        <w:rPr>
          <w:rFonts w:ascii="Calibri" w:hAnsi="Calibri" w:cs="Calibri" w:eastAsia="Calibri"/>
          <w:color w:val="auto"/>
          <w:spacing w:val="0"/>
          <w:position w:val="0"/>
          <w:sz w:val="48"/>
          <w:shd w:fill="auto" w:val="clear"/>
        </w:rPr>
        <w:t xml:space="preserve"> Production 1</w:t>
      </w:r>
    </w:p>
    <w:p>
      <w:pPr>
        <w:spacing w:before="0" w:after="0" w:line="240"/>
        <w:ind w:right="0" w:left="0" w:firstLine="0"/>
        <w:jc w:val="left"/>
        <w:rPr>
          <w:rFonts w:ascii="Calibri" w:hAnsi="Calibri" w:cs="Calibri" w:eastAsia="Calibri"/>
          <w:color w:val="auto"/>
          <w:spacing w:val="0"/>
          <w:position w:val="0"/>
          <w:sz w:val="48"/>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Throughout our rehearsal process in week three and four , we focused on character development , manifestations , connections ,mastering American accents and furthermore developing our ensemble numbers and our characters track.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Collaboratively as a group we worked on the Manifestations for each number and how there is a fluid connection throughout the musical. We collated different themes these being , Gordon’s relationship with himself, Gordon’s career , his relationship with his mother, Gordons romantic relationships, his relationship with religion , his relationship with his father , Gordon’s personal relationship with body image and lastly his relationship with security. In total I am in sixteen musical numbers in this production each having fitting in to its own category of manifestations. The song “Eating Myself Up Alive” fits into Gordon’s relationship with body image. My character Rita is a reflective manifestation of this and Rita consciously highlights his issues throughout both musical numbers “Eating Myself Up Alive” and “Poor Unsuccessful And Fat”.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During our rehearsal process we had professional accent lessons with Dialect coach Rhian Cronshaw, on how to accomplish an general American accent. Rhian explained and demonstrated that the shape of your mouth can effect the sounds you make. An example that I will be using throughout the show, would be rhotic r’s these are always pronounced in a literal manner. Another Example that I will use is an unreleased T , this is always articulated but nothing comes out. Additionally both these examples are heavily being used in both my solo numbers. “ Poor Unsuccessful And Fat” and “ Eating Myself Up Alive”.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More over we actively made great progress and development on our ensemble numbers. Especially “And there Off”. At the beginning when we first all individually had our tracks we initially all felt that it was flat and under energised. We were given directive notes and choreography notes by Luke Hereford and Tori Johns in which feedback to all the cast was to build anticipation and to understand what’s going on in the number. Personally for me committing to research and understanding the manifestations has helped me to have a Better knowledge and sense of what is going on. This also has made me able to connect with other characters that I might not have done beforehand.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Later on on in our rehearsal process we practiced doing full run throughs of the show , this however was difficult at times as we don’t have the thrust for staging so we would have to move the bed to a lower level. This will ultimately change and be easier once the stage is all one level. Due to this it would mean that entrances and exits will be much smoother and the show will overall have a better connection.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were also given direct notes individually after our runs for example this would be notes such as staging , remembering lines , locking and unlocking the hospital bed. Moreover an additional note also was to remember where the tape is on the floor so that when it comes to tech week we won’t have to re- block our tracks, also you don’t want anybody falling of the thrust.</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Our director Luke gave the lead and supporting roles of the cast a thought to keep in our heads to see what would happen. The thought Luke gave me was that “I don’t want to work in a hospital for much longer “. Personally with this thought in my head I had a better run though of the show. “ In Poor Unsuccessful And Fat” positive comments from the director was that I had more connection with my character this being who I was , and also what I was doing. Also I had clearer intentions and objectives and felt that I could be more free with my physicality and impulses. Due to acting upon these impulses I was able to try new things, and it completely changed the characters demeanour and energy.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On the other hand a last minute change was for my character “Rita” to be staged into the musical number “Yes”. During this number I give Gordon his Piano and listen to him singing and playing the “yes” song. Although I don’t do much in the song and have a very brief interaction with Gordon , having this thought in my head helped my relationship with Gordon grow and become more personal. One of my own passing thoughts was that maybe these interactions are a reflection of why I would want to stay working in a hospital.</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Bibliography </w:t>
      </w:r>
    </w:p>
    <w:p>
      <w:pPr>
        <w:spacing w:before="0" w:after="0" w:line="240"/>
        <w:ind w:right="0" w:left="0" w:firstLine="0"/>
        <w:jc w:val="left"/>
        <w:rPr>
          <w:rFonts w:ascii="Calibri" w:hAnsi="Calibri" w:cs="Calibri" w:eastAsia="Calibri"/>
          <w:b/>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Milk.S. (2022).How to do an general American accent.[Online].Available: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https://www.stagemilk.com/how-to-do-an-general-american-accent/</w:t>
        </w:r>
      </w:hyperlink>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 (2022). What is an action Verb.[Online].Available: </w:t>
      </w: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https://examples.yourdictionary.com/action-verb-examples.html</w:t>
        </w:r>
      </w:hyperlink>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b/>
          <w:color w:val="auto"/>
          <w:spacing w:val="0"/>
          <w:position w:val="0"/>
          <w:sz w:val="22"/>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examples.yourdictionary.com/action-verb-examples.html"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stagemilk.com/how-to-do-an-general-american-accent/" Id="docRId2" Type="http://schemas.openxmlformats.org/officeDocument/2006/relationships/hyperlink" /><Relationship Target="numbering.xml" Id="docRId4" Type="http://schemas.openxmlformats.org/officeDocument/2006/relationships/numbering" /></Relationships>
</file>