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AE4E8D7" w14:textId="77777777" w:rsidR="00406E69" w:rsidRPr="00594FAC" w:rsidRDefault="00406E69" w:rsidP="00406E69">
      <w:pPr>
        <w:spacing w:line="360" w:lineRule="auto"/>
        <w:rPr>
          <w:szCs w:val="24"/>
        </w:rPr>
      </w:pPr>
    </w:p>
    <w:p w14:paraId="7AC54350" w14:textId="77777777" w:rsidR="00406E69" w:rsidRPr="00594FAC" w:rsidRDefault="00406E69" w:rsidP="00406E69">
      <w:pPr>
        <w:spacing w:line="360" w:lineRule="auto"/>
        <w:jc w:val="center"/>
        <w:rPr>
          <w:szCs w:val="24"/>
        </w:rPr>
      </w:pPr>
      <w:r>
        <w:rPr>
          <w:noProof/>
          <w:lang w:val="en-GB"/>
        </w:rPr>
        <w:drawing>
          <wp:inline distT="0" distB="0" distL="0" distR="0" wp14:anchorId="08768863" wp14:editId="15611AAF">
            <wp:extent cx="2733675" cy="101917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733675" cy="1019175"/>
                    </a:xfrm>
                    <a:prstGeom prst="rect">
                      <a:avLst/>
                    </a:prstGeom>
                  </pic:spPr>
                </pic:pic>
              </a:graphicData>
            </a:graphic>
          </wp:inline>
        </w:drawing>
      </w:r>
    </w:p>
    <w:p w14:paraId="7CB451A4" w14:textId="77777777" w:rsidR="00406E69" w:rsidRPr="00594FAC" w:rsidRDefault="00406E69" w:rsidP="00406E69">
      <w:pPr>
        <w:spacing w:line="360" w:lineRule="auto"/>
        <w:rPr>
          <w:szCs w:val="24"/>
        </w:rPr>
      </w:pPr>
    </w:p>
    <w:p w14:paraId="2CACEAE7" w14:textId="77777777" w:rsidR="00406E69" w:rsidRPr="00594FAC" w:rsidRDefault="00406E69" w:rsidP="00406E69">
      <w:pPr>
        <w:spacing w:line="360" w:lineRule="auto"/>
        <w:rPr>
          <w:szCs w:val="24"/>
        </w:rPr>
      </w:pPr>
    </w:p>
    <w:p w14:paraId="00BC702C" w14:textId="77777777" w:rsidR="00406E69" w:rsidRPr="00594FAC" w:rsidRDefault="00406E69" w:rsidP="00406E69">
      <w:pPr>
        <w:tabs>
          <w:tab w:val="left" w:pos="6540"/>
        </w:tabs>
        <w:spacing w:line="360" w:lineRule="auto"/>
        <w:rPr>
          <w:sz w:val="28"/>
          <w:szCs w:val="28"/>
        </w:rPr>
      </w:pPr>
    </w:p>
    <w:p w14:paraId="5827E9B3" w14:textId="741FCAC8" w:rsidR="00406E69" w:rsidRPr="00594FAC" w:rsidRDefault="00406E69" w:rsidP="00406E69">
      <w:pPr>
        <w:tabs>
          <w:tab w:val="left" w:pos="6540"/>
        </w:tabs>
        <w:spacing w:line="360" w:lineRule="auto"/>
        <w:jc w:val="center"/>
        <w:rPr>
          <w:sz w:val="28"/>
          <w:szCs w:val="28"/>
          <w:lang w:val="nl-NL"/>
        </w:rPr>
      </w:pPr>
      <w:r w:rsidRPr="00594FAC">
        <w:rPr>
          <w:b/>
          <w:bCs/>
          <w:sz w:val="28"/>
          <w:szCs w:val="28"/>
          <w:lang w:val="nl-NL"/>
        </w:rPr>
        <w:t>Student name</w:t>
      </w:r>
      <w:r w:rsidRPr="00594FAC">
        <w:rPr>
          <w:sz w:val="28"/>
          <w:szCs w:val="28"/>
          <w:lang w:val="nl-NL"/>
        </w:rPr>
        <w:t>:</w:t>
      </w:r>
      <w:r w:rsidR="001F658A">
        <w:rPr>
          <w:sz w:val="28"/>
          <w:szCs w:val="28"/>
          <w:lang w:val="nl-NL"/>
        </w:rPr>
        <w:t>Silvia Franca</w:t>
      </w:r>
    </w:p>
    <w:p w14:paraId="0E3D6E32" w14:textId="702C3074" w:rsidR="00406E69" w:rsidRPr="00594FAC" w:rsidRDefault="00406E69" w:rsidP="00406E69">
      <w:pPr>
        <w:tabs>
          <w:tab w:val="left" w:pos="6540"/>
        </w:tabs>
        <w:spacing w:line="360" w:lineRule="auto"/>
        <w:jc w:val="center"/>
        <w:rPr>
          <w:sz w:val="28"/>
          <w:szCs w:val="28"/>
          <w:lang w:val="nl-NL"/>
        </w:rPr>
      </w:pPr>
      <w:r w:rsidRPr="00594FAC">
        <w:rPr>
          <w:b/>
          <w:bCs/>
          <w:sz w:val="28"/>
          <w:szCs w:val="28"/>
          <w:lang w:val="nl-NL"/>
        </w:rPr>
        <w:t>Student ID</w:t>
      </w:r>
      <w:r w:rsidRPr="00594FAC">
        <w:rPr>
          <w:sz w:val="28"/>
          <w:szCs w:val="28"/>
          <w:lang w:val="nl-NL"/>
        </w:rPr>
        <w:t>:</w:t>
      </w:r>
      <w:r w:rsidR="009539E2">
        <w:rPr>
          <w:sz w:val="28"/>
          <w:szCs w:val="28"/>
          <w:lang w:val="nl-NL"/>
        </w:rPr>
        <w:t>231347</w:t>
      </w:r>
      <w:r w:rsidR="00DA29A1">
        <w:rPr>
          <w:sz w:val="28"/>
          <w:szCs w:val="28"/>
          <w:lang w:val="nl-NL"/>
        </w:rPr>
        <w:t>2</w:t>
      </w:r>
    </w:p>
    <w:p w14:paraId="65B91DE6" w14:textId="77777777" w:rsidR="00406E69" w:rsidRPr="00594FAC" w:rsidRDefault="00406E69" w:rsidP="00406E69">
      <w:pPr>
        <w:tabs>
          <w:tab w:val="left" w:pos="6540"/>
        </w:tabs>
        <w:spacing w:line="360" w:lineRule="auto"/>
        <w:jc w:val="center"/>
        <w:rPr>
          <w:sz w:val="28"/>
          <w:szCs w:val="28"/>
          <w:lang w:val="nl-NL"/>
        </w:rPr>
      </w:pPr>
    </w:p>
    <w:p w14:paraId="09BCE111" w14:textId="4F99E24A" w:rsidR="00406E69" w:rsidRPr="00594FAC" w:rsidRDefault="00406E69" w:rsidP="00406E69">
      <w:pPr>
        <w:tabs>
          <w:tab w:val="left" w:pos="6540"/>
        </w:tabs>
        <w:spacing w:line="360" w:lineRule="auto"/>
        <w:jc w:val="center"/>
        <w:rPr>
          <w:sz w:val="28"/>
          <w:szCs w:val="28"/>
          <w:lang w:val="nl-NL"/>
        </w:rPr>
      </w:pPr>
      <w:r w:rsidRPr="00594FAC">
        <w:rPr>
          <w:b/>
          <w:bCs/>
          <w:sz w:val="28"/>
          <w:szCs w:val="28"/>
          <w:lang w:val="nl-NL"/>
        </w:rPr>
        <w:t>Module name</w:t>
      </w:r>
      <w:r w:rsidRPr="00594FAC">
        <w:rPr>
          <w:sz w:val="28"/>
          <w:szCs w:val="28"/>
          <w:lang w:val="nl-NL"/>
        </w:rPr>
        <w:t>:</w:t>
      </w:r>
      <w:r w:rsidR="00B640B3" w:rsidRPr="00B640B3">
        <w:rPr>
          <w:rFonts w:ascii="Source Sans Pro" w:eastAsia="Times New Roman" w:hAnsi="Source Sans Pro"/>
          <w:color w:val="242130"/>
          <w:sz w:val="21"/>
          <w:szCs w:val="21"/>
          <w:shd w:val="clear" w:color="auto" w:fill="FFFFFF"/>
        </w:rPr>
        <w:t xml:space="preserve"> </w:t>
      </w:r>
      <w:r w:rsidR="004E4881">
        <w:rPr>
          <w:rFonts w:ascii="Source Sans Pro" w:eastAsia="Times New Roman" w:hAnsi="Source Sans Pro"/>
          <w:color w:val="242130"/>
          <w:sz w:val="21"/>
          <w:szCs w:val="21"/>
          <w:shd w:val="clear" w:color="auto" w:fill="FFFFFF"/>
        </w:rPr>
        <w:t>Changemakers</w:t>
      </w:r>
      <w:r w:rsidR="00B640B3">
        <w:rPr>
          <w:rFonts w:ascii="Source Sans Pro" w:eastAsia="Times New Roman" w:hAnsi="Source Sans Pro"/>
          <w:color w:val="242130"/>
          <w:sz w:val="21"/>
          <w:szCs w:val="21"/>
          <w:shd w:val="clear" w:color="auto" w:fill="FFFFFF"/>
        </w:rPr>
        <w:t>: Building your Personal Brand for Sustainable Employment</w:t>
      </w:r>
    </w:p>
    <w:p w14:paraId="7E650B16" w14:textId="00CFFF75" w:rsidR="000146CF" w:rsidRDefault="00406E69">
      <w:pPr>
        <w:pStyle w:val="p1"/>
      </w:pPr>
      <w:r w:rsidRPr="00821FD2">
        <w:rPr>
          <w:b/>
          <w:bCs/>
          <w:sz w:val="28"/>
          <w:szCs w:val="28"/>
          <w:lang w:val="fr-FR"/>
        </w:rPr>
        <w:t>Module code</w:t>
      </w:r>
      <w:r w:rsidRPr="00821FD2">
        <w:rPr>
          <w:sz w:val="28"/>
          <w:szCs w:val="28"/>
          <w:lang w:val="fr-FR"/>
        </w:rPr>
        <w:t>:</w:t>
      </w:r>
      <w:r w:rsidR="000146CF" w:rsidRPr="000146CF">
        <w:rPr>
          <w:rStyle w:val="s1"/>
        </w:rPr>
        <w:t xml:space="preserve"> </w:t>
      </w:r>
      <w:r w:rsidR="000146CF">
        <w:rPr>
          <w:rStyle w:val="s1"/>
        </w:rPr>
        <w:t>BMHP501</w:t>
      </w:r>
      <w:r w:rsidR="00817194">
        <w:rPr>
          <w:rStyle w:val="s1"/>
        </w:rPr>
        <w:t>5</w:t>
      </w:r>
    </w:p>
    <w:p w14:paraId="2E12FADB" w14:textId="05674D4C" w:rsidR="00406E69" w:rsidRPr="00821FD2" w:rsidRDefault="00406E69" w:rsidP="00406E69">
      <w:pPr>
        <w:tabs>
          <w:tab w:val="left" w:pos="6540"/>
        </w:tabs>
        <w:spacing w:line="360" w:lineRule="auto"/>
        <w:jc w:val="center"/>
        <w:rPr>
          <w:sz w:val="28"/>
          <w:szCs w:val="28"/>
          <w:lang w:val="fr-FR"/>
        </w:rPr>
      </w:pPr>
    </w:p>
    <w:p w14:paraId="292E6772" w14:textId="715168A3" w:rsidR="00406E69" w:rsidRPr="00821FD2" w:rsidRDefault="00406E69" w:rsidP="00406E69">
      <w:pPr>
        <w:tabs>
          <w:tab w:val="left" w:pos="6540"/>
        </w:tabs>
        <w:spacing w:line="360" w:lineRule="auto"/>
        <w:jc w:val="center"/>
        <w:rPr>
          <w:sz w:val="28"/>
          <w:szCs w:val="28"/>
          <w:lang w:val="fr-FR"/>
        </w:rPr>
      </w:pPr>
      <w:r w:rsidRPr="00821FD2">
        <w:rPr>
          <w:b/>
          <w:bCs/>
          <w:sz w:val="28"/>
          <w:szCs w:val="28"/>
          <w:lang w:val="fr-FR"/>
        </w:rPr>
        <w:t>Lecturer name</w:t>
      </w:r>
      <w:r w:rsidRPr="00821FD2">
        <w:rPr>
          <w:sz w:val="28"/>
          <w:szCs w:val="28"/>
          <w:lang w:val="fr-FR"/>
        </w:rPr>
        <w:t>:</w:t>
      </w:r>
      <w:r w:rsidR="00A55029">
        <w:rPr>
          <w:sz w:val="28"/>
          <w:szCs w:val="28"/>
          <w:lang w:val="fr-FR"/>
        </w:rPr>
        <w:t>Caroline</w:t>
      </w:r>
      <w:r w:rsidR="009F1AE5">
        <w:rPr>
          <w:sz w:val="28"/>
          <w:szCs w:val="28"/>
          <w:lang w:val="fr-FR"/>
        </w:rPr>
        <w:t xml:space="preserve"> Salami</w:t>
      </w:r>
    </w:p>
    <w:p w14:paraId="7443499E" w14:textId="77777777" w:rsidR="00406E69" w:rsidRDefault="00406E69">
      <w:pPr>
        <w:spacing w:line="360" w:lineRule="auto"/>
        <w:jc w:val="both"/>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br/>
      </w:r>
      <w:r>
        <w:rPr>
          <w:rFonts w:ascii="Times New Roman" w:eastAsia="Times New Roman" w:hAnsi="Times New Roman" w:cs="Times New Roman"/>
          <w:b/>
          <w:bCs/>
          <w:sz w:val="28"/>
          <w:szCs w:val="28"/>
        </w:rPr>
        <w:br/>
      </w:r>
    </w:p>
    <w:p w14:paraId="546C1DFF" w14:textId="77777777" w:rsidR="00406E69" w:rsidRDefault="00406E69">
      <w:pPr>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br w:type="page"/>
      </w:r>
    </w:p>
    <w:sdt>
      <w:sdtPr>
        <w:rPr>
          <w:rFonts w:ascii="Arial" w:eastAsia="Arial" w:hAnsi="Arial" w:cs="Arial"/>
          <w:color w:val="auto"/>
          <w:sz w:val="22"/>
          <w:szCs w:val="22"/>
          <w:lang w:val="en" w:eastAsia="en-GB"/>
        </w:rPr>
        <w:id w:val="-1400439800"/>
        <w:docPartObj>
          <w:docPartGallery w:val="Table of Contents"/>
          <w:docPartUnique/>
        </w:docPartObj>
      </w:sdtPr>
      <w:sdtEndPr>
        <w:rPr>
          <w:b/>
          <w:bCs/>
          <w:noProof/>
        </w:rPr>
      </w:sdtEndPr>
      <w:sdtContent>
        <w:p w14:paraId="52C7932E" w14:textId="77777777" w:rsidR="00406E69" w:rsidRPr="00406E69" w:rsidRDefault="00406E69" w:rsidP="00406E69">
          <w:pPr>
            <w:pStyle w:val="TOCHeading"/>
            <w:jc w:val="center"/>
            <w:rPr>
              <w:rFonts w:ascii="Times New Roman" w:hAnsi="Times New Roman" w:cs="Times New Roman"/>
              <w:b/>
            </w:rPr>
          </w:pPr>
          <w:r w:rsidRPr="00406E69">
            <w:rPr>
              <w:rFonts w:ascii="Times New Roman" w:hAnsi="Times New Roman" w:cs="Times New Roman"/>
              <w:b/>
            </w:rPr>
            <w:t>Table of Contents</w:t>
          </w:r>
        </w:p>
        <w:p w14:paraId="4D6639DB" w14:textId="77777777" w:rsidR="00406E69" w:rsidRPr="00406E69" w:rsidRDefault="00406E69">
          <w:pPr>
            <w:pStyle w:val="TOC1"/>
            <w:tabs>
              <w:tab w:val="right" w:leader="dot" w:pos="9350"/>
            </w:tabs>
            <w:rPr>
              <w:rFonts w:ascii="Times New Roman" w:hAnsi="Times New Roman" w:cs="Times New Roman"/>
              <w:noProof/>
              <w:sz w:val="24"/>
              <w:szCs w:val="24"/>
            </w:rPr>
          </w:pPr>
          <w:r w:rsidRPr="00406E69">
            <w:rPr>
              <w:rFonts w:ascii="Times New Roman" w:hAnsi="Times New Roman" w:cs="Times New Roman"/>
              <w:sz w:val="24"/>
              <w:szCs w:val="24"/>
            </w:rPr>
            <w:fldChar w:fldCharType="begin"/>
          </w:r>
          <w:r w:rsidRPr="00406E69">
            <w:rPr>
              <w:rFonts w:ascii="Times New Roman" w:hAnsi="Times New Roman" w:cs="Times New Roman"/>
              <w:sz w:val="24"/>
              <w:szCs w:val="24"/>
            </w:rPr>
            <w:instrText xml:space="preserve"> TOC \o "1-3" \h \z \u </w:instrText>
          </w:r>
          <w:r w:rsidRPr="00406E69">
            <w:rPr>
              <w:rFonts w:ascii="Times New Roman" w:hAnsi="Times New Roman" w:cs="Times New Roman"/>
              <w:sz w:val="24"/>
              <w:szCs w:val="24"/>
            </w:rPr>
            <w:fldChar w:fldCharType="separate"/>
          </w:r>
          <w:hyperlink w:anchor="_Toc236337097" w:history="1">
            <w:r w:rsidRPr="00406E69">
              <w:rPr>
                <w:rStyle w:val="Hyperlink"/>
                <w:rFonts w:ascii="Times New Roman" w:hAnsi="Times New Roman" w:cs="Times New Roman"/>
                <w:noProof/>
                <w:sz w:val="24"/>
                <w:szCs w:val="24"/>
              </w:rPr>
              <w:t>Introduction</w:t>
            </w:r>
            <w:r w:rsidRPr="00406E69">
              <w:rPr>
                <w:rFonts w:ascii="Times New Roman" w:hAnsi="Times New Roman" w:cs="Times New Roman"/>
                <w:noProof/>
                <w:webHidden/>
                <w:sz w:val="24"/>
                <w:szCs w:val="24"/>
              </w:rPr>
              <w:tab/>
            </w:r>
            <w:r w:rsidRPr="00406E69">
              <w:rPr>
                <w:rFonts w:ascii="Times New Roman" w:hAnsi="Times New Roman" w:cs="Times New Roman"/>
                <w:noProof/>
                <w:webHidden/>
                <w:sz w:val="24"/>
                <w:szCs w:val="24"/>
              </w:rPr>
              <w:fldChar w:fldCharType="begin"/>
            </w:r>
            <w:r w:rsidRPr="00406E69">
              <w:rPr>
                <w:rFonts w:ascii="Times New Roman" w:hAnsi="Times New Roman" w:cs="Times New Roman"/>
                <w:noProof/>
                <w:webHidden/>
                <w:sz w:val="24"/>
                <w:szCs w:val="24"/>
              </w:rPr>
              <w:instrText xml:space="preserve"> PAGEREF _Toc236337097 \h </w:instrText>
            </w:r>
            <w:r w:rsidRPr="00406E69">
              <w:rPr>
                <w:rFonts w:ascii="Times New Roman" w:hAnsi="Times New Roman" w:cs="Times New Roman"/>
                <w:noProof/>
                <w:webHidden/>
                <w:sz w:val="24"/>
                <w:szCs w:val="24"/>
              </w:rPr>
            </w:r>
            <w:r w:rsidRPr="00406E69">
              <w:rPr>
                <w:rFonts w:ascii="Times New Roman" w:hAnsi="Times New Roman" w:cs="Times New Roman"/>
                <w:noProof/>
                <w:webHidden/>
                <w:sz w:val="24"/>
                <w:szCs w:val="24"/>
              </w:rPr>
              <w:fldChar w:fldCharType="separate"/>
            </w:r>
            <w:r w:rsidRPr="00406E69">
              <w:rPr>
                <w:rFonts w:ascii="Times New Roman" w:hAnsi="Times New Roman" w:cs="Times New Roman"/>
                <w:noProof/>
                <w:webHidden/>
                <w:sz w:val="24"/>
                <w:szCs w:val="24"/>
              </w:rPr>
              <w:t>3</w:t>
            </w:r>
            <w:r w:rsidRPr="00406E69">
              <w:rPr>
                <w:rFonts w:ascii="Times New Roman" w:hAnsi="Times New Roman" w:cs="Times New Roman"/>
                <w:noProof/>
                <w:webHidden/>
                <w:sz w:val="24"/>
                <w:szCs w:val="24"/>
              </w:rPr>
              <w:fldChar w:fldCharType="end"/>
            </w:r>
          </w:hyperlink>
        </w:p>
        <w:p w14:paraId="65C660D8" w14:textId="77777777" w:rsidR="00406E69" w:rsidRPr="00406E69" w:rsidRDefault="00406E69">
          <w:pPr>
            <w:pStyle w:val="TOC1"/>
            <w:tabs>
              <w:tab w:val="right" w:leader="dot" w:pos="9350"/>
            </w:tabs>
            <w:rPr>
              <w:rFonts w:ascii="Times New Roman" w:hAnsi="Times New Roman" w:cs="Times New Roman"/>
              <w:noProof/>
              <w:sz w:val="24"/>
              <w:szCs w:val="24"/>
            </w:rPr>
          </w:pPr>
          <w:hyperlink w:anchor="_Toc236337098" w:history="1">
            <w:r w:rsidRPr="00406E69">
              <w:rPr>
                <w:rStyle w:val="Hyperlink"/>
                <w:rFonts w:ascii="Times New Roman" w:hAnsi="Times New Roman" w:cs="Times New Roman"/>
                <w:noProof/>
                <w:sz w:val="24"/>
                <w:szCs w:val="24"/>
              </w:rPr>
              <w:t>Unit 1: Brand You</w:t>
            </w:r>
            <w:r w:rsidRPr="00406E69">
              <w:rPr>
                <w:rFonts w:ascii="Times New Roman" w:hAnsi="Times New Roman" w:cs="Times New Roman"/>
                <w:noProof/>
                <w:webHidden/>
                <w:sz w:val="24"/>
                <w:szCs w:val="24"/>
              </w:rPr>
              <w:tab/>
            </w:r>
            <w:r w:rsidRPr="00406E69">
              <w:rPr>
                <w:rFonts w:ascii="Times New Roman" w:hAnsi="Times New Roman" w:cs="Times New Roman"/>
                <w:noProof/>
                <w:webHidden/>
                <w:sz w:val="24"/>
                <w:szCs w:val="24"/>
              </w:rPr>
              <w:fldChar w:fldCharType="begin"/>
            </w:r>
            <w:r w:rsidRPr="00406E69">
              <w:rPr>
                <w:rFonts w:ascii="Times New Roman" w:hAnsi="Times New Roman" w:cs="Times New Roman"/>
                <w:noProof/>
                <w:webHidden/>
                <w:sz w:val="24"/>
                <w:szCs w:val="24"/>
              </w:rPr>
              <w:instrText xml:space="preserve"> PAGEREF _Toc236337098 \h </w:instrText>
            </w:r>
            <w:r w:rsidRPr="00406E69">
              <w:rPr>
                <w:rFonts w:ascii="Times New Roman" w:hAnsi="Times New Roman" w:cs="Times New Roman"/>
                <w:noProof/>
                <w:webHidden/>
                <w:sz w:val="24"/>
                <w:szCs w:val="24"/>
              </w:rPr>
            </w:r>
            <w:r w:rsidRPr="00406E69">
              <w:rPr>
                <w:rFonts w:ascii="Times New Roman" w:hAnsi="Times New Roman" w:cs="Times New Roman"/>
                <w:noProof/>
                <w:webHidden/>
                <w:sz w:val="24"/>
                <w:szCs w:val="24"/>
              </w:rPr>
              <w:fldChar w:fldCharType="separate"/>
            </w:r>
            <w:r w:rsidRPr="00406E69">
              <w:rPr>
                <w:rFonts w:ascii="Times New Roman" w:hAnsi="Times New Roman" w:cs="Times New Roman"/>
                <w:noProof/>
                <w:webHidden/>
                <w:sz w:val="24"/>
                <w:szCs w:val="24"/>
              </w:rPr>
              <w:t>3</w:t>
            </w:r>
            <w:r w:rsidRPr="00406E69">
              <w:rPr>
                <w:rFonts w:ascii="Times New Roman" w:hAnsi="Times New Roman" w:cs="Times New Roman"/>
                <w:noProof/>
                <w:webHidden/>
                <w:sz w:val="24"/>
                <w:szCs w:val="24"/>
              </w:rPr>
              <w:fldChar w:fldCharType="end"/>
            </w:r>
          </w:hyperlink>
        </w:p>
        <w:p w14:paraId="067E39F4" w14:textId="77777777" w:rsidR="00406E69" w:rsidRPr="00406E69" w:rsidRDefault="00406E69">
          <w:pPr>
            <w:pStyle w:val="TOC1"/>
            <w:tabs>
              <w:tab w:val="right" w:leader="dot" w:pos="9350"/>
            </w:tabs>
            <w:rPr>
              <w:rFonts w:ascii="Times New Roman" w:hAnsi="Times New Roman" w:cs="Times New Roman"/>
              <w:noProof/>
              <w:sz w:val="24"/>
              <w:szCs w:val="24"/>
            </w:rPr>
          </w:pPr>
          <w:hyperlink w:anchor="_Toc236337099" w:history="1">
            <w:r w:rsidRPr="00406E69">
              <w:rPr>
                <w:rStyle w:val="Hyperlink"/>
                <w:rFonts w:ascii="Times New Roman" w:hAnsi="Times New Roman" w:cs="Times New Roman"/>
                <w:noProof/>
                <w:sz w:val="24"/>
                <w:szCs w:val="24"/>
              </w:rPr>
              <w:t>Unit 2: It’s a Small World</w:t>
            </w:r>
            <w:r w:rsidRPr="00406E69">
              <w:rPr>
                <w:rFonts w:ascii="Times New Roman" w:hAnsi="Times New Roman" w:cs="Times New Roman"/>
                <w:noProof/>
                <w:webHidden/>
                <w:sz w:val="24"/>
                <w:szCs w:val="24"/>
              </w:rPr>
              <w:tab/>
            </w:r>
            <w:r w:rsidRPr="00406E69">
              <w:rPr>
                <w:rFonts w:ascii="Times New Roman" w:hAnsi="Times New Roman" w:cs="Times New Roman"/>
                <w:noProof/>
                <w:webHidden/>
                <w:sz w:val="24"/>
                <w:szCs w:val="24"/>
              </w:rPr>
              <w:fldChar w:fldCharType="begin"/>
            </w:r>
            <w:r w:rsidRPr="00406E69">
              <w:rPr>
                <w:rFonts w:ascii="Times New Roman" w:hAnsi="Times New Roman" w:cs="Times New Roman"/>
                <w:noProof/>
                <w:webHidden/>
                <w:sz w:val="24"/>
                <w:szCs w:val="24"/>
              </w:rPr>
              <w:instrText xml:space="preserve"> PAGEREF _Toc236337099 \h </w:instrText>
            </w:r>
            <w:r w:rsidRPr="00406E69">
              <w:rPr>
                <w:rFonts w:ascii="Times New Roman" w:hAnsi="Times New Roman" w:cs="Times New Roman"/>
                <w:noProof/>
                <w:webHidden/>
                <w:sz w:val="24"/>
                <w:szCs w:val="24"/>
              </w:rPr>
            </w:r>
            <w:r w:rsidRPr="00406E69">
              <w:rPr>
                <w:rFonts w:ascii="Times New Roman" w:hAnsi="Times New Roman" w:cs="Times New Roman"/>
                <w:noProof/>
                <w:webHidden/>
                <w:sz w:val="24"/>
                <w:szCs w:val="24"/>
              </w:rPr>
              <w:fldChar w:fldCharType="separate"/>
            </w:r>
            <w:r w:rsidRPr="00406E69">
              <w:rPr>
                <w:rFonts w:ascii="Times New Roman" w:hAnsi="Times New Roman" w:cs="Times New Roman"/>
                <w:noProof/>
                <w:webHidden/>
                <w:sz w:val="24"/>
                <w:szCs w:val="24"/>
              </w:rPr>
              <w:t>5</w:t>
            </w:r>
            <w:r w:rsidRPr="00406E69">
              <w:rPr>
                <w:rFonts w:ascii="Times New Roman" w:hAnsi="Times New Roman" w:cs="Times New Roman"/>
                <w:noProof/>
                <w:webHidden/>
                <w:sz w:val="24"/>
                <w:szCs w:val="24"/>
              </w:rPr>
              <w:fldChar w:fldCharType="end"/>
            </w:r>
          </w:hyperlink>
        </w:p>
        <w:p w14:paraId="3382064E" w14:textId="77777777" w:rsidR="00406E69" w:rsidRPr="00406E69" w:rsidRDefault="00406E69">
          <w:pPr>
            <w:pStyle w:val="TOC1"/>
            <w:tabs>
              <w:tab w:val="right" w:leader="dot" w:pos="9350"/>
            </w:tabs>
            <w:rPr>
              <w:rFonts w:ascii="Times New Roman" w:hAnsi="Times New Roman" w:cs="Times New Roman"/>
              <w:noProof/>
              <w:sz w:val="24"/>
              <w:szCs w:val="24"/>
            </w:rPr>
          </w:pPr>
          <w:hyperlink w:anchor="_Toc236337100" w:history="1">
            <w:r w:rsidRPr="00406E69">
              <w:rPr>
                <w:rStyle w:val="Hyperlink"/>
                <w:rFonts w:ascii="Times New Roman" w:hAnsi="Times New Roman" w:cs="Times New Roman"/>
                <w:noProof/>
                <w:sz w:val="24"/>
                <w:szCs w:val="24"/>
              </w:rPr>
              <w:t>Unit 3: Opportunity Knocks</w:t>
            </w:r>
            <w:r w:rsidRPr="00406E69">
              <w:rPr>
                <w:rFonts w:ascii="Times New Roman" w:hAnsi="Times New Roman" w:cs="Times New Roman"/>
                <w:noProof/>
                <w:webHidden/>
                <w:sz w:val="24"/>
                <w:szCs w:val="24"/>
              </w:rPr>
              <w:tab/>
            </w:r>
            <w:r w:rsidRPr="00406E69">
              <w:rPr>
                <w:rFonts w:ascii="Times New Roman" w:hAnsi="Times New Roman" w:cs="Times New Roman"/>
                <w:noProof/>
                <w:webHidden/>
                <w:sz w:val="24"/>
                <w:szCs w:val="24"/>
              </w:rPr>
              <w:fldChar w:fldCharType="begin"/>
            </w:r>
            <w:r w:rsidRPr="00406E69">
              <w:rPr>
                <w:rFonts w:ascii="Times New Roman" w:hAnsi="Times New Roman" w:cs="Times New Roman"/>
                <w:noProof/>
                <w:webHidden/>
                <w:sz w:val="24"/>
                <w:szCs w:val="24"/>
              </w:rPr>
              <w:instrText xml:space="preserve"> PAGEREF _Toc236337100 \h </w:instrText>
            </w:r>
            <w:r w:rsidRPr="00406E69">
              <w:rPr>
                <w:rFonts w:ascii="Times New Roman" w:hAnsi="Times New Roman" w:cs="Times New Roman"/>
                <w:noProof/>
                <w:webHidden/>
                <w:sz w:val="24"/>
                <w:szCs w:val="24"/>
              </w:rPr>
            </w:r>
            <w:r w:rsidRPr="00406E69">
              <w:rPr>
                <w:rFonts w:ascii="Times New Roman" w:hAnsi="Times New Roman" w:cs="Times New Roman"/>
                <w:noProof/>
                <w:webHidden/>
                <w:sz w:val="24"/>
                <w:szCs w:val="24"/>
              </w:rPr>
              <w:fldChar w:fldCharType="separate"/>
            </w:r>
            <w:r w:rsidRPr="00406E69">
              <w:rPr>
                <w:rFonts w:ascii="Times New Roman" w:hAnsi="Times New Roman" w:cs="Times New Roman"/>
                <w:noProof/>
                <w:webHidden/>
                <w:sz w:val="24"/>
                <w:szCs w:val="24"/>
              </w:rPr>
              <w:t>7</w:t>
            </w:r>
            <w:r w:rsidRPr="00406E69">
              <w:rPr>
                <w:rFonts w:ascii="Times New Roman" w:hAnsi="Times New Roman" w:cs="Times New Roman"/>
                <w:noProof/>
                <w:webHidden/>
                <w:sz w:val="24"/>
                <w:szCs w:val="24"/>
              </w:rPr>
              <w:fldChar w:fldCharType="end"/>
            </w:r>
          </w:hyperlink>
        </w:p>
        <w:p w14:paraId="1E38AED0" w14:textId="77777777" w:rsidR="00406E69" w:rsidRPr="00406E69" w:rsidRDefault="00406E69">
          <w:pPr>
            <w:pStyle w:val="TOC1"/>
            <w:tabs>
              <w:tab w:val="right" w:leader="dot" w:pos="9350"/>
            </w:tabs>
            <w:rPr>
              <w:rFonts w:ascii="Times New Roman" w:hAnsi="Times New Roman" w:cs="Times New Roman"/>
              <w:noProof/>
              <w:sz w:val="24"/>
              <w:szCs w:val="24"/>
            </w:rPr>
          </w:pPr>
          <w:hyperlink w:anchor="_Toc236337101" w:history="1">
            <w:r w:rsidRPr="00406E69">
              <w:rPr>
                <w:rStyle w:val="Hyperlink"/>
                <w:rFonts w:ascii="Times New Roman" w:hAnsi="Times New Roman" w:cs="Times New Roman"/>
                <w:noProof/>
                <w:sz w:val="24"/>
                <w:szCs w:val="24"/>
              </w:rPr>
              <w:t>Unit 4: The Pursuit of Happiness</w:t>
            </w:r>
            <w:r w:rsidRPr="00406E69">
              <w:rPr>
                <w:rFonts w:ascii="Times New Roman" w:hAnsi="Times New Roman" w:cs="Times New Roman"/>
                <w:noProof/>
                <w:webHidden/>
                <w:sz w:val="24"/>
                <w:szCs w:val="24"/>
              </w:rPr>
              <w:tab/>
            </w:r>
            <w:r w:rsidRPr="00406E69">
              <w:rPr>
                <w:rFonts w:ascii="Times New Roman" w:hAnsi="Times New Roman" w:cs="Times New Roman"/>
                <w:noProof/>
                <w:webHidden/>
                <w:sz w:val="24"/>
                <w:szCs w:val="24"/>
              </w:rPr>
              <w:fldChar w:fldCharType="begin"/>
            </w:r>
            <w:r w:rsidRPr="00406E69">
              <w:rPr>
                <w:rFonts w:ascii="Times New Roman" w:hAnsi="Times New Roman" w:cs="Times New Roman"/>
                <w:noProof/>
                <w:webHidden/>
                <w:sz w:val="24"/>
                <w:szCs w:val="24"/>
              </w:rPr>
              <w:instrText xml:space="preserve"> PAGEREF _Toc236337101 \h </w:instrText>
            </w:r>
            <w:r w:rsidRPr="00406E69">
              <w:rPr>
                <w:rFonts w:ascii="Times New Roman" w:hAnsi="Times New Roman" w:cs="Times New Roman"/>
                <w:noProof/>
                <w:webHidden/>
                <w:sz w:val="24"/>
                <w:szCs w:val="24"/>
              </w:rPr>
            </w:r>
            <w:r w:rsidRPr="00406E69">
              <w:rPr>
                <w:rFonts w:ascii="Times New Roman" w:hAnsi="Times New Roman" w:cs="Times New Roman"/>
                <w:noProof/>
                <w:webHidden/>
                <w:sz w:val="24"/>
                <w:szCs w:val="24"/>
              </w:rPr>
              <w:fldChar w:fldCharType="separate"/>
            </w:r>
            <w:r w:rsidRPr="00406E69">
              <w:rPr>
                <w:rFonts w:ascii="Times New Roman" w:hAnsi="Times New Roman" w:cs="Times New Roman"/>
                <w:noProof/>
                <w:webHidden/>
                <w:sz w:val="24"/>
                <w:szCs w:val="24"/>
              </w:rPr>
              <w:t>9</w:t>
            </w:r>
            <w:r w:rsidRPr="00406E69">
              <w:rPr>
                <w:rFonts w:ascii="Times New Roman" w:hAnsi="Times New Roman" w:cs="Times New Roman"/>
                <w:noProof/>
                <w:webHidden/>
                <w:sz w:val="24"/>
                <w:szCs w:val="24"/>
              </w:rPr>
              <w:fldChar w:fldCharType="end"/>
            </w:r>
          </w:hyperlink>
        </w:p>
        <w:p w14:paraId="7F97182F" w14:textId="77777777" w:rsidR="00406E69" w:rsidRPr="00406E69" w:rsidRDefault="00406E69">
          <w:pPr>
            <w:pStyle w:val="TOC1"/>
            <w:tabs>
              <w:tab w:val="right" w:leader="dot" w:pos="9350"/>
            </w:tabs>
            <w:rPr>
              <w:rFonts w:ascii="Times New Roman" w:hAnsi="Times New Roman" w:cs="Times New Roman"/>
              <w:noProof/>
              <w:sz w:val="24"/>
              <w:szCs w:val="24"/>
            </w:rPr>
          </w:pPr>
          <w:hyperlink w:anchor="_Toc236337102" w:history="1">
            <w:r w:rsidRPr="00406E69">
              <w:rPr>
                <w:rStyle w:val="Hyperlink"/>
                <w:rFonts w:ascii="Times New Roman" w:hAnsi="Times New Roman" w:cs="Times New Roman"/>
                <w:noProof/>
                <w:sz w:val="24"/>
                <w:szCs w:val="24"/>
              </w:rPr>
              <w:t>Conclusion</w:t>
            </w:r>
            <w:r w:rsidRPr="00406E69">
              <w:rPr>
                <w:rFonts w:ascii="Times New Roman" w:hAnsi="Times New Roman" w:cs="Times New Roman"/>
                <w:noProof/>
                <w:webHidden/>
                <w:sz w:val="24"/>
                <w:szCs w:val="24"/>
              </w:rPr>
              <w:tab/>
            </w:r>
            <w:r w:rsidRPr="00406E69">
              <w:rPr>
                <w:rFonts w:ascii="Times New Roman" w:hAnsi="Times New Roman" w:cs="Times New Roman"/>
                <w:noProof/>
                <w:webHidden/>
                <w:sz w:val="24"/>
                <w:szCs w:val="24"/>
              </w:rPr>
              <w:fldChar w:fldCharType="begin"/>
            </w:r>
            <w:r w:rsidRPr="00406E69">
              <w:rPr>
                <w:rFonts w:ascii="Times New Roman" w:hAnsi="Times New Roman" w:cs="Times New Roman"/>
                <w:noProof/>
                <w:webHidden/>
                <w:sz w:val="24"/>
                <w:szCs w:val="24"/>
              </w:rPr>
              <w:instrText xml:space="preserve"> PAGEREF _Toc236337102 \h </w:instrText>
            </w:r>
            <w:r w:rsidRPr="00406E69">
              <w:rPr>
                <w:rFonts w:ascii="Times New Roman" w:hAnsi="Times New Roman" w:cs="Times New Roman"/>
                <w:noProof/>
                <w:webHidden/>
                <w:sz w:val="24"/>
                <w:szCs w:val="24"/>
              </w:rPr>
            </w:r>
            <w:r w:rsidRPr="00406E69">
              <w:rPr>
                <w:rFonts w:ascii="Times New Roman" w:hAnsi="Times New Roman" w:cs="Times New Roman"/>
                <w:noProof/>
                <w:webHidden/>
                <w:sz w:val="24"/>
                <w:szCs w:val="24"/>
              </w:rPr>
              <w:fldChar w:fldCharType="separate"/>
            </w:r>
            <w:r w:rsidRPr="00406E69">
              <w:rPr>
                <w:rFonts w:ascii="Times New Roman" w:hAnsi="Times New Roman" w:cs="Times New Roman"/>
                <w:noProof/>
                <w:webHidden/>
                <w:sz w:val="24"/>
                <w:szCs w:val="24"/>
              </w:rPr>
              <w:t>10</w:t>
            </w:r>
            <w:r w:rsidRPr="00406E69">
              <w:rPr>
                <w:rFonts w:ascii="Times New Roman" w:hAnsi="Times New Roman" w:cs="Times New Roman"/>
                <w:noProof/>
                <w:webHidden/>
                <w:sz w:val="24"/>
                <w:szCs w:val="24"/>
              </w:rPr>
              <w:fldChar w:fldCharType="end"/>
            </w:r>
          </w:hyperlink>
        </w:p>
        <w:p w14:paraId="6287ACDF" w14:textId="77777777" w:rsidR="00406E69" w:rsidRPr="00406E69" w:rsidRDefault="00406E69">
          <w:pPr>
            <w:pStyle w:val="TOC1"/>
            <w:tabs>
              <w:tab w:val="right" w:leader="dot" w:pos="9350"/>
            </w:tabs>
            <w:rPr>
              <w:rFonts w:ascii="Times New Roman" w:hAnsi="Times New Roman" w:cs="Times New Roman"/>
              <w:noProof/>
              <w:sz w:val="24"/>
              <w:szCs w:val="24"/>
            </w:rPr>
          </w:pPr>
          <w:hyperlink w:anchor="_Toc236337103" w:history="1">
            <w:r w:rsidRPr="00406E69">
              <w:rPr>
                <w:rStyle w:val="Hyperlink"/>
                <w:rFonts w:ascii="Times New Roman" w:hAnsi="Times New Roman" w:cs="Times New Roman"/>
                <w:noProof/>
                <w:sz w:val="24"/>
                <w:szCs w:val="24"/>
              </w:rPr>
              <w:t>References</w:t>
            </w:r>
            <w:r w:rsidRPr="00406E69">
              <w:rPr>
                <w:rFonts w:ascii="Times New Roman" w:hAnsi="Times New Roman" w:cs="Times New Roman"/>
                <w:noProof/>
                <w:webHidden/>
                <w:sz w:val="24"/>
                <w:szCs w:val="24"/>
              </w:rPr>
              <w:tab/>
            </w:r>
            <w:r w:rsidRPr="00406E69">
              <w:rPr>
                <w:rFonts w:ascii="Times New Roman" w:hAnsi="Times New Roman" w:cs="Times New Roman"/>
                <w:noProof/>
                <w:webHidden/>
                <w:sz w:val="24"/>
                <w:szCs w:val="24"/>
              </w:rPr>
              <w:fldChar w:fldCharType="begin"/>
            </w:r>
            <w:r w:rsidRPr="00406E69">
              <w:rPr>
                <w:rFonts w:ascii="Times New Roman" w:hAnsi="Times New Roman" w:cs="Times New Roman"/>
                <w:noProof/>
                <w:webHidden/>
                <w:sz w:val="24"/>
                <w:szCs w:val="24"/>
              </w:rPr>
              <w:instrText xml:space="preserve"> PAGEREF _Toc236337103 \h </w:instrText>
            </w:r>
            <w:r w:rsidRPr="00406E69">
              <w:rPr>
                <w:rFonts w:ascii="Times New Roman" w:hAnsi="Times New Roman" w:cs="Times New Roman"/>
                <w:noProof/>
                <w:webHidden/>
                <w:sz w:val="24"/>
                <w:szCs w:val="24"/>
              </w:rPr>
            </w:r>
            <w:r w:rsidRPr="00406E69">
              <w:rPr>
                <w:rFonts w:ascii="Times New Roman" w:hAnsi="Times New Roman" w:cs="Times New Roman"/>
                <w:noProof/>
                <w:webHidden/>
                <w:sz w:val="24"/>
                <w:szCs w:val="24"/>
              </w:rPr>
              <w:fldChar w:fldCharType="separate"/>
            </w:r>
            <w:r w:rsidRPr="00406E69">
              <w:rPr>
                <w:rFonts w:ascii="Times New Roman" w:hAnsi="Times New Roman" w:cs="Times New Roman"/>
                <w:noProof/>
                <w:webHidden/>
                <w:sz w:val="24"/>
                <w:szCs w:val="24"/>
              </w:rPr>
              <w:t>12</w:t>
            </w:r>
            <w:r w:rsidRPr="00406E69">
              <w:rPr>
                <w:rFonts w:ascii="Times New Roman" w:hAnsi="Times New Roman" w:cs="Times New Roman"/>
                <w:noProof/>
                <w:webHidden/>
                <w:sz w:val="24"/>
                <w:szCs w:val="24"/>
              </w:rPr>
              <w:fldChar w:fldCharType="end"/>
            </w:r>
          </w:hyperlink>
        </w:p>
        <w:p w14:paraId="09FFD323" w14:textId="77777777" w:rsidR="00406E69" w:rsidRDefault="00406E69">
          <w:r w:rsidRPr="00406E69">
            <w:rPr>
              <w:rFonts w:ascii="Times New Roman" w:hAnsi="Times New Roman" w:cs="Times New Roman"/>
              <w:b/>
              <w:bCs/>
              <w:noProof/>
              <w:sz w:val="24"/>
              <w:szCs w:val="24"/>
            </w:rPr>
            <w:fldChar w:fldCharType="end"/>
          </w:r>
        </w:p>
      </w:sdtContent>
    </w:sdt>
    <w:p w14:paraId="36539D50" w14:textId="77777777" w:rsidR="00406E69" w:rsidRDefault="00406E69">
      <w:pPr>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br w:type="page"/>
      </w:r>
    </w:p>
    <w:p w14:paraId="40C6D75C" w14:textId="77777777" w:rsidR="00B569BC" w:rsidRDefault="0083149A" w:rsidP="00406E69">
      <w:pPr>
        <w:pStyle w:val="Heading1"/>
        <w:rPr>
          <w:b w:val="0"/>
        </w:rPr>
      </w:pPr>
      <w:bookmarkStart w:id="0" w:name="_Toc236337097"/>
      <w:r>
        <w:t>Introduction</w:t>
      </w:r>
      <w:bookmarkEnd w:id="0"/>
    </w:p>
    <w:p w14:paraId="2740C156" w14:textId="77777777" w:rsidR="00B569BC" w:rsidRDefault="0083149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portfolio critically discusses learning based on the four units of the Changemakers: Building Your Personal Brand for Sustainable Employment unit. It touches upon how the module has influenced my thinking and given me knowledge around professional identity, global connections, career and sustainable wellbeing within the field of health and social care. When you had a job, I always believed that you were being paid for the knowledge and skills, but I now believe it's performance of values, behaviour, skills and evidence of practice vs the j-O-B! This is significant since health and social care employers are looking for more than just skills—they're looking for communication skills, teamwork, the ability to adapt and cope in different situations and act ethically.</w:t>
      </w:r>
    </w:p>
    <w:p w14:paraId="7A45BCB5" w14:textId="77777777" w:rsidR="00B569BC" w:rsidRDefault="0083149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reflections are also on my Moodle forum posts. I'm sure these posts display my elementary thought processes, as well as my own lack of being more specific. I therefore evaluate by using current research results the learning content of what I have learned, the restriction/s in the limitations of my current view about the learning content and how it will be applied. The reasoning is that there is an intrinsic relationship between a credible personal brand and cultural competence, purposeful networking and digital responsibility and wellbeing. All this leads to a professional rather than a self-sold look – often an accepted and tolerated one.</w:t>
      </w:r>
    </w:p>
    <w:p w14:paraId="60655BFF" w14:textId="77777777" w:rsidR="00B569BC" w:rsidRDefault="0083149A" w:rsidP="00406E69">
      <w:pPr>
        <w:pStyle w:val="Heading1"/>
      </w:pPr>
      <w:bookmarkStart w:id="1" w:name="_Toc236337098"/>
      <w:r>
        <w:t>Unit 1: Brand You</w:t>
      </w:r>
      <w:bookmarkEnd w:id="1"/>
    </w:p>
    <w:p w14:paraId="2B872339" w14:textId="77777777" w:rsidR="00B569BC" w:rsidRDefault="00406E6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With ‘Unit 1</w:t>
      </w:r>
      <w:r w:rsidR="0083149A">
        <w:rPr>
          <w:rFonts w:ascii="Times New Roman" w:eastAsia="Times New Roman" w:hAnsi="Times New Roman" w:cs="Times New Roman"/>
          <w:sz w:val="24"/>
          <w:szCs w:val="24"/>
        </w:rPr>
        <w:t>’, I have changed my mind regarding personal branding. Previously, I associated a name with how a person “sells” himself to employers. I know that there's no point in there being no evidence of competence or professional values and xmarks on something else supporting it. In words related to health care and social care, trustworthiness, caring for others, respect, commitment, and being "learning oriented" are key ideas that comprise your personal brand. These skills should be evident in their digital behaviours, practices and communication. Interviews show that courage, good foreign language proficiency, willingness to learn, problem-solving – thinking skills and team building are in-demand employability-related skills in most of the countries studied around the world. This assists in supporting a skills branding as opposed to a picturesque branding approach (Tushar and Sooraksa, 2023).</w:t>
      </w:r>
    </w:p>
    <w:p w14:paraId="7A5F1686" w14:textId="77777777" w:rsidR="00B569BC" w:rsidRDefault="0083149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Another idea was self-awareness. I knew I had to learn more about strengths because I knew that to know strengths you had to do more; you had to do work. I need to think about how my actions will affect others and what that might be in my actions. My strengths are: Commitment &amp; Interest in Helping, Empathy. Overall, I need to enhance my communication skills, online confidence, and showcase my achievements. Emotional Intelligence research in the field of health professionals reveals that the degree of emotional intelligence and the personality and behavioural traits are different in different professions. Hence, it is expected that development should be based on self-assessment and not on the assumption that the individual is suitable for roles/vocations. Was challenged to develop self-awareness as a process with feedback, reflection and action.</w:t>
      </w:r>
    </w:p>
    <w:p w14:paraId="2CF00433" w14:textId="77777777" w:rsidR="00B569BC" w:rsidRDefault="0083149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third was identity in the workplace online. Social Media is also an excellent way to build an identity – provided you are learning, sharing and contributing to society and your profession. The study showed a positive correlation between professional use of social media platforms by nursing students and professional identity in the study of nursing students. (Alharbi et al., 2022). But there are dangers to confidentiality, boundaries, conflict of interest, and accountability that accompany being digitally visible. Based on a validated framework of professionalism in the digital space, the areas are fundamental to safely navigate the online space (Imran et al., 2024). So I have to perform an audit of my own online footprint, with good information and by getting rid of information that might lead to a loss of public trust.</w:t>
      </w:r>
    </w:p>
    <w:p w14:paraId="0EDDD333" w14:textId="77777777" w:rsidR="00B569BC" w:rsidRDefault="0083149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my Week 3 forum, I said that networking is about getting to know people, constructing your professional relationships, exchanging experience and establishing job opportunities. The post expressed understanding about ‘connection ', with the main idea being providing some help to somebody through connecting with others. The thing I have come to realise is that for an ethical personal brand there must be a reciprocity of some kind. I should give something helpful, listen to others and develop relationships, not just call others so that I can get a job.</w:t>
      </w:r>
    </w:p>
    <w:p w14:paraId="6EFC079E" w14:textId="77777777" w:rsidR="00B569BC" w:rsidRDefault="0083149A">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GB"/>
        </w:rPr>
        <w:drawing>
          <wp:inline distT="114300" distB="114300" distL="114300" distR="114300" wp14:anchorId="3102E8EC" wp14:editId="57AE6F63">
            <wp:extent cx="3833813" cy="2605026"/>
            <wp:effectExtent l="0" t="0" r="0" b="0"/>
            <wp:docPr id="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8"/>
                    <a:srcRect/>
                    <a:stretch>
                      <a:fillRect/>
                    </a:stretch>
                  </pic:blipFill>
                  <pic:spPr>
                    <a:xfrm>
                      <a:off x="0" y="0"/>
                      <a:ext cx="3833813" cy="2605026"/>
                    </a:xfrm>
                    <a:prstGeom prst="rect">
                      <a:avLst/>
                    </a:prstGeom>
                    <a:ln/>
                  </pic:spPr>
                </pic:pic>
              </a:graphicData>
            </a:graphic>
          </wp:inline>
        </w:drawing>
      </w:r>
    </w:p>
    <w:p w14:paraId="55BD2C29" w14:textId="77777777" w:rsidR="00B569BC" w:rsidRDefault="0083149A">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Figure 1:</w:t>
      </w:r>
      <w:r>
        <w:rPr>
          <w:rFonts w:ascii="Times New Roman" w:eastAsia="Times New Roman" w:hAnsi="Times New Roman" w:cs="Times New Roman"/>
          <w:sz w:val="24"/>
          <w:szCs w:val="24"/>
        </w:rPr>
        <w:t xml:space="preserve"> “What does networking mean to you?”</w:t>
      </w:r>
    </w:p>
    <w:p w14:paraId="55541329" w14:textId="77777777" w:rsidR="00B569BC" w:rsidRDefault="0083149A" w:rsidP="00406E69">
      <w:pPr>
        <w:pStyle w:val="Heading1"/>
      </w:pPr>
      <w:bookmarkStart w:id="2" w:name="_Toc236337099"/>
      <w:r>
        <w:t>Unit 2: It’s a Small World</w:t>
      </w:r>
      <w:bookmarkEnd w:id="2"/>
    </w:p>
    <w:p w14:paraId="156FE5D0" w14:textId="77777777" w:rsidR="00B569BC" w:rsidRDefault="0083149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Unit 2, I have become aware that health and social care have global and local connections. Migration, digital communication, a mobile workforce and diverse communities cause practitioners to work with individuals who have different worldviews, beliefs, and experiences. I witnessed cultural awareness; the first one is Being Respectful towards everybody. I now find myself in a position to understand that often equality of treatment is not equal outcomes, if we do not specifically think about and consider communicational needs, power relations and cultural meanings. Cultural competence therefore involves knowledge, self-awareness, communicative competency and flexibility. The RESPECT competencies are broken down into reflection, sociocultural context, participation and trust, etc. Those healthily support the behaviour of the culturally responsive (Constantinou and Nikitara, 2023).</w:t>
      </w:r>
    </w:p>
    <w:p w14:paraId="00D00ED8" w14:textId="77777777" w:rsidR="00B569BC" w:rsidRDefault="0083149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learning also involved thinking negatively about cultural competence training. There is limited and inconsistent evidence that training promisingly leads to better professional knowledge and attitudes, with only limited evidence that this leads to better patient outcomes. So, don't show off one's cultural competence or frame one's cultural competence certificate! It has to be learned from experience, feedback and outcomes of services (Vella et al., 2022). There is also some variation with respect to content and measurement of cultural competence programs in the social service education field. This suggests that communities and service users they interact with are provided with method or methods relevant to them (Uher et al., 2024).</w:t>
      </w:r>
    </w:p>
    <w:p w14:paraId="48D62360" w14:textId="77777777" w:rsidR="00B569BC" w:rsidRDefault="0083149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Multidisciplinary teams, training, as well as community groups and collaborating with other people were listed in my week 4 post as ways to make connections. Well, that was right, but it was based on the following premise: Positive for care equals a link. Collaboration can go wrong - due to roles not being clear, information being held back and/or due to voice not being heard due to professional hierarchies. Findings from this systematic review suggest that interprofessional collaboration for patient education should be based on shared goals, with the addition of communicating and acknowledging each profession's contribution--but not solely multiple professions working together (Ho et al., 2023). So I need to obviously be there in my role and give room for others' skills and knowledge in my team, the patients, the individuals in care and the community groups.</w:t>
      </w:r>
    </w:p>
    <w:p w14:paraId="5A17E87A" w14:textId="77777777" w:rsidR="00B569BC" w:rsidRDefault="0083149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also raised awareness worldwide and personal family awareness. I will try to avoid assuming and ask questions and use interpreters/communicators where appropriate. Needing to maintain a pro work image and be culturally humble. This includes acknowledging the potential lack of understanding of another person's cultural experience. This job will be more credible than pretending to have cultural competency since it embraces curiosity, correction and joint decision-making.</w:t>
      </w:r>
    </w:p>
    <w:p w14:paraId="623E6403" w14:textId="77777777" w:rsidR="00B569BC" w:rsidRDefault="0083149A">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GB"/>
        </w:rPr>
        <w:drawing>
          <wp:inline distT="114300" distB="114300" distL="114300" distR="114300" wp14:anchorId="59F41802" wp14:editId="0449E5EA">
            <wp:extent cx="4157663" cy="2718472"/>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4157663" cy="2718472"/>
                    </a:xfrm>
                    <a:prstGeom prst="rect">
                      <a:avLst/>
                    </a:prstGeom>
                    <a:ln/>
                  </pic:spPr>
                </pic:pic>
              </a:graphicData>
            </a:graphic>
          </wp:inline>
        </w:drawing>
      </w:r>
    </w:p>
    <w:p w14:paraId="0E8FC32D" w14:textId="77777777" w:rsidR="00B569BC" w:rsidRDefault="0083149A">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Figure 2:</w:t>
      </w:r>
      <w:r>
        <w:rPr>
          <w:rFonts w:ascii="Times New Roman" w:eastAsia="Times New Roman" w:hAnsi="Times New Roman" w:cs="Times New Roman"/>
          <w:sz w:val="24"/>
          <w:szCs w:val="24"/>
        </w:rPr>
        <w:t xml:space="preserve"> “In what ways can professionals in health and social care make connections?”</w:t>
      </w:r>
    </w:p>
    <w:p w14:paraId="3C3F4108" w14:textId="77777777" w:rsidR="00B569BC" w:rsidRDefault="0083149A" w:rsidP="00406E69">
      <w:pPr>
        <w:pStyle w:val="Heading1"/>
      </w:pPr>
      <w:bookmarkStart w:id="3" w:name="_Toc236337100"/>
      <w:r>
        <w:t>Unit 3: Opportunity Knocks</w:t>
      </w:r>
      <w:bookmarkEnd w:id="3"/>
    </w:p>
    <w:p w14:paraId="61AEA5C6" w14:textId="77777777" w:rsidR="00B569BC" w:rsidRDefault="0083149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It's not about opportunity anymore in Unit 3. I have been getting chances as a vacancy, a course or an introduction in the past, which were off the shelf. Now I know that opportunities are better able to relate when an individual already possesses their skills and is readily seen with presentation and supporting relationships. In my Week 5 post, I blogged about the serendipity mindset of being open and curious and open to learning when things don't go as planned. This aligns with planned happenstance, which is an interaction between one's curiosities, persistence, flexibility, optimism, and reasoned risk-taking, and uncovering and using intentionally unidentified opportunities for career learning (Sica et al., 2022). The problem is that only optimism doesn't make money or jobs, and financial or social problems. So, adjustments will have to be made – and there should be realistic planning and support around it.</w:t>
      </w:r>
    </w:p>
    <w:p w14:paraId="041A7CEB" w14:textId="77777777" w:rsidR="00B569BC" w:rsidRDefault="0083149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networking was more specific here. In my last post (week 6), I talked about how the Getting Ready for Work: Skills and Attitude, Volunteering, Work Experience and Meeting People will help to open doors to employment. The presence of networks and their relevance are evident, as well as the fact that "not all networks are created equal", and some resources are more likely to be valuable. Those who have a high perceived network quality can have access to information, encouragement and concrete support throughout the employment transition (De Schepper et al., 2024). School-to-work transition research also indicates that networking behaviour is not the same when students approach the transition to work. Relationships thus need to be actively managed instead of having occasional touchpoints (De Weerdt et al., 2024).</w:t>
      </w:r>
    </w:p>
    <w:p w14:paraId="0736EAA3" w14:textId="77777777" w:rsidR="00B569BC" w:rsidRDefault="0083149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unit helped me to differentiate between 'activity' and 'progress'. Doing online tasks or attending events doesn't necessarily equal a better job. A systematic review was undertaken to find that employability programmes are valued by the student, university and employer. Some of the examples are based on small case studies, and evidence of impacts on labour-market outcomes is not based on well-established causal relationships (Scandurra et al., 2023). So I will have to decide if it led to improved communication or a useful link or helpful feedback or experience or even an application produced.</w:t>
      </w:r>
    </w:p>
    <w:p w14:paraId="60D42995" w14:textId="77777777" w:rsidR="00B569BC" w:rsidRDefault="0083149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learning is given direction by goal setting. Goal-setting designs reported in higher education are found to be quite diverse, and there is no clear opinion about what is the most important. It is therefore important for equipment to support, review and adapt goals, rather than just word it (Martins van Jaarsveld et al., 2024). I will be going on a step-by-step approach on improving one employability area at a time. I will seek out suitable training opportunities and request a feedback session with relevant persons, seek exposure to work and develop a professional profile.</w:t>
      </w:r>
    </w:p>
    <w:p w14:paraId="464C2613" w14:textId="77777777" w:rsidR="00B569BC" w:rsidRDefault="0083149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also mentioned that online writings can pass on health information, at the same time, educate the public and urge positive health habits. I now understand that this puts a responsibility on me to check evidence, employ accessible language, guard confidentiality and to maintain professional boundaries. If I left health advice, and those were something awful and over the top, it could be for the worse and could cause harm, but Blogging would definitely benefit my own personal brand.</w:t>
      </w:r>
    </w:p>
    <w:p w14:paraId="725D84C9" w14:textId="77777777" w:rsidR="00B569BC" w:rsidRDefault="0083149A">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GB"/>
        </w:rPr>
        <w:drawing>
          <wp:inline distT="114300" distB="114300" distL="114300" distR="114300" wp14:anchorId="2205E5AD" wp14:editId="5748E301">
            <wp:extent cx="4233863" cy="2557959"/>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4233863" cy="2557959"/>
                    </a:xfrm>
                    <a:prstGeom prst="rect">
                      <a:avLst/>
                    </a:prstGeom>
                    <a:ln/>
                  </pic:spPr>
                </pic:pic>
              </a:graphicData>
            </a:graphic>
          </wp:inline>
        </w:drawing>
      </w:r>
    </w:p>
    <w:p w14:paraId="08BC03B7" w14:textId="77777777" w:rsidR="00B569BC" w:rsidRDefault="0083149A">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Figure 3:</w:t>
      </w:r>
      <w:r>
        <w:rPr>
          <w:rFonts w:ascii="Times New Roman" w:eastAsia="Times New Roman" w:hAnsi="Times New Roman" w:cs="Times New Roman"/>
          <w:sz w:val="24"/>
          <w:szCs w:val="24"/>
        </w:rPr>
        <w:t xml:space="preserve"> “Serendipity Mindset.”</w:t>
      </w:r>
    </w:p>
    <w:p w14:paraId="2FE73E27" w14:textId="77777777" w:rsidR="00B569BC" w:rsidRDefault="0083149A">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GB"/>
        </w:rPr>
        <w:drawing>
          <wp:inline distT="114300" distB="114300" distL="114300" distR="114300" wp14:anchorId="2239904E" wp14:editId="1561CC3E">
            <wp:extent cx="3900488" cy="2425303"/>
            <wp:effectExtent l="0" t="0" r="0" b="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3900488" cy="2425303"/>
                    </a:xfrm>
                    <a:prstGeom prst="rect">
                      <a:avLst/>
                    </a:prstGeom>
                    <a:ln/>
                  </pic:spPr>
                </pic:pic>
              </a:graphicData>
            </a:graphic>
          </wp:inline>
        </w:drawing>
      </w:r>
    </w:p>
    <w:p w14:paraId="55481A42" w14:textId="77777777" w:rsidR="00B569BC" w:rsidRDefault="0083149A">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Figure 4: </w:t>
      </w:r>
      <w:r>
        <w:rPr>
          <w:rFonts w:ascii="Times New Roman" w:eastAsia="Times New Roman" w:hAnsi="Times New Roman" w:cs="Times New Roman"/>
          <w:sz w:val="24"/>
          <w:szCs w:val="24"/>
        </w:rPr>
        <w:t>“How one can open doors for jobs opportunity?”</w:t>
      </w:r>
    </w:p>
    <w:p w14:paraId="4A2449BE" w14:textId="77777777" w:rsidR="00B569BC" w:rsidRDefault="0083149A">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GB"/>
        </w:rPr>
        <w:drawing>
          <wp:inline distT="114300" distB="114300" distL="114300" distR="114300" wp14:anchorId="63E51A12" wp14:editId="6726238A">
            <wp:extent cx="3957638" cy="2276910"/>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3957638" cy="2276910"/>
                    </a:xfrm>
                    <a:prstGeom prst="rect">
                      <a:avLst/>
                    </a:prstGeom>
                    <a:ln/>
                  </pic:spPr>
                </pic:pic>
              </a:graphicData>
            </a:graphic>
          </wp:inline>
        </w:drawing>
      </w:r>
    </w:p>
    <w:p w14:paraId="6D2DC9D9" w14:textId="77777777" w:rsidR="00B569BC" w:rsidRDefault="0083149A">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Figure 5:</w:t>
      </w:r>
      <w:r>
        <w:rPr>
          <w:rFonts w:ascii="Times New Roman" w:eastAsia="Times New Roman" w:hAnsi="Times New Roman" w:cs="Times New Roman"/>
          <w:sz w:val="24"/>
          <w:szCs w:val="24"/>
        </w:rPr>
        <w:t xml:space="preserve"> “How blogging helps in health and social care?”</w:t>
      </w:r>
    </w:p>
    <w:p w14:paraId="10A58325" w14:textId="77777777" w:rsidR="00B569BC" w:rsidRDefault="00B569BC">
      <w:pPr>
        <w:spacing w:line="360" w:lineRule="auto"/>
        <w:jc w:val="both"/>
        <w:rPr>
          <w:rFonts w:ascii="Times New Roman" w:eastAsia="Times New Roman" w:hAnsi="Times New Roman" w:cs="Times New Roman"/>
          <w:sz w:val="24"/>
          <w:szCs w:val="24"/>
        </w:rPr>
      </w:pPr>
    </w:p>
    <w:p w14:paraId="38A4D8EA" w14:textId="77777777" w:rsidR="00B569BC" w:rsidRDefault="0083149A" w:rsidP="00406E69">
      <w:pPr>
        <w:pStyle w:val="Heading1"/>
      </w:pPr>
      <w:bookmarkStart w:id="4" w:name="_Toc236337101"/>
      <w:r>
        <w:t>Unit 4: The Pursuit of Happiness</w:t>
      </w:r>
      <w:bookmarkEnd w:id="4"/>
    </w:p>
    <w:p w14:paraId="272264DF" w14:textId="77777777" w:rsidR="00B569BC" w:rsidRDefault="0083149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Unit 4 explored a 'no holds barred' approach for employability. However, in health and social care contexts, dedication can become a dire thing, whereby a worker feels he has to do too much and takes this as a measure of dedication. Wellbeing is now a professional issue as fatigue can impact on concentration, empathy, judgment, and continuity of care. Although positive psychology interventions have proven to be effective and they can help to build the wellbeing of individual healthcare workers, there are several factors that cannot be left to the individual alone, such as the evidence base (Townsley et al., 2023). Personal strategies may be useful, but a safe staff, positive leadership and lots of manageability are important, as well.</w:t>
      </w:r>
    </w:p>
    <w:p w14:paraId="6D848D02" w14:textId="77777777" w:rsidR="00B569BC" w:rsidRDefault="0083149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contributions according to the theme of resilience also played a crucial role. Previously, I thought of resilience as “holding out” during difficult times. I'd like to take it now as the skill of adapting, seeking support, learning and progressing, and not diminishing the effects of stress. During the health care worker review, professional identity, collegial relationships, leadership, and self-care and growth experiences (Curtin et al., 2022) were all found to be supportive of resilience. Therefore, Resilience can be said not only to be personal, but relational and organisational as well. If a brand's concept is “always available,” this would be a very insecure and unsustainable approach.</w:t>
      </w:r>
    </w:p>
    <w:p w14:paraId="1122894E" w14:textId="77777777" w:rsidR="00B569BC" w:rsidRDefault="0083149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Critical judgement is a component of work-life balance. Work in health and social care may be long, emotionally demanding and have a variety of tasks. Therefore, in a systematic review of literature on the quality of working life in the nursing profession, factors affecting QWL at the three distinct levels (individual, occupational and organisational) were identified. This indicates that, apart from personal time management (Sibuea et al., 2024), there is a need for protection of wellbeing. Clear boundaries, plenty of rest and realistic commitments, and early seeking help. I need to explore potential employers considering the supervision, workload, learning support and staff culture.</w:t>
      </w:r>
    </w:p>
    <w:p w14:paraId="74FA274F" w14:textId="77777777" w:rsidR="00B569BC" w:rsidRDefault="0083149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Through this unit, I was able to see how wellbeing and performance go together and that it isn't a different thing to career development. Despite the ability of workplace-based interventions to reduce burnout and improve wellbeing, their effectiveness depends on the type of intervention, intervention context and implementation of the intervention (Cohen et al., 2023). In future practice, there will be activities of blending personal routine and professional action. I will be able to check in with myself to see how stressed out I am, to seek support from both peers as necessary and consider what's been difficult and share with the appropriate adult as needed. It promotes sustainable employment as it reduces employment risks for both the worker and the cared person.</w:t>
      </w:r>
    </w:p>
    <w:p w14:paraId="3BC307D2" w14:textId="77777777" w:rsidR="00B569BC" w:rsidRDefault="0083149A" w:rsidP="00406E69">
      <w:pPr>
        <w:pStyle w:val="Heading1"/>
      </w:pPr>
      <w:bookmarkStart w:id="5" w:name="_Toc236337102"/>
      <w:r>
        <w:t>Conclusion</w:t>
      </w:r>
      <w:bookmarkEnd w:id="5"/>
    </w:p>
    <w:p w14:paraId="440FE260" w14:textId="77777777" w:rsidR="00B569BC" w:rsidRDefault="0083149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module has given a different focus to my beliefs around employability, which are now more towards selving up to evidence-based professional development. In Unit 1, we covered how personal brand revolves around self-awareness and values and includes employability skills and responsible digital behaviour. Cultural humility, global awareness and effective collaboration are all necessary components of professional identity, as identified in Unit 2. Opportunities are created as per the Unit 3 preparation, networks and goal setting, as well as reflecting and being open to surprise learning. The need for boundaries, resilience, workplace and attention to wellbeing to enhance long-term wage employment were outlined in Unit 4.</w:t>
      </w:r>
    </w:p>
    <w:p w14:paraId="306C439C" w14:textId="77777777" w:rsidR="00B569BC" w:rsidRDefault="0083149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have recorded the opening set of comments I made at the forum; the project itself and the forum itself were a real dose of critical thinking where I stood before we started and where I'm now. Many times I saw my posts, which were about some pertinent ideas, and they did not contain any information about power or evidence or ethical risk or organisational conditions. I have now got the opportunity to turn those ideas into actions. I will work on strengthening communication and e-safety skills, have professional relationships with reciprocal respect, ask for feedback in the spirit of culture and document my steps and regularly reflect on my wellbeing. These will assist in developing a professional identity that can be seen by employers and is safe, credible and useful in health and social care.</w:t>
      </w:r>
      <w:r>
        <w:br w:type="page"/>
      </w:r>
    </w:p>
    <w:p w14:paraId="446A7D21" w14:textId="77777777" w:rsidR="00B569BC" w:rsidRDefault="0083149A" w:rsidP="00406E69">
      <w:pPr>
        <w:pStyle w:val="Heading1"/>
      </w:pPr>
      <w:bookmarkStart w:id="6" w:name="_Toc236337103"/>
      <w:r>
        <w:t>References</w:t>
      </w:r>
      <w:bookmarkEnd w:id="6"/>
    </w:p>
    <w:p w14:paraId="444F4370" w14:textId="77777777" w:rsidR="0083149A" w:rsidRDefault="0083149A" w:rsidP="0083149A">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Alharbi, M., Kuhn, L. and Morphet, J., (2022). </w:t>
      </w:r>
      <w:r>
        <w:rPr>
          <w:rFonts w:ascii="Times New Roman" w:eastAsia="Times New Roman" w:hAnsi="Times New Roman" w:cs="Times New Roman"/>
          <w:i/>
          <w:iCs/>
          <w:color w:val="222222"/>
          <w:sz w:val="24"/>
          <w:szCs w:val="24"/>
          <w:highlight w:val="white"/>
        </w:rPr>
        <w:t xml:space="preserve">The relationship between social media usage by undergraduate nursing students and development of their professional identity: A correlational study. </w:t>
      </w:r>
      <w:r>
        <w:rPr>
          <w:rFonts w:ascii="Times New Roman" w:eastAsia="Times New Roman" w:hAnsi="Times New Roman" w:cs="Times New Roman"/>
          <w:color w:val="222222"/>
          <w:sz w:val="24"/>
          <w:szCs w:val="24"/>
          <w:highlight w:val="white"/>
        </w:rPr>
        <w:t xml:space="preserve">Nurse education today, </w:t>
      </w:r>
      <w:r>
        <w:rPr>
          <w:rFonts w:ascii="Times New Roman" w:eastAsia="Times New Roman" w:hAnsi="Times New Roman" w:cs="Times New Roman"/>
          <w:i/>
          <w:iCs/>
          <w:color w:val="222222"/>
          <w:sz w:val="24"/>
          <w:szCs w:val="24"/>
          <w:highlight w:val="white"/>
        </w:rPr>
        <w:t>112</w:t>
      </w:r>
      <w:r>
        <w:rPr>
          <w:rFonts w:ascii="Times New Roman" w:eastAsia="Times New Roman" w:hAnsi="Times New Roman" w:cs="Times New Roman"/>
          <w:color w:val="222222"/>
          <w:sz w:val="24"/>
          <w:szCs w:val="24"/>
          <w:highlight w:val="white"/>
        </w:rPr>
        <w:t>, p.105337.</w:t>
      </w:r>
      <w:r>
        <w:rPr>
          <w:rFonts w:ascii="Times New Roman" w:eastAsia="Times New Roman" w:hAnsi="Times New Roman" w:cs="Times New Roman"/>
          <w:sz w:val="24"/>
          <w:szCs w:val="24"/>
        </w:rPr>
        <w:t xml:space="preserve"> </w:t>
      </w:r>
    </w:p>
    <w:p w14:paraId="2FDB0178" w14:textId="77777777" w:rsidR="0083149A" w:rsidRDefault="0083149A" w:rsidP="0083149A">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Cohen, C., Pignata, S., Bezak, E., Tie, M. and Childs, J., (2023). </w:t>
      </w:r>
      <w:r>
        <w:rPr>
          <w:rFonts w:ascii="Times New Roman" w:eastAsia="Times New Roman" w:hAnsi="Times New Roman" w:cs="Times New Roman"/>
          <w:i/>
          <w:iCs/>
          <w:color w:val="222222"/>
          <w:sz w:val="24"/>
          <w:szCs w:val="24"/>
          <w:highlight w:val="white"/>
        </w:rPr>
        <w:t>Workplace interventions to improve well-being and reduce burnout for nurses, physicians and allied healthcare professionals: a systematic review.</w:t>
      </w:r>
      <w:r>
        <w:rPr>
          <w:rFonts w:ascii="Times New Roman" w:eastAsia="Times New Roman" w:hAnsi="Times New Roman" w:cs="Times New Roman"/>
          <w:color w:val="222222"/>
          <w:sz w:val="24"/>
          <w:szCs w:val="24"/>
          <w:highlight w:val="white"/>
        </w:rPr>
        <w:t xml:space="preserve"> BMJ open, </w:t>
      </w:r>
      <w:r>
        <w:rPr>
          <w:rFonts w:ascii="Times New Roman" w:eastAsia="Times New Roman" w:hAnsi="Times New Roman" w:cs="Times New Roman"/>
          <w:i/>
          <w:iCs/>
          <w:color w:val="222222"/>
          <w:sz w:val="24"/>
          <w:szCs w:val="24"/>
          <w:highlight w:val="white"/>
        </w:rPr>
        <w:t>13</w:t>
      </w:r>
      <w:r>
        <w:rPr>
          <w:rFonts w:ascii="Times New Roman" w:eastAsia="Times New Roman" w:hAnsi="Times New Roman" w:cs="Times New Roman"/>
          <w:color w:val="222222"/>
          <w:sz w:val="24"/>
          <w:szCs w:val="24"/>
          <w:highlight w:val="white"/>
        </w:rPr>
        <w:t>(6), p.e071203.</w:t>
      </w:r>
      <w:r>
        <w:rPr>
          <w:rFonts w:ascii="Times New Roman" w:eastAsia="Times New Roman" w:hAnsi="Times New Roman" w:cs="Times New Roman"/>
          <w:sz w:val="24"/>
          <w:szCs w:val="24"/>
        </w:rPr>
        <w:t xml:space="preserve"> </w:t>
      </w:r>
    </w:p>
    <w:p w14:paraId="7FD43401" w14:textId="77777777" w:rsidR="0083149A" w:rsidRDefault="0083149A" w:rsidP="0083149A">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Constantinou, C.S. and Nikitara, M., (2023). </w:t>
      </w:r>
      <w:r>
        <w:rPr>
          <w:rFonts w:ascii="Times New Roman" w:eastAsia="Times New Roman" w:hAnsi="Times New Roman" w:cs="Times New Roman"/>
          <w:i/>
          <w:iCs/>
          <w:color w:val="222222"/>
          <w:sz w:val="24"/>
          <w:szCs w:val="24"/>
          <w:highlight w:val="white"/>
        </w:rPr>
        <w:t>The culturally competent healthcare professional: The RESPECT competencies from a systematic review of Delphi studies.</w:t>
      </w:r>
      <w:r>
        <w:rPr>
          <w:rFonts w:ascii="Times New Roman" w:eastAsia="Times New Roman" w:hAnsi="Times New Roman" w:cs="Times New Roman"/>
          <w:color w:val="222222"/>
          <w:sz w:val="24"/>
          <w:szCs w:val="24"/>
          <w:highlight w:val="white"/>
        </w:rPr>
        <w:t xml:space="preserve"> Societies, </w:t>
      </w:r>
      <w:r>
        <w:rPr>
          <w:rFonts w:ascii="Times New Roman" w:eastAsia="Times New Roman" w:hAnsi="Times New Roman" w:cs="Times New Roman"/>
          <w:i/>
          <w:iCs/>
          <w:color w:val="222222"/>
          <w:sz w:val="24"/>
          <w:szCs w:val="24"/>
          <w:highlight w:val="white"/>
        </w:rPr>
        <w:t>13</w:t>
      </w:r>
      <w:r>
        <w:rPr>
          <w:rFonts w:ascii="Times New Roman" w:eastAsia="Times New Roman" w:hAnsi="Times New Roman" w:cs="Times New Roman"/>
          <w:color w:val="222222"/>
          <w:sz w:val="24"/>
          <w:szCs w:val="24"/>
          <w:highlight w:val="white"/>
        </w:rPr>
        <w:t>(5), p.127.</w:t>
      </w:r>
      <w:r>
        <w:rPr>
          <w:rFonts w:ascii="Times New Roman" w:eastAsia="Times New Roman" w:hAnsi="Times New Roman" w:cs="Times New Roman"/>
          <w:sz w:val="24"/>
          <w:szCs w:val="24"/>
        </w:rPr>
        <w:t xml:space="preserve"> </w:t>
      </w:r>
    </w:p>
    <w:p w14:paraId="0ADBFB49" w14:textId="77777777" w:rsidR="0083149A" w:rsidRDefault="0083149A" w:rsidP="0083149A">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Curtin, M., Richards, H.L. and Fortune, D.G., (2022). </w:t>
      </w:r>
      <w:r>
        <w:rPr>
          <w:rFonts w:ascii="Times New Roman" w:eastAsia="Times New Roman" w:hAnsi="Times New Roman" w:cs="Times New Roman"/>
          <w:i/>
          <w:iCs/>
          <w:color w:val="222222"/>
          <w:sz w:val="24"/>
          <w:szCs w:val="24"/>
          <w:highlight w:val="white"/>
        </w:rPr>
        <w:t>Resilience among health care workers while working during a pandemic: A systematic review and meta synthesis of qualitative studies.</w:t>
      </w:r>
      <w:r>
        <w:rPr>
          <w:rFonts w:ascii="Times New Roman" w:eastAsia="Times New Roman" w:hAnsi="Times New Roman" w:cs="Times New Roman"/>
          <w:color w:val="222222"/>
          <w:sz w:val="24"/>
          <w:szCs w:val="24"/>
          <w:highlight w:val="white"/>
        </w:rPr>
        <w:t xml:space="preserve"> Clinical psychology review, </w:t>
      </w:r>
      <w:r>
        <w:rPr>
          <w:rFonts w:ascii="Times New Roman" w:eastAsia="Times New Roman" w:hAnsi="Times New Roman" w:cs="Times New Roman"/>
          <w:i/>
          <w:iCs/>
          <w:color w:val="222222"/>
          <w:sz w:val="24"/>
          <w:szCs w:val="24"/>
          <w:highlight w:val="white"/>
        </w:rPr>
        <w:t>95</w:t>
      </w:r>
      <w:r>
        <w:rPr>
          <w:rFonts w:ascii="Times New Roman" w:eastAsia="Times New Roman" w:hAnsi="Times New Roman" w:cs="Times New Roman"/>
          <w:color w:val="222222"/>
          <w:sz w:val="24"/>
          <w:szCs w:val="24"/>
          <w:highlight w:val="white"/>
        </w:rPr>
        <w:t>, p.102173.</w:t>
      </w:r>
      <w:r>
        <w:rPr>
          <w:rFonts w:ascii="Times New Roman" w:eastAsia="Times New Roman" w:hAnsi="Times New Roman" w:cs="Times New Roman"/>
          <w:sz w:val="24"/>
          <w:szCs w:val="24"/>
        </w:rPr>
        <w:t xml:space="preserve"> </w:t>
      </w:r>
    </w:p>
    <w:p w14:paraId="3443C8CE" w14:textId="77777777" w:rsidR="0083149A" w:rsidRDefault="0083149A" w:rsidP="0083149A">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De Schepper, A., Kyndt, E. and Clycq, N., (2024). </w:t>
      </w:r>
      <w:r>
        <w:rPr>
          <w:rFonts w:ascii="Times New Roman" w:eastAsia="Times New Roman" w:hAnsi="Times New Roman" w:cs="Times New Roman"/>
          <w:i/>
          <w:iCs/>
          <w:color w:val="222222"/>
          <w:sz w:val="24"/>
          <w:szCs w:val="24"/>
          <w:highlight w:val="white"/>
        </w:rPr>
        <w:t>The importance of graduates' perceived network quality in their transition to work: A longitudinal approach</w:t>
      </w:r>
      <w:r>
        <w:rPr>
          <w:rFonts w:ascii="Times New Roman" w:eastAsia="Times New Roman" w:hAnsi="Times New Roman" w:cs="Times New Roman"/>
          <w:color w:val="222222"/>
          <w:sz w:val="24"/>
          <w:szCs w:val="24"/>
          <w:highlight w:val="white"/>
        </w:rPr>
        <w:t xml:space="preserve">. European Journal of Education, </w:t>
      </w:r>
      <w:r>
        <w:rPr>
          <w:rFonts w:ascii="Times New Roman" w:eastAsia="Times New Roman" w:hAnsi="Times New Roman" w:cs="Times New Roman"/>
          <w:i/>
          <w:iCs/>
          <w:color w:val="222222"/>
          <w:sz w:val="24"/>
          <w:szCs w:val="24"/>
          <w:highlight w:val="white"/>
        </w:rPr>
        <w:t>59</w:t>
      </w:r>
      <w:r>
        <w:rPr>
          <w:rFonts w:ascii="Times New Roman" w:eastAsia="Times New Roman" w:hAnsi="Times New Roman" w:cs="Times New Roman"/>
          <w:color w:val="222222"/>
          <w:sz w:val="24"/>
          <w:szCs w:val="24"/>
          <w:highlight w:val="white"/>
        </w:rPr>
        <w:t>(4), p.e12786.</w:t>
      </w:r>
      <w:r>
        <w:rPr>
          <w:rFonts w:ascii="Times New Roman" w:eastAsia="Times New Roman" w:hAnsi="Times New Roman" w:cs="Times New Roman"/>
          <w:sz w:val="24"/>
          <w:szCs w:val="24"/>
        </w:rPr>
        <w:t xml:space="preserve"> </w:t>
      </w:r>
    </w:p>
    <w:p w14:paraId="277B63E6" w14:textId="77777777" w:rsidR="0083149A" w:rsidRDefault="0083149A" w:rsidP="0083149A">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De Weerdt, D., De Schepper, A., Kyndt, E. and Gijbels, D., (2024). </w:t>
      </w:r>
      <w:r>
        <w:rPr>
          <w:rFonts w:ascii="Times New Roman" w:eastAsia="Times New Roman" w:hAnsi="Times New Roman" w:cs="Times New Roman"/>
          <w:i/>
          <w:iCs/>
          <w:color w:val="222222"/>
          <w:sz w:val="24"/>
          <w:szCs w:val="24"/>
          <w:highlight w:val="white"/>
        </w:rPr>
        <w:t>Entering the labor market: networks and networking behavior in the school-to-work transition.</w:t>
      </w:r>
      <w:r>
        <w:rPr>
          <w:rFonts w:ascii="Times New Roman" w:eastAsia="Times New Roman" w:hAnsi="Times New Roman" w:cs="Times New Roman"/>
          <w:color w:val="222222"/>
          <w:sz w:val="24"/>
          <w:szCs w:val="24"/>
          <w:highlight w:val="white"/>
        </w:rPr>
        <w:t xml:space="preserve"> Vocations and Learning, </w:t>
      </w:r>
      <w:r>
        <w:rPr>
          <w:rFonts w:ascii="Times New Roman" w:eastAsia="Times New Roman" w:hAnsi="Times New Roman" w:cs="Times New Roman"/>
          <w:i/>
          <w:iCs/>
          <w:color w:val="222222"/>
          <w:sz w:val="24"/>
          <w:szCs w:val="24"/>
          <w:highlight w:val="white"/>
        </w:rPr>
        <w:t>17</w:t>
      </w:r>
      <w:r>
        <w:rPr>
          <w:rFonts w:ascii="Times New Roman" w:eastAsia="Times New Roman" w:hAnsi="Times New Roman" w:cs="Times New Roman"/>
          <w:color w:val="222222"/>
          <w:sz w:val="24"/>
          <w:szCs w:val="24"/>
          <w:highlight w:val="white"/>
        </w:rPr>
        <w:t>(2), pp.311-332.</w:t>
      </w:r>
      <w:r>
        <w:rPr>
          <w:rFonts w:ascii="Times New Roman" w:eastAsia="Times New Roman" w:hAnsi="Times New Roman" w:cs="Times New Roman"/>
          <w:sz w:val="24"/>
          <w:szCs w:val="24"/>
        </w:rPr>
        <w:t xml:space="preserve"> </w:t>
      </w:r>
    </w:p>
    <w:p w14:paraId="43B438F5" w14:textId="77777777" w:rsidR="0083149A" w:rsidRDefault="0083149A" w:rsidP="0083149A">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Ho, J.T., See, M.T.A., Tan, A.J.Q., Levett-Jones, T., Lau, T.C., Zhou, W. and Liaw, S.Y., (2023).</w:t>
      </w:r>
      <w:r>
        <w:rPr>
          <w:rFonts w:ascii="Times New Roman" w:eastAsia="Times New Roman" w:hAnsi="Times New Roman" w:cs="Times New Roman"/>
          <w:i/>
          <w:iCs/>
          <w:color w:val="222222"/>
          <w:sz w:val="24"/>
          <w:szCs w:val="24"/>
          <w:highlight w:val="white"/>
        </w:rPr>
        <w:t xml:space="preserve"> Healthcare professionals’ experiences of interprofessional collaboration in patient education: A systematic review</w:t>
      </w:r>
      <w:r>
        <w:rPr>
          <w:rFonts w:ascii="Times New Roman" w:eastAsia="Times New Roman" w:hAnsi="Times New Roman" w:cs="Times New Roman"/>
          <w:color w:val="222222"/>
          <w:sz w:val="24"/>
          <w:szCs w:val="24"/>
          <w:highlight w:val="white"/>
        </w:rPr>
        <w:t xml:space="preserve">. Patient education and counseling, </w:t>
      </w:r>
      <w:r>
        <w:rPr>
          <w:rFonts w:ascii="Times New Roman" w:eastAsia="Times New Roman" w:hAnsi="Times New Roman" w:cs="Times New Roman"/>
          <w:i/>
          <w:iCs/>
          <w:color w:val="222222"/>
          <w:sz w:val="24"/>
          <w:szCs w:val="24"/>
          <w:highlight w:val="white"/>
        </w:rPr>
        <w:t>116</w:t>
      </w:r>
      <w:r>
        <w:rPr>
          <w:rFonts w:ascii="Times New Roman" w:eastAsia="Times New Roman" w:hAnsi="Times New Roman" w:cs="Times New Roman"/>
          <w:color w:val="222222"/>
          <w:sz w:val="24"/>
          <w:szCs w:val="24"/>
          <w:highlight w:val="white"/>
        </w:rPr>
        <w:t>, p.107965.</w:t>
      </w:r>
      <w:r>
        <w:rPr>
          <w:rFonts w:ascii="Times New Roman" w:eastAsia="Times New Roman" w:hAnsi="Times New Roman" w:cs="Times New Roman"/>
          <w:sz w:val="24"/>
          <w:szCs w:val="24"/>
        </w:rPr>
        <w:t xml:space="preserve"> </w:t>
      </w:r>
    </w:p>
    <w:p w14:paraId="73F9F700" w14:textId="77777777" w:rsidR="0083149A" w:rsidRDefault="0083149A" w:rsidP="0083149A">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Imran, S., Yasmeen, R. and Mansoor, M., (2024). </w:t>
      </w:r>
      <w:r>
        <w:rPr>
          <w:rFonts w:ascii="Times New Roman" w:eastAsia="Times New Roman" w:hAnsi="Times New Roman" w:cs="Times New Roman"/>
          <w:i/>
          <w:iCs/>
          <w:color w:val="222222"/>
          <w:sz w:val="24"/>
          <w:szCs w:val="24"/>
          <w:highlight w:val="white"/>
        </w:rPr>
        <w:t>Development and validation of self-assessment instrument to measure the digital professionalism of healthcare professionals using social media.</w:t>
      </w:r>
      <w:r>
        <w:rPr>
          <w:rFonts w:ascii="Times New Roman" w:eastAsia="Times New Roman" w:hAnsi="Times New Roman" w:cs="Times New Roman"/>
          <w:color w:val="222222"/>
          <w:sz w:val="24"/>
          <w:szCs w:val="24"/>
          <w:highlight w:val="white"/>
        </w:rPr>
        <w:t xml:space="preserve"> BMC Medical Education, </w:t>
      </w:r>
      <w:r>
        <w:rPr>
          <w:rFonts w:ascii="Times New Roman" w:eastAsia="Times New Roman" w:hAnsi="Times New Roman" w:cs="Times New Roman"/>
          <w:i/>
          <w:iCs/>
          <w:color w:val="222222"/>
          <w:sz w:val="24"/>
          <w:szCs w:val="24"/>
          <w:highlight w:val="white"/>
        </w:rPr>
        <w:t>24</w:t>
      </w:r>
      <w:r>
        <w:rPr>
          <w:rFonts w:ascii="Times New Roman" w:eastAsia="Times New Roman" w:hAnsi="Times New Roman" w:cs="Times New Roman"/>
          <w:color w:val="222222"/>
          <w:sz w:val="24"/>
          <w:szCs w:val="24"/>
          <w:highlight w:val="white"/>
        </w:rPr>
        <w:t>(1), p.243.</w:t>
      </w:r>
      <w:r>
        <w:rPr>
          <w:rFonts w:ascii="Times New Roman" w:eastAsia="Times New Roman" w:hAnsi="Times New Roman" w:cs="Times New Roman"/>
          <w:sz w:val="24"/>
          <w:szCs w:val="24"/>
        </w:rPr>
        <w:t xml:space="preserve"> </w:t>
      </w:r>
    </w:p>
    <w:p w14:paraId="5785BFB2" w14:textId="77777777" w:rsidR="0083149A" w:rsidRDefault="0083149A" w:rsidP="0083149A">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Louwen, C., Reidlinger, D. and Milne, N., (2023). </w:t>
      </w:r>
      <w:r>
        <w:rPr>
          <w:rFonts w:ascii="Times New Roman" w:eastAsia="Times New Roman" w:hAnsi="Times New Roman" w:cs="Times New Roman"/>
          <w:i/>
          <w:iCs/>
          <w:color w:val="222222"/>
          <w:sz w:val="24"/>
          <w:szCs w:val="24"/>
          <w:highlight w:val="white"/>
        </w:rPr>
        <w:t>Profiling health professionals’ personality traits, behaviour styles and emotional intelligence: a systematic review.</w:t>
      </w:r>
      <w:r>
        <w:rPr>
          <w:rFonts w:ascii="Times New Roman" w:eastAsia="Times New Roman" w:hAnsi="Times New Roman" w:cs="Times New Roman"/>
          <w:color w:val="222222"/>
          <w:sz w:val="24"/>
          <w:szCs w:val="24"/>
          <w:highlight w:val="white"/>
        </w:rPr>
        <w:t xml:space="preserve"> BMC medical education, 23(1), p.120.</w:t>
      </w:r>
      <w:r>
        <w:rPr>
          <w:rFonts w:ascii="Times New Roman" w:eastAsia="Times New Roman" w:hAnsi="Times New Roman" w:cs="Times New Roman"/>
          <w:sz w:val="24"/>
          <w:szCs w:val="24"/>
        </w:rPr>
        <w:t xml:space="preserve"> </w:t>
      </w:r>
    </w:p>
    <w:p w14:paraId="411803E1" w14:textId="77777777" w:rsidR="0083149A" w:rsidRDefault="0083149A" w:rsidP="0083149A">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Martins van Jaarsveld, G., Wong, J., Baars, M., Specht, M. and Paas, F., (2025), J</w:t>
      </w:r>
      <w:r>
        <w:rPr>
          <w:rFonts w:ascii="Times New Roman" w:eastAsia="Times New Roman" w:hAnsi="Times New Roman" w:cs="Times New Roman"/>
          <w:i/>
          <w:iCs/>
          <w:color w:val="222222"/>
          <w:sz w:val="24"/>
          <w:szCs w:val="24"/>
          <w:highlight w:val="white"/>
        </w:rPr>
        <w:t>anuary. Goal setting in higher education: How, why, and when are students prompted to set goals? A systematic review</w:t>
      </w:r>
      <w:r>
        <w:rPr>
          <w:rFonts w:ascii="Times New Roman" w:eastAsia="Times New Roman" w:hAnsi="Times New Roman" w:cs="Times New Roman"/>
          <w:color w:val="222222"/>
          <w:sz w:val="24"/>
          <w:szCs w:val="24"/>
          <w:highlight w:val="white"/>
        </w:rPr>
        <w:t>. In Frontiers in Education (Vol. 9, p. 1511605). Frontiers Media SA.</w:t>
      </w:r>
      <w:r>
        <w:rPr>
          <w:rFonts w:ascii="Times New Roman" w:eastAsia="Times New Roman" w:hAnsi="Times New Roman" w:cs="Times New Roman"/>
          <w:sz w:val="24"/>
          <w:szCs w:val="24"/>
        </w:rPr>
        <w:t xml:space="preserve"> </w:t>
      </w:r>
    </w:p>
    <w:p w14:paraId="51599E03" w14:textId="77777777" w:rsidR="0083149A" w:rsidRDefault="0083149A" w:rsidP="0083149A">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Sibuea, Z.M., Sulastiana, M. and Fitriana, E., (2024). </w:t>
      </w:r>
      <w:r>
        <w:rPr>
          <w:rFonts w:ascii="Times New Roman" w:eastAsia="Times New Roman" w:hAnsi="Times New Roman" w:cs="Times New Roman"/>
          <w:i/>
          <w:iCs/>
          <w:color w:val="222222"/>
          <w:sz w:val="24"/>
          <w:szCs w:val="24"/>
          <w:highlight w:val="white"/>
        </w:rPr>
        <w:t>Factor affecting the quality of work life among nurses: A systematic review</w:t>
      </w:r>
      <w:r>
        <w:rPr>
          <w:rFonts w:ascii="Times New Roman" w:eastAsia="Times New Roman" w:hAnsi="Times New Roman" w:cs="Times New Roman"/>
          <w:color w:val="222222"/>
          <w:sz w:val="24"/>
          <w:szCs w:val="24"/>
          <w:highlight w:val="white"/>
        </w:rPr>
        <w:t>. Journal of multidisciplinary healthcare, pp.491-503.</w:t>
      </w:r>
      <w:r>
        <w:rPr>
          <w:rFonts w:ascii="Times New Roman" w:eastAsia="Times New Roman" w:hAnsi="Times New Roman" w:cs="Times New Roman"/>
          <w:sz w:val="24"/>
          <w:szCs w:val="24"/>
        </w:rPr>
        <w:t xml:space="preserve"> </w:t>
      </w:r>
    </w:p>
    <w:p w14:paraId="760FB9AB" w14:textId="77777777" w:rsidR="0083149A" w:rsidRDefault="0083149A" w:rsidP="0083149A">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Sica, L.S., Ponticorvo, M. and Di Palma, T., (2022). </w:t>
      </w:r>
      <w:r>
        <w:rPr>
          <w:rFonts w:ascii="Times New Roman" w:eastAsia="Times New Roman" w:hAnsi="Times New Roman" w:cs="Times New Roman"/>
          <w:i/>
          <w:iCs/>
          <w:color w:val="222222"/>
          <w:sz w:val="24"/>
          <w:szCs w:val="24"/>
          <w:highlight w:val="white"/>
        </w:rPr>
        <w:t>The ability to manage unexpected events and the vocational identity in young people: The Italian validation of Planned Happenstance Career Inventory.</w:t>
      </w:r>
      <w:r>
        <w:rPr>
          <w:rFonts w:ascii="Times New Roman" w:eastAsia="Times New Roman" w:hAnsi="Times New Roman" w:cs="Times New Roman"/>
          <w:color w:val="222222"/>
          <w:sz w:val="24"/>
          <w:szCs w:val="24"/>
          <w:highlight w:val="white"/>
        </w:rPr>
        <w:t xml:space="preserve"> Frontiers in Psychology, </w:t>
      </w:r>
      <w:r>
        <w:rPr>
          <w:rFonts w:ascii="Times New Roman" w:eastAsia="Times New Roman" w:hAnsi="Times New Roman" w:cs="Times New Roman"/>
          <w:i/>
          <w:iCs/>
          <w:color w:val="222222"/>
          <w:sz w:val="24"/>
          <w:szCs w:val="24"/>
          <w:highlight w:val="white"/>
        </w:rPr>
        <w:t>13</w:t>
      </w:r>
      <w:r>
        <w:rPr>
          <w:rFonts w:ascii="Times New Roman" w:eastAsia="Times New Roman" w:hAnsi="Times New Roman" w:cs="Times New Roman"/>
          <w:color w:val="222222"/>
          <w:sz w:val="24"/>
          <w:szCs w:val="24"/>
          <w:highlight w:val="white"/>
        </w:rPr>
        <w:t>, p.899411.</w:t>
      </w:r>
      <w:r>
        <w:rPr>
          <w:rFonts w:ascii="Times New Roman" w:eastAsia="Times New Roman" w:hAnsi="Times New Roman" w:cs="Times New Roman"/>
          <w:sz w:val="24"/>
          <w:szCs w:val="24"/>
        </w:rPr>
        <w:t xml:space="preserve"> </w:t>
      </w:r>
    </w:p>
    <w:p w14:paraId="5452DA7E" w14:textId="77777777" w:rsidR="0083149A" w:rsidRDefault="0083149A" w:rsidP="0083149A">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Townsley, A.P., Li-Wang, J., Katta, R., Townsley, A. and Li-Wang, J., (2023). </w:t>
      </w:r>
      <w:r>
        <w:rPr>
          <w:rFonts w:ascii="Times New Roman" w:eastAsia="Times New Roman" w:hAnsi="Times New Roman" w:cs="Times New Roman"/>
          <w:i/>
          <w:iCs/>
          <w:color w:val="222222"/>
          <w:sz w:val="24"/>
          <w:szCs w:val="24"/>
          <w:highlight w:val="white"/>
        </w:rPr>
        <w:t>Healthcare workers' well-being: a systematic review of positive psychology interventions</w:t>
      </w:r>
      <w:r>
        <w:rPr>
          <w:rFonts w:ascii="Times New Roman" w:eastAsia="Times New Roman" w:hAnsi="Times New Roman" w:cs="Times New Roman"/>
          <w:color w:val="222222"/>
          <w:sz w:val="24"/>
          <w:szCs w:val="24"/>
          <w:highlight w:val="white"/>
        </w:rPr>
        <w:t xml:space="preserve">. Cureus, </w:t>
      </w:r>
      <w:r>
        <w:rPr>
          <w:rFonts w:ascii="Times New Roman" w:eastAsia="Times New Roman" w:hAnsi="Times New Roman" w:cs="Times New Roman"/>
          <w:i/>
          <w:iCs/>
          <w:color w:val="222222"/>
          <w:sz w:val="24"/>
          <w:szCs w:val="24"/>
          <w:highlight w:val="white"/>
        </w:rPr>
        <w:t>15</w:t>
      </w:r>
      <w:r>
        <w:rPr>
          <w:rFonts w:ascii="Times New Roman" w:eastAsia="Times New Roman" w:hAnsi="Times New Roman" w:cs="Times New Roman"/>
          <w:color w:val="222222"/>
          <w:sz w:val="24"/>
          <w:szCs w:val="24"/>
          <w:highlight w:val="white"/>
        </w:rPr>
        <w:t>(1).</w:t>
      </w:r>
      <w:r>
        <w:rPr>
          <w:rFonts w:ascii="Times New Roman" w:eastAsia="Times New Roman" w:hAnsi="Times New Roman" w:cs="Times New Roman"/>
          <w:sz w:val="24"/>
          <w:szCs w:val="24"/>
        </w:rPr>
        <w:t xml:space="preserve"> </w:t>
      </w:r>
    </w:p>
    <w:p w14:paraId="0994F9E8" w14:textId="77777777" w:rsidR="0083149A" w:rsidRDefault="0083149A" w:rsidP="0083149A">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Tushar, H. and Sooraksa, N., (2023). </w:t>
      </w:r>
      <w:r>
        <w:rPr>
          <w:rFonts w:ascii="Times New Roman" w:eastAsia="Times New Roman" w:hAnsi="Times New Roman" w:cs="Times New Roman"/>
          <w:i/>
          <w:iCs/>
          <w:color w:val="222222"/>
          <w:sz w:val="24"/>
          <w:szCs w:val="24"/>
          <w:highlight w:val="white"/>
        </w:rPr>
        <w:t>Global employability skills in the 21st century workplace: A semi-systematic literature review.</w:t>
      </w:r>
      <w:r>
        <w:rPr>
          <w:rFonts w:ascii="Times New Roman" w:eastAsia="Times New Roman" w:hAnsi="Times New Roman" w:cs="Times New Roman"/>
          <w:color w:val="222222"/>
          <w:sz w:val="24"/>
          <w:szCs w:val="24"/>
          <w:highlight w:val="white"/>
        </w:rPr>
        <w:t xml:space="preserve"> Heliyon, 9(11).</w:t>
      </w:r>
      <w:r>
        <w:rPr>
          <w:rFonts w:ascii="Times New Roman" w:eastAsia="Times New Roman" w:hAnsi="Times New Roman" w:cs="Times New Roman"/>
          <w:sz w:val="24"/>
          <w:szCs w:val="24"/>
        </w:rPr>
        <w:t xml:space="preserve"> </w:t>
      </w:r>
    </w:p>
    <w:p w14:paraId="3343DC80" w14:textId="77777777" w:rsidR="0083149A" w:rsidRDefault="0083149A" w:rsidP="0083149A">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Uher, A., Fisher, M.H. and Josol, C.K., (2024). </w:t>
      </w:r>
      <w:r>
        <w:rPr>
          <w:rFonts w:ascii="Times New Roman" w:eastAsia="Times New Roman" w:hAnsi="Times New Roman" w:cs="Times New Roman"/>
          <w:i/>
          <w:iCs/>
          <w:color w:val="222222"/>
          <w:sz w:val="24"/>
          <w:szCs w:val="24"/>
          <w:highlight w:val="white"/>
        </w:rPr>
        <w:t>Cultural competency training for the social service professions: A systematic literature review</w:t>
      </w:r>
      <w:r>
        <w:rPr>
          <w:rFonts w:ascii="Times New Roman" w:eastAsia="Times New Roman" w:hAnsi="Times New Roman" w:cs="Times New Roman"/>
          <w:color w:val="222222"/>
          <w:sz w:val="24"/>
          <w:szCs w:val="24"/>
          <w:highlight w:val="white"/>
        </w:rPr>
        <w:t xml:space="preserve">. Multicultural Learning and Teaching, </w:t>
      </w:r>
      <w:r>
        <w:rPr>
          <w:rFonts w:ascii="Times New Roman" w:eastAsia="Times New Roman" w:hAnsi="Times New Roman" w:cs="Times New Roman"/>
          <w:i/>
          <w:iCs/>
          <w:color w:val="222222"/>
          <w:sz w:val="24"/>
          <w:szCs w:val="24"/>
          <w:highlight w:val="white"/>
        </w:rPr>
        <w:t>19</w:t>
      </w:r>
      <w:r>
        <w:rPr>
          <w:rFonts w:ascii="Times New Roman" w:eastAsia="Times New Roman" w:hAnsi="Times New Roman" w:cs="Times New Roman"/>
          <w:color w:val="222222"/>
          <w:sz w:val="24"/>
          <w:szCs w:val="24"/>
          <w:highlight w:val="white"/>
        </w:rPr>
        <w:t>(2), pp.191-235.</w:t>
      </w:r>
      <w:r>
        <w:rPr>
          <w:rFonts w:ascii="Times New Roman" w:eastAsia="Times New Roman" w:hAnsi="Times New Roman" w:cs="Times New Roman"/>
          <w:sz w:val="24"/>
          <w:szCs w:val="24"/>
        </w:rPr>
        <w:t xml:space="preserve"> </w:t>
      </w:r>
    </w:p>
    <w:p w14:paraId="4D6EDC36" w14:textId="77777777" w:rsidR="0083149A" w:rsidRDefault="0083149A" w:rsidP="0083149A">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Vella, E., White, V.M. and Livingston, P.,(2022). </w:t>
      </w:r>
      <w:r>
        <w:rPr>
          <w:rFonts w:ascii="Times New Roman" w:eastAsia="Times New Roman" w:hAnsi="Times New Roman" w:cs="Times New Roman"/>
          <w:i/>
          <w:iCs/>
          <w:color w:val="222222"/>
          <w:sz w:val="24"/>
          <w:szCs w:val="24"/>
          <w:highlight w:val="white"/>
        </w:rPr>
        <w:t xml:space="preserve">Does cultural competence training for health professionals impact culturally and linguistically diverse patient outcomes? A systematic review of the literature. </w:t>
      </w:r>
      <w:r>
        <w:rPr>
          <w:rFonts w:ascii="Times New Roman" w:eastAsia="Times New Roman" w:hAnsi="Times New Roman" w:cs="Times New Roman"/>
          <w:color w:val="222222"/>
          <w:sz w:val="24"/>
          <w:szCs w:val="24"/>
          <w:highlight w:val="white"/>
        </w:rPr>
        <w:t xml:space="preserve">Nurse Education Today, </w:t>
      </w:r>
      <w:r>
        <w:rPr>
          <w:rFonts w:ascii="Times New Roman" w:eastAsia="Times New Roman" w:hAnsi="Times New Roman" w:cs="Times New Roman"/>
          <w:i/>
          <w:iCs/>
          <w:color w:val="222222"/>
          <w:sz w:val="24"/>
          <w:szCs w:val="24"/>
          <w:highlight w:val="white"/>
        </w:rPr>
        <w:t>118</w:t>
      </w:r>
      <w:r>
        <w:rPr>
          <w:rFonts w:ascii="Times New Roman" w:eastAsia="Times New Roman" w:hAnsi="Times New Roman" w:cs="Times New Roman"/>
          <w:color w:val="222222"/>
          <w:sz w:val="24"/>
          <w:szCs w:val="24"/>
          <w:highlight w:val="white"/>
        </w:rPr>
        <w:t>, p.105500.</w:t>
      </w:r>
      <w:r>
        <w:rPr>
          <w:rFonts w:ascii="Times New Roman" w:eastAsia="Times New Roman" w:hAnsi="Times New Roman" w:cs="Times New Roman"/>
          <w:sz w:val="24"/>
          <w:szCs w:val="24"/>
        </w:rPr>
        <w:t xml:space="preserve"> </w:t>
      </w:r>
    </w:p>
    <w:sectPr w:rsidR="0083149A" w:rsidSect="00406E69">
      <w:footerReference w:type="default" r:id="rId13"/>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09D0FC55" w14:textId="77777777" w:rsidR="00482109" w:rsidRDefault="00482109" w:rsidP="00406E69">
      <w:pPr>
        <w:spacing w:line="240" w:lineRule="auto"/>
      </w:pPr>
      <w:r>
        <w:separator/>
      </w:r>
    </w:p>
  </w:endnote>
  <w:endnote w:type="continuationSeparator" w:id="0">
    <w:p w14:paraId="3E47D327" w14:textId="77777777" w:rsidR="00482109" w:rsidRDefault="00482109" w:rsidP="00406E6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embedRegular r:id="rId1" w:fontKey="{09E2366E-E821-4760-A14A-B3B1A8401094}"/>
  </w:font>
  <w:font w:name="Helvetica">
    <w:panose1 w:val="00000000000000000000"/>
    <w:charset w:val="00"/>
    <w:family w:val="auto"/>
    <w:pitch w:val="variable"/>
    <w:sig w:usb0="E00002FF" w:usb1="5000785B" w:usb2="00000000" w:usb3="00000000" w:csb0="0000019F" w:csb1="00000000"/>
  </w:font>
  <w:font w:name="Source Sans Pro">
    <w:panose1 w:val="020B0503030403020204"/>
    <w:charset w:val="00"/>
    <w:family w:val="swiss"/>
    <w:pitch w:val="variable"/>
    <w:sig w:usb0="600002F7" w:usb1="02000001"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698609532"/>
      <w:docPartObj>
        <w:docPartGallery w:val="Page Numbers (Bottom of Page)"/>
        <w:docPartUnique/>
      </w:docPartObj>
    </w:sdtPr>
    <w:sdtEndPr>
      <w:rPr>
        <w:noProof/>
      </w:rPr>
    </w:sdtEndPr>
    <w:sdtContent>
      <w:p w14:paraId="0FC326AC" w14:textId="77777777" w:rsidR="00406E69" w:rsidRDefault="00406E69">
        <w:pPr>
          <w:pStyle w:val="Footer"/>
          <w:jc w:val="right"/>
        </w:pPr>
        <w:r>
          <w:fldChar w:fldCharType="begin"/>
        </w:r>
        <w:r>
          <w:instrText xml:space="preserve"> PAGE   \* MERGEFORMAT </w:instrText>
        </w:r>
        <w:r>
          <w:fldChar w:fldCharType="separate"/>
        </w:r>
        <w:r>
          <w:rPr>
            <w:noProof/>
          </w:rPr>
          <w:t>3</w:t>
        </w:r>
        <w:r>
          <w:rPr>
            <w:noProof/>
          </w:rPr>
          <w:fldChar w:fldCharType="end"/>
        </w:r>
      </w:p>
    </w:sdtContent>
  </w:sdt>
  <w:p w14:paraId="4CAF47BC" w14:textId="77777777" w:rsidR="00406E69" w:rsidRDefault="00406E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7430DCE" w14:textId="77777777" w:rsidR="00482109" w:rsidRDefault="00482109" w:rsidP="00406E69">
      <w:pPr>
        <w:spacing w:line="240" w:lineRule="auto"/>
      </w:pPr>
      <w:r>
        <w:separator/>
      </w:r>
    </w:p>
  </w:footnote>
  <w:footnote w:type="continuationSeparator" w:id="0">
    <w:p w14:paraId="0BF349EA" w14:textId="77777777" w:rsidR="00482109" w:rsidRDefault="00482109" w:rsidP="00406E69">
      <w:pPr>
        <w:spacing w:line="240" w:lineRule="auto"/>
      </w:pPr>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82"/>
  <w:embedTrueTypeFonts/>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srSwMDA1NrIEAkNzUyUdpeDU4uLM/DyQAqNaAOjcg4csAAAA"/>
  </w:docVars>
  <w:rsids>
    <w:rsidRoot w:val="00B569BC"/>
    <w:rsid w:val="000146CF"/>
    <w:rsid w:val="001F658A"/>
    <w:rsid w:val="00342BE6"/>
    <w:rsid w:val="0034778E"/>
    <w:rsid w:val="00355A75"/>
    <w:rsid w:val="00406E69"/>
    <w:rsid w:val="00482109"/>
    <w:rsid w:val="004E4881"/>
    <w:rsid w:val="005F481D"/>
    <w:rsid w:val="00817194"/>
    <w:rsid w:val="0083149A"/>
    <w:rsid w:val="009539E2"/>
    <w:rsid w:val="009F1AE5"/>
    <w:rsid w:val="00A351EC"/>
    <w:rsid w:val="00A55029"/>
    <w:rsid w:val="00B569BC"/>
    <w:rsid w:val="00B640B3"/>
    <w:rsid w:val="00B81941"/>
    <w:rsid w:val="00B83001"/>
    <w:rsid w:val="00DA29A1"/>
    <w:rsid w:val="00FF4E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F8AECF"/>
  <w15:docId w15:val="{68722BA1-F556-4E6E-B64E-60AAB66B17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autoRedefine/>
    <w:qFormat/>
    <w:rsid w:val="00406E69"/>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TOCHeading">
    <w:name w:val="TOC Heading"/>
    <w:basedOn w:val="Heading1"/>
    <w:next w:val="Normal"/>
    <w:uiPriority w:val="39"/>
    <w:unhideWhenUsed/>
    <w:qFormat/>
    <w:rsid w:val="00406E69"/>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406E69"/>
    <w:pPr>
      <w:spacing w:after="100"/>
    </w:pPr>
  </w:style>
  <w:style w:type="character" w:styleId="Hyperlink">
    <w:name w:val="Hyperlink"/>
    <w:basedOn w:val="DefaultParagraphFont"/>
    <w:uiPriority w:val="99"/>
    <w:unhideWhenUsed/>
    <w:rsid w:val="00406E69"/>
    <w:rPr>
      <w:color w:val="0000FF" w:themeColor="hyperlink"/>
      <w:u w:val="single"/>
    </w:rPr>
  </w:style>
  <w:style w:type="paragraph" w:styleId="Header">
    <w:name w:val="header"/>
    <w:basedOn w:val="Normal"/>
    <w:link w:val="HeaderChar"/>
    <w:uiPriority w:val="99"/>
    <w:unhideWhenUsed/>
    <w:rsid w:val="00406E69"/>
    <w:pPr>
      <w:tabs>
        <w:tab w:val="center" w:pos="4513"/>
        <w:tab w:val="right" w:pos="9026"/>
      </w:tabs>
      <w:spacing w:line="240" w:lineRule="auto"/>
    </w:pPr>
  </w:style>
  <w:style w:type="character" w:customStyle="1" w:styleId="HeaderChar">
    <w:name w:val="Header Char"/>
    <w:basedOn w:val="DefaultParagraphFont"/>
    <w:link w:val="Header"/>
    <w:uiPriority w:val="99"/>
    <w:rsid w:val="00406E69"/>
  </w:style>
  <w:style w:type="paragraph" w:styleId="Footer">
    <w:name w:val="footer"/>
    <w:basedOn w:val="Normal"/>
    <w:link w:val="FooterChar"/>
    <w:uiPriority w:val="99"/>
    <w:unhideWhenUsed/>
    <w:rsid w:val="00406E69"/>
    <w:pPr>
      <w:tabs>
        <w:tab w:val="center" w:pos="4513"/>
        <w:tab w:val="right" w:pos="9026"/>
      </w:tabs>
      <w:spacing w:line="240" w:lineRule="auto"/>
    </w:pPr>
  </w:style>
  <w:style w:type="character" w:customStyle="1" w:styleId="FooterChar">
    <w:name w:val="Footer Char"/>
    <w:basedOn w:val="DefaultParagraphFont"/>
    <w:link w:val="Footer"/>
    <w:uiPriority w:val="99"/>
    <w:rsid w:val="00406E69"/>
  </w:style>
  <w:style w:type="paragraph" w:customStyle="1" w:styleId="p1">
    <w:name w:val="p1"/>
    <w:basedOn w:val="Normal"/>
    <w:rsid w:val="000146CF"/>
    <w:pPr>
      <w:spacing w:line="240" w:lineRule="auto"/>
    </w:pPr>
    <w:rPr>
      <w:rFonts w:ascii="Helvetica" w:eastAsiaTheme="minorEastAsia" w:hAnsi="Helvetica" w:cs="Times New Roman"/>
      <w:sz w:val="18"/>
      <w:szCs w:val="18"/>
      <w:lang w:val="en-GB"/>
    </w:rPr>
  </w:style>
  <w:style w:type="character" w:customStyle="1" w:styleId="s1">
    <w:name w:val="s1"/>
    <w:basedOn w:val="DefaultParagraphFont"/>
    <w:rsid w:val="000146CF"/>
    <w:rPr>
      <w:rFonts w:ascii="Helvetica" w:hAnsi="Helvetica" w:hint="default"/>
      <w:b w:val="0"/>
      <w:bCs w:val="0"/>
      <w:i w:val="0"/>
      <w:iCs w:val="0"/>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_rels/fontTable.xml.rels><?xml version="1.0" encoding="UTF-8" standalone="yes"?>
<Relationships xmlns="http://schemas.openxmlformats.org/package/2006/relationships"><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90947D-BAD8-4D24-BF7C-FAD5806E93E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3018</Words>
  <Characters>17206</Characters>
  <Application>Microsoft Office Word</Application>
  <DocSecurity>0</DocSecurity>
  <Lines>143</Lines>
  <Paragraphs>40</Paragraphs>
  <ScaleCrop>false</ScaleCrop>
  <Company/>
  <LinksUpToDate>false</LinksUpToDate>
  <CharactersWithSpaces>20184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silvia franca</cp:lastModifiedBy>
  <cp:revision>2</cp:revision>
  <dcterms:created xsi:type="dcterms:W3CDTF">2026-07-31T07:45:00Z</dcterms:created>
  <dcterms:modified xsi:type="dcterms:W3CDTF">2026-07-31T07:45:00Z</dcterms:modified>
</cp:coreProperties>
</file>