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B8B2B" w14:textId="77777777" w:rsidR="003A2F52" w:rsidRDefault="00F754FE" w:rsidP="00F13404">
      <w:pPr>
        <w:spacing w:after="0"/>
        <w:jc w:val="center"/>
      </w:pPr>
      <w:r>
        <w:rPr>
          <w:sz w:val="24"/>
        </w:rPr>
        <w:t>In 200 Words, write the Storytellers Story</w:t>
      </w:r>
    </w:p>
    <w:p w14:paraId="44E8DB74" w14:textId="3437C0DE" w:rsidR="00F754FE" w:rsidRDefault="00F754FE" w:rsidP="00F13404">
      <w:pPr>
        <w:spacing w:after="0"/>
        <w:jc w:val="both"/>
      </w:pPr>
    </w:p>
    <w:p w14:paraId="59EEC250" w14:textId="335A5A85" w:rsidR="00F754FE" w:rsidRDefault="00792001" w:rsidP="00F13404">
      <w:pPr>
        <w:spacing w:after="0"/>
        <w:jc w:val="both"/>
      </w:pPr>
      <w:r>
        <w:t>The goddess Demeter</w:t>
      </w:r>
      <w:r w:rsidR="00F95318">
        <w:t>, in the form of a mortal woman,</w:t>
      </w:r>
      <w:r>
        <w:t xml:space="preserve"> had been given shelter in the house of Celeus, in return for the nursing of the son of him and </w:t>
      </w:r>
      <w:r w:rsidR="00F6589E">
        <w:t>Metaniera</w:t>
      </w:r>
      <w:r w:rsidR="002A74F9">
        <w:rPr>
          <w:rStyle w:val="FootnoteReference"/>
        </w:rPr>
        <w:footnoteReference w:id="1"/>
      </w:r>
      <w:r>
        <w:t xml:space="preserve">. </w:t>
      </w:r>
      <w:r w:rsidR="00F6589E">
        <w:t>She was at first sad and silent, until the jokes and laughter of the woman Iambe caused to her smile for the first time since the loss of her daughter</w:t>
      </w:r>
      <w:r w:rsidR="002A74F9">
        <w:rPr>
          <w:rStyle w:val="FootnoteReference"/>
        </w:rPr>
        <w:footnoteReference w:id="2"/>
      </w:r>
      <w:r w:rsidR="00F6589E">
        <w:t xml:space="preserve">. </w:t>
      </w:r>
      <w:r w:rsidR="00202D2B">
        <w:t>From Metaniera she received a draught of water with mint and grain</w:t>
      </w:r>
      <w:r w:rsidR="002A74F9">
        <w:rPr>
          <w:rStyle w:val="FootnoteReference"/>
        </w:rPr>
        <w:footnoteReference w:id="3"/>
      </w:r>
      <w:r w:rsidR="00F95318">
        <w:t xml:space="preserve">. Demeter took the child to nurse, and he was raised </w:t>
      </w:r>
      <w:r w:rsidR="00E029FC">
        <w:t>as an</w:t>
      </w:r>
      <w:r w:rsidR="00F95318">
        <w:t xml:space="preserve"> immortal on ambrosia by day, and by night placed in the fires</w:t>
      </w:r>
      <w:r w:rsidR="002A74F9">
        <w:rPr>
          <w:rStyle w:val="FootnoteReference"/>
        </w:rPr>
        <w:footnoteReference w:id="4"/>
      </w:r>
      <w:r w:rsidR="00F95318">
        <w:t xml:space="preserve">. One night, Metaniera came and saw, and was horrified by her son within the </w:t>
      </w:r>
      <w:r w:rsidR="00E029FC">
        <w:t>flames</w:t>
      </w:r>
      <w:r w:rsidR="002A74F9">
        <w:rPr>
          <w:rStyle w:val="FootnoteReference"/>
        </w:rPr>
        <w:footnoteReference w:id="5"/>
      </w:r>
      <w:r w:rsidR="00E029FC">
        <w:t>. In fury at the intrusion, Demeter cast the child aside</w:t>
      </w:r>
      <w:r w:rsidR="00640398">
        <w:rPr>
          <w:rStyle w:val="FootnoteReference"/>
        </w:rPr>
        <w:footnoteReference w:id="6"/>
      </w:r>
      <w:r w:rsidR="00E029FC">
        <w:t>, and her true figure was revealed</w:t>
      </w:r>
      <w:r w:rsidR="0071201C">
        <w:rPr>
          <w:rStyle w:val="FootnoteReference"/>
        </w:rPr>
        <w:footnoteReference w:id="7"/>
      </w:r>
      <w:r w:rsidR="00E029FC">
        <w:t>. When Celeus awoke, he commanded that a temple and altar to Demeter would be built to honour her, as she had commanded</w:t>
      </w:r>
      <w:r w:rsidR="0071201C">
        <w:rPr>
          <w:rStyle w:val="FootnoteReference"/>
        </w:rPr>
        <w:footnoteReference w:id="8"/>
      </w:r>
      <w:r w:rsidR="00E029FC">
        <w:t xml:space="preserve">. And from this </w:t>
      </w:r>
      <w:r w:rsidR="003A1914">
        <w:t>we have to origin of the Eleusinian Mysteries that worship the great goddess Demeter and the return of her daughter Persephone</w:t>
      </w:r>
      <w:r w:rsidR="003E0FB8">
        <w:rPr>
          <w:rStyle w:val="FootnoteReference"/>
        </w:rPr>
        <w:footnoteReference w:id="9"/>
      </w:r>
      <w:r w:rsidR="003A1914">
        <w:t xml:space="preserve">. </w:t>
      </w:r>
    </w:p>
    <w:p w14:paraId="457AFF21" w14:textId="1A9A6FCE" w:rsidR="00F754FE" w:rsidRDefault="00F754FE" w:rsidP="00F13404">
      <w:pPr>
        <w:spacing w:after="0"/>
        <w:jc w:val="both"/>
      </w:pPr>
    </w:p>
    <w:p w14:paraId="31BFEB02" w14:textId="2AA775E8" w:rsidR="00F754FE" w:rsidRDefault="00F754FE" w:rsidP="00F13404">
      <w:pPr>
        <w:spacing w:after="0"/>
        <w:jc w:val="both"/>
      </w:pPr>
    </w:p>
    <w:p w14:paraId="75631860" w14:textId="75AB0592" w:rsidR="00F754FE" w:rsidRDefault="00F754FE" w:rsidP="00F13404">
      <w:pPr>
        <w:spacing w:after="0"/>
        <w:jc w:val="both"/>
      </w:pPr>
    </w:p>
    <w:p w14:paraId="3D01A50E" w14:textId="0325DD09" w:rsidR="00F754FE" w:rsidRDefault="00F754FE" w:rsidP="00F13404">
      <w:pPr>
        <w:spacing w:after="0"/>
        <w:jc w:val="both"/>
      </w:pPr>
    </w:p>
    <w:p w14:paraId="5E9D58AA" w14:textId="555F6D04" w:rsidR="00F754FE" w:rsidRDefault="00F754FE" w:rsidP="00F13404">
      <w:pPr>
        <w:spacing w:after="0"/>
        <w:jc w:val="both"/>
      </w:pPr>
    </w:p>
    <w:p w14:paraId="48E61B94" w14:textId="3EBCD089" w:rsidR="00F754FE" w:rsidRDefault="00F754FE" w:rsidP="00F13404">
      <w:pPr>
        <w:spacing w:after="0"/>
        <w:jc w:val="both"/>
      </w:pPr>
    </w:p>
    <w:p w14:paraId="6C98F474" w14:textId="42E6FA6E" w:rsidR="00F754FE" w:rsidRDefault="00F754FE" w:rsidP="00F13404">
      <w:pPr>
        <w:spacing w:after="0"/>
        <w:jc w:val="both"/>
      </w:pPr>
    </w:p>
    <w:p w14:paraId="32222434" w14:textId="62D3BB5A" w:rsidR="00F754FE" w:rsidRDefault="00F754FE" w:rsidP="00F13404">
      <w:pPr>
        <w:spacing w:after="0"/>
        <w:jc w:val="both"/>
      </w:pPr>
    </w:p>
    <w:p w14:paraId="6FC74B14" w14:textId="4B9820DF" w:rsidR="00F754FE" w:rsidRDefault="00F754FE" w:rsidP="00F13404">
      <w:pPr>
        <w:spacing w:after="0"/>
        <w:jc w:val="both"/>
      </w:pPr>
    </w:p>
    <w:p w14:paraId="2631E65A" w14:textId="635ECE47" w:rsidR="00F754FE" w:rsidRDefault="00F754FE" w:rsidP="00F13404">
      <w:pPr>
        <w:spacing w:after="0"/>
        <w:jc w:val="both"/>
      </w:pPr>
    </w:p>
    <w:p w14:paraId="471C73DA" w14:textId="299547EA" w:rsidR="00F754FE" w:rsidRDefault="00F754FE" w:rsidP="00F13404">
      <w:pPr>
        <w:spacing w:after="0"/>
        <w:jc w:val="both"/>
      </w:pPr>
    </w:p>
    <w:p w14:paraId="5EF4AE0D" w14:textId="538C0102" w:rsidR="00F754FE" w:rsidRDefault="00F754FE" w:rsidP="00F13404">
      <w:pPr>
        <w:spacing w:after="0"/>
        <w:jc w:val="both"/>
      </w:pPr>
    </w:p>
    <w:p w14:paraId="3D0F92ED" w14:textId="198468D7" w:rsidR="003855BC" w:rsidRDefault="003855BC" w:rsidP="00F13404">
      <w:pPr>
        <w:spacing w:after="0"/>
        <w:jc w:val="both"/>
      </w:pPr>
    </w:p>
    <w:p w14:paraId="07B6B250" w14:textId="77777777" w:rsidR="003855BC" w:rsidRDefault="003855BC" w:rsidP="00F13404">
      <w:pPr>
        <w:spacing w:after="0"/>
        <w:jc w:val="both"/>
      </w:pPr>
    </w:p>
    <w:p w14:paraId="2B8484A0" w14:textId="15E0BBD4" w:rsidR="00F754FE" w:rsidRDefault="00F754FE" w:rsidP="00F13404">
      <w:pPr>
        <w:spacing w:after="0"/>
        <w:jc w:val="both"/>
      </w:pPr>
    </w:p>
    <w:p w14:paraId="6992755A" w14:textId="32ACE685" w:rsidR="00F754FE" w:rsidRDefault="00F754FE" w:rsidP="00F13404">
      <w:pPr>
        <w:spacing w:after="0"/>
        <w:jc w:val="both"/>
      </w:pPr>
    </w:p>
    <w:p w14:paraId="2E145A94" w14:textId="5DE3A692" w:rsidR="00F754FE" w:rsidRDefault="00F754FE" w:rsidP="00F13404">
      <w:pPr>
        <w:spacing w:after="0"/>
        <w:jc w:val="both"/>
      </w:pPr>
    </w:p>
    <w:p w14:paraId="017A21D5" w14:textId="06E34F01" w:rsidR="00F754FE" w:rsidRDefault="00F754FE" w:rsidP="00F13404">
      <w:pPr>
        <w:spacing w:after="0"/>
        <w:jc w:val="both"/>
      </w:pPr>
    </w:p>
    <w:p w14:paraId="595A85B8" w14:textId="00C8D211" w:rsidR="003855BC" w:rsidRDefault="003855BC" w:rsidP="00F13404">
      <w:pPr>
        <w:spacing w:after="0"/>
        <w:jc w:val="both"/>
      </w:pPr>
    </w:p>
    <w:p w14:paraId="332F9112" w14:textId="42DD308A" w:rsidR="003855BC" w:rsidRDefault="003855BC" w:rsidP="00F13404">
      <w:pPr>
        <w:spacing w:after="0"/>
        <w:jc w:val="both"/>
      </w:pPr>
    </w:p>
    <w:p w14:paraId="3A9BEAAC" w14:textId="0A86A40D" w:rsidR="003855BC" w:rsidRDefault="003855BC" w:rsidP="00F13404">
      <w:pPr>
        <w:spacing w:after="0"/>
        <w:jc w:val="both"/>
      </w:pPr>
    </w:p>
    <w:p w14:paraId="6A5038D9" w14:textId="22A1CA87" w:rsidR="003855BC" w:rsidRDefault="003855BC" w:rsidP="00F13404">
      <w:pPr>
        <w:spacing w:after="0"/>
        <w:jc w:val="both"/>
      </w:pPr>
    </w:p>
    <w:p w14:paraId="33E373E3" w14:textId="37E192F2" w:rsidR="003855BC" w:rsidRDefault="003855BC" w:rsidP="00F13404">
      <w:pPr>
        <w:spacing w:after="0"/>
        <w:jc w:val="both"/>
      </w:pPr>
    </w:p>
    <w:p w14:paraId="63CF32B1" w14:textId="1ED895E8" w:rsidR="003855BC" w:rsidRDefault="003855BC" w:rsidP="00F13404">
      <w:pPr>
        <w:spacing w:after="0"/>
        <w:jc w:val="both"/>
      </w:pPr>
    </w:p>
    <w:p w14:paraId="75FBA471" w14:textId="77777777" w:rsidR="003855BC" w:rsidRDefault="003855BC" w:rsidP="00F13404">
      <w:pPr>
        <w:spacing w:after="0"/>
        <w:jc w:val="both"/>
      </w:pPr>
    </w:p>
    <w:p w14:paraId="0DAA6021" w14:textId="5C368EFB" w:rsidR="00F754FE" w:rsidRDefault="00F754FE" w:rsidP="00F13404">
      <w:pPr>
        <w:spacing w:after="0"/>
        <w:jc w:val="both"/>
      </w:pPr>
    </w:p>
    <w:p w14:paraId="216C762F" w14:textId="58FEBCFE" w:rsidR="00F754FE" w:rsidRDefault="00F754FE" w:rsidP="00F13404">
      <w:pPr>
        <w:spacing w:after="0"/>
        <w:jc w:val="both"/>
      </w:pPr>
    </w:p>
    <w:p w14:paraId="51D35FD8" w14:textId="77777777" w:rsidR="00F13404" w:rsidRDefault="00F754FE" w:rsidP="00F13404">
      <w:pPr>
        <w:spacing w:after="0"/>
        <w:jc w:val="center"/>
      </w:pPr>
      <w:r>
        <w:rPr>
          <w:sz w:val="24"/>
        </w:rPr>
        <w:lastRenderedPageBreak/>
        <w:t xml:space="preserve">In 300 Words, </w:t>
      </w:r>
      <w:r w:rsidR="00F13404">
        <w:rPr>
          <w:sz w:val="24"/>
        </w:rPr>
        <w:t>E</w:t>
      </w:r>
      <w:r>
        <w:rPr>
          <w:sz w:val="24"/>
        </w:rPr>
        <w:t>xplain, using</w:t>
      </w:r>
      <w:r w:rsidR="00F13404">
        <w:rPr>
          <w:sz w:val="24"/>
        </w:rPr>
        <w:t xml:space="preserve"> Appropriate Evidence, Whether the Story Supports or Subverts Athenian Mores.</w:t>
      </w:r>
    </w:p>
    <w:p w14:paraId="5FB7A2CE" w14:textId="77777777" w:rsidR="00F13404" w:rsidRPr="00884BE2" w:rsidRDefault="00F13404" w:rsidP="00F13404">
      <w:pPr>
        <w:spacing w:after="0"/>
        <w:jc w:val="both"/>
      </w:pPr>
    </w:p>
    <w:p w14:paraId="14596C63" w14:textId="6B1860C6" w:rsidR="00F13404" w:rsidRPr="00884BE2" w:rsidRDefault="00F13404" w:rsidP="00F13404">
      <w:pPr>
        <w:spacing w:after="0"/>
        <w:jc w:val="both"/>
      </w:pPr>
    </w:p>
    <w:p w14:paraId="2145816B" w14:textId="54D28F61" w:rsidR="00884BE2" w:rsidRPr="00884BE2" w:rsidRDefault="00884BE2" w:rsidP="00F13404">
      <w:pPr>
        <w:spacing w:after="0"/>
        <w:jc w:val="both"/>
      </w:pPr>
      <w:r w:rsidRPr="00884BE2">
        <w:t xml:space="preserve">The Athenian Mores of the time concerning women, mothers, and daughter are both supported and subverted by this story. </w:t>
      </w:r>
      <w:r w:rsidR="00AE4CB9">
        <w:t>One the one hand, this story support</w:t>
      </w:r>
      <w:r w:rsidR="002308F0">
        <w:t>s</w:t>
      </w:r>
      <w:r w:rsidR="00AE4CB9">
        <w:t xml:space="preserve"> Athenian mores because of its link to the Eleusinian Mysteries. </w:t>
      </w:r>
      <w:r w:rsidR="001D0C31">
        <w:t>The Eleusinian festival was an important part of the Athenian religious calendar</w:t>
      </w:r>
      <w:r w:rsidR="0071201C">
        <w:rPr>
          <w:rStyle w:val="FootnoteReference"/>
        </w:rPr>
        <w:footnoteReference w:id="10"/>
      </w:r>
      <w:r w:rsidR="001D0C31">
        <w:t xml:space="preserve">, and that this story is the origin of it, and the source for specific aspects of the festival supports Athenian religious mores. </w:t>
      </w:r>
      <w:r w:rsidR="008C2D97">
        <w:t>However, men were an important aspect of the festival</w:t>
      </w:r>
      <w:r w:rsidR="0071201C">
        <w:rPr>
          <w:rStyle w:val="FootnoteReference"/>
        </w:rPr>
        <w:footnoteReference w:id="11"/>
      </w:r>
      <w:r w:rsidR="008C2D97">
        <w:t xml:space="preserve">, which is not reflected as much in the story, </w:t>
      </w:r>
      <w:r w:rsidR="00310C59">
        <w:t>which could mean that the stor</w:t>
      </w:r>
      <w:r w:rsidR="00401794">
        <w:t>y’</w:t>
      </w:r>
      <w:r w:rsidR="00310C59">
        <w:t xml:space="preserve">s lack of </w:t>
      </w:r>
      <w:r w:rsidR="00401794">
        <w:t xml:space="preserve">any </w:t>
      </w:r>
      <w:r w:rsidR="00310C59">
        <w:t>central male ‘heroes’ actually subverts Athenian mores, in that it does not echo the importance and control of men in Athenian life</w:t>
      </w:r>
      <w:r w:rsidR="0071201C">
        <w:rPr>
          <w:rStyle w:val="FootnoteReference"/>
        </w:rPr>
        <w:footnoteReference w:id="12"/>
      </w:r>
      <w:r w:rsidR="00310C59">
        <w:t xml:space="preserve">. </w:t>
      </w:r>
      <w:r w:rsidR="007F4454">
        <w:t>Another aspect of the story that subvert</w:t>
      </w:r>
      <w:r w:rsidR="0071201C">
        <w:t>s</w:t>
      </w:r>
      <w:r w:rsidR="007F4454">
        <w:t xml:space="preserve"> Athenian mores is </w:t>
      </w:r>
      <w:r w:rsidR="00CA3EE7">
        <w:t>the emphasis on the mother-daughter relationship between Demeter and Kore</w:t>
      </w:r>
      <w:r w:rsidR="0071201C">
        <w:rPr>
          <w:rStyle w:val="FootnoteReference"/>
        </w:rPr>
        <w:footnoteReference w:id="13"/>
      </w:r>
      <w:r w:rsidR="00CA3EE7">
        <w:t>. In Athenian culture, women passed from their fathers</w:t>
      </w:r>
      <w:r w:rsidR="00D50647">
        <w:t>’</w:t>
      </w:r>
      <w:r w:rsidR="00CA3EE7">
        <w:t xml:space="preserve"> family to their </w:t>
      </w:r>
      <w:r w:rsidR="0082009A">
        <w:t>husbands’</w:t>
      </w:r>
      <w:r w:rsidR="00CA3EE7">
        <w:t xml:space="preserve"> family</w:t>
      </w:r>
      <w:r w:rsidR="00A81B70">
        <w:rPr>
          <w:rStyle w:val="FootnoteReference"/>
        </w:rPr>
        <w:footnoteReference w:id="14"/>
      </w:r>
      <w:r w:rsidR="00CA3EE7">
        <w:t xml:space="preserve">, and the relationship between a mother and a daughter was not necessarily seen as important, especially to men. However, the story focuses on the relationship between </w:t>
      </w:r>
      <w:r w:rsidR="00D50647">
        <w:t>D</w:t>
      </w:r>
      <w:r w:rsidR="00CA3EE7">
        <w:t xml:space="preserve">emeter and </w:t>
      </w:r>
      <w:r w:rsidR="00D50647">
        <w:t>K</w:t>
      </w:r>
      <w:r w:rsidR="00CA3EE7">
        <w:t xml:space="preserve">ore, and </w:t>
      </w:r>
      <w:r w:rsidR="00D50647">
        <w:t>in particular on her feelings of grief and loss when Kore is taken from her</w:t>
      </w:r>
      <w:r w:rsidR="007E1460">
        <w:rPr>
          <w:rStyle w:val="FootnoteReference"/>
        </w:rPr>
        <w:footnoteReference w:id="15"/>
      </w:r>
      <w:r w:rsidR="00D50647">
        <w:t xml:space="preserve">. This does not fit with the Athenian </w:t>
      </w:r>
      <w:r w:rsidR="00B73F8D">
        <w:t>focus on women as</w:t>
      </w:r>
      <w:r w:rsidR="00D50647">
        <w:t xml:space="preserve"> </w:t>
      </w:r>
      <w:r w:rsidR="00582DA3">
        <w:t xml:space="preserve">wives and the bearers </w:t>
      </w:r>
      <w:r w:rsidR="00543B25">
        <w:t xml:space="preserve">of male heirs. In addition, </w:t>
      </w:r>
      <w:r w:rsidR="00B61249">
        <w:t>it goes against the common mythological theme of “tragic girls”</w:t>
      </w:r>
      <w:r w:rsidR="007E1460">
        <w:rPr>
          <w:rStyle w:val="FootnoteReference"/>
        </w:rPr>
        <w:footnoteReference w:id="16"/>
      </w:r>
      <w:r w:rsidR="00B61249">
        <w:t>, as Persephone is returned to her mother in the end, and does not become the mother to a male hero</w:t>
      </w:r>
      <w:r w:rsidR="00F80A85">
        <w:rPr>
          <w:rStyle w:val="FootnoteReference"/>
        </w:rPr>
        <w:footnoteReference w:id="17"/>
      </w:r>
      <w:r w:rsidR="00B61249">
        <w:t>.</w:t>
      </w:r>
      <w:r w:rsidR="00CF5995">
        <w:t xml:space="preserve"> This would be a sign of it subverting Athenian mores, since </w:t>
      </w:r>
      <w:r w:rsidR="0082009A">
        <w:t xml:space="preserve">Persephone is both returned to her mother – whereas women would stay with their husbands’ family – and does not become a mother herself. In conclusion, the story of Demeter and Persephone </w:t>
      </w:r>
      <w:r w:rsidR="002A74F9">
        <w:t>subvert</w:t>
      </w:r>
      <w:r w:rsidR="007E1460">
        <w:t>s</w:t>
      </w:r>
      <w:r w:rsidR="002A74F9">
        <w:t xml:space="preserve"> Athenian Mores to a greater extent than it supports them. </w:t>
      </w:r>
    </w:p>
    <w:p w14:paraId="1D9CEF45" w14:textId="77777777" w:rsidR="00F13404" w:rsidRPr="00884BE2" w:rsidRDefault="00F13404" w:rsidP="00F13404">
      <w:pPr>
        <w:spacing w:after="0"/>
        <w:jc w:val="both"/>
      </w:pPr>
    </w:p>
    <w:p w14:paraId="4B5952A9" w14:textId="77777777" w:rsidR="00F13404" w:rsidRPr="00884BE2" w:rsidRDefault="00F13404" w:rsidP="00F13404">
      <w:pPr>
        <w:spacing w:after="0"/>
        <w:jc w:val="both"/>
      </w:pPr>
    </w:p>
    <w:p w14:paraId="35BF1A27" w14:textId="3CE4B59D" w:rsidR="00F754FE" w:rsidRDefault="00F13404" w:rsidP="00F13404">
      <w:pPr>
        <w:spacing w:after="0"/>
        <w:jc w:val="both"/>
      </w:pPr>
      <w:r w:rsidRPr="00884BE2">
        <w:t xml:space="preserve"> </w:t>
      </w:r>
      <w:r w:rsidR="00F754FE" w:rsidRPr="00884BE2">
        <w:t xml:space="preserve"> </w:t>
      </w:r>
    </w:p>
    <w:p w14:paraId="2D18185C" w14:textId="106B5079" w:rsidR="00461E62" w:rsidRDefault="00461E62" w:rsidP="00F13404">
      <w:pPr>
        <w:spacing w:after="0"/>
        <w:jc w:val="both"/>
      </w:pPr>
    </w:p>
    <w:p w14:paraId="7FFAFDA2" w14:textId="5AE11B39" w:rsidR="00461E62" w:rsidRDefault="00461E62" w:rsidP="00F13404">
      <w:pPr>
        <w:spacing w:after="0"/>
        <w:jc w:val="both"/>
      </w:pPr>
    </w:p>
    <w:p w14:paraId="08DE3ECA" w14:textId="511B8022" w:rsidR="00461E62" w:rsidRDefault="00461E62" w:rsidP="00F13404">
      <w:pPr>
        <w:spacing w:after="0"/>
        <w:jc w:val="both"/>
      </w:pPr>
    </w:p>
    <w:p w14:paraId="270F6D66" w14:textId="15E49BC1" w:rsidR="00461E62" w:rsidRDefault="00461E62" w:rsidP="00F13404">
      <w:pPr>
        <w:spacing w:after="0"/>
        <w:jc w:val="both"/>
      </w:pPr>
    </w:p>
    <w:p w14:paraId="7E37E957" w14:textId="41FFB195" w:rsidR="00461E62" w:rsidRDefault="00461E62" w:rsidP="00F13404">
      <w:pPr>
        <w:spacing w:after="0"/>
        <w:jc w:val="both"/>
      </w:pPr>
    </w:p>
    <w:p w14:paraId="094C6817" w14:textId="5341EE5B" w:rsidR="00461E62" w:rsidRDefault="00461E62" w:rsidP="00F13404">
      <w:pPr>
        <w:spacing w:after="0"/>
        <w:jc w:val="both"/>
      </w:pPr>
    </w:p>
    <w:p w14:paraId="2361F526" w14:textId="00066F5A" w:rsidR="00461E62" w:rsidRDefault="00461E62" w:rsidP="00F13404">
      <w:pPr>
        <w:spacing w:after="0"/>
        <w:jc w:val="both"/>
      </w:pPr>
    </w:p>
    <w:p w14:paraId="11EA7A2F" w14:textId="6B5E102D" w:rsidR="00461E62" w:rsidRDefault="00461E62" w:rsidP="00F13404">
      <w:pPr>
        <w:spacing w:after="0"/>
        <w:jc w:val="both"/>
      </w:pPr>
    </w:p>
    <w:p w14:paraId="129F7133" w14:textId="09C673B1" w:rsidR="00461E62" w:rsidRDefault="00461E62" w:rsidP="00F13404">
      <w:pPr>
        <w:spacing w:after="0"/>
        <w:jc w:val="both"/>
      </w:pPr>
    </w:p>
    <w:p w14:paraId="1D510FB1" w14:textId="49D3AA3B" w:rsidR="00461E62" w:rsidRDefault="00461E62" w:rsidP="00F13404">
      <w:pPr>
        <w:spacing w:after="0"/>
        <w:jc w:val="both"/>
      </w:pPr>
    </w:p>
    <w:p w14:paraId="5836645C" w14:textId="39B50FD7" w:rsidR="00461E62" w:rsidRDefault="00461E62" w:rsidP="00F13404">
      <w:pPr>
        <w:spacing w:after="0"/>
        <w:jc w:val="both"/>
      </w:pPr>
    </w:p>
    <w:p w14:paraId="722D6C97" w14:textId="53ABD39E" w:rsidR="00461E62" w:rsidRDefault="00461E62" w:rsidP="00F13404">
      <w:pPr>
        <w:spacing w:after="0"/>
        <w:jc w:val="both"/>
      </w:pPr>
    </w:p>
    <w:p w14:paraId="01E22A7F" w14:textId="5C84F24C" w:rsidR="00461E62" w:rsidRDefault="00461E62" w:rsidP="00F13404">
      <w:pPr>
        <w:spacing w:after="0"/>
        <w:jc w:val="both"/>
      </w:pPr>
    </w:p>
    <w:p w14:paraId="00BF016D" w14:textId="3AA65A76" w:rsidR="00461E62" w:rsidRDefault="00461E62" w:rsidP="00F13404">
      <w:pPr>
        <w:spacing w:after="0"/>
        <w:jc w:val="both"/>
      </w:pPr>
    </w:p>
    <w:p w14:paraId="1AE92CA0" w14:textId="24BBED4E" w:rsidR="00461E62" w:rsidRDefault="003F31CD" w:rsidP="00F13404">
      <w:pPr>
        <w:spacing w:after="0"/>
        <w:jc w:val="both"/>
      </w:pPr>
      <w:r>
        <w:rPr>
          <w:sz w:val="24"/>
        </w:rPr>
        <w:lastRenderedPageBreak/>
        <w:t>Bibliography</w:t>
      </w:r>
    </w:p>
    <w:p w14:paraId="588B7EE9" w14:textId="7B0A9188" w:rsidR="003F31CD" w:rsidRDefault="003F31CD" w:rsidP="008D4CD9">
      <w:pPr>
        <w:pStyle w:val="ListParagraph"/>
        <w:numPr>
          <w:ilvl w:val="0"/>
          <w:numId w:val="1"/>
        </w:numPr>
        <w:spacing w:after="0"/>
      </w:pPr>
      <w:proofErr w:type="spellStart"/>
      <w:r>
        <w:t>Apollodorus</w:t>
      </w:r>
      <w:proofErr w:type="spellEnd"/>
      <w:r>
        <w:t xml:space="preserve">, </w:t>
      </w:r>
      <w:r w:rsidR="00C6177C">
        <w:rPr>
          <w:i/>
        </w:rPr>
        <w:t>Library</w:t>
      </w:r>
      <w:r w:rsidR="00C6177C">
        <w:t xml:space="preserve">, J.G. Frazer [trans] </w:t>
      </w:r>
      <w:r w:rsidR="008D4CD9">
        <w:t xml:space="preserve">1921, Cambridge: Harvard University Press, Available at </w:t>
      </w:r>
      <w:hyperlink r:id="rId8" w:history="1">
        <w:r w:rsidR="008D4CD9" w:rsidRPr="00BF2616">
          <w:rPr>
            <w:rStyle w:val="Hyperlink"/>
          </w:rPr>
          <w:t>http://www.perseus.tufts.edu/hopper/text?doc=Perseus%3Atext%3A1999.01.0022%3Atext%3DLibrary&amp;force=y</w:t>
        </w:r>
      </w:hyperlink>
      <w:r w:rsidR="008D4CD9">
        <w:t xml:space="preserve">  Accessed on: 9</w:t>
      </w:r>
      <w:r w:rsidR="008D4CD9" w:rsidRPr="008D4CD9">
        <w:rPr>
          <w:vertAlign w:val="superscript"/>
        </w:rPr>
        <w:t>th</w:t>
      </w:r>
      <w:r w:rsidR="008D4CD9">
        <w:t xml:space="preserve"> October 2018</w:t>
      </w:r>
    </w:p>
    <w:p w14:paraId="5F7E1187" w14:textId="0EB09F74" w:rsidR="008D4CD9" w:rsidRDefault="006B2998" w:rsidP="008D4CD9">
      <w:pPr>
        <w:pStyle w:val="ListParagraph"/>
        <w:numPr>
          <w:ilvl w:val="0"/>
          <w:numId w:val="1"/>
        </w:numPr>
        <w:spacing w:after="0"/>
      </w:pPr>
      <w:r>
        <w:t xml:space="preserve">Homer </w:t>
      </w:r>
      <w:r>
        <w:rPr>
          <w:i/>
        </w:rPr>
        <w:t>Hymn 2 to Demeter,</w:t>
      </w:r>
      <w:r>
        <w:t xml:space="preserve"> H.G Evelyn-White [trans] 1914, Cambridge: Harvard University Press, Available at </w:t>
      </w:r>
      <w:hyperlink r:id="rId9" w:history="1">
        <w:r w:rsidRPr="00BF2616">
          <w:rPr>
            <w:rStyle w:val="Hyperlink"/>
          </w:rPr>
          <w:t>http://www.perseus.tufts.edu/hopper/text?doc=HH</w:t>
        </w:r>
        <w:r w:rsidRPr="00BF2616">
          <w:rPr>
            <w:rStyle w:val="Hyperlink"/>
          </w:rPr>
          <w:t>%</w:t>
        </w:r>
        <w:r w:rsidRPr="00BF2616">
          <w:rPr>
            <w:rStyle w:val="Hyperlink"/>
          </w:rPr>
          <w:t>202</w:t>
        </w:r>
      </w:hyperlink>
      <w:r>
        <w:t xml:space="preserve"> Accessed on: 9</w:t>
      </w:r>
      <w:r w:rsidRPr="006B2998">
        <w:rPr>
          <w:vertAlign w:val="superscript"/>
        </w:rPr>
        <w:t>th</w:t>
      </w:r>
      <w:r>
        <w:t xml:space="preserve"> October 2018</w:t>
      </w:r>
    </w:p>
    <w:p w14:paraId="28E1E25C" w14:textId="5A3966ED" w:rsidR="00E62397" w:rsidRDefault="00D81DE0" w:rsidP="008D4CD9">
      <w:pPr>
        <w:pStyle w:val="ListParagraph"/>
        <w:numPr>
          <w:ilvl w:val="0"/>
          <w:numId w:val="1"/>
        </w:numPr>
        <w:spacing w:after="0"/>
      </w:pPr>
      <w:r>
        <w:t>D. Leeming,</w:t>
      </w:r>
      <w:r w:rsidR="00D009FB" w:rsidRPr="00D009FB">
        <w:t xml:space="preserve"> </w:t>
      </w:r>
      <w:r w:rsidR="00D009FB">
        <w:t>(2006)</w:t>
      </w:r>
      <w:r w:rsidR="00D009FB">
        <w:t xml:space="preserve"> </w:t>
      </w:r>
      <w:r>
        <w:rPr>
          <w:i/>
        </w:rPr>
        <w:t>The Oxford Companion to World Mythology</w:t>
      </w:r>
      <w:r w:rsidR="00D009FB">
        <w:t>, Oxford: Oxford University Press</w:t>
      </w:r>
    </w:p>
    <w:p w14:paraId="21627BF0" w14:textId="746E6F31" w:rsidR="00D009FB" w:rsidRDefault="00696F9D" w:rsidP="008D4CD9">
      <w:pPr>
        <w:pStyle w:val="ListParagraph"/>
        <w:numPr>
          <w:ilvl w:val="0"/>
          <w:numId w:val="1"/>
        </w:numPr>
        <w:spacing w:after="0"/>
      </w:pPr>
      <w:r>
        <w:t xml:space="preserve">J. Mark, (2012) </w:t>
      </w:r>
      <w:r>
        <w:rPr>
          <w:i/>
        </w:rPr>
        <w:t>The Eleusinian Mysteries: The Rites of Demeter</w:t>
      </w:r>
      <w:r>
        <w:t xml:space="preserve">, [web] </w:t>
      </w:r>
      <w:r w:rsidR="0082018D">
        <w:t xml:space="preserve">Available at: </w:t>
      </w:r>
      <w:hyperlink r:id="rId10" w:history="1">
        <w:r w:rsidR="0082018D" w:rsidRPr="00BF2616">
          <w:rPr>
            <w:rStyle w:val="Hyperlink"/>
          </w:rPr>
          <w:t>https://www.ancient.eu/article/32/the-eleusinian-mysteries-the-rites-of-demeter/</w:t>
        </w:r>
      </w:hyperlink>
      <w:r w:rsidR="0082018D">
        <w:t xml:space="preserve"> Accessed on: 9</w:t>
      </w:r>
      <w:r w:rsidR="0082018D" w:rsidRPr="0082018D">
        <w:rPr>
          <w:vertAlign w:val="superscript"/>
        </w:rPr>
        <w:t>th</w:t>
      </w:r>
      <w:r w:rsidR="0082018D">
        <w:t xml:space="preserve"> October 2018</w:t>
      </w:r>
    </w:p>
    <w:p w14:paraId="4BACB156" w14:textId="67953410" w:rsidR="0082018D" w:rsidRDefault="004B4FB2" w:rsidP="008D4CD9">
      <w:pPr>
        <w:pStyle w:val="ListParagraph"/>
        <w:numPr>
          <w:ilvl w:val="0"/>
          <w:numId w:val="1"/>
        </w:numPr>
        <w:spacing w:after="0"/>
      </w:pPr>
      <w:r>
        <w:t xml:space="preserve">M. Dillon, (2002) </w:t>
      </w:r>
      <w:r>
        <w:rPr>
          <w:i/>
        </w:rPr>
        <w:t>Girls and Women in Classical Greek Religion</w:t>
      </w:r>
      <w:r w:rsidR="00FB1DD3">
        <w:t>, London: Routledge</w:t>
      </w:r>
    </w:p>
    <w:p w14:paraId="61FB42F8" w14:textId="180F8759" w:rsidR="00FB1DD3" w:rsidRDefault="00FB1DD3" w:rsidP="008D4CD9">
      <w:pPr>
        <w:pStyle w:val="ListParagraph"/>
        <w:numPr>
          <w:ilvl w:val="0"/>
          <w:numId w:val="1"/>
        </w:numPr>
        <w:spacing w:after="0"/>
      </w:pPr>
      <w:r>
        <w:t xml:space="preserve">R. Hawley and B. </w:t>
      </w:r>
      <w:proofErr w:type="spellStart"/>
      <w:r>
        <w:t>Levick</w:t>
      </w:r>
      <w:proofErr w:type="spellEnd"/>
      <w:r>
        <w:t>, (</w:t>
      </w:r>
      <w:r w:rsidR="00DF1029">
        <w:t xml:space="preserve">1995) </w:t>
      </w:r>
      <w:r w:rsidR="00DF1029">
        <w:rPr>
          <w:i/>
        </w:rPr>
        <w:t>Women in Antiquity: New Assessments</w:t>
      </w:r>
      <w:r w:rsidR="00DF1029">
        <w:t>, London: Routledge</w:t>
      </w:r>
    </w:p>
    <w:p w14:paraId="26C825BE" w14:textId="61380F36" w:rsidR="00DF1029" w:rsidRDefault="00DF69DD" w:rsidP="008D4CD9">
      <w:pPr>
        <w:pStyle w:val="ListParagraph"/>
        <w:numPr>
          <w:ilvl w:val="0"/>
          <w:numId w:val="1"/>
        </w:numPr>
        <w:spacing w:after="0"/>
      </w:pPr>
      <w:r>
        <w:t xml:space="preserve">S.B. Pomeroy, </w:t>
      </w:r>
      <w:r w:rsidR="00B14AD5">
        <w:t xml:space="preserve">(1975) </w:t>
      </w:r>
      <w:r w:rsidR="00B14AD5">
        <w:rPr>
          <w:i/>
        </w:rPr>
        <w:t>Goddesses, Whores, Wives and Slaves</w:t>
      </w:r>
      <w:r w:rsidR="00B14AD5">
        <w:t xml:space="preserve">, New York: </w:t>
      </w:r>
      <w:proofErr w:type="spellStart"/>
      <w:r w:rsidR="00B14AD5">
        <w:t>Schocken</w:t>
      </w:r>
      <w:proofErr w:type="spellEnd"/>
      <w:r w:rsidR="00B14AD5">
        <w:t xml:space="preserve"> Books</w:t>
      </w:r>
    </w:p>
    <w:p w14:paraId="3EAC7996" w14:textId="1999E5ED" w:rsidR="00DB5EFA" w:rsidRPr="003F31CD" w:rsidRDefault="00B24E59" w:rsidP="008D4CD9">
      <w:pPr>
        <w:pStyle w:val="ListParagraph"/>
        <w:numPr>
          <w:ilvl w:val="0"/>
          <w:numId w:val="1"/>
        </w:numPr>
        <w:spacing w:after="0"/>
      </w:pPr>
      <w:r>
        <w:t xml:space="preserve">Association of Classical Teachers, (1984), </w:t>
      </w:r>
      <w:r>
        <w:rPr>
          <w:i/>
        </w:rPr>
        <w:t>The World of Athens: An introduction to Classical Athenian Culture</w:t>
      </w:r>
      <w:r w:rsidR="005C6534">
        <w:t>, Cambridge: Cambridge University Press</w:t>
      </w:r>
    </w:p>
    <w:sectPr w:rsidR="00DB5EFA" w:rsidRPr="003F31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2ADF90" w14:textId="77777777" w:rsidR="002A0F37" w:rsidRDefault="002A0F37" w:rsidP="002A74F9">
      <w:pPr>
        <w:spacing w:after="0" w:line="240" w:lineRule="auto"/>
      </w:pPr>
      <w:r>
        <w:separator/>
      </w:r>
    </w:p>
  </w:endnote>
  <w:endnote w:type="continuationSeparator" w:id="0">
    <w:p w14:paraId="370CCFAC" w14:textId="77777777" w:rsidR="002A0F37" w:rsidRDefault="002A0F37" w:rsidP="002A7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FB1BB0" w14:textId="77777777" w:rsidR="002A0F37" w:rsidRDefault="002A0F37" w:rsidP="002A74F9">
      <w:pPr>
        <w:spacing w:after="0" w:line="240" w:lineRule="auto"/>
      </w:pPr>
      <w:r>
        <w:separator/>
      </w:r>
    </w:p>
  </w:footnote>
  <w:footnote w:type="continuationSeparator" w:id="0">
    <w:p w14:paraId="3383E319" w14:textId="77777777" w:rsidR="002A0F37" w:rsidRDefault="002A0F37" w:rsidP="002A74F9">
      <w:pPr>
        <w:spacing w:after="0" w:line="240" w:lineRule="auto"/>
      </w:pPr>
      <w:r>
        <w:continuationSeparator/>
      </w:r>
    </w:p>
  </w:footnote>
  <w:footnote w:id="1">
    <w:p w14:paraId="39601A15" w14:textId="6DF87737" w:rsidR="002A74F9" w:rsidRDefault="002A74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0C37">
        <w:t>Homeric Hymn (2.230)</w:t>
      </w:r>
    </w:p>
  </w:footnote>
  <w:footnote w:id="2">
    <w:p w14:paraId="18B58739" w14:textId="6169093E" w:rsidR="002A74F9" w:rsidRDefault="002A74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9B33B2">
        <w:t>Apollodorus</w:t>
      </w:r>
      <w:proofErr w:type="spellEnd"/>
      <w:r w:rsidR="009B33B2">
        <w:t xml:space="preserve"> </w:t>
      </w:r>
      <w:r w:rsidR="00763F60">
        <w:t>(</w:t>
      </w:r>
      <w:r w:rsidR="00874894">
        <w:t>5.1</w:t>
      </w:r>
      <w:r w:rsidR="00763F60">
        <w:t>)</w:t>
      </w:r>
    </w:p>
  </w:footnote>
  <w:footnote w:id="3">
    <w:p w14:paraId="7D96108E" w14:textId="0BC9E535" w:rsidR="002A74F9" w:rsidRDefault="002A74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0CE3">
        <w:t>Homeric Hymn (2.</w:t>
      </w:r>
      <w:r w:rsidR="00820C37">
        <w:t>205)</w:t>
      </w:r>
    </w:p>
  </w:footnote>
  <w:footnote w:id="4">
    <w:p w14:paraId="56EBDAC6" w14:textId="1B8D4FB4" w:rsidR="002A74F9" w:rsidRDefault="002A74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0C37">
        <w:t>Homeric Hymn (2.</w:t>
      </w:r>
      <w:r w:rsidR="00640398">
        <w:t>236a)</w:t>
      </w:r>
    </w:p>
  </w:footnote>
  <w:footnote w:id="5">
    <w:p w14:paraId="761DBDC3" w14:textId="3C80EAE7" w:rsidR="002A74F9" w:rsidRDefault="002A74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40398">
        <w:t>Homeric Hymn (2.245)</w:t>
      </w:r>
    </w:p>
  </w:footnote>
  <w:footnote w:id="6">
    <w:p w14:paraId="478541C2" w14:textId="27AA9569" w:rsidR="00640398" w:rsidRDefault="00640398">
      <w:pPr>
        <w:pStyle w:val="FootnoteText"/>
      </w:pPr>
      <w:r>
        <w:rPr>
          <w:rStyle w:val="FootnoteReference"/>
        </w:rPr>
        <w:footnoteRef/>
      </w:r>
      <w:r>
        <w:t xml:space="preserve"> Homeric Hymn (2.250)</w:t>
      </w:r>
    </w:p>
  </w:footnote>
  <w:footnote w:id="7">
    <w:p w14:paraId="05F5B614" w14:textId="32C8BF53" w:rsidR="0071201C" w:rsidRDefault="007120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40398">
        <w:t>Homeric Hymn (</w:t>
      </w:r>
      <w:r w:rsidR="00EC6955">
        <w:t>2.275)</w:t>
      </w:r>
    </w:p>
  </w:footnote>
  <w:footnote w:id="8">
    <w:p w14:paraId="715BE969" w14:textId="5FAFF9AF" w:rsidR="0071201C" w:rsidRDefault="007120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C6955">
        <w:t>Homeric Hymn (2.295)</w:t>
      </w:r>
    </w:p>
  </w:footnote>
  <w:footnote w:id="9">
    <w:p w14:paraId="2C4F6CBF" w14:textId="6E8CC888" w:rsidR="003E0FB8" w:rsidRDefault="003E0F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15C79">
        <w:t>Leeming, 2006</w:t>
      </w:r>
    </w:p>
  </w:footnote>
  <w:footnote w:id="10">
    <w:p w14:paraId="5226450F" w14:textId="3174588D" w:rsidR="0071201C" w:rsidRDefault="007120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526972129"/>
      <w:r w:rsidR="00825FFE">
        <w:t xml:space="preserve">Hawley and </w:t>
      </w:r>
      <w:proofErr w:type="spellStart"/>
      <w:r w:rsidR="00825FFE">
        <w:t>Levick</w:t>
      </w:r>
      <w:proofErr w:type="spellEnd"/>
      <w:r w:rsidR="00825FFE">
        <w:t>, (1995), p.</w:t>
      </w:r>
      <w:bookmarkEnd w:id="0"/>
      <w:r w:rsidR="0080608B">
        <w:t>102</w:t>
      </w:r>
    </w:p>
  </w:footnote>
  <w:footnote w:id="11">
    <w:p w14:paraId="7496ED9B" w14:textId="670E3D56" w:rsidR="0071201C" w:rsidRDefault="007120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5FFE">
        <w:t xml:space="preserve">Hawley and </w:t>
      </w:r>
      <w:proofErr w:type="spellStart"/>
      <w:r w:rsidR="00825FFE">
        <w:t>Levick</w:t>
      </w:r>
      <w:proofErr w:type="spellEnd"/>
      <w:r w:rsidR="00825FFE">
        <w:t>, (1995), p.</w:t>
      </w:r>
      <w:r w:rsidR="00E31D3C">
        <w:t>102</w:t>
      </w:r>
    </w:p>
  </w:footnote>
  <w:footnote w:id="12">
    <w:p w14:paraId="6246CDFA" w14:textId="7E5447AC" w:rsidR="0071201C" w:rsidRDefault="007120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C6534">
        <w:t xml:space="preserve">Associated  Teachers (1984), </w:t>
      </w:r>
      <w:r w:rsidR="005C6534">
        <w:t>p</w:t>
      </w:r>
      <w:r w:rsidR="001238FF">
        <w:t>.154</w:t>
      </w:r>
      <w:bookmarkStart w:id="1" w:name="_GoBack"/>
      <w:bookmarkEnd w:id="1"/>
    </w:p>
  </w:footnote>
  <w:footnote w:id="13">
    <w:p w14:paraId="149DBCEB" w14:textId="3E69A264" w:rsidR="0071201C" w:rsidRDefault="007120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5FFE">
        <w:t xml:space="preserve">Hawley and </w:t>
      </w:r>
      <w:proofErr w:type="spellStart"/>
      <w:r w:rsidR="00825FFE">
        <w:t>Levick</w:t>
      </w:r>
      <w:proofErr w:type="spellEnd"/>
      <w:r w:rsidR="00825FFE">
        <w:t>, (1995), p.</w:t>
      </w:r>
      <w:r w:rsidR="00074FD7">
        <w:t>89</w:t>
      </w:r>
    </w:p>
  </w:footnote>
  <w:footnote w:id="14">
    <w:p w14:paraId="412611B6" w14:textId="3DD61B3F" w:rsidR="00A81B70" w:rsidRDefault="00A81B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128BE">
        <w:t>Pomeroy (197</w:t>
      </w:r>
      <w:r w:rsidR="00372C8C">
        <w:t xml:space="preserve">5), p.62 </w:t>
      </w:r>
    </w:p>
  </w:footnote>
  <w:footnote w:id="15">
    <w:p w14:paraId="6252D771" w14:textId="371E7BC7" w:rsidR="007E1460" w:rsidRDefault="007E146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80A85">
        <w:t>Homeric Hymn (2.</w:t>
      </w:r>
      <w:r w:rsidR="00F80A85">
        <w:t>50</w:t>
      </w:r>
      <w:r w:rsidR="00F80A85">
        <w:t>)</w:t>
      </w:r>
    </w:p>
  </w:footnote>
  <w:footnote w:id="16">
    <w:p w14:paraId="4C2D7D44" w14:textId="6171F5A1" w:rsidR="007E1460" w:rsidRDefault="007E146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5FFE">
        <w:t xml:space="preserve">Hawley and </w:t>
      </w:r>
      <w:proofErr w:type="spellStart"/>
      <w:r w:rsidR="00825FFE">
        <w:t>Levick</w:t>
      </w:r>
      <w:proofErr w:type="spellEnd"/>
      <w:r w:rsidR="00825FFE">
        <w:t>, (1995), p.</w:t>
      </w:r>
      <w:r w:rsidR="00864C9F">
        <w:t>90</w:t>
      </w:r>
    </w:p>
  </w:footnote>
  <w:footnote w:id="17">
    <w:p w14:paraId="2CD36511" w14:textId="211581AB" w:rsidR="00F80A85" w:rsidRDefault="00F80A8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Hawley and </w:t>
      </w:r>
      <w:proofErr w:type="spellStart"/>
      <w:r>
        <w:t>Levick</w:t>
      </w:r>
      <w:proofErr w:type="spellEnd"/>
      <w:r>
        <w:t>, (1995), p.</w:t>
      </w:r>
      <w:r>
        <w:t>89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8F1562"/>
    <w:multiLevelType w:val="hybridMultilevel"/>
    <w:tmpl w:val="0C628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B9E"/>
    <w:rsid w:val="00074FD7"/>
    <w:rsid w:val="00115C79"/>
    <w:rsid w:val="001238FF"/>
    <w:rsid w:val="00152D5C"/>
    <w:rsid w:val="001662A4"/>
    <w:rsid w:val="001D0C31"/>
    <w:rsid w:val="00200F68"/>
    <w:rsid w:val="00202D2B"/>
    <w:rsid w:val="002308F0"/>
    <w:rsid w:val="002A0F37"/>
    <w:rsid w:val="002A74F9"/>
    <w:rsid w:val="00310C59"/>
    <w:rsid w:val="00347B9E"/>
    <w:rsid w:val="00372C8C"/>
    <w:rsid w:val="003855BC"/>
    <w:rsid w:val="003A1914"/>
    <w:rsid w:val="003A2F52"/>
    <w:rsid w:val="003E0FB8"/>
    <w:rsid w:val="003E2D52"/>
    <w:rsid w:val="003F31CD"/>
    <w:rsid w:val="00401794"/>
    <w:rsid w:val="00461E62"/>
    <w:rsid w:val="00484A41"/>
    <w:rsid w:val="004B4FB2"/>
    <w:rsid w:val="00543B25"/>
    <w:rsid w:val="00566615"/>
    <w:rsid w:val="00582DA3"/>
    <w:rsid w:val="005C6534"/>
    <w:rsid w:val="00640398"/>
    <w:rsid w:val="00676391"/>
    <w:rsid w:val="00690CE3"/>
    <w:rsid w:val="00696F9D"/>
    <w:rsid w:val="006B2998"/>
    <w:rsid w:val="0071201C"/>
    <w:rsid w:val="00721AF8"/>
    <w:rsid w:val="00763F60"/>
    <w:rsid w:val="00792001"/>
    <w:rsid w:val="007E1460"/>
    <w:rsid w:val="007F4454"/>
    <w:rsid w:val="0080608B"/>
    <w:rsid w:val="008128BE"/>
    <w:rsid w:val="0082009A"/>
    <w:rsid w:val="0082018D"/>
    <w:rsid w:val="00820C37"/>
    <w:rsid w:val="00825FFE"/>
    <w:rsid w:val="00864C9F"/>
    <w:rsid w:val="00874894"/>
    <w:rsid w:val="00884BE2"/>
    <w:rsid w:val="008C2D97"/>
    <w:rsid w:val="008D4CD9"/>
    <w:rsid w:val="00913C86"/>
    <w:rsid w:val="009B33B2"/>
    <w:rsid w:val="00A55EB2"/>
    <w:rsid w:val="00A81B70"/>
    <w:rsid w:val="00A942A1"/>
    <w:rsid w:val="00AE4CB9"/>
    <w:rsid w:val="00AF3685"/>
    <w:rsid w:val="00B14AD5"/>
    <w:rsid w:val="00B24E59"/>
    <w:rsid w:val="00B61249"/>
    <w:rsid w:val="00B73F8D"/>
    <w:rsid w:val="00BC585B"/>
    <w:rsid w:val="00C53760"/>
    <w:rsid w:val="00C6177C"/>
    <w:rsid w:val="00CA3EE7"/>
    <w:rsid w:val="00CC5C3F"/>
    <w:rsid w:val="00CF5995"/>
    <w:rsid w:val="00D009FB"/>
    <w:rsid w:val="00D2409F"/>
    <w:rsid w:val="00D50647"/>
    <w:rsid w:val="00D81DE0"/>
    <w:rsid w:val="00DB5EFA"/>
    <w:rsid w:val="00DF1029"/>
    <w:rsid w:val="00DF69DD"/>
    <w:rsid w:val="00E029FC"/>
    <w:rsid w:val="00E31D3C"/>
    <w:rsid w:val="00E62397"/>
    <w:rsid w:val="00EC6955"/>
    <w:rsid w:val="00F13404"/>
    <w:rsid w:val="00F61557"/>
    <w:rsid w:val="00F6589E"/>
    <w:rsid w:val="00F754FE"/>
    <w:rsid w:val="00F80A85"/>
    <w:rsid w:val="00F95318"/>
    <w:rsid w:val="00FB1DD3"/>
    <w:rsid w:val="00FC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6519A"/>
  <w15:chartTrackingRefBased/>
  <w15:docId w15:val="{3A2974D6-666D-430B-AB6E-9529C352C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A74F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74F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A74F9"/>
    <w:rPr>
      <w:vertAlign w:val="superscript"/>
    </w:rPr>
  </w:style>
  <w:style w:type="paragraph" w:styleId="ListParagraph">
    <w:name w:val="List Paragraph"/>
    <w:basedOn w:val="Normal"/>
    <w:uiPriority w:val="34"/>
    <w:qFormat/>
    <w:rsid w:val="003F31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4C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4C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80A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rseus.tufts.edu/hopper/text?doc=Perseus%3Atext%3A1999.01.0022%3Atext%3DLibrary&amp;force=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ancient.eu/article/32/the-eleusinian-mysteries-the-rites-of-demete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erseus.tufts.edu/hopper/text?doc=HH%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D6FD0DD-3B55-485F-8D28-E80A1D5DF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Earp</dc:creator>
  <cp:keywords/>
  <dc:description/>
  <cp:lastModifiedBy>Lily Earp</cp:lastModifiedBy>
  <cp:revision>2</cp:revision>
  <dcterms:created xsi:type="dcterms:W3CDTF">2018-10-10T21:16:00Z</dcterms:created>
  <dcterms:modified xsi:type="dcterms:W3CDTF">2018-10-10T21:16:00Z</dcterms:modified>
</cp:coreProperties>
</file>