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FB98F" w14:textId="77777777" w:rsidR="00FD5A34" w:rsidRDefault="00FD5A34"/>
    <w:p w14:paraId="65A9A7FA" w14:textId="56D1C844" w:rsidR="5A453747" w:rsidRDefault="00413733">
      <w:r>
        <w:t>v</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3F3255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003ED">
              <w:rPr>
                <w:rFonts w:ascii="Times New Roman" w:hAnsi="Times New Roman" w:cs="Times New Roman"/>
                <w:b/>
                <w:color w:val="auto"/>
                <w:sz w:val="48"/>
              </w:rPr>
              <w:t>Marie Walker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29F341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003ED">
              <w:rPr>
                <w:rFonts w:ascii="Times New Roman" w:hAnsi="Times New Roman" w:cs="Times New Roman"/>
                <w:b/>
                <w:color w:val="auto"/>
                <w:sz w:val="48"/>
              </w:rPr>
              <w:t xml:space="preserve"> marie1979@sky.com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A72AE2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93417">
              <w:rPr>
                <w:rFonts w:ascii="Times New Roman" w:hAnsi="Times New Roman" w:cs="Times New Roman"/>
                <w:b/>
                <w:color w:val="auto"/>
                <w:sz w:val="48"/>
              </w:rPr>
              <w:t xml:space="preserve"> </w:t>
            </w:r>
            <w:r w:rsidR="00193417">
              <w:rPr>
                <w:b/>
                <w:sz w:val="24"/>
                <w:szCs w:val="24"/>
              </w:rPr>
              <w:t>2517987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A1328E1" w14:textId="77777777" w:rsidR="00AA2DD7" w:rsidRPr="00AA2DD7" w:rsidRDefault="00AA2DD7" w:rsidP="00AA2DD7">
            <w:pPr>
              <w:spacing w:after="160" w:line="360" w:lineRule="auto"/>
              <w:rPr>
                <w:sz w:val="24"/>
                <w:szCs w:val="24"/>
              </w:rPr>
            </w:pPr>
            <w:r w:rsidRPr="00AA2DD7">
              <w:rPr>
                <w:sz w:val="24"/>
                <w:szCs w:val="24"/>
              </w:rPr>
              <w:t>As a frontline social worker within Children and Family Services, I work with children and their families across Child in Need of Care and Support (CINCS), Child Protection, and Public Law Outline (PLO) processes that often lead to care proceedings within the court arena. These areas of practice often involve complex decision-making, significant levels of risk, and interventions that can have a profound impact on family life. Consequently, a sound understanding of the legal framework underpinning social work practice is essential.</w:t>
            </w:r>
          </w:p>
          <w:p w14:paraId="6C1406FE" w14:textId="77777777" w:rsidR="00AA2DD7" w:rsidRPr="00AA2DD7" w:rsidRDefault="00AA2DD7" w:rsidP="00AA2DD7">
            <w:pPr>
              <w:spacing w:after="160" w:line="360" w:lineRule="auto"/>
              <w:rPr>
                <w:sz w:val="24"/>
                <w:szCs w:val="24"/>
              </w:rPr>
            </w:pPr>
            <w:r w:rsidRPr="00AA2DD7">
              <w:rPr>
                <w:sz w:val="24"/>
                <w:szCs w:val="24"/>
              </w:rPr>
              <w:t>Legislation provides the authority for intervention, safeguards the rights of children and families, and supports social workers to make lawful, proportionate and defensible decisions. As Parker and Bradley (2014) recognise, effective social work practice requires practitioners to integrate legal knowledge with professional judgement, ethics and values to promote the welfare and rights of those they support.</w:t>
            </w:r>
          </w:p>
          <w:p w14:paraId="575D3482" w14:textId="77777777" w:rsidR="00AA2DD7" w:rsidRPr="00AA2DD7" w:rsidRDefault="00AA2DD7" w:rsidP="00AA2DD7">
            <w:pPr>
              <w:spacing w:after="160" w:line="360" w:lineRule="auto"/>
              <w:rPr>
                <w:sz w:val="24"/>
                <w:szCs w:val="24"/>
              </w:rPr>
            </w:pPr>
            <w:r w:rsidRPr="00AA2DD7">
              <w:rPr>
                <w:sz w:val="24"/>
                <w:szCs w:val="24"/>
              </w:rPr>
              <w:t xml:space="preserve">When undertaking safeguarding work and supporting children who may be at risk of harm, the legislation I rely upon most throughout my practice is the Social Services and Well-being (Wales) Act 2014 (SSWBA), alongside the Wales Safeguarding Procedures (2019). These </w:t>
            </w:r>
            <w:r w:rsidRPr="00AA2DD7">
              <w:rPr>
                <w:sz w:val="24"/>
                <w:szCs w:val="24"/>
              </w:rPr>
              <w:lastRenderedPageBreak/>
              <w:t>frameworks guide assessment, planning and intervention while promoting wellbeing, voice, choice and control. In addition, the Children Act 1989 remains central to my practice. Section 1 of the Act establishes that a child’s welfare must be the court’s paramount consideration when making decisions about their upbringing. This principle is fundamental when working with children who are experiencing, or are at risk of experiencing, significant harm, as it ensures that the child’s safety and wellbeing remain at the centre of professional decision-making (Children Act, 1989).</w:t>
            </w:r>
          </w:p>
          <w:p w14:paraId="2DB45158" w14:textId="77777777" w:rsidR="00AA2DD7" w:rsidRPr="00AA2DD7" w:rsidRDefault="00AA2DD7" w:rsidP="00AA2DD7">
            <w:pPr>
              <w:spacing w:after="160" w:line="360" w:lineRule="auto"/>
              <w:rPr>
                <w:sz w:val="24"/>
                <w:szCs w:val="24"/>
              </w:rPr>
            </w:pPr>
            <w:r w:rsidRPr="00AA2DD7">
              <w:rPr>
                <w:sz w:val="24"/>
                <w:szCs w:val="24"/>
              </w:rPr>
              <w:t>This case study critically reflects a safeguarding assessment involving two children, referred to as Child 1 and Child 2, and their parents, Adult 1 and Adult 2, to preserve confidentiality in accordance with the Data Protection Act 2018, UK GDPR and Social Care Wales guidance on confidentiality.</w:t>
            </w:r>
          </w:p>
          <w:p w14:paraId="79A168F1" w14:textId="77777777" w:rsidR="00AA2DD7" w:rsidRPr="00AA2DD7" w:rsidRDefault="00AA2DD7" w:rsidP="00AA2DD7">
            <w:pPr>
              <w:spacing w:after="160" w:line="360" w:lineRule="auto"/>
              <w:rPr>
                <w:sz w:val="24"/>
                <w:szCs w:val="24"/>
              </w:rPr>
            </w:pPr>
            <w:r w:rsidRPr="00AA2DD7">
              <w:rPr>
                <w:sz w:val="24"/>
                <w:szCs w:val="24"/>
              </w:rPr>
              <w:t>The assessment took place over an extended period of statutory involvement and progressed from CINCS and Child Protection interventions to PLO and, ultimately, care proceedings. The primary safeguarding concern was not a single incident but the cumulative impact of chronic parental conflict, ongoing emotional harm, and the children’s repeated exposure to adult worries and professional disputes. The case was particularly complex due to competing parental narratives, allegations, expert assessments and court proceedings.</w:t>
            </w:r>
          </w:p>
          <w:p w14:paraId="4043ECCC" w14:textId="77777777" w:rsidR="00AA2DD7" w:rsidRPr="00AA2DD7" w:rsidRDefault="00AA2DD7" w:rsidP="00AA2DD7">
            <w:pPr>
              <w:spacing w:after="160" w:line="360" w:lineRule="auto"/>
              <w:rPr>
                <w:sz w:val="24"/>
                <w:szCs w:val="24"/>
              </w:rPr>
            </w:pPr>
            <w:r w:rsidRPr="00AA2DD7">
              <w:rPr>
                <w:sz w:val="24"/>
                <w:szCs w:val="24"/>
              </w:rPr>
              <w:t>This case demonstrates the challenges social workers face when assessing emotional harm, particularly where concerns emerge gradually over time rather than through a single identifiable incident. Assessing the nature and extent of harm therefore required analysis of patterns, information from multiple sources and consideration of the children’s lived experiences (Bryce, Beccaria and Du Preez, 2022).</w:t>
            </w:r>
          </w:p>
          <w:p w14:paraId="08E022B5" w14:textId="77777777" w:rsidR="00AA2DD7" w:rsidRPr="00AA2DD7" w:rsidRDefault="00AA2DD7" w:rsidP="00AA2DD7">
            <w:pPr>
              <w:spacing w:after="160" w:line="360" w:lineRule="auto"/>
              <w:rPr>
                <w:sz w:val="24"/>
                <w:szCs w:val="24"/>
              </w:rPr>
            </w:pPr>
            <w:r w:rsidRPr="00AA2DD7">
              <w:rPr>
                <w:sz w:val="24"/>
                <w:szCs w:val="24"/>
              </w:rPr>
              <w:t>Adult 1 and Adult 2 had separated several years prior to Social Services involvement. Following the separation, conflict between the adults escalated significantly and increasingly affected all aspects of the children’s lives. Whilst both adults were able to meet the children’s basic physical needs, concerns emerged regarding their emotional wellbeing due to ongoing exposure to parental hostility, inappropriate sharing of adult information and difficulties maintaining consistent boundaries and routines.</w:t>
            </w:r>
          </w:p>
          <w:p w14:paraId="19A03001" w14:textId="77777777" w:rsidR="00AA2DD7" w:rsidRPr="00AA2DD7" w:rsidRDefault="00AA2DD7" w:rsidP="00AA2DD7">
            <w:pPr>
              <w:spacing w:after="160" w:line="360" w:lineRule="auto"/>
              <w:rPr>
                <w:sz w:val="24"/>
                <w:szCs w:val="24"/>
              </w:rPr>
            </w:pPr>
            <w:r w:rsidRPr="00AA2DD7">
              <w:rPr>
                <w:sz w:val="24"/>
                <w:szCs w:val="24"/>
              </w:rPr>
              <w:lastRenderedPageBreak/>
              <w:t>Statutory involvement commenced following an incident involving the adults, which was witnessed directly by the children. Although the incident itself generated safeguarding concerns, assessments identified that the greater risk arose from the wider pattern of parental conflict and the impact this was having on the children’s emotional development and wellbeing. Child Protection enquiries subsequently highlighted that both children had become increasingly aware of adult disputes, allegations, police involvement and court proceedings. Professionals observed that the children often used language beyond what would be expected for their age and demonstrated a level of involvement in adult matters that suggested blurred family boundaries.</w:t>
            </w:r>
          </w:p>
          <w:p w14:paraId="315E5D52" w14:textId="77777777" w:rsidR="00AA2DD7" w:rsidRPr="00AA2DD7" w:rsidRDefault="00AA2DD7" w:rsidP="00AA2DD7">
            <w:pPr>
              <w:spacing w:after="160" w:line="360" w:lineRule="auto"/>
              <w:rPr>
                <w:sz w:val="24"/>
                <w:szCs w:val="24"/>
              </w:rPr>
            </w:pPr>
            <w:r w:rsidRPr="00AA2DD7">
              <w:rPr>
                <w:sz w:val="24"/>
                <w:szCs w:val="24"/>
              </w:rPr>
              <w:t xml:space="preserve">As the assessment process progressed, evidence emerged from schools, health professionals, police, direct work sessions and family members that suggested both children were experiencing emotional harm. Child 2 frequently expressed a desire for a </w:t>
            </w:r>
            <w:r w:rsidRPr="00E85089">
              <w:rPr>
                <w:i/>
                <w:iCs/>
                <w:sz w:val="24"/>
                <w:szCs w:val="24"/>
              </w:rPr>
              <w:t>“normal life”</w:t>
            </w:r>
            <w:r w:rsidRPr="00AA2DD7">
              <w:rPr>
                <w:sz w:val="24"/>
                <w:szCs w:val="24"/>
              </w:rPr>
              <w:t xml:space="preserve"> without arguments and appeared burdened by adult worries. Child 1 demonstrated significant emotional dysregulation, poor school attendance and increasing hostility towards professionals. Whilst both children expressed strong attachment to Adult 1, there was growing concern that their wishes and feelings were becoming influenced by ongoing exposure to conflict and adult narratives.</w:t>
            </w:r>
          </w:p>
          <w:p w14:paraId="0C2EED28" w14:textId="77777777" w:rsidR="00AA2DD7" w:rsidRPr="00AA2DD7" w:rsidRDefault="00AA2DD7" w:rsidP="00AA2DD7">
            <w:pPr>
              <w:spacing w:after="160" w:line="360" w:lineRule="auto"/>
              <w:rPr>
                <w:sz w:val="24"/>
                <w:szCs w:val="24"/>
              </w:rPr>
            </w:pPr>
            <w:r w:rsidRPr="00AA2DD7">
              <w:rPr>
                <w:sz w:val="24"/>
                <w:szCs w:val="24"/>
              </w:rPr>
              <w:t>The family became subject to Child Protection planning under the categories of emotional and physical harm. Despite extensive support being offered, concerns continued to escalate. The local authority attempted to work collaboratively with both adults through Child Protection processes and later through the PLO. However, progress was limited and professionals remained concerned that the children’s emotional wellbeing continued to deteriorate. As safeguarding concerns increased, care proceedings were ultimately initiated.</w:t>
            </w:r>
          </w:p>
          <w:p w14:paraId="7F4CCD40" w14:textId="77777777" w:rsidR="00AA2DD7" w:rsidRPr="00AA2DD7" w:rsidRDefault="00AA2DD7" w:rsidP="00AA2DD7">
            <w:pPr>
              <w:spacing w:after="160" w:line="360" w:lineRule="auto"/>
              <w:rPr>
                <w:sz w:val="24"/>
                <w:szCs w:val="24"/>
              </w:rPr>
            </w:pPr>
            <w:r w:rsidRPr="00AA2DD7">
              <w:rPr>
                <w:sz w:val="24"/>
                <w:szCs w:val="24"/>
              </w:rPr>
              <w:t>By the conclusion of proceedings, the central safeguarding question had moved beyond whether parental conflict existed. Instead, my assessment focused on understanding the extent to which the children had been emotionally harmed by prolonged exposure to conflict, adult responsibilities and competing loyalties, and whether either adult could sufficiently prioritise the children’s emotional needs over their own grievances and disputes.</w:t>
            </w:r>
          </w:p>
          <w:p w14:paraId="406B1985" w14:textId="77777777" w:rsidR="00AA2DD7" w:rsidRPr="00AA2DD7" w:rsidRDefault="00AA2DD7" w:rsidP="00AA2DD7">
            <w:pPr>
              <w:spacing w:after="160" w:line="360" w:lineRule="auto"/>
              <w:rPr>
                <w:sz w:val="24"/>
                <w:szCs w:val="24"/>
              </w:rPr>
            </w:pPr>
            <w:r w:rsidRPr="00AA2DD7">
              <w:rPr>
                <w:sz w:val="24"/>
                <w:szCs w:val="24"/>
              </w:rPr>
              <w:lastRenderedPageBreak/>
              <w:t>Safeguarding practice in Wales is underpinned by a range of legislation, policy and guidance which informed my assessment and intervention undertaken in this case. The primary legislative framework was the Social Services and Well-being (Wales) Act 2014 (SSWBA), which places a duty on local authorities to promote wellbeing and protect children at risk of abuse, neglect and harm. The Act is underpinned by the principles of voice, choice and control, whilst recognising that statutory intervention may be necessary when children’s welfare cannot be safeguarded through voluntary support alone.</w:t>
            </w:r>
          </w:p>
          <w:p w14:paraId="67BED429" w14:textId="77777777" w:rsidR="00AA2DD7" w:rsidRPr="00AA2DD7" w:rsidRDefault="00AA2DD7" w:rsidP="00AA2DD7">
            <w:pPr>
              <w:spacing w:after="160" w:line="360" w:lineRule="auto"/>
              <w:rPr>
                <w:sz w:val="24"/>
                <w:szCs w:val="24"/>
              </w:rPr>
            </w:pPr>
            <w:r w:rsidRPr="00AA2DD7">
              <w:rPr>
                <w:sz w:val="24"/>
                <w:szCs w:val="24"/>
              </w:rPr>
              <w:t>The principles underpinning the SSWBA were particularly relevant throughout this case. Whilst the Act promotes collaboration, participation and co-production, this case highlighted that these principles can be difficult to achieve when significant safeguarding concerns are present. Considerable efforts were made to work collaboratively with Adult 1 and Adult 2 through Child Protection processes, PLO meetings and ongoing assessments. However, despite these interventions, concerns regarding the children’s emotional wellbeing continued to escalate. This required me to balance partnership working with my statutory responsibility to safeguard Child 1 and Child 2.</w:t>
            </w:r>
          </w:p>
          <w:p w14:paraId="1EDE28B9" w14:textId="77777777" w:rsidR="00AA2DD7" w:rsidRPr="00AA2DD7" w:rsidRDefault="00AA2DD7" w:rsidP="00AA2DD7">
            <w:pPr>
              <w:spacing w:after="160" w:line="360" w:lineRule="auto"/>
              <w:rPr>
                <w:sz w:val="24"/>
                <w:szCs w:val="24"/>
              </w:rPr>
            </w:pPr>
            <w:r w:rsidRPr="00AA2DD7">
              <w:rPr>
                <w:sz w:val="24"/>
                <w:szCs w:val="24"/>
              </w:rPr>
              <w:t>Alongside the SSWBA, safeguarding decisions were guided by the Wales Safeguarding Procedures (2019), which provide practitioners with a consistent framework for identifying, assessing and responding to abuse and neglect across Wales. The procedures emphasise multi-agency working, information sharing and child-centred assessment when evaluating risk. Within this case, they supported the gathering and analysis of information from a range of agencies to build a fuller understanding of the concerns and inform decision-making.</w:t>
            </w:r>
          </w:p>
          <w:p w14:paraId="4BCD1666" w14:textId="77777777" w:rsidR="00AA2DD7" w:rsidRDefault="00AA2DD7" w:rsidP="00AA2DD7">
            <w:pPr>
              <w:spacing w:after="160" w:line="360" w:lineRule="auto"/>
              <w:rPr>
                <w:sz w:val="24"/>
                <w:szCs w:val="24"/>
              </w:rPr>
            </w:pPr>
            <w:r w:rsidRPr="00AA2DD7">
              <w:rPr>
                <w:sz w:val="24"/>
                <w:szCs w:val="24"/>
              </w:rPr>
              <w:t xml:space="preserve">A further challenge within this case related to power and authority. As a statutory social worker involved in Child Protection and care proceedings, I held powers that had the potential to significantly affect family life. Throughout my involvement, I remained mindful that although statutory intervention was sometimes necessary, families should still be treated with dignity, respect and transparency. The Welsh Government’s Anti-racist Wales Action Plan (2024) highlights the importance of recognising power imbalances and ensuring services work in a way that actively challenges discrimination and oppression. This required </w:t>
            </w:r>
            <w:r w:rsidRPr="00AA2DD7">
              <w:rPr>
                <w:sz w:val="24"/>
                <w:szCs w:val="24"/>
              </w:rPr>
              <w:lastRenderedPageBreak/>
              <w:t>me to balance my legal responsibilities with the need to ensure that Child 1, Child 2 and the adults felt listened to and understood throughout the assessment process.</w:t>
            </w:r>
          </w:p>
          <w:p w14:paraId="0ED9E64D" w14:textId="66AC3869" w:rsidR="00A56B92" w:rsidRPr="00AA2DD7" w:rsidRDefault="0043611A" w:rsidP="00AA2DD7">
            <w:pPr>
              <w:spacing w:after="160" w:line="360" w:lineRule="auto"/>
              <w:rPr>
                <w:sz w:val="24"/>
                <w:szCs w:val="24"/>
              </w:rPr>
            </w:pPr>
            <w:r>
              <w:rPr>
                <w:sz w:val="24"/>
                <w:szCs w:val="24"/>
              </w:rPr>
              <w:t xml:space="preserve">Reflection on this case </w:t>
            </w:r>
            <w:r w:rsidR="00A56B92" w:rsidRPr="00A56B92">
              <w:rPr>
                <w:sz w:val="24"/>
                <w:szCs w:val="24"/>
              </w:rPr>
              <w:t xml:space="preserve">encouraged me to think critically about how families experience social work intervention. Whilst safeguarding concerns required statutory involvement, I remained </w:t>
            </w:r>
            <w:r w:rsidR="006E4265">
              <w:rPr>
                <w:sz w:val="24"/>
                <w:szCs w:val="24"/>
              </w:rPr>
              <w:t xml:space="preserve">aware </w:t>
            </w:r>
            <w:r w:rsidR="00A56B92" w:rsidRPr="00A56B92">
              <w:rPr>
                <w:sz w:val="24"/>
                <w:szCs w:val="24"/>
              </w:rPr>
              <w:t xml:space="preserve">that professional authority can sometimes be experienced as intrusive or disempowering. Creating opportunities for participation, explaining decisions clearly and ensuring </w:t>
            </w:r>
            <w:r w:rsidR="001229A1">
              <w:rPr>
                <w:sz w:val="24"/>
                <w:szCs w:val="24"/>
              </w:rPr>
              <w:t>the family</w:t>
            </w:r>
            <w:r w:rsidR="00A56B92" w:rsidRPr="00A56B92">
              <w:rPr>
                <w:sz w:val="24"/>
                <w:szCs w:val="24"/>
              </w:rPr>
              <w:t xml:space="preserve"> understood the reasons for professional concerns helped promote transparency throughout the assessment. Reflecting on power in this way strengthened my understanding of how anti-oppressive practice extends beyond recognising discrimination and also involves considering how statutory processes affect engagement</w:t>
            </w:r>
            <w:r>
              <w:rPr>
                <w:sz w:val="24"/>
                <w:szCs w:val="24"/>
              </w:rPr>
              <w:t xml:space="preserve"> and trust.</w:t>
            </w:r>
          </w:p>
          <w:p w14:paraId="15E1350D" w14:textId="4A2EC96B" w:rsidR="00AA2DD7" w:rsidRPr="00AA2DD7" w:rsidRDefault="00AA2DD7" w:rsidP="00AA2DD7">
            <w:pPr>
              <w:spacing w:after="160" w:line="360" w:lineRule="auto"/>
              <w:rPr>
                <w:sz w:val="24"/>
                <w:szCs w:val="24"/>
              </w:rPr>
            </w:pPr>
            <w:r w:rsidRPr="00AA2DD7">
              <w:rPr>
                <w:sz w:val="24"/>
                <w:szCs w:val="24"/>
              </w:rPr>
              <w:t xml:space="preserve">Adult 1 frequently challenged professional involvement and raised complaints about agencies. Whilst these challenges were difficult, </w:t>
            </w:r>
            <w:r w:rsidR="00ED379D" w:rsidRPr="00ED379D">
              <w:rPr>
                <w:sz w:val="24"/>
                <w:szCs w:val="24"/>
              </w:rPr>
              <w:t>they provided a practical reminder of the issues discussed above and reinforced the importance of considering how statutory intervention can be experienced by families. Maintaining transparency about concerns, explaining decision-making and ensuring opportunities for participation helped reduce the risk of families feeling that decisions were being imposed upon them. This helped me remain focused on building and maintaining working relationships, even where there was significant disagreement with professional views and recommendations.</w:t>
            </w:r>
          </w:p>
          <w:p w14:paraId="1CB8B644" w14:textId="4F6C3097" w:rsidR="00AA2DD7" w:rsidRPr="00AA2DD7" w:rsidRDefault="00AA2DD7" w:rsidP="00AA2DD7">
            <w:pPr>
              <w:spacing w:after="160" w:line="360" w:lineRule="auto"/>
              <w:rPr>
                <w:sz w:val="24"/>
                <w:szCs w:val="24"/>
              </w:rPr>
            </w:pPr>
            <w:r w:rsidRPr="00AA2DD7">
              <w:rPr>
                <w:sz w:val="24"/>
                <w:szCs w:val="24"/>
              </w:rPr>
              <w:t>Whilst safeguarding practice is devolved in Wales, Children’s Services also operate within a wider United Kingdom and international legal framework. The Children Act 1989 was central to this case, particularly the principle that the child’s welfare should be the court’s paramount consideration when making decisions about their upbringing. As concerns escalated and proceedings entered the court arena, the Children Act 1989 provided the legal basis for court intervention and informed consideration of the welfare checklist when assessing the children’s needs, wishes and feelings, the harm they had suffered or were likely to suffer, and the capacity of each parent to meet those needs.</w:t>
            </w:r>
            <w:r w:rsidR="00B46B88">
              <w:rPr>
                <w:sz w:val="24"/>
                <w:szCs w:val="24"/>
              </w:rPr>
              <w:t xml:space="preserve"> </w:t>
            </w:r>
            <w:r w:rsidRPr="00AA2DD7">
              <w:rPr>
                <w:sz w:val="24"/>
                <w:szCs w:val="24"/>
              </w:rPr>
              <w:t xml:space="preserve">Information-sharing responsibilities continue to be influenced by UK GDPR, which has its origins in European Union legislation, whilst the Human Rights Act 1998 and United Nations Convention on the Rights of the Child </w:t>
            </w:r>
            <w:r w:rsidRPr="00AA2DD7">
              <w:rPr>
                <w:sz w:val="24"/>
                <w:szCs w:val="24"/>
              </w:rPr>
              <w:lastRenderedPageBreak/>
              <w:t>(UNCRC) provide additional legal and ethical frameworks that support rights-based practice when working with children and families.</w:t>
            </w:r>
          </w:p>
          <w:p w14:paraId="75350EC4" w14:textId="440EACBD" w:rsidR="00AA2DD7" w:rsidRPr="00AA2DD7" w:rsidRDefault="00AA2DD7" w:rsidP="00AA2DD7">
            <w:pPr>
              <w:spacing w:after="160" w:line="360" w:lineRule="auto"/>
              <w:rPr>
                <w:sz w:val="24"/>
                <w:szCs w:val="24"/>
              </w:rPr>
            </w:pPr>
            <w:r w:rsidRPr="00AA2DD7">
              <w:rPr>
                <w:sz w:val="24"/>
                <w:szCs w:val="24"/>
              </w:rPr>
              <w:t>Furthermore, Article 8 of the European Convention on Human Rights</w:t>
            </w:r>
            <w:r w:rsidR="00BD4630">
              <w:rPr>
                <w:sz w:val="24"/>
                <w:szCs w:val="24"/>
              </w:rPr>
              <w:t>, i</w:t>
            </w:r>
            <w:r w:rsidR="00BD4630" w:rsidRPr="00BD4630">
              <w:rPr>
                <w:sz w:val="24"/>
                <w:szCs w:val="24"/>
              </w:rPr>
              <w:t>ncorporated into domestic law through the Human Rights Act 1998,</w:t>
            </w:r>
            <w:r w:rsidR="00BD4630">
              <w:rPr>
                <w:sz w:val="24"/>
                <w:szCs w:val="24"/>
              </w:rPr>
              <w:t xml:space="preserve"> </w:t>
            </w:r>
            <w:r w:rsidRPr="00AA2DD7">
              <w:rPr>
                <w:sz w:val="24"/>
                <w:szCs w:val="24"/>
              </w:rPr>
              <w:t>protects an individual’s right to respect for private and family life. Decisions to escalate concerns, initiate care proceedings and seek restrictions upon family relationships therefore represented significant interference with family life and required clear evidence that intervention was lawful, necessary and proportionate. Throughout the assessment, I needed to consider whether the concerns identified justified increasing levels of intervention and whether there were any less intrusive options available that could safely protect the children. Although preserving family relationships remained important, the children’s rights to safety, wellbeing and protection from harm ultimately required significant weight within decision-making.</w:t>
            </w:r>
          </w:p>
          <w:p w14:paraId="0F845AA9" w14:textId="77777777" w:rsidR="00AA2DD7" w:rsidRPr="00AA2DD7" w:rsidRDefault="00AA2DD7" w:rsidP="00AA2DD7">
            <w:pPr>
              <w:spacing w:after="160" w:line="360" w:lineRule="auto"/>
              <w:rPr>
                <w:sz w:val="24"/>
                <w:szCs w:val="24"/>
              </w:rPr>
            </w:pPr>
            <w:r w:rsidRPr="00AA2DD7">
              <w:rPr>
                <w:sz w:val="24"/>
                <w:szCs w:val="24"/>
              </w:rPr>
              <w:t>The Equality Act 2010 was particularly relevant in relation to Adult 1’s reported health difficulties and subsequent diagnosis of Autism Spectrum Disorder (ASD). The Act requires public bodies to avoid discrimination and make reasonable adjustments where necessary. Throughout my involvement, I needed to ensure that Adult 1’s communication needs and reported difficulties were considered appropriately. Whilst Adult 1’s ASD diagnosis helped me understand some of the difficulties they experienced, I was mindful that the concerns for Child 1 and Child 2 could not simply be explained by a diagnosis. Thompson (2016) argues that anti-oppressive practice requires practitioners to look beyond labels and consider an individual’s circumstances more holistically. Therefore, rather than focusing on Adult 1’s diagnosis itself, I remained focused on the children’s lived experiences and the impact that Adult 1’s behaviours were having upon them. I felt this was important in ensuring the assessment remained balanced, evidence-based and child-centred.</w:t>
            </w:r>
          </w:p>
          <w:p w14:paraId="6396B6C5" w14:textId="3CA6ADC0" w:rsidR="00AA2DD7" w:rsidRPr="00AA2DD7" w:rsidRDefault="00AA2DD7" w:rsidP="00AA2DD7">
            <w:pPr>
              <w:spacing w:after="160" w:line="360" w:lineRule="auto"/>
              <w:rPr>
                <w:sz w:val="24"/>
                <w:szCs w:val="24"/>
              </w:rPr>
            </w:pPr>
            <w:r w:rsidRPr="00AA2DD7">
              <w:rPr>
                <w:sz w:val="24"/>
                <w:szCs w:val="24"/>
              </w:rPr>
              <w:t>The United Nations Convention on the Rights of the Child (UNCRC) states that children’s best interests should be a primary consideration in all decisions affecting them</w:t>
            </w:r>
            <w:r w:rsidR="003E549A">
              <w:rPr>
                <w:sz w:val="24"/>
                <w:szCs w:val="24"/>
              </w:rPr>
              <w:t>, (Article 3),</w:t>
            </w:r>
            <w:r w:rsidRPr="00AA2DD7">
              <w:rPr>
                <w:sz w:val="24"/>
                <w:szCs w:val="24"/>
              </w:rPr>
              <w:t xml:space="preserve"> and that children have the right to express their views in matters concerning them</w:t>
            </w:r>
            <w:r w:rsidR="00CC10E0">
              <w:rPr>
                <w:sz w:val="24"/>
                <w:szCs w:val="24"/>
              </w:rPr>
              <w:t xml:space="preserve"> (Article 12)</w:t>
            </w:r>
            <w:r w:rsidRPr="00AA2DD7">
              <w:rPr>
                <w:sz w:val="24"/>
                <w:szCs w:val="24"/>
              </w:rPr>
              <w:t xml:space="preserve">. These principles were reflected throughout my direct work with Child 1 and Child 2, where understanding their wishes, feelings and lived experiences formed a key part of the </w:t>
            </w:r>
            <w:r w:rsidRPr="00AA2DD7">
              <w:rPr>
                <w:sz w:val="24"/>
                <w:szCs w:val="24"/>
              </w:rPr>
              <w:lastRenderedPageBreak/>
              <w:t>assessment. However, this case also highlighted the complexity of balancing the children’s wishes and feelings with an assessment of what was in their best interests.</w:t>
            </w:r>
          </w:p>
          <w:p w14:paraId="27EE984E" w14:textId="77777777" w:rsidR="00AA2DD7" w:rsidRPr="00AA2DD7" w:rsidRDefault="00AA2DD7" w:rsidP="00AA2DD7">
            <w:pPr>
              <w:spacing w:after="160" w:line="360" w:lineRule="auto"/>
              <w:rPr>
                <w:sz w:val="24"/>
                <w:szCs w:val="24"/>
              </w:rPr>
            </w:pPr>
            <w:r w:rsidRPr="00AA2DD7">
              <w:rPr>
                <w:sz w:val="24"/>
                <w:szCs w:val="24"/>
              </w:rPr>
              <w:t>Whilst Child 1 and Child 2 were given opportunities to share their views throughout the assessment, there were concerns that prolonged exposure to adult conflict had influenced how they understood the situation. This meant I could not rely solely on what the children were saying at a particular point in time and instead needed to consider their views alongside their lived experiences, presentation and the wider information available. This approach remained consistent with the child-centred principles of the UNCRC whilst ensuring that safeguarding decisions were informed by a holistic assessment of need rather than expressed wishes in isolation.</w:t>
            </w:r>
          </w:p>
          <w:p w14:paraId="0755C207" w14:textId="77777777" w:rsidR="00AA2DD7" w:rsidRPr="00AA2DD7" w:rsidRDefault="00AA2DD7" w:rsidP="00AA2DD7">
            <w:pPr>
              <w:spacing w:after="160" w:line="360" w:lineRule="auto"/>
              <w:rPr>
                <w:sz w:val="24"/>
                <w:szCs w:val="24"/>
              </w:rPr>
            </w:pPr>
            <w:r w:rsidRPr="00AA2DD7">
              <w:rPr>
                <w:sz w:val="24"/>
                <w:szCs w:val="24"/>
              </w:rPr>
              <w:t>The Welsh context of practice extends beyond safeguarding legislation alone. The Active Offer and the principles outlined within More than Just Words (Welsh Government, 2012) require practitioners to proactively consider language preference and communication needs rather than expecting individuals to request support themselves. Both Child 1 and Child 2 were Welsh speakers and initially attended Welsh-medium education. During the course of proceedings, Child 1 transferred from a Welsh-medium school to an English-medium school due to difficulties with their peers and staff members. Whilst this altered the language of education, it did not remove the need to consider the children’s linguistic identity as part of a holistic assessment of wellbeing.</w:t>
            </w:r>
          </w:p>
          <w:p w14:paraId="00014A48" w14:textId="6063FECD" w:rsidR="00AA2DD7" w:rsidRPr="00AA2DD7" w:rsidRDefault="00AA2DD7" w:rsidP="00AA2DD7">
            <w:pPr>
              <w:spacing w:after="160" w:line="360" w:lineRule="auto"/>
              <w:rPr>
                <w:sz w:val="24"/>
                <w:szCs w:val="24"/>
              </w:rPr>
            </w:pPr>
            <w:r w:rsidRPr="00AA2DD7">
              <w:rPr>
                <w:sz w:val="24"/>
                <w:szCs w:val="24"/>
              </w:rPr>
              <w:t xml:space="preserve">It was therefore important to ensure that opportunities remained available for both children to communicate in their preferred language if they wished to do so. Although Welsh language services were not specifically requested by the family, consideration of language and culture formed part of a person-centred and rights-based approach to assessment and intervention. This aligns with the Welsh Language (Wales) Measure 2011 and the wider principles of participation, inclusion and wellbeing that underpin social work practice in Wales. The Active Offer is particularly important because it places responsibility upon services, rather than individuals, to identify and respond to language needs. In this case, consideration of Welsh language and cultural identity formed part of </w:t>
            </w:r>
            <w:r w:rsidR="000575E7">
              <w:rPr>
                <w:sz w:val="24"/>
                <w:szCs w:val="24"/>
              </w:rPr>
              <w:t>the overall</w:t>
            </w:r>
            <w:r w:rsidRPr="00AA2DD7">
              <w:rPr>
                <w:sz w:val="24"/>
                <w:szCs w:val="24"/>
              </w:rPr>
              <w:t xml:space="preserve"> assessment </w:t>
            </w:r>
            <w:r w:rsidRPr="00AA2DD7">
              <w:rPr>
                <w:sz w:val="24"/>
                <w:szCs w:val="24"/>
              </w:rPr>
              <w:lastRenderedPageBreak/>
              <w:t>of the children’s wellbeing and contributed to ensuring their voices remained central throughout the safeguarding process.</w:t>
            </w:r>
          </w:p>
          <w:p w14:paraId="4C8B676D" w14:textId="77777777" w:rsidR="00AA2DD7" w:rsidRPr="00AA2DD7" w:rsidRDefault="00AA2DD7" w:rsidP="00AA2DD7">
            <w:pPr>
              <w:spacing w:after="160" w:line="360" w:lineRule="auto"/>
              <w:rPr>
                <w:sz w:val="24"/>
                <w:szCs w:val="24"/>
              </w:rPr>
            </w:pPr>
            <w:r w:rsidRPr="00AA2DD7">
              <w:rPr>
                <w:sz w:val="24"/>
                <w:szCs w:val="24"/>
              </w:rPr>
              <w:t>As the assessment progressed, it became clear that this was more than a case of separated parents struggling to co-parent. What increasingly concerned me was the extent to which Child 1 and Child 2 appeared drawn into adult disputes, court proceedings and professional involvement, rather than being protected from these issues.</w:t>
            </w:r>
          </w:p>
          <w:p w14:paraId="1B0B8E14" w14:textId="77777777" w:rsidR="00AA2DD7" w:rsidRPr="00AA2DD7" w:rsidRDefault="00AA2DD7" w:rsidP="00AA2DD7">
            <w:pPr>
              <w:spacing w:after="160" w:line="360" w:lineRule="auto"/>
              <w:rPr>
                <w:sz w:val="24"/>
                <w:szCs w:val="24"/>
              </w:rPr>
            </w:pPr>
            <w:r w:rsidRPr="00AA2DD7">
              <w:rPr>
                <w:sz w:val="24"/>
                <w:szCs w:val="24"/>
              </w:rPr>
              <w:t>No single incident led me to conclude that Child 1 and Child 2 were experiencing emotional harm. Instead, concerns developed gradually through direct work, information from schools, health records, police involvement, parenting assessments and observations from professionals involved with the family. When looked at together, a consistent pattern emerged. Bryce, Beccaria and Du Preez (2022) suggest that cumulative harm is often best understood through a child’s lived experiences and the impact of repeated adverse experiences over time. This reflected my experience of the case, as many concerns appeared less significant when viewed individually but became increasingly worrying when considered alongside the wider picture.</w:t>
            </w:r>
          </w:p>
          <w:p w14:paraId="25564F90" w14:textId="77777777" w:rsidR="00AA2DD7" w:rsidRPr="00AA2DD7" w:rsidRDefault="00AA2DD7" w:rsidP="00AA2DD7">
            <w:pPr>
              <w:spacing w:after="160" w:line="360" w:lineRule="auto"/>
              <w:rPr>
                <w:sz w:val="24"/>
                <w:szCs w:val="24"/>
              </w:rPr>
            </w:pPr>
            <w:r w:rsidRPr="00AA2DD7">
              <w:rPr>
                <w:sz w:val="24"/>
                <w:szCs w:val="24"/>
              </w:rPr>
              <w:t>What became increasingly apparent during direct work was the emotional burden both children appeared to be carrying. Child 2 regularly spoke about adults arguing and often expressed a wish for their life to be different. Child 2 appeared preoccupied by adult matters and frequently referenced court proceedings, professional involvement and conflict between family members. Child 1 presented differently but with similar underlying concerns. Difficulties with emotional regulation, poor engagement with education and hostility towards professionals became recurring themes throughout the assessment. Whilst these presentations may have had several possible explanations, I was concerned by how closely they sat alongside the ongoing conflict and instability surrounding them.</w:t>
            </w:r>
          </w:p>
          <w:p w14:paraId="7B3706EC" w14:textId="77777777" w:rsidR="00AA2DD7" w:rsidRPr="00AA2DD7" w:rsidRDefault="00AA2DD7" w:rsidP="00AA2DD7">
            <w:pPr>
              <w:spacing w:after="160" w:line="360" w:lineRule="auto"/>
              <w:rPr>
                <w:sz w:val="24"/>
                <w:szCs w:val="24"/>
              </w:rPr>
            </w:pPr>
            <w:r w:rsidRPr="00AA2DD7">
              <w:rPr>
                <w:sz w:val="24"/>
                <w:szCs w:val="24"/>
              </w:rPr>
              <w:t xml:space="preserve">This was particularly important when considering the wellbeing duty contained within the Social Services and Well-being (Wales) Act 2014. The Act requires practitioners to consider a child’s overall wellbeing rather than focusing solely on immediate safety concerns. Looking beyond individual incidents and considering how Child 1 and Child 2 were experiencing </w:t>
            </w:r>
            <w:r w:rsidRPr="00AA2DD7">
              <w:rPr>
                <w:sz w:val="24"/>
                <w:szCs w:val="24"/>
              </w:rPr>
              <w:lastRenderedPageBreak/>
              <w:t>everyday life helped me develop a clearer understanding of the impact that ongoing conflict was having on their emotional wellbeing and overall development.</w:t>
            </w:r>
          </w:p>
          <w:p w14:paraId="0911941C" w14:textId="77777777" w:rsidR="00AA2DD7" w:rsidRPr="00AA2DD7" w:rsidRDefault="00AA2DD7" w:rsidP="00AA2DD7">
            <w:pPr>
              <w:spacing w:after="160" w:line="360" w:lineRule="auto"/>
              <w:rPr>
                <w:sz w:val="24"/>
                <w:szCs w:val="24"/>
              </w:rPr>
            </w:pPr>
            <w:r w:rsidRPr="00AA2DD7">
              <w:rPr>
                <w:sz w:val="24"/>
                <w:szCs w:val="24"/>
              </w:rPr>
              <w:t>Throughout my intervention with the family, it became clear that the concerns could not be understood by looking at one incident or one relationship in isolation. Difficulties were evident across several areas of the children’s lives, including their family relationships, education, involvement with professionals and wider support networks. Antony (2022), drawing on Bronfenbrenner’s Ecological Systems Theory, suggests that children’s wellbeing is influenced by multiple interconnected systems and experiences. This reflected my assessment of Child 1 and Child 2, as concerns were evident across different areas of their lives rather than within a single environment. It also reinforced the importance of gathering information from multiple sources to develop a fuller understanding of their lived experiences.</w:t>
            </w:r>
          </w:p>
          <w:p w14:paraId="026B99C4" w14:textId="77777777" w:rsidR="00AA2DD7" w:rsidRPr="00AA2DD7" w:rsidRDefault="00AA2DD7" w:rsidP="00AA2DD7">
            <w:pPr>
              <w:spacing w:after="160" w:line="360" w:lineRule="auto"/>
              <w:rPr>
                <w:sz w:val="24"/>
                <w:szCs w:val="24"/>
              </w:rPr>
            </w:pPr>
            <w:r w:rsidRPr="00AA2DD7">
              <w:rPr>
                <w:sz w:val="24"/>
                <w:szCs w:val="24"/>
              </w:rPr>
              <w:t>I was also concerned by the extent to which Child 1 and Child 2 appeared drawn into difficulties that should have remained between adults. Family Systems Theory suggests that difficulties between adults often affect the wider family system rather than remaining contained between those directly involved (Minuchin, 1974). This seemed particularly relevant within this case. Child 2 often appeared caught between competing narratives and struggled to separate personal feelings from information received from adults. Child 1 similarly appeared to carry worries that were beyond their developmental understanding. Rather than being protected from conflict, both children appeared to have become part of it.</w:t>
            </w:r>
          </w:p>
          <w:p w14:paraId="74F6B264" w14:textId="77777777" w:rsidR="00AA2DD7" w:rsidRPr="00AA2DD7" w:rsidRDefault="00AA2DD7" w:rsidP="00AA2DD7">
            <w:pPr>
              <w:spacing w:after="160" w:line="360" w:lineRule="auto"/>
              <w:rPr>
                <w:sz w:val="24"/>
                <w:szCs w:val="24"/>
              </w:rPr>
            </w:pPr>
            <w:r w:rsidRPr="00AA2DD7">
              <w:rPr>
                <w:sz w:val="24"/>
                <w:szCs w:val="24"/>
              </w:rPr>
              <w:t xml:space="preserve">Identifying risk was only one part of the assessment. I also needed to consider the strengths and protective factors within the family. Both children clearly had a strong relationship with Adult 1 and enjoyed spending time with them. It was evident that they loved Adult 1 and wanted to maintain that relationship. This was an important protective factor and one that required careful consideration throughout the assessment. However, I was mindful that strong attachments do not automatically mean a child’s emotional needs are being fully met. Bowlby (1988) highlights the importance of secure and consistent relationships in supporting children’s emotional development. Whilst Child 1 and Child 2 demonstrated a strong </w:t>
            </w:r>
            <w:r w:rsidRPr="00AA2DD7">
              <w:rPr>
                <w:sz w:val="24"/>
                <w:szCs w:val="24"/>
              </w:rPr>
              <w:lastRenderedPageBreak/>
              <w:t>attachment to Adult 1, I remained concerned about the extent to which they were exposed to adult worries, conflict and responsibilities whilst in their care.</w:t>
            </w:r>
          </w:p>
          <w:p w14:paraId="37269D64" w14:textId="77777777" w:rsidR="00AA2DD7" w:rsidRPr="00AA2DD7" w:rsidRDefault="00AA2DD7" w:rsidP="00AA2DD7">
            <w:pPr>
              <w:spacing w:after="160" w:line="360" w:lineRule="auto"/>
              <w:rPr>
                <w:sz w:val="24"/>
                <w:szCs w:val="24"/>
              </w:rPr>
            </w:pPr>
            <w:r w:rsidRPr="00AA2DD7">
              <w:rPr>
                <w:sz w:val="24"/>
                <w:szCs w:val="24"/>
              </w:rPr>
              <w:t>Alongside the strengths identified in Adult 1’s relationship with the children, assessment also identified a number of protective factors associated with Adult 2’s care. Information from schools, family members and professionals suggested that Child 1 and Child 2 experienced greater routine, consistency and emotional containment whilst residing with Adult 2. Improvements in school attendance, daily routines and emotional presentation were observed during periods where exposure to conflict reduced and expectations remained clear. This did not mean Adult 2’s care was without challenges, but it highlighted the importance of considering both risk and protective factors when assessing the children’s welfare.</w:t>
            </w:r>
          </w:p>
          <w:p w14:paraId="5F70E7DB" w14:textId="77777777" w:rsidR="00AA2DD7" w:rsidRPr="00AA2DD7" w:rsidRDefault="00AA2DD7" w:rsidP="00AA2DD7">
            <w:pPr>
              <w:spacing w:after="160" w:line="360" w:lineRule="auto"/>
              <w:rPr>
                <w:sz w:val="24"/>
                <w:szCs w:val="24"/>
              </w:rPr>
            </w:pPr>
            <w:r w:rsidRPr="00AA2DD7">
              <w:rPr>
                <w:sz w:val="24"/>
                <w:szCs w:val="24"/>
              </w:rPr>
              <w:t>The complexity of the assessment was increased by differing adult accounts, changing wishes and feelings expressed by the children and ongoing allegations between family members. Given the complexity of the information available, I needed to remain professionally curious and avoid reaching conclusions based solely on individual incidents or allegations. The Code of Professional Practice requires social workers to exercise professional judgement, use evidence to inform decision-making and take responsibility for the quality of their practice (Social Care Wales, 2026). For this reason, I was careful not to rely on one account, one allegation or one professional opinion when reaching conclusions about risk and harm.</w:t>
            </w:r>
          </w:p>
          <w:p w14:paraId="097BB74B" w14:textId="77777777" w:rsidR="00AA2DD7" w:rsidRPr="00AA2DD7" w:rsidRDefault="00AA2DD7" w:rsidP="00AA2DD7">
            <w:pPr>
              <w:spacing w:after="160" w:line="360" w:lineRule="auto"/>
              <w:rPr>
                <w:sz w:val="24"/>
                <w:szCs w:val="24"/>
              </w:rPr>
            </w:pPr>
            <w:r w:rsidRPr="00AA2DD7">
              <w:rPr>
                <w:sz w:val="24"/>
                <w:szCs w:val="24"/>
              </w:rPr>
              <w:t xml:space="preserve">Reaching conclusions within this case was not straightforward because much of the available information was contested. Both adults presented differing accounts of events, and there were occasions where allegations, professional opinions and the children’s expressed wishes appeared to point in different directions. This meant accepting that there were no easy answers and taking time to understand the complexity of the family’s circumstances. Munro (2011) highlights that safeguarding decision-making rarely involves complete information and instead requires practitioners to weigh evidence, consider alternative explanations and make reasoned judgements based on the information available at the time. This reflected my experience throughout the assessment. Rather than focusing on proving or disproving individual allegations, I found it more helpful to consider whether </w:t>
            </w:r>
            <w:r w:rsidRPr="00AA2DD7">
              <w:rPr>
                <w:sz w:val="24"/>
                <w:szCs w:val="24"/>
              </w:rPr>
              <w:lastRenderedPageBreak/>
              <w:t>information from multiple sources consistently supported concerns about the children’s wellbeing. On reflection, this strengthened my understanding that professional judgement is not about certainty but about reaching defensible conclusions through careful analysis, critical reflection and evidence-based decision-making. This was particularly important given the significant implications that assessment outcomes could have for the children and their family.</w:t>
            </w:r>
          </w:p>
          <w:p w14:paraId="6A337FF3" w14:textId="77777777" w:rsidR="00AA2DD7" w:rsidRPr="00AA2DD7" w:rsidRDefault="00AA2DD7" w:rsidP="00AA2DD7">
            <w:pPr>
              <w:spacing w:after="160" w:line="360" w:lineRule="auto"/>
              <w:rPr>
                <w:sz w:val="24"/>
                <w:szCs w:val="24"/>
              </w:rPr>
            </w:pPr>
            <w:r w:rsidRPr="00AA2DD7">
              <w:rPr>
                <w:sz w:val="24"/>
                <w:szCs w:val="24"/>
              </w:rPr>
              <w:t>Ultimately, what concerned me most was not one particular incident but the impact that ongoing conflict was having on Child 1 and Child 2 over a prolonged period of time. The assessment indicated that both children had become increasingly affected by adult worries, divided loyalties and ongoing disputes between the adults. This informed my professional judgement that Child 1 and Child 2 required greater stability, consistency and emotional protection than they were currently experiencing. Under the Social Services and Well-being (Wales) Act 2014, wellbeing extends beyond physical safety and includes emotional wellbeing, relationships and participation in everyday life. It was my assessment that the children’s wellbeing was being adversely affected by continued exposure to conflict and adult worries despite the support and interventions already in place. Consequently, the focus of the assessment moved beyond identifying concerns and towards considering what intervention was necessary to safeguard their wellbeing and promote better outcomes in the longer term.</w:t>
            </w:r>
          </w:p>
          <w:p w14:paraId="54C086F6" w14:textId="77777777" w:rsidR="00AA2DD7" w:rsidRPr="00AA2DD7" w:rsidRDefault="00AA2DD7" w:rsidP="00AA2DD7">
            <w:pPr>
              <w:spacing w:after="160" w:line="360" w:lineRule="auto"/>
              <w:rPr>
                <w:sz w:val="24"/>
                <w:szCs w:val="24"/>
              </w:rPr>
            </w:pPr>
            <w:r w:rsidRPr="00AA2DD7">
              <w:rPr>
                <w:sz w:val="24"/>
                <w:szCs w:val="24"/>
              </w:rPr>
              <w:t>This assessment could not have been completed through social work involvement alone. Information was gathered from education, health, police, family support services, independent professionals and the wider family network. Together, these perspectives strengthened my analysis and helped test whether concerns identified through direct work were supported by wider evidence. This reflects the collaborative approach promoted by the Social Services and Well-being (Wales) Act 2014 and the Wales Safeguarding Procedures, which recognise the importance of agencies sharing information and working together to understand and manage safeguarding concerns.</w:t>
            </w:r>
          </w:p>
          <w:p w14:paraId="7906649B" w14:textId="77777777" w:rsidR="00AA2DD7" w:rsidRPr="00AA2DD7" w:rsidRDefault="00AA2DD7" w:rsidP="00AA2DD7">
            <w:pPr>
              <w:spacing w:after="160" w:line="360" w:lineRule="auto"/>
              <w:rPr>
                <w:sz w:val="24"/>
                <w:szCs w:val="24"/>
              </w:rPr>
            </w:pPr>
            <w:r w:rsidRPr="00AA2DD7">
              <w:rPr>
                <w:sz w:val="24"/>
                <w:szCs w:val="24"/>
              </w:rPr>
              <w:t xml:space="preserve">Education professionals were particularly important in helping me understand the impact of the concerns upon Child 1 and Child 2. Whilst the adults often focused on allegations, court proceedings and disagreements, school staff provided information about Child 1’s </w:t>
            </w:r>
            <w:r w:rsidRPr="00AA2DD7">
              <w:rPr>
                <w:sz w:val="24"/>
                <w:szCs w:val="24"/>
              </w:rPr>
              <w:lastRenderedPageBreak/>
              <w:t>attendance, emotional presentation and relationships, alongside Child 2’s disclosures and emotional wellbeing. This helped me move beyond the competing adult narratives and focus on the children’s lived experiences. School was also one of the few environments where Child 2 appeared able to speak openly about worries, providing valuable insight into how the conflict was affecting them emotionally.</w:t>
            </w:r>
          </w:p>
          <w:p w14:paraId="054E74F7" w14:textId="77777777" w:rsidR="00AA2DD7" w:rsidRPr="00AA2DD7" w:rsidRDefault="00AA2DD7" w:rsidP="00AA2DD7">
            <w:pPr>
              <w:spacing w:after="160" w:line="360" w:lineRule="auto"/>
              <w:rPr>
                <w:sz w:val="24"/>
                <w:szCs w:val="24"/>
              </w:rPr>
            </w:pPr>
            <w:r w:rsidRPr="00AA2DD7">
              <w:rPr>
                <w:sz w:val="24"/>
                <w:szCs w:val="24"/>
              </w:rPr>
              <w:t>Health, police and independent assessment information added further context. Individually, some incidents could have been viewed as isolated events. However, when considered alongside the wider chronology, patterns became clearer. The independent parenting and psychological assessments were particularly helpful because they provided an opportunity to compare my own analysis with the views of independent professionals. Whilst these assessments did not replace my own professional judgement, they were largely consistent with concerns already identified through direct work and multi-agency involvement, particularly regarding the children’s exposure to conflict, difficulties with boundaries and the adults’ capacity to make and sustain change.</w:t>
            </w:r>
          </w:p>
          <w:p w14:paraId="2DE9D583" w14:textId="77777777" w:rsidR="00AA2DD7" w:rsidRPr="00AA2DD7" w:rsidRDefault="00AA2DD7" w:rsidP="00AA2DD7">
            <w:pPr>
              <w:spacing w:after="160" w:line="360" w:lineRule="auto"/>
              <w:rPr>
                <w:sz w:val="24"/>
                <w:szCs w:val="24"/>
              </w:rPr>
            </w:pPr>
            <w:r w:rsidRPr="00AA2DD7">
              <w:rPr>
                <w:sz w:val="24"/>
                <w:szCs w:val="24"/>
              </w:rPr>
              <w:t>Collaborative working did not always mean agreement. There were occasions when professionals held different views regarding risk, intervention and future planning. Whilst this was challenging, it encouraged me to revisit the evidence and consider whether I had given appropriate weight to alternative explanations. Regular supervision further supported this process by providing opportunities to test my thinking, consider alternative viewpoints and ensure that my conclusions remained evidence-based. Reflective supervision has been recognised as an important process for promoting analysis, critical thinking and professional judgement within complex social work practice (Research in Practice, 2017).</w:t>
            </w:r>
          </w:p>
          <w:p w14:paraId="7EB0DBC0" w14:textId="77777777" w:rsidR="00AA2DD7" w:rsidRPr="00AA2DD7" w:rsidRDefault="00AA2DD7" w:rsidP="00AA2DD7">
            <w:pPr>
              <w:spacing w:after="160" w:line="360" w:lineRule="auto"/>
              <w:rPr>
                <w:sz w:val="24"/>
                <w:szCs w:val="24"/>
              </w:rPr>
            </w:pPr>
            <w:r w:rsidRPr="00AA2DD7">
              <w:rPr>
                <w:sz w:val="24"/>
                <w:szCs w:val="24"/>
              </w:rPr>
              <w:t>I found supervision particularly valuable in helping me remain focused on the children’s lived experiences rather than the ongoing disputes between adults. New allegations and complaints could quickly become the focus of professional attention, even when the longer-term pattern remained the more significant safeguarding concern. Supervision encouraged me to return to the central question of what life was like for Child 1 and Child 2 and whether the interventions in place were improving their wellbeing.</w:t>
            </w:r>
          </w:p>
          <w:p w14:paraId="61EB5ACC" w14:textId="77777777" w:rsidR="00AA2DD7" w:rsidRPr="00AA2DD7" w:rsidRDefault="00AA2DD7" w:rsidP="00AA2DD7">
            <w:pPr>
              <w:spacing w:after="160" w:line="360" w:lineRule="auto"/>
              <w:rPr>
                <w:sz w:val="24"/>
                <w:szCs w:val="24"/>
              </w:rPr>
            </w:pPr>
            <w:r w:rsidRPr="00AA2DD7">
              <w:rPr>
                <w:sz w:val="24"/>
                <w:szCs w:val="24"/>
              </w:rPr>
              <w:lastRenderedPageBreak/>
              <w:t>The emotional impact of the case on me also needed to be recognised. Adult 1 frequently challenged professional decisions and made complaints against agencies involved with the family. There was a risk that these interactions could influence my assessment or result in me becoming defensive. Supervision provided a space where I could reflect on these experiences and separate my own feelings from the evidence informing the assessment. This helped ensure that Adult 1’s disagreement with professionals was not viewed as evidence of harm in itself and that the focus remained on the impact upon the children.</w:t>
            </w:r>
          </w:p>
          <w:p w14:paraId="1D071C4D" w14:textId="77777777" w:rsidR="00AA2DD7" w:rsidRPr="00AA2DD7" w:rsidRDefault="00AA2DD7" w:rsidP="00AA2DD7">
            <w:pPr>
              <w:spacing w:after="160" w:line="360" w:lineRule="auto"/>
              <w:rPr>
                <w:sz w:val="24"/>
                <w:szCs w:val="24"/>
              </w:rPr>
            </w:pPr>
            <w:r w:rsidRPr="00AA2DD7">
              <w:rPr>
                <w:sz w:val="24"/>
                <w:szCs w:val="24"/>
              </w:rPr>
              <w:t>The professional judgement reached within this assessment was not informed by one incident, one allegation or one professional opinion. It developed through information gathered over time from multiple sources. The combined evidence consistently pointed towards the emotional impact that ongoing conflict was having on Child 1 and Child 2. Collaborative working, professional challenge and reflective supervision all helped me test my analysis and avoid becoming overly focused on individual events. This enabled me to remain child-centred and reach conclusions based upon the children’s lived experiences and overall wellbeing rather than the strongest competing narrative.</w:t>
            </w:r>
          </w:p>
          <w:p w14:paraId="34D587CC" w14:textId="77777777" w:rsidR="00AA2DD7" w:rsidRPr="00AA2DD7" w:rsidRDefault="00AA2DD7" w:rsidP="00AA2DD7">
            <w:pPr>
              <w:spacing w:after="160" w:line="360" w:lineRule="auto"/>
              <w:rPr>
                <w:sz w:val="24"/>
                <w:szCs w:val="24"/>
              </w:rPr>
            </w:pPr>
            <w:r w:rsidRPr="00AA2DD7">
              <w:rPr>
                <w:sz w:val="24"/>
                <w:szCs w:val="24"/>
              </w:rPr>
              <w:t>This case reinforced the importance of maintaining a child-centred focus throughout complex safeguarding assessments. Throughout my involvement, there were numerous allegations, complaints, court proceedings and disagreements between adults and professionals. However, the longer I worked with the family, the clearer it became that the most important information was not coming from the adults, but from understanding the day-to-day experiences of Child 1 and Child 2. Their presentation, relationships, emotional wellbeing and behaviours provided the clearest insight into the impact the concerns were having upon them.</w:t>
            </w:r>
          </w:p>
          <w:p w14:paraId="7EC75E12" w14:textId="07231B5E" w:rsidR="00AA2DD7" w:rsidRPr="00AA2DD7" w:rsidRDefault="00AA2DD7" w:rsidP="00AA2DD7">
            <w:pPr>
              <w:spacing w:line="360" w:lineRule="auto"/>
              <w:rPr>
                <w:sz w:val="24"/>
                <w:szCs w:val="24"/>
              </w:rPr>
            </w:pPr>
            <w:r w:rsidRPr="00AA2DD7">
              <w:rPr>
                <w:sz w:val="24"/>
                <w:szCs w:val="24"/>
              </w:rPr>
              <w:t xml:space="preserve">This case strengthened my confidence in assessing emotional harm and reinforced the importance of professional curiosity, reflective supervision and evidence-based judgement when working with competing accounts and ongoing allegations. </w:t>
            </w:r>
            <w:r w:rsidR="00805820" w:rsidRPr="00805820">
              <w:rPr>
                <w:sz w:val="24"/>
                <w:szCs w:val="24"/>
              </w:rPr>
              <w:t xml:space="preserve">Bringing together direct work, multi-agency information, social work theory and the relevant legal </w:t>
            </w:r>
            <w:r w:rsidR="00205FED">
              <w:rPr>
                <w:sz w:val="24"/>
                <w:szCs w:val="24"/>
              </w:rPr>
              <w:t xml:space="preserve">and policy </w:t>
            </w:r>
            <w:r w:rsidR="00805820" w:rsidRPr="00805820">
              <w:rPr>
                <w:sz w:val="24"/>
                <w:szCs w:val="24"/>
              </w:rPr>
              <w:t>framework</w:t>
            </w:r>
            <w:r w:rsidR="00205FED">
              <w:rPr>
                <w:sz w:val="24"/>
                <w:szCs w:val="24"/>
              </w:rPr>
              <w:t>s</w:t>
            </w:r>
            <w:r w:rsidR="00805820" w:rsidRPr="00805820">
              <w:rPr>
                <w:sz w:val="24"/>
                <w:szCs w:val="24"/>
              </w:rPr>
              <w:t xml:space="preserve"> enabled me to develop a fuller understanding of the children’s circumstances and reach professional judgements that were grounded in their lived experiences. </w:t>
            </w:r>
            <w:r w:rsidRPr="00AA2DD7">
              <w:rPr>
                <w:sz w:val="24"/>
                <w:szCs w:val="24"/>
              </w:rPr>
              <w:t xml:space="preserve">Collaborative working and professional challenge strengthened my analysis, whilst </w:t>
            </w:r>
            <w:r w:rsidRPr="00AA2DD7">
              <w:rPr>
                <w:sz w:val="24"/>
                <w:szCs w:val="24"/>
              </w:rPr>
              <w:lastRenderedPageBreak/>
              <w:t>supervision helped ensure that my conclusions remained focused on the children’s welfare and wellbeing. Overall, the experience reinforced the importance of maintaining a child-centred approach when making complex safeguarding decisions.</w:t>
            </w:r>
          </w:p>
          <w:p w14:paraId="404D6BB6" w14:textId="77777777" w:rsidR="00633F06" w:rsidRPr="00AA2DD7" w:rsidRDefault="00633F06" w:rsidP="006E41C2">
            <w:pPr>
              <w:pStyle w:val="NormalWeb"/>
              <w:spacing w:line="360" w:lineRule="auto"/>
              <w:rPr>
                <w:rFonts w:ascii="Arial" w:hAnsi="Arial" w:cs="Arial"/>
              </w:rPr>
            </w:pPr>
          </w:p>
          <w:p w14:paraId="64A52481" w14:textId="097E3962" w:rsidR="006E41C2" w:rsidRPr="00AA2DD7" w:rsidRDefault="006E41C2" w:rsidP="006E41C2">
            <w:pPr>
              <w:pStyle w:val="NormalWeb"/>
              <w:spacing w:line="360" w:lineRule="auto"/>
              <w:rPr>
                <w:rFonts w:ascii="Arial" w:hAnsi="Arial" w:cs="Arial"/>
                <w:b/>
                <w:bCs/>
              </w:rPr>
            </w:pPr>
            <w:r w:rsidRPr="00AA2DD7">
              <w:rPr>
                <w:rFonts w:ascii="Arial" w:hAnsi="Arial" w:cs="Arial"/>
                <w:b/>
                <w:bCs/>
              </w:rPr>
              <w:t xml:space="preserve">Word Count </w:t>
            </w:r>
            <w:r w:rsidR="004E72E2" w:rsidRPr="00AA2DD7">
              <w:rPr>
                <w:rFonts w:ascii="Arial" w:hAnsi="Arial" w:cs="Arial"/>
                <w:b/>
                <w:bCs/>
              </w:rPr>
              <w:t>–</w:t>
            </w:r>
            <w:r w:rsidRPr="00AA2DD7">
              <w:rPr>
                <w:rFonts w:ascii="Arial" w:hAnsi="Arial" w:cs="Arial"/>
                <w:b/>
                <w:bCs/>
              </w:rPr>
              <w:t xml:space="preserve"> 4</w:t>
            </w:r>
            <w:r w:rsidR="00273BF7">
              <w:rPr>
                <w:rFonts w:ascii="Arial" w:hAnsi="Arial" w:cs="Arial"/>
                <w:b/>
                <w:bCs/>
              </w:rPr>
              <w:t>2</w:t>
            </w:r>
            <w:r w:rsidR="001B02DE">
              <w:rPr>
                <w:rFonts w:ascii="Arial" w:hAnsi="Arial" w:cs="Arial"/>
                <w:b/>
                <w:bCs/>
              </w:rPr>
              <w:t>55</w:t>
            </w:r>
          </w:p>
          <w:p w14:paraId="6E4E2B16" w14:textId="77777777" w:rsidR="00013FC8" w:rsidRPr="00AA2DD7" w:rsidRDefault="00013FC8" w:rsidP="00013FC8">
            <w:pPr>
              <w:overflowPunct/>
              <w:autoSpaceDE/>
              <w:autoSpaceDN/>
              <w:adjustRightInd/>
              <w:spacing w:before="100" w:beforeAutospacing="1" w:after="100" w:afterAutospacing="1" w:line="360" w:lineRule="auto"/>
              <w:textAlignment w:val="auto"/>
              <w:rPr>
                <w:color w:val="auto"/>
                <w:sz w:val="24"/>
                <w:szCs w:val="24"/>
              </w:rPr>
            </w:pPr>
          </w:p>
          <w:p w14:paraId="47D7D71D" w14:textId="77777777" w:rsidR="00013FC8" w:rsidRPr="00AA2DD7" w:rsidRDefault="00013FC8" w:rsidP="00013FC8">
            <w:pPr>
              <w:overflowPunct/>
              <w:autoSpaceDE/>
              <w:autoSpaceDN/>
              <w:adjustRightInd/>
              <w:spacing w:before="100" w:beforeAutospacing="1" w:after="100" w:afterAutospacing="1" w:line="360" w:lineRule="auto"/>
              <w:textAlignment w:val="auto"/>
              <w:rPr>
                <w:color w:val="auto"/>
                <w:sz w:val="24"/>
                <w:szCs w:val="24"/>
              </w:rPr>
            </w:pPr>
          </w:p>
          <w:p w14:paraId="3E645192" w14:textId="77777777" w:rsidR="00013FC8" w:rsidRPr="00AA2DD7" w:rsidRDefault="00013FC8" w:rsidP="00013FC8">
            <w:pPr>
              <w:spacing w:line="360" w:lineRule="auto"/>
              <w:ind w:left="720" w:hanging="720"/>
              <w:rPr>
                <w:sz w:val="24"/>
                <w:szCs w:val="24"/>
              </w:rPr>
            </w:pPr>
          </w:p>
          <w:p w14:paraId="299A264E" w14:textId="77777777" w:rsidR="00013FC8" w:rsidRPr="00AA2DD7" w:rsidRDefault="00013FC8" w:rsidP="00013FC8">
            <w:pPr>
              <w:spacing w:line="360" w:lineRule="auto"/>
              <w:ind w:left="720" w:hanging="720"/>
              <w:rPr>
                <w:sz w:val="24"/>
                <w:szCs w:val="24"/>
              </w:rPr>
            </w:pPr>
          </w:p>
          <w:p w14:paraId="19BC5721" w14:textId="77777777" w:rsidR="00013FC8" w:rsidRPr="00AA2DD7" w:rsidRDefault="00013FC8" w:rsidP="00013FC8">
            <w:pPr>
              <w:spacing w:line="360" w:lineRule="auto"/>
              <w:ind w:left="720" w:hanging="720"/>
              <w:rPr>
                <w:sz w:val="24"/>
                <w:szCs w:val="24"/>
              </w:rPr>
            </w:pPr>
          </w:p>
          <w:p w14:paraId="696749D4" w14:textId="77777777" w:rsidR="00013FC8" w:rsidRPr="00AA2DD7" w:rsidRDefault="00013FC8" w:rsidP="00013FC8">
            <w:pPr>
              <w:spacing w:line="360" w:lineRule="auto"/>
              <w:ind w:left="720" w:hanging="720"/>
              <w:rPr>
                <w:sz w:val="24"/>
                <w:szCs w:val="24"/>
              </w:rPr>
            </w:pPr>
          </w:p>
          <w:p w14:paraId="3A8836BD" w14:textId="77777777" w:rsidR="00013FC8" w:rsidRDefault="00013FC8" w:rsidP="00013FC8">
            <w:pPr>
              <w:spacing w:line="360" w:lineRule="auto"/>
              <w:ind w:left="720" w:hanging="720"/>
              <w:rPr>
                <w:sz w:val="24"/>
                <w:szCs w:val="24"/>
              </w:rPr>
            </w:pPr>
          </w:p>
          <w:p w14:paraId="16A8B9A5" w14:textId="77777777" w:rsidR="00013FC8" w:rsidRDefault="00013FC8" w:rsidP="00013FC8">
            <w:pPr>
              <w:spacing w:line="360" w:lineRule="auto"/>
              <w:ind w:left="720" w:hanging="720"/>
              <w:rPr>
                <w:sz w:val="24"/>
                <w:szCs w:val="24"/>
              </w:rPr>
            </w:pPr>
          </w:p>
          <w:p w14:paraId="61E69F45" w14:textId="77777777" w:rsidR="00013FC8" w:rsidRDefault="00013FC8" w:rsidP="00013FC8">
            <w:pPr>
              <w:spacing w:line="360" w:lineRule="auto"/>
              <w:ind w:left="720" w:hanging="720"/>
              <w:rPr>
                <w:sz w:val="24"/>
                <w:szCs w:val="24"/>
              </w:rPr>
            </w:pPr>
          </w:p>
          <w:p w14:paraId="6778F9F9" w14:textId="77777777" w:rsidR="00013FC8" w:rsidRDefault="00013FC8" w:rsidP="00013FC8">
            <w:pPr>
              <w:spacing w:line="360" w:lineRule="auto"/>
              <w:ind w:left="720" w:hanging="720"/>
              <w:rPr>
                <w:sz w:val="24"/>
                <w:szCs w:val="24"/>
              </w:rPr>
            </w:pPr>
          </w:p>
          <w:p w14:paraId="271AB27B" w14:textId="77777777" w:rsidR="00013FC8" w:rsidRDefault="00013FC8" w:rsidP="00013FC8">
            <w:pPr>
              <w:spacing w:line="360" w:lineRule="auto"/>
              <w:ind w:left="720" w:hanging="720"/>
              <w:rPr>
                <w:sz w:val="24"/>
                <w:szCs w:val="24"/>
              </w:rPr>
            </w:pPr>
          </w:p>
          <w:p w14:paraId="463DD72C" w14:textId="77777777" w:rsidR="00013FC8" w:rsidRPr="001924CB" w:rsidRDefault="00013FC8" w:rsidP="00013FC8">
            <w:pPr>
              <w:spacing w:line="360" w:lineRule="auto"/>
              <w:ind w:left="720" w:hanging="720"/>
              <w:rPr>
                <w:sz w:val="24"/>
                <w:szCs w:val="24"/>
              </w:rPr>
            </w:pPr>
          </w:p>
          <w:p w14:paraId="4D749F8E" w14:textId="77777777" w:rsidR="00013FC8" w:rsidRPr="001924CB" w:rsidRDefault="00013FC8" w:rsidP="00013FC8">
            <w:pPr>
              <w:spacing w:line="360" w:lineRule="auto"/>
              <w:ind w:left="720" w:hanging="720"/>
              <w:rPr>
                <w:sz w:val="24"/>
                <w:szCs w:val="24"/>
              </w:rPr>
            </w:pPr>
          </w:p>
          <w:p w14:paraId="0E19EBFF" w14:textId="77777777" w:rsidR="00013FC8" w:rsidRPr="00B86914" w:rsidRDefault="00013FC8" w:rsidP="00013FC8">
            <w:pPr>
              <w:ind w:left="720" w:hanging="720"/>
              <w:rPr>
                <w:sz w:val="24"/>
                <w:szCs w:val="24"/>
              </w:rPr>
            </w:pPr>
          </w:p>
          <w:p w14:paraId="20370495" w14:textId="79B79501" w:rsidR="00D3203C" w:rsidRPr="00EB601C" w:rsidRDefault="00D3203C" w:rsidP="00FF7EBB">
            <w:pPr>
              <w:jc w:val="both"/>
              <w:rPr>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C3837" w14:textId="77777777" w:rsidR="00F24E95" w:rsidRDefault="00F24E95">
      <w:r>
        <w:separator/>
      </w:r>
    </w:p>
  </w:endnote>
  <w:endnote w:type="continuationSeparator" w:id="0">
    <w:p w14:paraId="392CE89A" w14:textId="77777777" w:rsidR="00F24E95" w:rsidRDefault="00F24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8EB6D" w14:textId="77777777" w:rsidR="00F266E8" w:rsidRDefault="00F26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F6C52" w14:textId="77777777" w:rsidR="00F266E8" w:rsidRDefault="00F26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B247F" w14:textId="77777777" w:rsidR="00F24E95" w:rsidRDefault="00F24E95">
      <w:r>
        <w:separator/>
      </w:r>
    </w:p>
  </w:footnote>
  <w:footnote w:type="continuationSeparator" w:id="0">
    <w:p w14:paraId="4F611B24" w14:textId="77777777" w:rsidR="00F24E95" w:rsidRDefault="00F24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F439" w14:textId="77777777" w:rsidR="00F266E8" w:rsidRDefault="00F266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45271" w14:textId="77777777" w:rsidR="00F266E8" w:rsidRDefault="00F266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97C"/>
    <w:rsid w:val="000045B8"/>
    <w:rsid w:val="00012B16"/>
    <w:rsid w:val="00013FC8"/>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5E7"/>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4C28"/>
    <w:rsid w:val="000F6196"/>
    <w:rsid w:val="000F6BC3"/>
    <w:rsid w:val="0010312C"/>
    <w:rsid w:val="00105026"/>
    <w:rsid w:val="0010662B"/>
    <w:rsid w:val="00106DC7"/>
    <w:rsid w:val="00112391"/>
    <w:rsid w:val="00114F52"/>
    <w:rsid w:val="0012264E"/>
    <w:rsid w:val="001229A1"/>
    <w:rsid w:val="00123E52"/>
    <w:rsid w:val="00130119"/>
    <w:rsid w:val="00132812"/>
    <w:rsid w:val="001347F8"/>
    <w:rsid w:val="001359EE"/>
    <w:rsid w:val="00137BB5"/>
    <w:rsid w:val="00137E05"/>
    <w:rsid w:val="00142650"/>
    <w:rsid w:val="001447F6"/>
    <w:rsid w:val="00147DE3"/>
    <w:rsid w:val="00150794"/>
    <w:rsid w:val="00151DA6"/>
    <w:rsid w:val="001608C4"/>
    <w:rsid w:val="00164832"/>
    <w:rsid w:val="00171418"/>
    <w:rsid w:val="001772BF"/>
    <w:rsid w:val="001772DE"/>
    <w:rsid w:val="00193417"/>
    <w:rsid w:val="0019496C"/>
    <w:rsid w:val="001961CF"/>
    <w:rsid w:val="001A59BB"/>
    <w:rsid w:val="001A607E"/>
    <w:rsid w:val="001A6A51"/>
    <w:rsid w:val="001A79C4"/>
    <w:rsid w:val="001B02DE"/>
    <w:rsid w:val="001B331A"/>
    <w:rsid w:val="001C0237"/>
    <w:rsid w:val="001C0E74"/>
    <w:rsid w:val="001C3E71"/>
    <w:rsid w:val="001C4DB8"/>
    <w:rsid w:val="001C50B8"/>
    <w:rsid w:val="001D229F"/>
    <w:rsid w:val="001E2EB6"/>
    <w:rsid w:val="001F4552"/>
    <w:rsid w:val="002019EB"/>
    <w:rsid w:val="00204B58"/>
    <w:rsid w:val="00205051"/>
    <w:rsid w:val="00205413"/>
    <w:rsid w:val="00205FED"/>
    <w:rsid w:val="00211F65"/>
    <w:rsid w:val="00212414"/>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3123"/>
    <w:rsid w:val="002543C9"/>
    <w:rsid w:val="00260663"/>
    <w:rsid w:val="002657E9"/>
    <w:rsid w:val="0026665E"/>
    <w:rsid w:val="0027147E"/>
    <w:rsid w:val="00273BF7"/>
    <w:rsid w:val="002761F4"/>
    <w:rsid w:val="002775E1"/>
    <w:rsid w:val="00277979"/>
    <w:rsid w:val="00277A5C"/>
    <w:rsid w:val="00291ADD"/>
    <w:rsid w:val="002920DF"/>
    <w:rsid w:val="00292ED3"/>
    <w:rsid w:val="00292F3D"/>
    <w:rsid w:val="00295CA1"/>
    <w:rsid w:val="002A0E51"/>
    <w:rsid w:val="002A1A44"/>
    <w:rsid w:val="002A291A"/>
    <w:rsid w:val="002A2C54"/>
    <w:rsid w:val="002A4E2E"/>
    <w:rsid w:val="002A5604"/>
    <w:rsid w:val="002A610E"/>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1D2A"/>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ACC"/>
    <w:rsid w:val="00365DF9"/>
    <w:rsid w:val="0037066E"/>
    <w:rsid w:val="00372DB4"/>
    <w:rsid w:val="00373A36"/>
    <w:rsid w:val="0037419E"/>
    <w:rsid w:val="00375AF5"/>
    <w:rsid w:val="00375BC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9A"/>
    <w:rsid w:val="003E54CF"/>
    <w:rsid w:val="003E5DB0"/>
    <w:rsid w:val="003E5FBA"/>
    <w:rsid w:val="003F1233"/>
    <w:rsid w:val="003F67A4"/>
    <w:rsid w:val="00400786"/>
    <w:rsid w:val="00401FDA"/>
    <w:rsid w:val="004046F0"/>
    <w:rsid w:val="0040668F"/>
    <w:rsid w:val="00411EF7"/>
    <w:rsid w:val="00412677"/>
    <w:rsid w:val="00413733"/>
    <w:rsid w:val="00415569"/>
    <w:rsid w:val="00425160"/>
    <w:rsid w:val="0042595C"/>
    <w:rsid w:val="00430DE3"/>
    <w:rsid w:val="004311A3"/>
    <w:rsid w:val="004348AE"/>
    <w:rsid w:val="0043611A"/>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2E2"/>
    <w:rsid w:val="004E7B8B"/>
    <w:rsid w:val="004E7BDD"/>
    <w:rsid w:val="004F1966"/>
    <w:rsid w:val="004F1E21"/>
    <w:rsid w:val="004F2542"/>
    <w:rsid w:val="004F4E33"/>
    <w:rsid w:val="004F740D"/>
    <w:rsid w:val="004F7B8F"/>
    <w:rsid w:val="00500748"/>
    <w:rsid w:val="005011D6"/>
    <w:rsid w:val="00502A14"/>
    <w:rsid w:val="00503275"/>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9D1"/>
    <w:rsid w:val="00563B58"/>
    <w:rsid w:val="005640C4"/>
    <w:rsid w:val="0056684C"/>
    <w:rsid w:val="00574A0C"/>
    <w:rsid w:val="0057780F"/>
    <w:rsid w:val="00581E0A"/>
    <w:rsid w:val="00583234"/>
    <w:rsid w:val="00586D89"/>
    <w:rsid w:val="005877C8"/>
    <w:rsid w:val="00587923"/>
    <w:rsid w:val="00591A97"/>
    <w:rsid w:val="00594F9F"/>
    <w:rsid w:val="00596D6E"/>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03ED"/>
    <w:rsid w:val="00606E27"/>
    <w:rsid w:val="006108C9"/>
    <w:rsid w:val="00614DF7"/>
    <w:rsid w:val="006179BB"/>
    <w:rsid w:val="0062158D"/>
    <w:rsid w:val="006223FD"/>
    <w:rsid w:val="006326D1"/>
    <w:rsid w:val="00632E0A"/>
    <w:rsid w:val="00633165"/>
    <w:rsid w:val="00633F06"/>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4B2"/>
    <w:rsid w:val="0069625A"/>
    <w:rsid w:val="00696A88"/>
    <w:rsid w:val="00696F65"/>
    <w:rsid w:val="00697572"/>
    <w:rsid w:val="006B4496"/>
    <w:rsid w:val="006B5E67"/>
    <w:rsid w:val="006B6612"/>
    <w:rsid w:val="006C2EB5"/>
    <w:rsid w:val="006D18A3"/>
    <w:rsid w:val="006D5970"/>
    <w:rsid w:val="006E33B0"/>
    <w:rsid w:val="006E41C2"/>
    <w:rsid w:val="006E4265"/>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613"/>
    <w:rsid w:val="00772924"/>
    <w:rsid w:val="0078112D"/>
    <w:rsid w:val="007872F2"/>
    <w:rsid w:val="007873F9"/>
    <w:rsid w:val="00787AE6"/>
    <w:rsid w:val="007905E1"/>
    <w:rsid w:val="007908E0"/>
    <w:rsid w:val="00793EB3"/>
    <w:rsid w:val="00794205"/>
    <w:rsid w:val="0079422A"/>
    <w:rsid w:val="007A1F6A"/>
    <w:rsid w:val="007A628F"/>
    <w:rsid w:val="007B0DE3"/>
    <w:rsid w:val="007B1BFD"/>
    <w:rsid w:val="007B7191"/>
    <w:rsid w:val="007C02A9"/>
    <w:rsid w:val="007C1D94"/>
    <w:rsid w:val="007C556F"/>
    <w:rsid w:val="007C5ABE"/>
    <w:rsid w:val="007C6A87"/>
    <w:rsid w:val="007D0A07"/>
    <w:rsid w:val="007D0F11"/>
    <w:rsid w:val="007D133D"/>
    <w:rsid w:val="007D3EB4"/>
    <w:rsid w:val="007D3F16"/>
    <w:rsid w:val="007E1C54"/>
    <w:rsid w:val="007F10BD"/>
    <w:rsid w:val="007F312E"/>
    <w:rsid w:val="007F3F7E"/>
    <w:rsid w:val="007F4BA4"/>
    <w:rsid w:val="00805820"/>
    <w:rsid w:val="00813CEC"/>
    <w:rsid w:val="00813F7E"/>
    <w:rsid w:val="0081534C"/>
    <w:rsid w:val="00816CE7"/>
    <w:rsid w:val="008171E4"/>
    <w:rsid w:val="008208D9"/>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B78"/>
    <w:rsid w:val="0085230E"/>
    <w:rsid w:val="008550A1"/>
    <w:rsid w:val="008554E3"/>
    <w:rsid w:val="00861038"/>
    <w:rsid w:val="0086191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266"/>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0CF7"/>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384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6B92"/>
    <w:rsid w:val="00A60103"/>
    <w:rsid w:val="00A652F6"/>
    <w:rsid w:val="00A65861"/>
    <w:rsid w:val="00A732EA"/>
    <w:rsid w:val="00A7489E"/>
    <w:rsid w:val="00A8015F"/>
    <w:rsid w:val="00A85039"/>
    <w:rsid w:val="00A906AA"/>
    <w:rsid w:val="00A94C5E"/>
    <w:rsid w:val="00AA252C"/>
    <w:rsid w:val="00AA2DD7"/>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777"/>
    <w:rsid w:val="00B0296A"/>
    <w:rsid w:val="00B037B0"/>
    <w:rsid w:val="00B07E79"/>
    <w:rsid w:val="00B12295"/>
    <w:rsid w:val="00B137BE"/>
    <w:rsid w:val="00B15998"/>
    <w:rsid w:val="00B17FA0"/>
    <w:rsid w:val="00B2292C"/>
    <w:rsid w:val="00B22C3C"/>
    <w:rsid w:val="00B24344"/>
    <w:rsid w:val="00B26769"/>
    <w:rsid w:val="00B2754B"/>
    <w:rsid w:val="00B31069"/>
    <w:rsid w:val="00B31C91"/>
    <w:rsid w:val="00B3747F"/>
    <w:rsid w:val="00B42E76"/>
    <w:rsid w:val="00B43194"/>
    <w:rsid w:val="00B436BF"/>
    <w:rsid w:val="00B46B88"/>
    <w:rsid w:val="00B47734"/>
    <w:rsid w:val="00B47A7E"/>
    <w:rsid w:val="00B50259"/>
    <w:rsid w:val="00B50FBA"/>
    <w:rsid w:val="00B558EB"/>
    <w:rsid w:val="00B577D3"/>
    <w:rsid w:val="00B60466"/>
    <w:rsid w:val="00B6548F"/>
    <w:rsid w:val="00B70D99"/>
    <w:rsid w:val="00B70EFD"/>
    <w:rsid w:val="00B71A32"/>
    <w:rsid w:val="00B7502A"/>
    <w:rsid w:val="00B77305"/>
    <w:rsid w:val="00B774BD"/>
    <w:rsid w:val="00B82CC2"/>
    <w:rsid w:val="00B84A89"/>
    <w:rsid w:val="00B9256C"/>
    <w:rsid w:val="00B92BEF"/>
    <w:rsid w:val="00B94443"/>
    <w:rsid w:val="00B9689A"/>
    <w:rsid w:val="00B97056"/>
    <w:rsid w:val="00BA1E1B"/>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630"/>
    <w:rsid w:val="00BE0F7B"/>
    <w:rsid w:val="00BE10C2"/>
    <w:rsid w:val="00BF0D6C"/>
    <w:rsid w:val="00BF36F5"/>
    <w:rsid w:val="00C01D14"/>
    <w:rsid w:val="00C01D97"/>
    <w:rsid w:val="00C025B4"/>
    <w:rsid w:val="00C029EC"/>
    <w:rsid w:val="00C07CD1"/>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57F47"/>
    <w:rsid w:val="00C604D6"/>
    <w:rsid w:val="00C63CAB"/>
    <w:rsid w:val="00C63D00"/>
    <w:rsid w:val="00C6441B"/>
    <w:rsid w:val="00C65921"/>
    <w:rsid w:val="00C7108B"/>
    <w:rsid w:val="00C74683"/>
    <w:rsid w:val="00C75883"/>
    <w:rsid w:val="00C77FA5"/>
    <w:rsid w:val="00C8089F"/>
    <w:rsid w:val="00C835FE"/>
    <w:rsid w:val="00C836CC"/>
    <w:rsid w:val="00C852D6"/>
    <w:rsid w:val="00C87A74"/>
    <w:rsid w:val="00C904E5"/>
    <w:rsid w:val="00C92C71"/>
    <w:rsid w:val="00C93F8F"/>
    <w:rsid w:val="00CA0894"/>
    <w:rsid w:val="00CA3593"/>
    <w:rsid w:val="00CA5726"/>
    <w:rsid w:val="00CA7E6A"/>
    <w:rsid w:val="00CB258E"/>
    <w:rsid w:val="00CB3C8F"/>
    <w:rsid w:val="00CC02F1"/>
    <w:rsid w:val="00CC10E0"/>
    <w:rsid w:val="00CC1122"/>
    <w:rsid w:val="00CC11A6"/>
    <w:rsid w:val="00CC135E"/>
    <w:rsid w:val="00CC7226"/>
    <w:rsid w:val="00CC7630"/>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540"/>
    <w:rsid w:val="00D27453"/>
    <w:rsid w:val="00D3090A"/>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DDD"/>
    <w:rsid w:val="00E60F42"/>
    <w:rsid w:val="00E6310A"/>
    <w:rsid w:val="00E6746C"/>
    <w:rsid w:val="00E7086E"/>
    <w:rsid w:val="00E71248"/>
    <w:rsid w:val="00E73C41"/>
    <w:rsid w:val="00E75911"/>
    <w:rsid w:val="00E7598F"/>
    <w:rsid w:val="00E76F60"/>
    <w:rsid w:val="00E812B5"/>
    <w:rsid w:val="00E83D90"/>
    <w:rsid w:val="00E83F91"/>
    <w:rsid w:val="00E85089"/>
    <w:rsid w:val="00E86299"/>
    <w:rsid w:val="00E9107A"/>
    <w:rsid w:val="00E91F62"/>
    <w:rsid w:val="00E929FD"/>
    <w:rsid w:val="00E93240"/>
    <w:rsid w:val="00E9479B"/>
    <w:rsid w:val="00E94E22"/>
    <w:rsid w:val="00E95F08"/>
    <w:rsid w:val="00E97171"/>
    <w:rsid w:val="00EA1784"/>
    <w:rsid w:val="00EA4D48"/>
    <w:rsid w:val="00EA7ADF"/>
    <w:rsid w:val="00EB2173"/>
    <w:rsid w:val="00EB601C"/>
    <w:rsid w:val="00EB62E6"/>
    <w:rsid w:val="00EB695F"/>
    <w:rsid w:val="00EC3A85"/>
    <w:rsid w:val="00EC4B89"/>
    <w:rsid w:val="00EC59A5"/>
    <w:rsid w:val="00EC6E15"/>
    <w:rsid w:val="00ED1B30"/>
    <w:rsid w:val="00ED379D"/>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4E95"/>
    <w:rsid w:val="00F254D1"/>
    <w:rsid w:val="00F266E8"/>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2B9F"/>
    <w:rsid w:val="00FB5FA6"/>
    <w:rsid w:val="00FC0334"/>
    <w:rsid w:val="00FC1310"/>
    <w:rsid w:val="00FC2FF3"/>
    <w:rsid w:val="00FC3263"/>
    <w:rsid w:val="00FC51F9"/>
    <w:rsid w:val="00FC5B40"/>
    <w:rsid w:val="00FC5FF8"/>
    <w:rsid w:val="00FD271B"/>
    <w:rsid w:val="00FD29C0"/>
    <w:rsid w:val="00FD3D7C"/>
    <w:rsid w:val="00FD4F8F"/>
    <w:rsid w:val="00FD5A34"/>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266E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66E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266E8"/>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266E8"/>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266E8"/>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266E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266E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013FC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BookTitle">
    <w:name w:val="Book Title"/>
    <w:basedOn w:val="DefaultParagraphFont"/>
    <w:uiPriority w:val="33"/>
    <w:qFormat/>
    <w:rsid w:val="00F266E8"/>
    <w:rPr>
      <w:b/>
      <w:bCs/>
      <w:i/>
      <w:iCs/>
      <w:spacing w:val="5"/>
    </w:rPr>
  </w:style>
  <w:style w:type="paragraph" w:styleId="Caption">
    <w:name w:val="caption"/>
    <w:basedOn w:val="Normal"/>
    <w:next w:val="Normal"/>
    <w:uiPriority w:val="35"/>
    <w:semiHidden/>
    <w:unhideWhenUsed/>
    <w:qFormat/>
    <w:rsid w:val="00F266E8"/>
    <w:pPr>
      <w:spacing w:after="200"/>
    </w:pPr>
    <w:rPr>
      <w:i/>
      <w:iCs/>
      <w:color w:val="44546A" w:themeColor="text2"/>
      <w:sz w:val="18"/>
      <w:szCs w:val="18"/>
    </w:rPr>
  </w:style>
  <w:style w:type="character" w:styleId="Emphasis">
    <w:name w:val="Emphasis"/>
    <w:basedOn w:val="DefaultParagraphFont"/>
    <w:uiPriority w:val="20"/>
    <w:qFormat/>
    <w:rsid w:val="00F266E8"/>
    <w:rPr>
      <w:i/>
      <w:iCs/>
    </w:rPr>
  </w:style>
  <w:style w:type="character" w:customStyle="1" w:styleId="Heading3Char">
    <w:name w:val="Heading 3 Char"/>
    <w:basedOn w:val="DefaultParagraphFont"/>
    <w:link w:val="Heading3"/>
    <w:uiPriority w:val="9"/>
    <w:semiHidden/>
    <w:rsid w:val="00F266E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266E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266E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266E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266E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266E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266E8"/>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266E8"/>
    <w:rPr>
      <w:i/>
      <w:iCs/>
      <w:color w:val="4472C4" w:themeColor="accent1"/>
    </w:rPr>
  </w:style>
  <w:style w:type="paragraph" w:styleId="IntenseQuote">
    <w:name w:val="Intense Quote"/>
    <w:basedOn w:val="Normal"/>
    <w:next w:val="Normal"/>
    <w:link w:val="IntenseQuoteChar"/>
    <w:uiPriority w:val="30"/>
    <w:qFormat/>
    <w:rsid w:val="00F266E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266E8"/>
    <w:rPr>
      <w:rFonts w:ascii="Arial" w:hAnsi="Arial" w:cs="Arial"/>
      <w:i/>
      <w:iCs/>
      <w:color w:val="4472C4" w:themeColor="accent1"/>
    </w:rPr>
  </w:style>
  <w:style w:type="character" w:styleId="IntenseReference">
    <w:name w:val="Intense Reference"/>
    <w:basedOn w:val="DefaultParagraphFont"/>
    <w:uiPriority w:val="32"/>
    <w:qFormat/>
    <w:rsid w:val="00F266E8"/>
    <w:rPr>
      <w:b/>
      <w:bCs/>
      <w:smallCaps/>
      <w:color w:val="4472C4" w:themeColor="accent1"/>
      <w:spacing w:val="5"/>
    </w:rPr>
  </w:style>
  <w:style w:type="paragraph" w:styleId="ListParagraph">
    <w:name w:val="List Paragraph"/>
    <w:basedOn w:val="Normal"/>
    <w:uiPriority w:val="34"/>
    <w:qFormat/>
    <w:rsid w:val="00F266E8"/>
    <w:pPr>
      <w:ind w:left="720"/>
      <w:contextualSpacing/>
    </w:pPr>
  </w:style>
  <w:style w:type="paragraph" w:styleId="NoSpacing">
    <w:name w:val="No Spacing"/>
    <w:uiPriority w:val="1"/>
    <w:qFormat/>
    <w:rsid w:val="00F266E8"/>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F266E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66E8"/>
    <w:rPr>
      <w:rFonts w:ascii="Arial" w:hAnsi="Arial" w:cs="Arial"/>
      <w:i/>
      <w:iCs/>
      <w:color w:val="404040" w:themeColor="text1" w:themeTint="BF"/>
    </w:rPr>
  </w:style>
  <w:style w:type="character" w:styleId="Strong">
    <w:name w:val="Strong"/>
    <w:basedOn w:val="DefaultParagraphFont"/>
    <w:uiPriority w:val="22"/>
    <w:qFormat/>
    <w:rsid w:val="00F266E8"/>
    <w:rPr>
      <w:b/>
      <w:bCs/>
    </w:rPr>
  </w:style>
  <w:style w:type="paragraph" w:styleId="Subtitle">
    <w:name w:val="Subtitle"/>
    <w:basedOn w:val="Normal"/>
    <w:next w:val="Normal"/>
    <w:link w:val="SubtitleChar"/>
    <w:uiPriority w:val="11"/>
    <w:qFormat/>
    <w:rsid w:val="00F266E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266E8"/>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F266E8"/>
    <w:rPr>
      <w:i/>
      <w:iCs/>
      <w:color w:val="404040" w:themeColor="text1" w:themeTint="BF"/>
    </w:rPr>
  </w:style>
  <w:style w:type="character" w:styleId="SubtleReference">
    <w:name w:val="Subtle Reference"/>
    <w:basedOn w:val="DefaultParagraphFont"/>
    <w:uiPriority w:val="31"/>
    <w:qFormat/>
    <w:rsid w:val="00F266E8"/>
    <w:rPr>
      <w:smallCaps/>
      <w:color w:val="5A5A5A" w:themeColor="text1" w:themeTint="A5"/>
    </w:rPr>
  </w:style>
  <w:style w:type="paragraph" w:styleId="TOCHeading">
    <w:name w:val="TOC Heading"/>
    <w:basedOn w:val="Heading1"/>
    <w:next w:val="Normal"/>
    <w:uiPriority w:val="39"/>
    <w:semiHidden/>
    <w:unhideWhenUsed/>
    <w:qFormat/>
    <w:rsid w:val="00F266E8"/>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15</Pages>
  <Words>5530</Words>
  <Characters>26273</Characters>
  <Application>Microsoft Office Word</Application>
  <DocSecurity>0</DocSecurity>
  <Lines>1382</Lines>
  <Paragraphs>1590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Marie Walker</cp:lastModifiedBy>
  <cp:revision>73</cp:revision>
  <cp:lastPrinted>2020-02-11T19:20:00Z</cp:lastPrinted>
  <dcterms:created xsi:type="dcterms:W3CDTF">2026-09-17T15:31:00Z</dcterms:created>
  <dcterms:modified xsi:type="dcterms:W3CDTF">2026-10-06T18:45:00Z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