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FD25A" w14:textId="45D11669" w:rsidR="00F85EED" w:rsidRPr="007A6060" w:rsidRDefault="00F85EED" w:rsidP="00F85EED">
      <w:pPr>
        <w:pStyle w:val="NormalWeb"/>
        <w:spacing w:line="360" w:lineRule="auto"/>
        <w:rPr>
          <w:rStyle w:val="Strong"/>
          <w:bCs w:val="0"/>
          <w:sz w:val="32"/>
        </w:rPr>
      </w:pPr>
      <w:r w:rsidRPr="00F85EED">
        <w:rPr>
          <w:rStyle w:val="Strong"/>
          <w:rFonts w:eastAsiaTheme="majorEastAsia"/>
          <w:sz w:val="32"/>
        </w:rPr>
        <w:t>Student Name:</w:t>
      </w:r>
      <w:r w:rsidR="00CF37E2">
        <w:rPr>
          <w:rStyle w:val="Strong"/>
          <w:rFonts w:eastAsiaTheme="majorEastAsia"/>
          <w:sz w:val="32"/>
        </w:rPr>
        <w:t xml:space="preserve"> Umma Kulsum</w:t>
      </w:r>
      <w:r w:rsidR="007A6060">
        <w:rPr>
          <w:b/>
          <w:sz w:val="32"/>
        </w:rPr>
        <w:br/>
      </w:r>
      <w:r w:rsidRPr="00F85EED">
        <w:rPr>
          <w:rStyle w:val="Strong"/>
          <w:rFonts w:eastAsiaTheme="majorEastAsia"/>
          <w:sz w:val="32"/>
        </w:rPr>
        <w:t>Student ID Number:</w:t>
      </w:r>
      <w:r w:rsidR="00CF37E2">
        <w:rPr>
          <w:rStyle w:val="Strong"/>
          <w:rFonts w:eastAsiaTheme="majorEastAsia"/>
          <w:sz w:val="32"/>
        </w:rPr>
        <w:t xml:space="preserve"> 2513410</w:t>
      </w:r>
    </w:p>
    <w:p w14:paraId="7776E1C5" w14:textId="635A816F" w:rsidR="00F85EED" w:rsidRDefault="00A632A1" w:rsidP="00F85EED">
      <w:pPr>
        <w:pStyle w:val="NormalWeb"/>
        <w:spacing w:line="360" w:lineRule="auto"/>
        <w:rPr>
          <w:b/>
          <w:sz w:val="32"/>
        </w:rPr>
      </w:pPr>
      <w:r w:rsidRPr="00F85EED">
        <w:rPr>
          <w:rStyle w:val="Strong"/>
          <w:rFonts w:eastAsiaTheme="majorEastAsia"/>
          <w:sz w:val="32"/>
        </w:rPr>
        <w:t>Program</w:t>
      </w:r>
      <w:r>
        <w:rPr>
          <w:rStyle w:val="Strong"/>
          <w:rFonts w:eastAsiaTheme="majorEastAsia"/>
          <w:sz w:val="32"/>
        </w:rPr>
        <w:t>me:</w:t>
      </w:r>
      <w:r w:rsidR="00F85EED">
        <w:rPr>
          <w:rStyle w:val="Strong"/>
          <w:sz w:val="32"/>
        </w:rPr>
        <w:t xml:space="preserve"> </w:t>
      </w:r>
      <w:r w:rsidR="00F85EED" w:rsidRPr="00F85EED">
        <w:rPr>
          <w:b/>
          <w:sz w:val="32"/>
        </w:rPr>
        <w:t>Certificate of Higher Education Skills for the Workplace (Health &amp; Social Care)</w:t>
      </w:r>
      <w:r w:rsidR="007A6060">
        <w:rPr>
          <w:b/>
          <w:sz w:val="32"/>
        </w:rPr>
        <w:br/>
      </w:r>
      <w:r w:rsidR="00F85EED" w:rsidRPr="00F85EED">
        <w:rPr>
          <w:rStyle w:val="Strong"/>
          <w:rFonts w:eastAsiaTheme="majorEastAsia"/>
          <w:sz w:val="32"/>
        </w:rPr>
        <w:t>Module:</w:t>
      </w:r>
      <w:r w:rsidR="00F85EED">
        <w:rPr>
          <w:rStyle w:val="Strong"/>
          <w:sz w:val="32"/>
        </w:rPr>
        <w:t xml:space="preserve"> </w:t>
      </w:r>
      <w:r w:rsidR="00F85EED" w:rsidRPr="00F85EED">
        <w:rPr>
          <w:b/>
          <w:sz w:val="32"/>
        </w:rPr>
        <w:t>Digital Skills and Research Methods</w:t>
      </w:r>
      <w:r w:rsidR="007A6060">
        <w:rPr>
          <w:b/>
          <w:sz w:val="32"/>
        </w:rPr>
        <w:br/>
      </w:r>
      <w:r w:rsidR="00F85EED" w:rsidRPr="00F85EED">
        <w:rPr>
          <w:rStyle w:val="Strong"/>
          <w:rFonts w:eastAsiaTheme="majorEastAsia"/>
          <w:sz w:val="32"/>
        </w:rPr>
        <w:t>Module Code:</w:t>
      </w:r>
      <w:r w:rsidR="00F85EED">
        <w:rPr>
          <w:rStyle w:val="Strong"/>
          <w:sz w:val="32"/>
        </w:rPr>
        <w:t xml:space="preserve"> </w:t>
      </w:r>
      <w:r w:rsidR="00F85EED" w:rsidRPr="00F85EED">
        <w:rPr>
          <w:b/>
          <w:sz w:val="32"/>
        </w:rPr>
        <w:t>LCHS4007</w:t>
      </w:r>
      <w:r w:rsidR="007A6060">
        <w:rPr>
          <w:b/>
          <w:sz w:val="32"/>
        </w:rPr>
        <w:br/>
      </w:r>
      <w:r w:rsidR="00F85EED" w:rsidRPr="00F85EED">
        <w:rPr>
          <w:rStyle w:val="Strong"/>
          <w:rFonts w:eastAsiaTheme="majorEastAsia"/>
          <w:sz w:val="32"/>
        </w:rPr>
        <w:t>Lecturer:</w:t>
      </w:r>
      <w:r w:rsidR="00F85EED">
        <w:rPr>
          <w:rStyle w:val="Strong"/>
          <w:sz w:val="32"/>
        </w:rPr>
        <w:t xml:space="preserve"> </w:t>
      </w:r>
      <w:r w:rsidR="00F85EED" w:rsidRPr="00F85EED">
        <w:rPr>
          <w:b/>
          <w:sz w:val="32"/>
        </w:rPr>
        <w:t>Patronella Ganza</w:t>
      </w:r>
      <w:r w:rsidR="007A6060">
        <w:rPr>
          <w:b/>
          <w:sz w:val="32"/>
        </w:rPr>
        <w:br/>
      </w:r>
      <w:r w:rsidR="007A6060">
        <w:rPr>
          <w:b/>
          <w:sz w:val="32"/>
        </w:rPr>
        <w:br/>
      </w:r>
      <w:r w:rsidR="00F85EED" w:rsidRPr="00F85EED">
        <w:rPr>
          <w:rStyle w:val="Strong"/>
          <w:rFonts w:eastAsiaTheme="majorEastAsia"/>
          <w:sz w:val="32"/>
        </w:rPr>
        <w:t>Assignment Title:</w:t>
      </w:r>
      <w:r w:rsidR="007A6060">
        <w:rPr>
          <w:b/>
          <w:sz w:val="32"/>
        </w:rPr>
        <w:t xml:space="preserve"> </w:t>
      </w:r>
      <w:r w:rsidR="00F85EED" w:rsidRPr="00F85EED">
        <w:rPr>
          <w:b/>
          <w:sz w:val="32"/>
        </w:rPr>
        <w:t>Component 2 – Research Report</w:t>
      </w:r>
      <w:r w:rsidR="00F85EED" w:rsidRPr="00F85EED">
        <w:rPr>
          <w:b/>
          <w:sz w:val="32"/>
        </w:rPr>
        <w:br/>
      </w:r>
      <w:r w:rsidR="00F85EED" w:rsidRPr="00F85EED">
        <w:rPr>
          <w:rStyle w:val="Strong"/>
          <w:rFonts w:eastAsiaTheme="majorEastAsia"/>
          <w:sz w:val="32"/>
        </w:rPr>
        <w:t>Submission</w:t>
      </w:r>
      <w:r w:rsidR="007A6060">
        <w:rPr>
          <w:rStyle w:val="Strong"/>
          <w:rFonts w:eastAsiaTheme="majorEastAsia"/>
          <w:sz w:val="32"/>
        </w:rPr>
        <w:t xml:space="preserve"> Date: 09/12/2025</w:t>
      </w:r>
      <w:r w:rsidR="00F85EED" w:rsidRPr="00F85EED">
        <w:rPr>
          <w:b/>
          <w:sz w:val="32"/>
        </w:rPr>
        <w:br/>
      </w:r>
    </w:p>
    <w:p w14:paraId="56CFD2D4" w14:textId="77777777" w:rsidR="007A6060" w:rsidRDefault="007A6060" w:rsidP="005F7887">
      <w:pPr>
        <w:pStyle w:val="Heading1"/>
      </w:pPr>
      <w:bookmarkStart w:id="0" w:name="_Toc216108088"/>
    </w:p>
    <w:p w14:paraId="1D6DDBA0" w14:textId="77777777" w:rsidR="007A6060" w:rsidRDefault="007A6060" w:rsidP="005F7887">
      <w:pPr>
        <w:pStyle w:val="Heading1"/>
      </w:pPr>
    </w:p>
    <w:p w14:paraId="1B646F27" w14:textId="77777777" w:rsidR="007A6060" w:rsidRDefault="007A6060" w:rsidP="005F7887">
      <w:pPr>
        <w:pStyle w:val="Heading1"/>
      </w:pPr>
    </w:p>
    <w:p w14:paraId="2F1ABA86" w14:textId="77777777" w:rsidR="007A6060" w:rsidRDefault="007A6060" w:rsidP="007A6060"/>
    <w:p w14:paraId="5246F333" w14:textId="77777777" w:rsidR="007A6060" w:rsidRDefault="007A6060" w:rsidP="007A6060"/>
    <w:p w14:paraId="476495E7" w14:textId="77777777" w:rsidR="007A6060" w:rsidRDefault="007A6060" w:rsidP="007A6060"/>
    <w:p w14:paraId="01F51D30" w14:textId="77777777" w:rsidR="007A6060" w:rsidRDefault="007A6060" w:rsidP="007A6060"/>
    <w:p w14:paraId="0837E353" w14:textId="77777777" w:rsidR="00015D19" w:rsidRDefault="00015D19" w:rsidP="007A6060"/>
    <w:p w14:paraId="3FDD1C16" w14:textId="77777777" w:rsidR="00015D19" w:rsidRDefault="00015D19" w:rsidP="007A6060"/>
    <w:p w14:paraId="1B03133C" w14:textId="77777777" w:rsidR="00015D19" w:rsidRDefault="00015D19" w:rsidP="007A6060"/>
    <w:p w14:paraId="5538FE5D" w14:textId="77777777" w:rsidR="00015D19" w:rsidRDefault="00015D19" w:rsidP="007A6060"/>
    <w:p w14:paraId="6DD894D6" w14:textId="77777777" w:rsidR="00015D19" w:rsidRPr="007A6060" w:rsidRDefault="00015D19" w:rsidP="007A6060"/>
    <w:p w14:paraId="657E6737" w14:textId="77777777" w:rsidR="00015D19" w:rsidRDefault="00015D19" w:rsidP="00015D19">
      <w:pPr>
        <w:pStyle w:val="NormalWeb"/>
        <w:spacing w:line="360" w:lineRule="auto"/>
        <w:rPr>
          <w:rStyle w:val="Strong"/>
          <w:sz w:val="32"/>
        </w:rPr>
      </w:pPr>
    </w:p>
    <w:p w14:paraId="0639DFB6" w14:textId="7547FB3E" w:rsidR="00015D19" w:rsidRPr="00015D19" w:rsidRDefault="00015D19" w:rsidP="00015D19">
      <w:pPr>
        <w:pStyle w:val="NormalWeb"/>
        <w:spacing w:line="360" w:lineRule="auto"/>
        <w:rPr>
          <w:rStyle w:val="Strong"/>
          <w:rFonts w:ascii="Arial" w:hAnsi="Arial" w:cs="Arial"/>
          <w:sz w:val="40"/>
          <w:szCs w:val="40"/>
        </w:rPr>
      </w:pPr>
      <w:r w:rsidRPr="00015D19">
        <w:rPr>
          <w:rStyle w:val="Strong"/>
          <w:rFonts w:ascii="Arial" w:hAnsi="Arial" w:cs="Arial"/>
          <w:sz w:val="40"/>
          <w:szCs w:val="40"/>
        </w:rPr>
        <w:lastRenderedPageBreak/>
        <w:t>Challenges in Mental Health Service Capacity and Access in the UK</w:t>
      </w:r>
    </w:p>
    <w:p w14:paraId="39C5A97D" w14:textId="77777777" w:rsidR="00015D19" w:rsidRDefault="00015D19" w:rsidP="005F7887">
      <w:pPr>
        <w:pStyle w:val="Heading1"/>
        <w:rPr>
          <w:rFonts w:ascii="Arial" w:hAnsi="Arial" w:cs="Arial"/>
          <w:sz w:val="22"/>
          <w:szCs w:val="22"/>
        </w:rPr>
      </w:pPr>
    </w:p>
    <w:p w14:paraId="0A4C5641" w14:textId="28D2CB15" w:rsidR="00F23AA0" w:rsidRPr="007A6060" w:rsidRDefault="005F7887" w:rsidP="005F7887">
      <w:pPr>
        <w:pStyle w:val="Heading1"/>
        <w:rPr>
          <w:rFonts w:ascii="Arial" w:hAnsi="Arial" w:cs="Arial"/>
          <w:sz w:val="22"/>
          <w:szCs w:val="22"/>
        </w:rPr>
      </w:pPr>
      <w:r w:rsidRPr="007A6060">
        <w:rPr>
          <w:rFonts w:ascii="Arial" w:hAnsi="Arial" w:cs="Arial"/>
          <w:sz w:val="22"/>
          <w:szCs w:val="22"/>
        </w:rPr>
        <w:t>Introduction:</w:t>
      </w:r>
      <w:bookmarkEnd w:id="0"/>
    </w:p>
    <w:p w14:paraId="0D8881EF" w14:textId="77777777" w:rsidR="00526E00" w:rsidRDefault="00526E00" w:rsidP="00526E00">
      <w:pPr>
        <w:rPr>
          <w:rFonts w:ascii="Arial" w:hAnsi="Arial" w:cs="Arial"/>
          <w:bCs/>
          <w:sz w:val="22"/>
        </w:rPr>
      </w:pPr>
    </w:p>
    <w:p w14:paraId="2D95B443" w14:textId="110B1C56" w:rsidR="005F7887" w:rsidRPr="00526E00" w:rsidRDefault="00526E00" w:rsidP="005F7887">
      <w:pPr>
        <w:rPr>
          <w:rFonts w:ascii="Arial" w:hAnsi="Arial" w:cs="Arial"/>
          <w:bCs/>
          <w:sz w:val="22"/>
        </w:rPr>
      </w:pPr>
      <w:r w:rsidRPr="00526E00">
        <w:rPr>
          <w:rFonts w:ascii="Arial" w:hAnsi="Arial" w:cs="Arial"/>
          <w:bCs/>
          <w:sz w:val="22"/>
        </w:rPr>
        <w:t xml:space="preserve">Reduced capacity and long waiting rates throughout UK mental health care is a significant issue to the NHS, social care and </w:t>
      </w:r>
      <w:r w:rsidR="0026162B" w:rsidRPr="00526E00">
        <w:rPr>
          <w:rFonts w:ascii="Arial" w:hAnsi="Arial" w:cs="Arial"/>
          <w:bCs/>
          <w:sz w:val="22"/>
        </w:rPr>
        <w:t>society</w:t>
      </w:r>
      <w:r w:rsidRPr="00526E00">
        <w:rPr>
          <w:rFonts w:ascii="Arial" w:hAnsi="Arial" w:cs="Arial"/>
          <w:bCs/>
          <w:sz w:val="22"/>
        </w:rPr>
        <w:t xml:space="preserve"> at large</w:t>
      </w:r>
      <w:r w:rsidRPr="00526E00">
        <w:rPr>
          <w:rFonts w:ascii="Arial" w:hAnsi="Arial" w:cs="Arial"/>
          <w:sz w:val="22"/>
        </w:rPr>
        <w:t xml:space="preserve"> </w:t>
      </w:r>
      <w:r w:rsidRPr="00526E00">
        <w:rPr>
          <w:rFonts w:ascii="Arial" w:hAnsi="Arial" w:cs="Arial"/>
          <w:bCs/>
          <w:sz w:val="22"/>
        </w:rPr>
        <w:t xml:space="preserve">(Lowther-Payne et al., 2023). The need </w:t>
      </w:r>
      <w:r w:rsidR="00976FFA" w:rsidRPr="00526E00">
        <w:rPr>
          <w:rFonts w:ascii="Arial" w:hAnsi="Arial" w:cs="Arial"/>
          <w:bCs/>
          <w:sz w:val="22"/>
        </w:rPr>
        <w:t>for</w:t>
      </w:r>
      <w:r w:rsidRPr="00526E00">
        <w:rPr>
          <w:rFonts w:ascii="Arial" w:hAnsi="Arial" w:cs="Arial"/>
          <w:bCs/>
          <w:sz w:val="22"/>
        </w:rPr>
        <w:t xml:space="preserve"> support has increased </w:t>
      </w:r>
      <w:r w:rsidR="0026162B" w:rsidRPr="00526E00">
        <w:rPr>
          <w:rFonts w:ascii="Arial" w:hAnsi="Arial" w:cs="Arial"/>
          <w:bCs/>
          <w:sz w:val="22"/>
        </w:rPr>
        <w:t>fast,</w:t>
      </w:r>
      <w:r w:rsidRPr="00526E00">
        <w:rPr>
          <w:rFonts w:ascii="Arial" w:hAnsi="Arial" w:cs="Arial"/>
          <w:bCs/>
          <w:sz w:val="22"/>
        </w:rPr>
        <w:t xml:space="preserve"> especially since the COVID-19 </w:t>
      </w:r>
      <w:r w:rsidR="00976FFA" w:rsidRPr="00526E00">
        <w:rPr>
          <w:rFonts w:ascii="Arial" w:hAnsi="Arial" w:cs="Arial"/>
          <w:bCs/>
          <w:sz w:val="22"/>
        </w:rPr>
        <w:t>pandemic,</w:t>
      </w:r>
      <w:r w:rsidRPr="00526E00">
        <w:rPr>
          <w:rFonts w:ascii="Arial" w:hAnsi="Arial" w:cs="Arial"/>
          <w:bCs/>
          <w:sz w:val="22"/>
        </w:rPr>
        <w:t xml:space="preserve"> yet the provision of services has not been </w:t>
      </w:r>
      <w:r w:rsidR="0026162B" w:rsidRPr="00526E00">
        <w:rPr>
          <w:rFonts w:ascii="Arial" w:hAnsi="Arial" w:cs="Arial"/>
          <w:bCs/>
          <w:sz w:val="22"/>
        </w:rPr>
        <w:t>kept</w:t>
      </w:r>
      <w:r w:rsidRPr="00526E00">
        <w:rPr>
          <w:rFonts w:ascii="Arial" w:hAnsi="Arial" w:cs="Arial"/>
          <w:bCs/>
          <w:sz w:val="22"/>
        </w:rPr>
        <w:t xml:space="preserve"> up. This report will review the character and magnitude of these pressures </w:t>
      </w:r>
      <w:r w:rsidR="0026162B" w:rsidRPr="00526E00">
        <w:rPr>
          <w:rFonts w:ascii="Arial" w:hAnsi="Arial" w:cs="Arial"/>
          <w:bCs/>
          <w:sz w:val="22"/>
        </w:rPr>
        <w:t>based</w:t>
      </w:r>
      <w:r w:rsidRPr="00526E00">
        <w:rPr>
          <w:rFonts w:ascii="Arial" w:hAnsi="Arial" w:cs="Arial"/>
          <w:bCs/>
          <w:sz w:val="22"/>
        </w:rPr>
        <w:t xml:space="preserve"> on the major literature and authoritative sources of data to </w:t>
      </w:r>
      <w:r w:rsidR="00976FFA" w:rsidRPr="00526E00">
        <w:rPr>
          <w:rFonts w:ascii="Arial" w:hAnsi="Arial" w:cs="Arial"/>
          <w:bCs/>
          <w:sz w:val="22"/>
        </w:rPr>
        <w:t>analyses</w:t>
      </w:r>
      <w:r w:rsidRPr="00526E00">
        <w:rPr>
          <w:rFonts w:ascii="Arial" w:hAnsi="Arial" w:cs="Arial"/>
          <w:bCs/>
          <w:sz w:val="22"/>
        </w:rPr>
        <w:t xml:space="preserve"> existing obstacles to timely care. It analyses the three fundamental sources, identifies the right methodologies of the research and justifies use of secondary data. The report is designed in a manner </w:t>
      </w:r>
      <w:r w:rsidR="00976FFA" w:rsidRPr="00526E00">
        <w:rPr>
          <w:rFonts w:ascii="Arial" w:hAnsi="Arial" w:cs="Arial"/>
          <w:bCs/>
          <w:sz w:val="22"/>
        </w:rPr>
        <w:t>that</w:t>
      </w:r>
      <w:r w:rsidRPr="00526E00">
        <w:rPr>
          <w:rFonts w:ascii="Arial" w:hAnsi="Arial" w:cs="Arial"/>
          <w:bCs/>
          <w:sz w:val="22"/>
        </w:rPr>
        <w:t xml:space="preserve"> presents the problem, justifies its topicality, outlines the evidence base and elaborates on the methodological basis to be used in further investigation.</w:t>
      </w:r>
    </w:p>
    <w:p w14:paraId="70C28B63" w14:textId="77777777" w:rsidR="00F23AA0" w:rsidRDefault="00F23AA0" w:rsidP="005F7887">
      <w:pPr>
        <w:pStyle w:val="Heading1"/>
        <w:rPr>
          <w:rFonts w:ascii="Arial" w:hAnsi="Arial" w:cs="Arial"/>
          <w:sz w:val="22"/>
          <w:szCs w:val="22"/>
        </w:rPr>
      </w:pPr>
      <w:bookmarkStart w:id="1" w:name="_Toc216108089"/>
      <w:r w:rsidRPr="007A6060">
        <w:rPr>
          <w:rFonts w:ascii="Arial" w:hAnsi="Arial" w:cs="Arial"/>
          <w:sz w:val="22"/>
          <w:szCs w:val="22"/>
        </w:rPr>
        <w:t xml:space="preserve">Task 1: </w:t>
      </w:r>
      <w:r w:rsidR="00255C56" w:rsidRPr="007A6060">
        <w:rPr>
          <w:rFonts w:ascii="Arial" w:hAnsi="Arial" w:cs="Arial"/>
          <w:sz w:val="22"/>
          <w:szCs w:val="22"/>
        </w:rPr>
        <w:t>Research t</w:t>
      </w:r>
      <w:r w:rsidRPr="007A6060">
        <w:rPr>
          <w:rFonts w:ascii="Arial" w:hAnsi="Arial" w:cs="Arial"/>
          <w:sz w:val="22"/>
          <w:szCs w:val="22"/>
        </w:rPr>
        <w:t>opic identification</w:t>
      </w:r>
      <w:bookmarkEnd w:id="1"/>
    </w:p>
    <w:p w14:paraId="5C612CEB" w14:textId="77777777" w:rsidR="001D732F" w:rsidRPr="001D732F" w:rsidRDefault="001D732F" w:rsidP="001D732F"/>
    <w:p w14:paraId="35CF1A53" w14:textId="00F139DB" w:rsidR="001D732F" w:rsidRPr="001D732F" w:rsidRDefault="001D732F" w:rsidP="001D732F">
      <w:pPr>
        <w:rPr>
          <w:bCs/>
        </w:rPr>
      </w:pPr>
      <w:r w:rsidRPr="001D732F">
        <w:rPr>
          <w:bCs/>
        </w:rPr>
        <w:t xml:space="preserve">The problem of capacity reduction and the growing waiting time in the UK mental health services has become a burning issue of subject of concern in the health and social care system. There have been growing mental health demands by all age categories, which have been escalated by </w:t>
      </w:r>
      <w:r w:rsidR="00976FFA" w:rsidRPr="001D732F">
        <w:rPr>
          <w:bCs/>
        </w:rPr>
        <w:t>increased</w:t>
      </w:r>
      <w:r w:rsidRPr="001D732F">
        <w:rPr>
          <w:bCs/>
        </w:rPr>
        <w:t xml:space="preserve"> anxiety rates, depression, and more serious psychiatric disorders. The post-COVID-19 trends of population health reveal that mental distress has significantly increased, and the factors of social isolation, financial strains, long-term illness, and bereavement have led to a persistent rise in demand</w:t>
      </w:r>
      <w:r w:rsidRPr="001D732F">
        <w:t xml:space="preserve"> </w:t>
      </w:r>
      <w:r w:rsidRPr="001D732F">
        <w:rPr>
          <w:bCs/>
        </w:rPr>
        <w:t>(Ford et al., 2021).</w:t>
      </w:r>
    </w:p>
    <w:p w14:paraId="6531A8F5" w14:textId="70FCF794" w:rsidR="001D732F" w:rsidRPr="001D732F" w:rsidRDefault="001D732F" w:rsidP="001D732F">
      <w:pPr>
        <w:rPr>
          <w:bCs/>
        </w:rPr>
      </w:pPr>
      <w:r w:rsidRPr="001D732F">
        <w:rPr>
          <w:bCs/>
        </w:rPr>
        <w:t xml:space="preserve">NHS Improving Access to Psychological Therapies (IAPT) and other similar services </w:t>
      </w:r>
      <w:r w:rsidR="004F6053" w:rsidRPr="001D732F">
        <w:rPr>
          <w:bCs/>
        </w:rPr>
        <w:t>often</w:t>
      </w:r>
      <w:r w:rsidRPr="001D732F">
        <w:rPr>
          <w:bCs/>
        </w:rPr>
        <w:t xml:space="preserve"> have longer waiting times than recommended, which are </w:t>
      </w:r>
      <w:r w:rsidR="00976FFA" w:rsidRPr="001D732F">
        <w:rPr>
          <w:bCs/>
        </w:rPr>
        <w:t>caused</w:t>
      </w:r>
      <w:r w:rsidRPr="001D732F">
        <w:rPr>
          <w:bCs/>
        </w:rPr>
        <w:t xml:space="preserve"> by staffing constraints and rising referrals. In other areas, it can take months to do preliminary evaluations, and it can be even more delayed to get treatment</w:t>
      </w:r>
      <w:r w:rsidRPr="001D732F">
        <w:t xml:space="preserve"> </w:t>
      </w:r>
      <w:r w:rsidRPr="001D732F">
        <w:rPr>
          <w:bCs/>
        </w:rPr>
        <w:t xml:space="preserve">(Ariyo et al., 2021). Children and </w:t>
      </w:r>
      <w:r w:rsidR="00976FFA" w:rsidRPr="001D732F">
        <w:rPr>
          <w:bCs/>
        </w:rPr>
        <w:t>youth</w:t>
      </w:r>
      <w:r w:rsidRPr="001D732F">
        <w:rPr>
          <w:bCs/>
        </w:rPr>
        <w:t xml:space="preserve"> tend to have extremely severe delays.</w:t>
      </w:r>
    </w:p>
    <w:p w14:paraId="3D2BB1CB" w14:textId="5C5D71B4" w:rsidR="001D732F" w:rsidRPr="001D732F" w:rsidRDefault="001D732F" w:rsidP="001D732F">
      <w:pPr>
        <w:rPr>
          <w:bCs/>
        </w:rPr>
      </w:pPr>
      <w:r w:rsidRPr="001D732F">
        <w:rPr>
          <w:bCs/>
        </w:rPr>
        <w:t>The problem has a wide and varied group of stakeholders. First in the list are patients who have common mental health problems such as anxiety, depression or trauma related disorders which need timely assistance to avoid aggravation</w:t>
      </w:r>
      <w:r w:rsidRPr="001D732F">
        <w:t xml:space="preserve"> </w:t>
      </w:r>
      <w:r w:rsidRPr="001D732F">
        <w:rPr>
          <w:bCs/>
        </w:rPr>
        <w:t xml:space="preserve">(Ariyo et al., 2021).The effects of the long waiting time can be felt by families and informal carers who </w:t>
      </w:r>
      <w:r w:rsidR="00481B4B" w:rsidRPr="001D732F">
        <w:rPr>
          <w:bCs/>
        </w:rPr>
        <w:t>must</w:t>
      </w:r>
      <w:r w:rsidRPr="001D732F">
        <w:rPr>
          <w:bCs/>
        </w:rPr>
        <w:t xml:space="preserve"> cope with complicated cases without proper professional guidance. Key stakeholders who are facing a surge in caseloads, burnout, and retention issues due to sustained service pressures are NHS mental health staff including psychiatrists, psychologists, mental health nurses, social workers and support workers. There is increasing demand, and community mental health teams and GP practices have little resources with which to absorb the demand</w:t>
      </w:r>
      <w:r w:rsidRPr="001D732F">
        <w:t xml:space="preserve"> </w:t>
      </w:r>
      <w:r w:rsidRPr="001D732F">
        <w:rPr>
          <w:bCs/>
        </w:rPr>
        <w:t>(Chen and Cardinal, 2021).</w:t>
      </w:r>
    </w:p>
    <w:p w14:paraId="50509D13" w14:textId="47943F04" w:rsidR="001D732F" w:rsidRPr="001D732F" w:rsidRDefault="001D732F" w:rsidP="001D732F">
      <w:pPr>
        <w:rPr>
          <w:bCs/>
        </w:rPr>
      </w:pPr>
      <w:r w:rsidRPr="001D732F">
        <w:rPr>
          <w:bCs/>
        </w:rPr>
        <w:lastRenderedPageBreak/>
        <w:t>Mental health is the cause of about 23% of all disease burden in the UK and yet is allocated about 11 percent of the NHS funds. Such a heavy imbalance abounds in structural underinvestment, in relation to need</w:t>
      </w:r>
      <w:r w:rsidRPr="001D732F">
        <w:t xml:space="preserve"> </w:t>
      </w:r>
      <w:r w:rsidRPr="001D732F">
        <w:rPr>
          <w:bCs/>
        </w:rPr>
        <w:t xml:space="preserve">(Johnson et al., 2020). Moreover, waiting periods often do not comply with national requirements, and most of the people </w:t>
      </w:r>
      <w:r w:rsidR="002476DA" w:rsidRPr="001D732F">
        <w:rPr>
          <w:bCs/>
        </w:rPr>
        <w:t>must</w:t>
      </w:r>
      <w:r w:rsidRPr="001D732F">
        <w:rPr>
          <w:bCs/>
        </w:rPr>
        <w:t xml:space="preserve"> wait and be delayed, which worsens their conditions. Long waiting times may lead to aggravated symptoms, decreased recovery, and crisis dependency or departmentalization. </w:t>
      </w:r>
    </w:p>
    <w:p w14:paraId="3FA6C40F" w14:textId="0481152E" w:rsidR="001D732F" w:rsidRPr="001D732F" w:rsidRDefault="001D732F" w:rsidP="001D732F">
      <w:pPr>
        <w:rPr>
          <w:bCs/>
        </w:rPr>
      </w:pPr>
      <w:r w:rsidRPr="001D732F">
        <w:rPr>
          <w:bCs/>
        </w:rPr>
        <w:t>Studies are thus necessary to make evidence-based decision-making, better allocation of funds, and facilitating service reforms. Strong data is needed by policymakers to comprehend the locations of the most acute capacity deficiencies, the ways of distributing resources better, and the changes in the structure that might make services more accessible</w:t>
      </w:r>
      <w:r w:rsidRPr="001D732F">
        <w:t xml:space="preserve"> </w:t>
      </w:r>
      <w:r w:rsidRPr="001D732F">
        <w:rPr>
          <w:bCs/>
        </w:rPr>
        <w:t xml:space="preserve">(Kruger and Mitchell, 2022). According to academic literature and governmental reports, shortcomings in workforce provision, regional disparities, and unequal referral routes, and the lack of community-based assistance is the unanimity of literature. This information can be </w:t>
      </w:r>
      <w:r w:rsidR="002476DA" w:rsidRPr="001D732F">
        <w:rPr>
          <w:bCs/>
        </w:rPr>
        <w:t>synthesized</w:t>
      </w:r>
      <w:r w:rsidRPr="001D732F">
        <w:rPr>
          <w:bCs/>
        </w:rPr>
        <w:t xml:space="preserve"> through comprehensive research and patterns can be identified and proposed interventions can be suggested. </w:t>
      </w:r>
    </w:p>
    <w:p w14:paraId="7BBC4B56" w14:textId="4592F3E7" w:rsidR="001D732F" w:rsidRPr="001D732F" w:rsidRDefault="001D732F" w:rsidP="001D732F">
      <w:pPr>
        <w:rPr>
          <w:bCs/>
        </w:rPr>
      </w:pPr>
      <w:r w:rsidRPr="001D732F">
        <w:rPr>
          <w:bCs/>
        </w:rPr>
        <w:t>To facilitate this exploration, three sources have been chosen that are relevant. The former is an NHS England report on national waiting times, workforce statistics, service performance and improvement plans</w:t>
      </w:r>
      <w:r w:rsidRPr="001D732F">
        <w:t xml:space="preserve"> </w:t>
      </w:r>
      <w:r w:rsidRPr="001D732F">
        <w:rPr>
          <w:bCs/>
        </w:rPr>
        <w:t xml:space="preserve">(Nachmias, Nachmias and Dewaard, 2022). The source is credible, current and is an original source of information as it is the </w:t>
      </w:r>
      <w:r w:rsidR="00976FFA" w:rsidRPr="001D732F">
        <w:rPr>
          <w:bCs/>
        </w:rPr>
        <w:t>organization</w:t>
      </w:r>
      <w:r w:rsidRPr="001D732F">
        <w:rPr>
          <w:bCs/>
        </w:rPr>
        <w:t xml:space="preserve"> that commissions mental health services. It captures the stresses of the mental health trusts, brings to focus the current performance metrics and the national strategies that are being applied towards tackling the problem of capacity. </w:t>
      </w:r>
    </w:p>
    <w:p w14:paraId="01A324EC" w14:textId="43002B4E" w:rsidR="001D732F" w:rsidRPr="001D732F" w:rsidRDefault="001D732F" w:rsidP="001D732F">
      <w:pPr>
        <w:rPr>
          <w:bCs/>
        </w:rPr>
      </w:pPr>
      <w:r w:rsidRPr="001D732F">
        <w:rPr>
          <w:bCs/>
        </w:rPr>
        <w:t>The second source will be a peer-reviewed journal article discussing the obstacles to accessing mental health services on the UK with a particular interest in the connection between waiting times and patient outcomes</w:t>
      </w:r>
      <w:r w:rsidRPr="001D732F">
        <w:t xml:space="preserve"> </w:t>
      </w:r>
      <w:r w:rsidRPr="001D732F">
        <w:rPr>
          <w:bCs/>
        </w:rPr>
        <w:t>(Nachmias, Nachmias and Dewaard, 2022). The academic literature is peer-reviewed and provides a strict analysis and is based on validated research methods. This source offers both theoretical and empirical understanding of the essence of delays on recovery, engagement, and clinical trajectories.</w:t>
      </w:r>
    </w:p>
    <w:p w14:paraId="6ACC1CD1" w14:textId="40C98A73" w:rsidR="001D732F" w:rsidRPr="001D732F" w:rsidRDefault="001D732F" w:rsidP="001D732F">
      <w:r w:rsidRPr="001D732F">
        <w:rPr>
          <w:bCs/>
        </w:rPr>
        <w:t>The third source is a report on Care Quality Commission (CQC) which assessed the quality, safety and performance of mental health service providers in the UK. CQC as a regulatory body has a statutory role of inspecting services and publishing independent judgment on the care standards</w:t>
      </w:r>
      <w:r w:rsidRPr="001D732F">
        <w:t xml:space="preserve"> </w:t>
      </w:r>
      <w:r w:rsidRPr="001D732F">
        <w:rPr>
          <w:bCs/>
        </w:rPr>
        <w:t xml:space="preserve">(Rayner, 2022). The inequalities in the regions, staffing issues, safeguarding, and the issues that influence access and continuity of care </w:t>
      </w:r>
      <w:r w:rsidR="002476DA" w:rsidRPr="001D732F">
        <w:rPr>
          <w:bCs/>
        </w:rPr>
        <w:t>are</w:t>
      </w:r>
      <w:r w:rsidRPr="001D732F">
        <w:rPr>
          <w:bCs/>
        </w:rPr>
        <w:t xml:space="preserve"> consistently found in its reports. Since these assessments are founded on findings of direct inspection and performance data, they offer a grounded, real-</w:t>
      </w:r>
      <w:r w:rsidR="002476DA" w:rsidRPr="001D732F">
        <w:rPr>
          <w:bCs/>
        </w:rPr>
        <w:t>world</w:t>
      </w:r>
      <w:r w:rsidRPr="001D732F">
        <w:rPr>
          <w:bCs/>
        </w:rPr>
        <w:t xml:space="preserve"> analysis of mental health system workings. </w:t>
      </w:r>
    </w:p>
    <w:p w14:paraId="7F109627" w14:textId="77777777" w:rsidR="001D732F" w:rsidRPr="001D732F" w:rsidRDefault="001D732F" w:rsidP="001D732F"/>
    <w:p w14:paraId="0EBE9478" w14:textId="77777777" w:rsidR="00F23AA0" w:rsidRPr="007A6060" w:rsidRDefault="00F23AA0" w:rsidP="0083109C">
      <w:pPr>
        <w:pStyle w:val="Heading1"/>
        <w:rPr>
          <w:rFonts w:ascii="Arial" w:hAnsi="Arial" w:cs="Arial"/>
          <w:sz w:val="22"/>
          <w:szCs w:val="22"/>
        </w:rPr>
      </w:pPr>
      <w:bookmarkStart w:id="2" w:name="_Toc216108090"/>
      <w:r w:rsidRPr="007A6060">
        <w:rPr>
          <w:rFonts w:ascii="Arial" w:hAnsi="Arial" w:cs="Arial"/>
          <w:sz w:val="22"/>
          <w:szCs w:val="22"/>
        </w:rPr>
        <w:t>Task 2: Research Methodologies</w:t>
      </w:r>
      <w:bookmarkEnd w:id="2"/>
      <w:r w:rsidRPr="007A6060">
        <w:rPr>
          <w:rFonts w:ascii="Arial" w:hAnsi="Arial" w:cs="Arial"/>
          <w:sz w:val="22"/>
          <w:szCs w:val="22"/>
        </w:rPr>
        <w:t xml:space="preserve"> </w:t>
      </w:r>
    </w:p>
    <w:p w14:paraId="405275B1" w14:textId="77777777" w:rsidR="0083109C" w:rsidRPr="007A6060" w:rsidRDefault="0083109C" w:rsidP="0083109C">
      <w:pPr>
        <w:rPr>
          <w:rFonts w:ascii="Arial" w:hAnsi="Arial" w:cs="Arial"/>
          <w:sz w:val="22"/>
        </w:rPr>
      </w:pPr>
    </w:p>
    <w:p w14:paraId="3679E6AF" w14:textId="21A98990" w:rsidR="00F23AA0" w:rsidRPr="007A6060" w:rsidRDefault="00A632A1" w:rsidP="00F23AA0">
      <w:pPr>
        <w:spacing w:line="360" w:lineRule="auto"/>
        <w:jc w:val="both"/>
        <w:rPr>
          <w:rFonts w:ascii="Arial" w:hAnsi="Arial" w:cs="Arial"/>
          <w:sz w:val="22"/>
        </w:rPr>
      </w:pPr>
      <w:r>
        <w:rPr>
          <w:rFonts w:ascii="Arial" w:hAnsi="Arial" w:cs="Arial"/>
          <w:sz w:val="22"/>
        </w:rPr>
        <w:lastRenderedPageBreak/>
        <w:t>Quantitative and qualitative methodologies are complementary forms of evidence that offer different perceptions of issues in mental health service provision.</w:t>
      </w:r>
      <w:r w:rsidRPr="007A6060">
        <w:rPr>
          <w:rFonts w:ascii="Arial" w:hAnsi="Arial" w:cs="Arial"/>
          <w:sz w:val="22"/>
        </w:rPr>
        <w:t xml:space="preserve"> It</w:t>
      </w:r>
      <w:r w:rsidR="00F23AA0" w:rsidRPr="007A6060">
        <w:rPr>
          <w:rFonts w:ascii="Arial" w:hAnsi="Arial" w:cs="Arial"/>
          <w:sz w:val="22"/>
        </w:rPr>
        <w:t xml:space="preserve"> can be used to monitor the trends in the rates of referrals, workforce capacity, waiting periods, service utilisation and demographic variations</w:t>
      </w:r>
      <w:r w:rsidR="00AF6CF8" w:rsidRPr="007A6060">
        <w:rPr>
          <w:rFonts w:ascii="Arial" w:hAnsi="Arial" w:cs="Arial"/>
          <w:sz w:val="22"/>
        </w:rPr>
        <w:t xml:space="preserve"> (Paterson et al., 2024)</w:t>
      </w:r>
      <w:r w:rsidR="00F23AA0" w:rsidRPr="007A6060">
        <w:rPr>
          <w:rFonts w:ascii="Arial" w:hAnsi="Arial" w:cs="Arial"/>
          <w:sz w:val="22"/>
        </w:rPr>
        <w:t>.</w:t>
      </w:r>
    </w:p>
    <w:p w14:paraId="24F4820D" w14:textId="14371093" w:rsidR="00F23AA0" w:rsidRPr="007A6060" w:rsidRDefault="00C849A6" w:rsidP="00F23AA0">
      <w:pPr>
        <w:spacing w:line="360" w:lineRule="auto"/>
        <w:jc w:val="both"/>
        <w:rPr>
          <w:rFonts w:ascii="Arial" w:hAnsi="Arial" w:cs="Arial"/>
          <w:sz w:val="22"/>
        </w:rPr>
      </w:pPr>
      <w:r w:rsidRPr="007A6060">
        <w:rPr>
          <w:rFonts w:ascii="Arial" w:hAnsi="Arial" w:cs="Arial"/>
          <w:sz w:val="22"/>
        </w:rPr>
        <w:t>Q</w:t>
      </w:r>
      <w:r w:rsidR="00F23AA0" w:rsidRPr="007A6060">
        <w:rPr>
          <w:rFonts w:ascii="Arial" w:hAnsi="Arial" w:cs="Arial"/>
          <w:sz w:val="22"/>
        </w:rPr>
        <w:t>ualitative research resorts to personal experiences, perceptions, opinions, and behaviours. It is a rich and comprehensive enquiry into the experiences of service constraints by the stakeholders through interviews, focus groups, thematic analysis, and observational means. Qualitative data can help shed light on the actual experiences of patients on a waiting list, the staff struggling with excessive caseloads, and families with complicated referral processes</w:t>
      </w:r>
      <w:r w:rsidR="00AF6CF8" w:rsidRPr="007A6060">
        <w:rPr>
          <w:rFonts w:ascii="Arial" w:hAnsi="Arial" w:cs="Arial"/>
          <w:sz w:val="22"/>
        </w:rPr>
        <w:t xml:space="preserve"> (Paterson et al., 2024)</w:t>
      </w:r>
      <w:r w:rsidR="00F23AA0" w:rsidRPr="007A6060">
        <w:rPr>
          <w:rFonts w:ascii="Arial" w:hAnsi="Arial" w:cs="Arial"/>
          <w:sz w:val="22"/>
        </w:rPr>
        <w:t xml:space="preserve">. </w:t>
      </w:r>
    </w:p>
    <w:p w14:paraId="532DF062" w14:textId="77777777" w:rsidR="00F23AA0" w:rsidRPr="007A6060" w:rsidRDefault="00F23AA0" w:rsidP="0083109C">
      <w:pPr>
        <w:pStyle w:val="Heading1"/>
        <w:rPr>
          <w:rFonts w:ascii="Arial" w:hAnsi="Arial" w:cs="Arial"/>
          <w:sz w:val="22"/>
          <w:szCs w:val="22"/>
        </w:rPr>
      </w:pPr>
      <w:bookmarkStart w:id="3" w:name="_Toc216108091"/>
      <w:r w:rsidRPr="007A6060">
        <w:rPr>
          <w:rFonts w:ascii="Arial" w:hAnsi="Arial" w:cs="Arial"/>
          <w:sz w:val="22"/>
          <w:szCs w:val="22"/>
        </w:rPr>
        <w:t>Task 3: Data Collection</w:t>
      </w:r>
      <w:bookmarkEnd w:id="3"/>
      <w:r w:rsidRPr="007A6060">
        <w:rPr>
          <w:rFonts w:ascii="Arial" w:hAnsi="Arial" w:cs="Arial"/>
          <w:sz w:val="22"/>
          <w:szCs w:val="22"/>
        </w:rPr>
        <w:t xml:space="preserve"> </w:t>
      </w:r>
    </w:p>
    <w:p w14:paraId="246BBA44" w14:textId="77777777" w:rsidR="0083109C" w:rsidRPr="007A6060" w:rsidRDefault="0083109C" w:rsidP="0083109C">
      <w:pPr>
        <w:rPr>
          <w:rFonts w:ascii="Arial" w:hAnsi="Arial" w:cs="Arial"/>
          <w:sz w:val="22"/>
        </w:rPr>
      </w:pPr>
    </w:p>
    <w:p w14:paraId="53D5944D" w14:textId="1C541ED1" w:rsidR="00F23AA0" w:rsidRPr="007A6060" w:rsidRDefault="00F23AA0" w:rsidP="00F23AA0">
      <w:pPr>
        <w:spacing w:line="360" w:lineRule="auto"/>
        <w:jc w:val="both"/>
        <w:rPr>
          <w:rFonts w:ascii="Arial" w:hAnsi="Arial" w:cs="Arial"/>
          <w:sz w:val="22"/>
        </w:rPr>
      </w:pPr>
      <w:r w:rsidRPr="007A6060">
        <w:rPr>
          <w:rFonts w:ascii="Arial" w:hAnsi="Arial" w:cs="Arial"/>
          <w:sz w:val="22"/>
        </w:rPr>
        <w:t>Primary and secondary data present two different strategies of data collection. Primary data are those that are gathered by the researcher and include information that was obtained by the researcher through interviews, survey, observation, or focus groups</w:t>
      </w:r>
      <w:r w:rsidR="00C0773F" w:rsidRPr="007A6060">
        <w:rPr>
          <w:rFonts w:ascii="Arial" w:hAnsi="Arial" w:cs="Arial"/>
          <w:sz w:val="22"/>
        </w:rPr>
        <w:t xml:space="preserve"> (Taherdoost, 2021)</w:t>
      </w:r>
      <w:r w:rsidRPr="007A6060">
        <w:rPr>
          <w:rFonts w:ascii="Arial" w:hAnsi="Arial" w:cs="Arial"/>
          <w:sz w:val="22"/>
        </w:rPr>
        <w:t xml:space="preserve">. These techniques lead to </w:t>
      </w:r>
      <w:r w:rsidR="00C0773F" w:rsidRPr="007A6060">
        <w:rPr>
          <w:rFonts w:ascii="Arial" w:hAnsi="Arial" w:cs="Arial"/>
          <w:sz w:val="22"/>
        </w:rPr>
        <w:t>firsthand</w:t>
      </w:r>
      <w:r w:rsidRPr="007A6060">
        <w:rPr>
          <w:rFonts w:ascii="Arial" w:hAnsi="Arial" w:cs="Arial"/>
          <w:sz w:val="22"/>
        </w:rPr>
        <w:t xml:space="preserve"> information which is specific to the research question.</w:t>
      </w:r>
    </w:p>
    <w:p w14:paraId="43A72065" w14:textId="27163F2F" w:rsidR="00F23AA0" w:rsidRPr="007A6060" w:rsidRDefault="00F23AA0" w:rsidP="00F23AA0">
      <w:pPr>
        <w:spacing w:line="360" w:lineRule="auto"/>
        <w:jc w:val="both"/>
        <w:rPr>
          <w:rFonts w:ascii="Arial" w:hAnsi="Arial" w:cs="Arial"/>
          <w:sz w:val="22"/>
        </w:rPr>
      </w:pPr>
      <w:r w:rsidRPr="007A6060">
        <w:rPr>
          <w:rFonts w:ascii="Arial" w:hAnsi="Arial" w:cs="Arial"/>
          <w:sz w:val="22"/>
        </w:rPr>
        <w:t xml:space="preserve">Secondary </w:t>
      </w:r>
      <w:r w:rsidR="00C849A6" w:rsidRPr="007A6060">
        <w:rPr>
          <w:rFonts w:ascii="Arial" w:hAnsi="Arial" w:cs="Arial"/>
          <w:sz w:val="22"/>
        </w:rPr>
        <w:t>data</w:t>
      </w:r>
      <w:r w:rsidRPr="007A6060">
        <w:rPr>
          <w:rFonts w:ascii="Arial" w:hAnsi="Arial" w:cs="Arial"/>
          <w:sz w:val="22"/>
        </w:rPr>
        <w:t xml:space="preserve"> </w:t>
      </w:r>
      <w:r w:rsidR="00C849A6" w:rsidRPr="007A6060">
        <w:rPr>
          <w:rFonts w:ascii="Arial" w:hAnsi="Arial" w:cs="Arial"/>
          <w:sz w:val="22"/>
        </w:rPr>
        <w:t>entails</w:t>
      </w:r>
      <w:r w:rsidRPr="007A6060">
        <w:rPr>
          <w:rFonts w:ascii="Arial" w:hAnsi="Arial" w:cs="Arial"/>
          <w:sz w:val="22"/>
        </w:rPr>
        <w:t xml:space="preserve"> the usage of the pre-existing information generated by other organisations, researchers, or institutions. They could be government publications, NHS datasets, peer-reviewed articles, regulatory reports and publicly available statistics. Secondary data are effective, reliable, and broad, and researchers </w:t>
      </w:r>
      <w:r w:rsidR="00C849A6" w:rsidRPr="007A6060">
        <w:rPr>
          <w:rFonts w:ascii="Arial" w:hAnsi="Arial" w:cs="Arial"/>
          <w:sz w:val="22"/>
        </w:rPr>
        <w:t>can</w:t>
      </w:r>
      <w:r w:rsidRPr="007A6060">
        <w:rPr>
          <w:rFonts w:ascii="Arial" w:hAnsi="Arial" w:cs="Arial"/>
          <w:sz w:val="22"/>
        </w:rPr>
        <w:t xml:space="preserve"> examine the existing trends without limiting themselves to the collection of the primary data</w:t>
      </w:r>
      <w:r w:rsidR="00C0773F" w:rsidRPr="007A6060">
        <w:rPr>
          <w:rFonts w:ascii="Arial" w:hAnsi="Arial" w:cs="Arial"/>
          <w:sz w:val="22"/>
        </w:rPr>
        <w:t xml:space="preserve"> (Mazhar et al., 2021)</w:t>
      </w:r>
      <w:r w:rsidRPr="007A6060">
        <w:rPr>
          <w:rFonts w:ascii="Arial" w:hAnsi="Arial" w:cs="Arial"/>
          <w:sz w:val="22"/>
        </w:rPr>
        <w:t>.</w:t>
      </w:r>
    </w:p>
    <w:p w14:paraId="7D929509" w14:textId="30A9018D" w:rsidR="00F23AA0" w:rsidRPr="007A6060" w:rsidRDefault="00F23AA0" w:rsidP="00F23AA0">
      <w:pPr>
        <w:spacing w:line="360" w:lineRule="auto"/>
        <w:jc w:val="both"/>
        <w:rPr>
          <w:rFonts w:ascii="Arial" w:hAnsi="Arial" w:cs="Arial"/>
          <w:sz w:val="22"/>
        </w:rPr>
      </w:pPr>
      <w:r w:rsidRPr="007A6060">
        <w:rPr>
          <w:rFonts w:ascii="Arial" w:hAnsi="Arial" w:cs="Arial"/>
          <w:sz w:val="22"/>
        </w:rPr>
        <w:t>In this project, the most suitable option is the secondary data. NHS mental health data are also elaborated, standardised and updated regularly and provide credible statistics that directly address the research objectives.</w:t>
      </w:r>
      <w:r w:rsidR="00C849A6" w:rsidRPr="007A6060">
        <w:rPr>
          <w:rFonts w:ascii="Arial" w:hAnsi="Arial" w:cs="Arial"/>
          <w:sz w:val="22"/>
        </w:rPr>
        <w:t xml:space="preserve"> Secondary</w:t>
      </w:r>
      <w:r w:rsidRPr="007A6060">
        <w:rPr>
          <w:rFonts w:ascii="Arial" w:hAnsi="Arial" w:cs="Arial"/>
          <w:sz w:val="22"/>
        </w:rPr>
        <w:t xml:space="preserve"> data will enable a strong mixed-method analysis as quantitative measures will be used to supplement the results of the qualitative research already present in </w:t>
      </w:r>
      <w:r w:rsidR="00C849A6" w:rsidRPr="007A6060">
        <w:rPr>
          <w:rFonts w:ascii="Arial" w:hAnsi="Arial" w:cs="Arial"/>
          <w:sz w:val="22"/>
        </w:rPr>
        <w:t>literature</w:t>
      </w:r>
      <w:r w:rsidRPr="007A6060">
        <w:rPr>
          <w:rFonts w:ascii="Arial" w:hAnsi="Arial" w:cs="Arial"/>
          <w:sz w:val="22"/>
        </w:rPr>
        <w:t>, making the research methodologically valid and feasible.</w:t>
      </w:r>
    </w:p>
    <w:p w14:paraId="7B6C6C02" w14:textId="77777777" w:rsidR="00F23AA0" w:rsidRPr="007A6060" w:rsidRDefault="0071144E" w:rsidP="0083109C">
      <w:pPr>
        <w:pStyle w:val="Heading1"/>
        <w:rPr>
          <w:rFonts w:ascii="Arial" w:hAnsi="Arial" w:cs="Arial"/>
          <w:sz w:val="22"/>
          <w:szCs w:val="22"/>
        </w:rPr>
      </w:pPr>
      <w:bookmarkStart w:id="4" w:name="_Toc216108092"/>
      <w:r w:rsidRPr="007A6060">
        <w:rPr>
          <w:rFonts w:ascii="Arial" w:hAnsi="Arial" w:cs="Arial"/>
          <w:sz w:val="22"/>
          <w:szCs w:val="22"/>
        </w:rPr>
        <w:t>Conclusion:</w:t>
      </w:r>
      <w:bookmarkEnd w:id="4"/>
    </w:p>
    <w:p w14:paraId="09787EBE" w14:textId="77777777" w:rsidR="0083109C" w:rsidRPr="007A6060" w:rsidRDefault="0083109C" w:rsidP="0083109C">
      <w:pPr>
        <w:rPr>
          <w:rFonts w:ascii="Arial" w:hAnsi="Arial" w:cs="Arial"/>
          <w:sz w:val="22"/>
        </w:rPr>
      </w:pPr>
    </w:p>
    <w:p w14:paraId="1E4AC5DF" w14:textId="092A7B60" w:rsidR="005F2528" w:rsidRDefault="00F23AA0" w:rsidP="00F23AA0">
      <w:pPr>
        <w:spacing w:line="360" w:lineRule="auto"/>
        <w:jc w:val="both"/>
        <w:rPr>
          <w:rFonts w:ascii="Arial" w:hAnsi="Arial" w:cs="Arial"/>
          <w:sz w:val="22"/>
        </w:rPr>
      </w:pPr>
      <w:r w:rsidRPr="007A6060">
        <w:rPr>
          <w:rFonts w:ascii="Arial" w:hAnsi="Arial" w:cs="Arial"/>
          <w:sz w:val="22"/>
        </w:rPr>
        <w:t xml:space="preserve">The pressures of UK mental health services can only be understood to handle the increasing demand, capacity, and long waiting </w:t>
      </w:r>
      <w:r w:rsidR="007A6060" w:rsidRPr="007A6060">
        <w:rPr>
          <w:rFonts w:ascii="Arial" w:hAnsi="Arial" w:cs="Arial"/>
          <w:sz w:val="22"/>
        </w:rPr>
        <w:t>time. The</w:t>
      </w:r>
      <w:r w:rsidRPr="007A6060">
        <w:rPr>
          <w:rFonts w:ascii="Arial" w:hAnsi="Arial" w:cs="Arial"/>
          <w:sz w:val="22"/>
        </w:rPr>
        <w:t xml:space="preserve"> information on specific improvements, enabling equal access, and making investment choices should be informed by research. To find solid evidence, this report has chosen official sources, such as NHS England, peer-reviewed articles, and CQC reviews. </w:t>
      </w:r>
    </w:p>
    <w:p w14:paraId="4F9805C3" w14:textId="77777777" w:rsidR="00A632A1" w:rsidRPr="007A6060" w:rsidRDefault="00A632A1" w:rsidP="00F23AA0">
      <w:pPr>
        <w:spacing w:line="360" w:lineRule="auto"/>
        <w:jc w:val="both"/>
        <w:rPr>
          <w:rFonts w:ascii="Arial" w:hAnsi="Arial" w:cs="Arial"/>
          <w:sz w:val="22"/>
        </w:rPr>
      </w:pPr>
    </w:p>
    <w:p w14:paraId="3595AC7E" w14:textId="77777777" w:rsidR="005F2528" w:rsidRPr="000E1E39" w:rsidRDefault="005F2528" w:rsidP="005F2528">
      <w:pPr>
        <w:pStyle w:val="Heading1"/>
        <w:rPr>
          <w:rFonts w:ascii="Arial" w:hAnsi="Arial" w:cs="Arial"/>
          <w:sz w:val="22"/>
          <w:szCs w:val="22"/>
          <w:lang w:val="fr-FR"/>
        </w:rPr>
      </w:pPr>
      <w:bookmarkStart w:id="5" w:name="_Toc216108093"/>
      <w:r w:rsidRPr="000E1E39">
        <w:rPr>
          <w:rFonts w:ascii="Arial" w:hAnsi="Arial" w:cs="Arial"/>
          <w:sz w:val="22"/>
          <w:szCs w:val="22"/>
          <w:lang w:val="fr-FR"/>
        </w:rPr>
        <w:t>Reference list:</w:t>
      </w:r>
      <w:bookmarkEnd w:id="5"/>
    </w:p>
    <w:p w14:paraId="5156EA2F" w14:textId="77777777" w:rsidR="001D6660" w:rsidRPr="000E1E39" w:rsidRDefault="001D6660" w:rsidP="001D6660">
      <w:pPr>
        <w:spacing w:line="360" w:lineRule="auto"/>
        <w:jc w:val="both"/>
        <w:rPr>
          <w:rFonts w:ascii="Arial" w:hAnsi="Arial" w:cs="Arial"/>
          <w:sz w:val="22"/>
          <w:lang w:val="fr-FR"/>
        </w:rPr>
      </w:pPr>
    </w:p>
    <w:p w14:paraId="2071DF67"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fr-FR"/>
        </w:rPr>
        <w:t xml:space="preserve">Ariyo et al. </w:t>
      </w:r>
      <w:r w:rsidRPr="000E1E39">
        <w:rPr>
          <w:rFonts w:ascii="Arial" w:hAnsi="Arial" w:cs="Arial"/>
          <w:sz w:val="22"/>
          <w:lang w:val="en-GB"/>
        </w:rPr>
        <w:t>(2021) highlight the experiences of professionals involved in assessing mental capacity in England and Wales, or this can be cited parenthetically as (Ariyo et al., 2021).</w:t>
      </w:r>
    </w:p>
    <w:p w14:paraId="4B9431BB"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According to Chen and Cardinal (2021), mental health service accessibility and efficiency in the UK varies significantly, which may also be written as (Chen &amp; Cardinal, 2021).</w:t>
      </w:r>
    </w:p>
    <w:p w14:paraId="0F44BF6F"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Dhanani et al. (2024) examine how the NHS responds to racial inequalities among its workforce, or alternatively (Dhanani et al., 2024).</w:t>
      </w:r>
    </w:p>
    <w:p w14:paraId="5B70B966"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Ford et al. (2021) discuss both the challenges and opportunities associated with mental health data sharing in the UK; this may also be cited as (Ford et al., 2021).</w:t>
      </w:r>
    </w:p>
    <w:p w14:paraId="0E85611D"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Johnson et al. (2020) report that the COVID-19 pandemic caused major disruptions to mental health services and affected service users’ experiences, with the parenthetical version being (Johnson et al., 2020).</w:t>
      </w:r>
    </w:p>
    <w:p w14:paraId="2DEB4DF5"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Kruger and Mitchell (2022) outline the foundational principles of research methodology, or this can be written as (Kruger &amp; Mitchell, 2022).</w:t>
      </w:r>
    </w:p>
    <w:p w14:paraId="371A813A"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Lowther-Payne et al. (2023) identify continuing inequalities in access to adult mental health services across the UK, which can also appear as (Lowther-Payne et al., 2023).</w:t>
      </w:r>
    </w:p>
    <w:p w14:paraId="0EDC6404"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Mazhar et al. (2021) emphasise the importance of selecting suitable methods for data collection, or this may be referenced as (Mazhar et al., 2021).</w:t>
      </w:r>
    </w:p>
    <w:p w14:paraId="37F5AE0B"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Nachmias, Nachmias and Dewaard (2022) provide a detailed overview of research approaches in the social sciences; the parenthetical version is (Nachmias, Nachmias &amp; Dewaard, 2022).</w:t>
      </w:r>
    </w:p>
    <w:p w14:paraId="6722A580"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Paterson et al. (2024) explore barriers and facilitators that influence how workplace mental-health interventions are implemented, or this may be cited as (Paterson et al., 2024).</w:t>
      </w:r>
    </w:p>
    <w:p w14:paraId="3734009C" w14:textId="77777777" w:rsidR="000E1E39" w:rsidRPr="000E1E39" w:rsidRDefault="000E1E39" w:rsidP="000E1E39">
      <w:pPr>
        <w:spacing w:line="360" w:lineRule="auto"/>
        <w:jc w:val="both"/>
        <w:rPr>
          <w:rFonts w:ascii="Arial" w:hAnsi="Arial" w:cs="Arial"/>
          <w:sz w:val="22"/>
          <w:lang w:val="en-GB"/>
        </w:rPr>
      </w:pPr>
      <w:r w:rsidRPr="000E1E39">
        <w:rPr>
          <w:rFonts w:ascii="Arial" w:hAnsi="Arial" w:cs="Arial"/>
          <w:sz w:val="22"/>
          <w:lang w:val="en-GB"/>
        </w:rPr>
        <w:t>Rayner (2022) examines the development of the Care Quality Commission as a regulatory body, or this can be written as (Rayner, 2022).</w:t>
      </w:r>
    </w:p>
    <w:p w14:paraId="7E6C3153" w14:textId="46F0B834" w:rsidR="005F2528" w:rsidRPr="000E1E39" w:rsidRDefault="000E1E39" w:rsidP="00F23AA0">
      <w:pPr>
        <w:spacing w:line="360" w:lineRule="auto"/>
        <w:jc w:val="both"/>
        <w:rPr>
          <w:rFonts w:ascii="Arial" w:hAnsi="Arial" w:cs="Arial"/>
          <w:sz w:val="22"/>
          <w:lang w:val="en-GB"/>
        </w:rPr>
      </w:pPr>
      <w:r w:rsidRPr="000E1E39">
        <w:rPr>
          <w:rFonts w:ascii="Arial" w:hAnsi="Arial" w:cs="Arial"/>
          <w:sz w:val="22"/>
          <w:lang w:val="en-GB"/>
        </w:rPr>
        <w:t>Taherdoost (2021) presents a structured guide to selecting appropriate tools and techniques for data collection, which can also be cited as (Taherdoost, 2021</w:t>
      </w:r>
    </w:p>
    <w:sectPr w:rsidR="005F2528" w:rsidRPr="000E1E3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DB738" w14:textId="77777777" w:rsidR="00E43A13" w:rsidRDefault="00E43A13" w:rsidP="00255C56">
      <w:pPr>
        <w:spacing w:after="0" w:line="240" w:lineRule="auto"/>
      </w:pPr>
      <w:r>
        <w:separator/>
      </w:r>
    </w:p>
  </w:endnote>
  <w:endnote w:type="continuationSeparator" w:id="0">
    <w:p w14:paraId="3BA585AE" w14:textId="77777777" w:rsidR="00E43A13" w:rsidRDefault="00E43A13" w:rsidP="00255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969942"/>
      <w:docPartObj>
        <w:docPartGallery w:val="Page Numbers (Bottom of Page)"/>
        <w:docPartUnique/>
      </w:docPartObj>
    </w:sdtPr>
    <w:sdtEndPr>
      <w:rPr>
        <w:noProof/>
      </w:rPr>
    </w:sdtEndPr>
    <w:sdtContent>
      <w:p w14:paraId="1E0E0F2D" w14:textId="77777777" w:rsidR="00255C56" w:rsidRDefault="00255C56">
        <w:pPr>
          <w:pStyle w:val="Footer"/>
          <w:jc w:val="right"/>
        </w:pPr>
        <w:r>
          <w:fldChar w:fldCharType="begin"/>
        </w:r>
        <w:r>
          <w:instrText xml:space="preserve"> PAGE   \* MERGEFORMAT </w:instrText>
        </w:r>
        <w:r>
          <w:fldChar w:fldCharType="separate"/>
        </w:r>
        <w:r w:rsidR="007E1442">
          <w:rPr>
            <w:noProof/>
          </w:rPr>
          <w:t>3</w:t>
        </w:r>
        <w:r>
          <w:rPr>
            <w:noProof/>
          </w:rPr>
          <w:fldChar w:fldCharType="end"/>
        </w:r>
      </w:p>
    </w:sdtContent>
  </w:sdt>
  <w:p w14:paraId="1C690199" w14:textId="77777777" w:rsidR="00255C56" w:rsidRDefault="00255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314E1" w14:textId="77777777" w:rsidR="00E43A13" w:rsidRDefault="00E43A13" w:rsidP="00255C56">
      <w:pPr>
        <w:spacing w:after="0" w:line="240" w:lineRule="auto"/>
      </w:pPr>
      <w:r>
        <w:separator/>
      </w:r>
    </w:p>
  </w:footnote>
  <w:footnote w:type="continuationSeparator" w:id="0">
    <w:p w14:paraId="75F3296E" w14:textId="77777777" w:rsidR="00E43A13" w:rsidRDefault="00E43A13" w:rsidP="00255C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E65"/>
    <w:rsid w:val="00015D19"/>
    <w:rsid w:val="000E1E39"/>
    <w:rsid w:val="00116E5B"/>
    <w:rsid w:val="001D6660"/>
    <w:rsid w:val="001D732F"/>
    <w:rsid w:val="002476DA"/>
    <w:rsid w:val="00255C56"/>
    <w:rsid w:val="0026162B"/>
    <w:rsid w:val="003E64BD"/>
    <w:rsid w:val="00400130"/>
    <w:rsid w:val="00414FBF"/>
    <w:rsid w:val="00481B4B"/>
    <w:rsid w:val="004B535D"/>
    <w:rsid w:val="004F6053"/>
    <w:rsid w:val="00526E00"/>
    <w:rsid w:val="005F2528"/>
    <w:rsid w:val="005F7887"/>
    <w:rsid w:val="006B4F4E"/>
    <w:rsid w:val="00703072"/>
    <w:rsid w:val="0071144E"/>
    <w:rsid w:val="007A6060"/>
    <w:rsid w:val="007E1442"/>
    <w:rsid w:val="0083109C"/>
    <w:rsid w:val="00976FFA"/>
    <w:rsid w:val="009D3735"/>
    <w:rsid w:val="00A632A1"/>
    <w:rsid w:val="00AF6CF8"/>
    <w:rsid w:val="00C0773F"/>
    <w:rsid w:val="00C37125"/>
    <w:rsid w:val="00C849A6"/>
    <w:rsid w:val="00CF37E2"/>
    <w:rsid w:val="00D10E65"/>
    <w:rsid w:val="00D331BB"/>
    <w:rsid w:val="00D925EE"/>
    <w:rsid w:val="00DE5539"/>
    <w:rsid w:val="00E43A13"/>
    <w:rsid w:val="00E9438E"/>
    <w:rsid w:val="00EF0837"/>
    <w:rsid w:val="00F23AA0"/>
    <w:rsid w:val="00F85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11A7"/>
  <w15:chartTrackingRefBased/>
  <w15:docId w15:val="{1DDB0953-3B39-4321-8178-66FDAF943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ED"/>
    <w:rPr>
      <w:rFonts w:ascii="Times New Roman" w:hAnsi="Times New Roman"/>
      <w:sz w:val="24"/>
    </w:rPr>
  </w:style>
  <w:style w:type="paragraph" w:styleId="Heading1">
    <w:name w:val="heading 1"/>
    <w:basedOn w:val="Normal"/>
    <w:next w:val="Normal"/>
    <w:link w:val="Heading1Char"/>
    <w:uiPriority w:val="9"/>
    <w:qFormat/>
    <w:rsid w:val="00F85EED"/>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5EED"/>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85EED"/>
    <w:rPr>
      <w:b/>
      <w:bCs/>
    </w:rPr>
  </w:style>
  <w:style w:type="character" w:customStyle="1" w:styleId="Heading1Char">
    <w:name w:val="Heading 1 Char"/>
    <w:basedOn w:val="DefaultParagraphFont"/>
    <w:link w:val="Heading1"/>
    <w:uiPriority w:val="9"/>
    <w:rsid w:val="00F85EED"/>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255C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5C56"/>
    <w:rPr>
      <w:rFonts w:ascii="Times New Roman" w:hAnsi="Times New Roman"/>
      <w:sz w:val="24"/>
    </w:rPr>
  </w:style>
  <w:style w:type="paragraph" w:styleId="Footer">
    <w:name w:val="footer"/>
    <w:basedOn w:val="Normal"/>
    <w:link w:val="FooterChar"/>
    <w:uiPriority w:val="99"/>
    <w:unhideWhenUsed/>
    <w:rsid w:val="00255C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5C56"/>
    <w:rPr>
      <w:rFonts w:ascii="Times New Roman" w:hAnsi="Times New Roman"/>
      <w:sz w:val="24"/>
    </w:rPr>
  </w:style>
  <w:style w:type="paragraph" w:styleId="TOC1">
    <w:name w:val="toc 1"/>
    <w:basedOn w:val="Normal"/>
    <w:next w:val="Normal"/>
    <w:autoRedefine/>
    <w:uiPriority w:val="39"/>
    <w:unhideWhenUsed/>
    <w:rsid w:val="0083109C"/>
    <w:pPr>
      <w:spacing w:after="100"/>
    </w:pPr>
  </w:style>
  <w:style w:type="character" w:styleId="Hyperlink">
    <w:name w:val="Hyperlink"/>
    <w:basedOn w:val="DefaultParagraphFont"/>
    <w:uiPriority w:val="99"/>
    <w:unhideWhenUsed/>
    <w:rsid w:val="0083109C"/>
    <w:rPr>
      <w:color w:val="0563C1" w:themeColor="hyperlink"/>
      <w:u w:val="single"/>
    </w:rPr>
  </w:style>
  <w:style w:type="paragraph" w:styleId="NoSpacing">
    <w:name w:val="No Spacing"/>
    <w:uiPriority w:val="1"/>
    <w:qFormat/>
    <w:rsid w:val="007A6060"/>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334528">
      <w:bodyDiv w:val="1"/>
      <w:marLeft w:val="0"/>
      <w:marRight w:val="0"/>
      <w:marTop w:val="0"/>
      <w:marBottom w:val="0"/>
      <w:divBdr>
        <w:top w:val="none" w:sz="0" w:space="0" w:color="auto"/>
        <w:left w:val="none" w:sz="0" w:space="0" w:color="auto"/>
        <w:bottom w:val="none" w:sz="0" w:space="0" w:color="auto"/>
        <w:right w:val="none" w:sz="0" w:space="0" w:color="auto"/>
      </w:divBdr>
    </w:div>
    <w:div w:id="1401781963">
      <w:bodyDiv w:val="1"/>
      <w:marLeft w:val="0"/>
      <w:marRight w:val="0"/>
      <w:marTop w:val="0"/>
      <w:marBottom w:val="0"/>
      <w:divBdr>
        <w:top w:val="none" w:sz="0" w:space="0" w:color="auto"/>
        <w:left w:val="none" w:sz="0" w:space="0" w:color="auto"/>
        <w:bottom w:val="none" w:sz="0" w:space="0" w:color="auto"/>
        <w:right w:val="none" w:sz="0" w:space="0" w:color="auto"/>
      </w:divBdr>
    </w:div>
    <w:div w:id="1463646271">
      <w:bodyDiv w:val="1"/>
      <w:marLeft w:val="0"/>
      <w:marRight w:val="0"/>
      <w:marTop w:val="0"/>
      <w:marBottom w:val="0"/>
      <w:divBdr>
        <w:top w:val="none" w:sz="0" w:space="0" w:color="auto"/>
        <w:left w:val="none" w:sz="0" w:space="0" w:color="auto"/>
        <w:bottom w:val="none" w:sz="0" w:space="0" w:color="auto"/>
        <w:right w:val="none" w:sz="0" w:space="0" w:color="auto"/>
      </w:divBdr>
      <w:divsChild>
        <w:div w:id="474838273">
          <w:marLeft w:val="0"/>
          <w:marRight w:val="0"/>
          <w:marTop w:val="0"/>
          <w:marBottom w:val="0"/>
          <w:divBdr>
            <w:top w:val="none" w:sz="0" w:space="0" w:color="auto"/>
            <w:left w:val="none" w:sz="0" w:space="0" w:color="auto"/>
            <w:bottom w:val="none" w:sz="0" w:space="0" w:color="auto"/>
            <w:right w:val="none" w:sz="0" w:space="0" w:color="auto"/>
          </w:divBdr>
        </w:div>
      </w:divsChild>
    </w:div>
    <w:div w:id="208394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5BAF3-736F-4DE6-9881-D85B222FF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1586</Words>
  <Characters>9043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Hasan Mahadi</cp:lastModifiedBy>
  <cp:revision>16</cp:revision>
  <dcterms:created xsi:type="dcterms:W3CDTF">2025-12-09T10:15:00Z</dcterms:created>
  <dcterms:modified xsi:type="dcterms:W3CDTF">2025-12-09T10:49:00Z</dcterms:modified>
</cp:coreProperties>
</file>