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AB034" w14:textId="07D7C652" w:rsidR="005D6656" w:rsidRDefault="00BA1F50" w:rsidP="005D6656">
      <w:pPr>
        <w:spacing w:line="360" w:lineRule="auto"/>
        <w:jc w:val="cente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7BDFE125" wp14:editId="048C8740">
            <wp:extent cx="4029075" cy="13363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tretch>
                      <a:fillRect/>
                    </a:stretch>
                  </pic:blipFill>
                  <pic:spPr>
                    <a:xfrm>
                      <a:off x="0" y="0"/>
                      <a:ext cx="4037148" cy="1338988"/>
                    </a:xfrm>
                    <a:prstGeom prst="rect">
                      <a:avLst/>
                    </a:prstGeom>
                  </pic:spPr>
                </pic:pic>
              </a:graphicData>
            </a:graphic>
          </wp:inline>
        </w:drawing>
      </w:r>
    </w:p>
    <w:p w14:paraId="4EE213DA" w14:textId="23EA5E89" w:rsidR="00BA1F50" w:rsidRDefault="00591CEB" w:rsidP="005D6656">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A Report on the</w:t>
      </w:r>
    </w:p>
    <w:p w14:paraId="4484DAD4" w14:textId="0ACB694E" w:rsidR="00591CEB" w:rsidRDefault="00591CEB" w:rsidP="005D6656">
      <w:pPr>
        <w:spacing w:line="360" w:lineRule="auto"/>
        <w:jc w:val="center"/>
        <w:rPr>
          <w:rFonts w:ascii="Times New Roman" w:hAnsi="Times New Roman" w:cs="Times New Roman"/>
          <w:b/>
          <w:bCs/>
          <w:sz w:val="32"/>
          <w:szCs w:val="32"/>
        </w:rPr>
      </w:pPr>
      <w:r w:rsidRPr="00591CEB">
        <w:rPr>
          <w:rFonts w:ascii="Times New Roman" w:hAnsi="Times New Roman" w:cs="Times New Roman"/>
          <w:b/>
          <w:bCs/>
          <w:sz w:val="32"/>
          <w:szCs w:val="32"/>
        </w:rPr>
        <w:t>International Financial Management in British American Tobacco (BAT)</w:t>
      </w:r>
    </w:p>
    <w:p w14:paraId="02B3C489" w14:textId="67F09CFE" w:rsidR="008B02A9" w:rsidRDefault="008B02A9" w:rsidP="005D6656">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Module name:</w:t>
      </w:r>
      <w:r w:rsidRPr="008B02A9">
        <w:rPr>
          <w:rFonts w:ascii="Times New Roman" w:hAnsi="Times New Roman" w:cs="Times New Roman"/>
          <w:b/>
          <w:bCs/>
          <w:sz w:val="32"/>
          <w:szCs w:val="32"/>
        </w:rPr>
        <w:t xml:space="preserve"> </w:t>
      </w:r>
      <w:r w:rsidRPr="00591CEB">
        <w:rPr>
          <w:rFonts w:ascii="Times New Roman" w:hAnsi="Times New Roman" w:cs="Times New Roman"/>
          <w:b/>
          <w:bCs/>
          <w:sz w:val="32"/>
          <w:szCs w:val="32"/>
        </w:rPr>
        <w:t>International Financial Management</w:t>
      </w:r>
    </w:p>
    <w:p w14:paraId="30C12CEC" w14:textId="55B12647" w:rsidR="008B02A9" w:rsidRDefault="008B02A9" w:rsidP="005D6656">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Module code: LCBB6002</w:t>
      </w:r>
    </w:p>
    <w:p w14:paraId="5BED05AD" w14:textId="5E8E373B" w:rsidR="008B02A9" w:rsidRDefault="008B02A9" w:rsidP="005D6656">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Assessment 1</w:t>
      </w:r>
    </w:p>
    <w:p w14:paraId="700FA4C3" w14:textId="0D5FE7C2" w:rsidR="008B02A9" w:rsidRDefault="008B02A9" w:rsidP="005D6656">
      <w:pPr>
        <w:spacing w:line="360" w:lineRule="auto"/>
        <w:jc w:val="center"/>
        <w:rPr>
          <w:b/>
          <w:bCs/>
          <w:sz w:val="28"/>
          <w:szCs w:val="28"/>
        </w:rPr>
      </w:pPr>
      <w:r>
        <w:rPr>
          <w:rFonts w:ascii="Times New Roman" w:hAnsi="Times New Roman" w:cs="Times New Roman"/>
          <w:b/>
          <w:bCs/>
          <w:sz w:val="32"/>
          <w:szCs w:val="32"/>
        </w:rPr>
        <w:t>Lecturer:</w:t>
      </w:r>
      <w:r w:rsidRPr="008B02A9">
        <w:t xml:space="preserve"> </w:t>
      </w:r>
      <w:r w:rsidRPr="008B02A9">
        <w:rPr>
          <w:b/>
          <w:bCs/>
          <w:sz w:val="28"/>
          <w:szCs w:val="28"/>
        </w:rPr>
        <w:t>Dr Konstantina Mari</w:t>
      </w:r>
      <w:r>
        <w:rPr>
          <w:b/>
          <w:bCs/>
          <w:sz w:val="28"/>
          <w:szCs w:val="28"/>
        </w:rPr>
        <w:t xml:space="preserve">  </w:t>
      </w:r>
      <w:r w:rsidRPr="008B02A9">
        <w:rPr>
          <w:b/>
          <w:bCs/>
          <w:sz w:val="28"/>
          <w:szCs w:val="28"/>
        </w:rPr>
        <w:t xml:space="preserve"> Dr </w:t>
      </w:r>
      <w:proofErr w:type="spellStart"/>
      <w:r w:rsidRPr="008B02A9">
        <w:rPr>
          <w:b/>
          <w:bCs/>
          <w:sz w:val="28"/>
          <w:szCs w:val="28"/>
        </w:rPr>
        <w:t>Rexon</w:t>
      </w:r>
      <w:proofErr w:type="spellEnd"/>
      <w:r w:rsidRPr="008B02A9">
        <w:rPr>
          <w:b/>
          <w:bCs/>
          <w:sz w:val="28"/>
          <w:szCs w:val="28"/>
        </w:rPr>
        <w:t xml:space="preserve"> </w:t>
      </w:r>
      <w:proofErr w:type="spellStart"/>
      <w:r w:rsidRPr="008B02A9">
        <w:rPr>
          <w:b/>
          <w:bCs/>
          <w:sz w:val="28"/>
          <w:szCs w:val="28"/>
        </w:rPr>
        <w:t>Nting</w:t>
      </w:r>
      <w:proofErr w:type="spellEnd"/>
      <w:r w:rsidRPr="008B02A9">
        <w:rPr>
          <w:b/>
          <w:bCs/>
          <w:sz w:val="28"/>
          <w:szCs w:val="28"/>
        </w:rPr>
        <w:t xml:space="preserve"> </w:t>
      </w:r>
      <w:r>
        <w:rPr>
          <w:b/>
          <w:bCs/>
          <w:sz w:val="28"/>
          <w:szCs w:val="28"/>
        </w:rPr>
        <w:t xml:space="preserve">  </w:t>
      </w:r>
      <w:r w:rsidRPr="008B02A9">
        <w:rPr>
          <w:b/>
          <w:bCs/>
          <w:sz w:val="28"/>
          <w:szCs w:val="28"/>
        </w:rPr>
        <w:t>Zainab Atta</w:t>
      </w:r>
    </w:p>
    <w:p w14:paraId="53A1503E" w14:textId="2942747B" w:rsidR="008B02A9" w:rsidRDefault="008B02A9" w:rsidP="005D6656">
      <w:pPr>
        <w:spacing w:line="360" w:lineRule="auto"/>
        <w:jc w:val="center"/>
        <w:rPr>
          <w:b/>
          <w:bCs/>
          <w:sz w:val="28"/>
          <w:szCs w:val="28"/>
        </w:rPr>
      </w:pPr>
      <w:r>
        <w:rPr>
          <w:b/>
          <w:bCs/>
          <w:sz w:val="28"/>
          <w:szCs w:val="28"/>
        </w:rPr>
        <w:t>Student name: Lucian Mirica</w:t>
      </w:r>
    </w:p>
    <w:p w14:paraId="197B13D0" w14:textId="59011B86" w:rsidR="008B02A9" w:rsidRDefault="008B02A9" w:rsidP="005D6656">
      <w:pPr>
        <w:spacing w:line="360" w:lineRule="auto"/>
        <w:jc w:val="center"/>
        <w:rPr>
          <w:b/>
          <w:bCs/>
          <w:sz w:val="28"/>
          <w:szCs w:val="28"/>
        </w:rPr>
      </w:pPr>
      <w:r>
        <w:rPr>
          <w:b/>
          <w:bCs/>
          <w:sz w:val="28"/>
          <w:szCs w:val="28"/>
        </w:rPr>
        <w:t>Student Id: 2013041</w:t>
      </w:r>
    </w:p>
    <w:p w14:paraId="2AFA6980" w14:textId="77777777" w:rsidR="008B02A9" w:rsidRDefault="008B02A9" w:rsidP="005D6656">
      <w:pPr>
        <w:spacing w:line="360" w:lineRule="auto"/>
        <w:jc w:val="center"/>
        <w:rPr>
          <w:rFonts w:ascii="Times New Roman" w:hAnsi="Times New Roman" w:cs="Times New Roman"/>
          <w:b/>
          <w:bCs/>
          <w:sz w:val="32"/>
          <w:szCs w:val="32"/>
        </w:rPr>
      </w:pPr>
    </w:p>
    <w:p w14:paraId="75265EF9" w14:textId="77777777" w:rsidR="008B02A9" w:rsidRDefault="008B02A9" w:rsidP="005D6656">
      <w:pPr>
        <w:spacing w:line="360" w:lineRule="auto"/>
        <w:jc w:val="center"/>
        <w:rPr>
          <w:rFonts w:ascii="Times New Roman" w:hAnsi="Times New Roman" w:cs="Times New Roman"/>
          <w:b/>
          <w:bCs/>
          <w:sz w:val="32"/>
          <w:szCs w:val="32"/>
        </w:rPr>
      </w:pPr>
    </w:p>
    <w:p w14:paraId="1A09D2C0" w14:textId="77777777" w:rsidR="008B02A9" w:rsidRDefault="008B02A9" w:rsidP="005D6656">
      <w:pPr>
        <w:spacing w:line="360" w:lineRule="auto"/>
        <w:jc w:val="center"/>
        <w:rPr>
          <w:rFonts w:ascii="Times New Roman" w:hAnsi="Times New Roman" w:cs="Times New Roman"/>
          <w:b/>
          <w:bCs/>
          <w:sz w:val="32"/>
          <w:szCs w:val="32"/>
        </w:rPr>
      </w:pPr>
    </w:p>
    <w:p w14:paraId="0E3C6D84" w14:textId="77777777" w:rsidR="00591CEB" w:rsidRDefault="00591CEB" w:rsidP="005D6656">
      <w:pPr>
        <w:spacing w:line="360" w:lineRule="auto"/>
        <w:jc w:val="center"/>
        <w:rPr>
          <w:rFonts w:ascii="Times New Roman" w:hAnsi="Times New Roman" w:cs="Times New Roman"/>
          <w:b/>
          <w:bCs/>
          <w:sz w:val="32"/>
          <w:szCs w:val="32"/>
        </w:rPr>
      </w:pPr>
    </w:p>
    <w:p w14:paraId="644D5AAF" w14:textId="77777777" w:rsidR="00591CEB" w:rsidRDefault="00591CEB" w:rsidP="005D6656">
      <w:pPr>
        <w:spacing w:line="360" w:lineRule="auto"/>
        <w:jc w:val="center"/>
        <w:rPr>
          <w:rFonts w:ascii="Times New Roman" w:hAnsi="Times New Roman" w:cs="Times New Roman"/>
          <w:b/>
          <w:bCs/>
          <w:sz w:val="32"/>
          <w:szCs w:val="32"/>
        </w:rPr>
      </w:pPr>
    </w:p>
    <w:p w14:paraId="4A39A38E" w14:textId="77777777" w:rsidR="00591CEB" w:rsidRDefault="00591CEB" w:rsidP="005D6656">
      <w:pPr>
        <w:spacing w:line="360" w:lineRule="auto"/>
        <w:jc w:val="center"/>
        <w:rPr>
          <w:rFonts w:ascii="Times New Roman" w:hAnsi="Times New Roman" w:cs="Times New Roman"/>
          <w:b/>
          <w:bCs/>
          <w:sz w:val="32"/>
          <w:szCs w:val="32"/>
        </w:rPr>
      </w:pPr>
    </w:p>
    <w:p w14:paraId="79575B63" w14:textId="77777777" w:rsidR="00591CEB" w:rsidRDefault="00591CEB" w:rsidP="005D6656">
      <w:pPr>
        <w:spacing w:line="360" w:lineRule="auto"/>
        <w:jc w:val="center"/>
        <w:rPr>
          <w:rFonts w:ascii="Times New Roman" w:hAnsi="Times New Roman" w:cs="Times New Roman"/>
          <w:b/>
          <w:bCs/>
          <w:sz w:val="32"/>
          <w:szCs w:val="32"/>
        </w:rPr>
      </w:pPr>
    </w:p>
    <w:p w14:paraId="3D6083E3" w14:textId="77777777" w:rsidR="00591CEB" w:rsidRDefault="00591CEB" w:rsidP="005D6656">
      <w:pPr>
        <w:spacing w:line="360" w:lineRule="auto"/>
        <w:jc w:val="center"/>
        <w:rPr>
          <w:rFonts w:ascii="Times New Roman" w:hAnsi="Times New Roman" w:cs="Times New Roman"/>
          <w:b/>
          <w:bCs/>
          <w:sz w:val="32"/>
          <w:szCs w:val="32"/>
        </w:rPr>
      </w:pPr>
    </w:p>
    <w:p w14:paraId="1EEA1F00" w14:textId="77777777" w:rsidR="00591CEB" w:rsidRDefault="00591CEB" w:rsidP="005D6656">
      <w:pPr>
        <w:spacing w:line="360" w:lineRule="auto"/>
        <w:jc w:val="center"/>
        <w:rPr>
          <w:rFonts w:ascii="Times New Roman" w:hAnsi="Times New Roman" w:cs="Times New Roman"/>
          <w:b/>
          <w:bCs/>
          <w:sz w:val="32"/>
          <w:szCs w:val="32"/>
        </w:rPr>
      </w:pPr>
    </w:p>
    <w:p w14:paraId="1EEB298C" w14:textId="77777777" w:rsidR="005D6656" w:rsidRDefault="005D6656">
      <w:pPr>
        <w:rPr>
          <w:rFonts w:ascii="Times New Roman" w:hAnsi="Times New Roman" w:cs="Times New Roman"/>
          <w:b/>
          <w:bCs/>
          <w:sz w:val="32"/>
          <w:szCs w:val="32"/>
        </w:rPr>
      </w:pPr>
      <w:r>
        <w:rPr>
          <w:rFonts w:ascii="Times New Roman" w:hAnsi="Times New Roman" w:cs="Times New Roman"/>
          <w:b/>
          <w:bCs/>
          <w:sz w:val="32"/>
          <w:szCs w:val="32"/>
        </w:rPr>
        <w:br w:type="page"/>
      </w:r>
    </w:p>
    <w:sdt>
      <w:sdtPr>
        <w:rPr>
          <w:rFonts w:asciiTheme="minorHAnsi" w:eastAsiaTheme="minorHAnsi" w:hAnsiTheme="minorHAnsi" w:cstheme="minorBidi"/>
          <w:color w:val="auto"/>
          <w:kern w:val="2"/>
          <w:sz w:val="22"/>
          <w:szCs w:val="22"/>
          <w14:ligatures w14:val="standardContextual"/>
        </w:rPr>
        <w:id w:val="-279266154"/>
        <w:docPartObj>
          <w:docPartGallery w:val="Table of Contents"/>
          <w:docPartUnique/>
        </w:docPartObj>
      </w:sdtPr>
      <w:sdtEndPr>
        <w:rPr>
          <w:b/>
          <w:bCs/>
          <w:noProof/>
        </w:rPr>
      </w:sdtEndPr>
      <w:sdtContent>
        <w:p w14:paraId="0617BD22" w14:textId="758E85BE" w:rsidR="00A73E30" w:rsidRDefault="00A73E30" w:rsidP="00A73E30">
          <w:pPr>
            <w:pStyle w:val="TOCHeading"/>
            <w:jc w:val="center"/>
            <w:rPr>
              <w:rFonts w:ascii="Times New Roman" w:hAnsi="Times New Roman" w:cs="Times New Roman"/>
              <w:b/>
              <w:bCs/>
            </w:rPr>
          </w:pPr>
          <w:r w:rsidRPr="00A73E30">
            <w:rPr>
              <w:rFonts w:ascii="Times New Roman" w:hAnsi="Times New Roman" w:cs="Times New Roman"/>
              <w:b/>
              <w:bCs/>
            </w:rPr>
            <w:t>Table of Contents</w:t>
          </w:r>
        </w:p>
        <w:p w14:paraId="3B056423" w14:textId="77777777" w:rsidR="00A73E30" w:rsidRPr="00A73E30" w:rsidRDefault="00A73E30" w:rsidP="00A73E30"/>
        <w:p w14:paraId="5B5A37F0" w14:textId="46139EEC" w:rsidR="002159A2" w:rsidRPr="002159A2" w:rsidRDefault="00A73E30" w:rsidP="002159A2">
          <w:pPr>
            <w:pStyle w:val="TOC1"/>
            <w:tabs>
              <w:tab w:val="right" w:leader="dot" w:pos="9350"/>
            </w:tabs>
            <w:spacing w:line="360" w:lineRule="auto"/>
            <w:rPr>
              <w:rFonts w:ascii="Times New Roman" w:eastAsiaTheme="minorEastAsia" w:hAnsi="Times New Roman" w:cs="Times New Roman"/>
              <w:noProof/>
              <w:kern w:val="0"/>
              <w:sz w:val="24"/>
              <w:szCs w:val="24"/>
              <w14:ligatures w14:val="none"/>
            </w:rPr>
          </w:pPr>
          <w:r>
            <w:fldChar w:fldCharType="begin"/>
          </w:r>
          <w:r>
            <w:instrText xml:space="preserve"> TOC \o "1-3" \h \z \u </w:instrText>
          </w:r>
          <w:r>
            <w:fldChar w:fldCharType="separate"/>
          </w:r>
          <w:hyperlink w:anchor="_Toc131948242" w:history="1">
            <w:r w:rsidR="002159A2" w:rsidRPr="002159A2">
              <w:rPr>
                <w:rStyle w:val="Hyperlink"/>
                <w:rFonts w:ascii="Times New Roman" w:hAnsi="Times New Roman" w:cs="Times New Roman"/>
                <w:noProof/>
                <w:sz w:val="24"/>
                <w:szCs w:val="24"/>
              </w:rPr>
              <w:t>Introduction</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_Toc131948242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3</w:t>
            </w:r>
            <w:r w:rsidR="002159A2" w:rsidRPr="002159A2">
              <w:rPr>
                <w:rFonts w:ascii="Times New Roman" w:hAnsi="Times New Roman" w:cs="Times New Roman"/>
                <w:noProof/>
                <w:webHidden/>
                <w:sz w:val="24"/>
                <w:szCs w:val="24"/>
              </w:rPr>
              <w:fldChar w:fldCharType="end"/>
            </w:r>
          </w:hyperlink>
        </w:p>
        <w:p w14:paraId="2F20D6D1" w14:textId="12B940C4" w:rsidR="002159A2" w:rsidRPr="002159A2" w:rsidRDefault="00000000" w:rsidP="002159A2">
          <w:pPr>
            <w:pStyle w:val="TOC1"/>
            <w:tabs>
              <w:tab w:val="right" w:leader="dot" w:pos="9350"/>
            </w:tabs>
            <w:spacing w:line="360" w:lineRule="auto"/>
            <w:rPr>
              <w:rFonts w:ascii="Times New Roman" w:eastAsiaTheme="minorEastAsia" w:hAnsi="Times New Roman" w:cs="Times New Roman"/>
              <w:noProof/>
              <w:kern w:val="0"/>
              <w:sz w:val="24"/>
              <w:szCs w:val="24"/>
              <w14:ligatures w14:val="none"/>
            </w:rPr>
          </w:pPr>
          <w:hyperlink w:anchor="_Toc131948243" w:history="1">
            <w:r w:rsidR="002159A2" w:rsidRPr="002159A2">
              <w:rPr>
                <w:rStyle w:val="Hyperlink"/>
                <w:rFonts w:ascii="Times New Roman" w:hAnsi="Times New Roman" w:cs="Times New Roman"/>
                <w:noProof/>
                <w:sz w:val="24"/>
                <w:szCs w:val="24"/>
              </w:rPr>
              <w:t>Dividend Distribution Policy</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_Toc131948243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3</w:t>
            </w:r>
            <w:r w:rsidR="002159A2" w:rsidRPr="002159A2">
              <w:rPr>
                <w:rFonts w:ascii="Times New Roman" w:hAnsi="Times New Roman" w:cs="Times New Roman"/>
                <w:noProof/>
                <w:webHidden/>
                <w:sz w:val="24"/>
                <w:szCs w:val="24"/>
              </w:rPr>
              <w:fldChar w:fldCharType="end"/>
            </w:r>
          </w:hyperlink>
        </w:p>
        <w:p w14:paraId="19DDE798" w14:textId="578375A9" w:rsidR="002159A2" w:rsidRPr="002159A2" w:rsidRDefault="00000000" w:rsidP="002159A2">
          <w:pPr>
            <w:pStyle w:val="TOC1"/>
            <w:tabs>
              <w:tab w:val="right" w:leader="dot" w:pos="9350"/>
            </w:tabs>
            <w:spacing w:line="360" w:lineRule="auto"/>
            <w:rPr>
              <w:rFonts w:ascii="Times New Roman" w:eastAsiaTheme="minorEastAsia" w:hAnsi="Times New Roman" w:cs="Times New Roman"/>
              <w:noProof/>
              <w:kern w:val="0"/>
              <w:sz w:val="24"/>
              <w:szCs w:val="24"/>
              <w14:ligatures w14:val="none"/>
            </w:rPr>
          </w:pPr>
          <w:hyperlink w:anchor="_Toc131948244" w:history="1">
            <w:r w:rsidR="002159A2" w:rsidRPr="002159A2">
              <w:rPr>
                <w:rStyle w:val="Hyperlink"/>
                <w:rFonts w:ascii="Times New Roman" w:hAnsi="Times New Roman" w:cs="Times New Roman"/>
                <w:noProof/>
                <w:sz w:val="24"/>
                <w:szCs w:val="24"/>
              </w:rPr>
              <w:t>Efficient Market Hypothesis Theory</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_Toc131948244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4</w:t>
            </w:r>
            <w:r w:rsidR="002159A2" w:rsidRPr="002159A2">
              <w:rPr>
                <w:rFonts w:ascii="Times New Roman" w:hAnsi="Times New Roman" w:cs="Times New Roman"/>
                <w:noProof/>
                <w:webHidden/>
                <w:sz w:val="24"/>
                <w:szCs w:val="24"/>
              </w:rPr>
              <w:fldChar w:fldCharType="end"/>
            </w:r>
          </w:hyperlink>
        </w:p>
        <w:p w14:paraId="710A799F" w14:textId="143BF9CB" w:rsidR="002159A2" w:rsidRPr="002159A2" w:rsidRDefault="00000000" w:rsidP="002159A2">
          <w:pPr>
            <w:pStyle w:val="TOC2"/>
            <w:tabs>
              <w:tab w:val="right" w:leader="dot" w:pos="9350"/>
            </w:tabs>
            <w:spacing w:line="360" w:lineRule="auto"/>
            <w:rPr>
              <w:rFonts w:ascii="Times New Roman" w:eastAsiaTheme="minorEastAsia" w:hAnsi="Times New Roman" w:cs="Times New Roman"/>
              <w:noProof/>
              <w:kern w:val="0"/>
              <w:sz w:val="24"/>
              <w:szCs w:val="24"/>
              <w14:ligatures w14:val="none"/>
            </w:rPr>
          </w:pPr>
          <w:hyperlink w:anchor="_Toc131948245" w:history="1">
            <w:r w:rsidR="002159A2" w:rsidRPr="002159A2">
              <w:rPr>
                <w:rStyle w:val="Hyperlink"/>
                <w:rFonts w:ascii="Times New Roman" w:hAnsi="Times New Roman" w:cs="Times New Roman"/>
                <w:noProof/>
                <w:sz w:val="24"/>
                <w:szCs w:val="24"/>
              </w:rPr>
              <w:t>Marketplace Sentimentality and Behavioral Prejudices</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_Toc131948245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5</w:t>
            </w:r>
            <w:r w:rsidR="002159A2" w:rsidRPr="002159A2">
              <w:rPr>
                <w:rFonts w:ascii="Times New Roman" w:hAnsi="Times New Roman" w:cs="Times New Roman"/>
                <w:noProof/>
                <w:webHidden/>
                <w:sz w:val="24"/>
                <w:szCs w:val="24"/>
              </w:rPr>
              <w:fldChar w:fldCharType="end"/>
            </w:r>
          </w:hyperlink>
        </w:p>
        <w:p w14:paraId="39E8CCF0" w14:textId="1C7618A9" w:rsidR="002159A2" w:rsidRPr="002159A2" w:rsidRDefault="00000000" w:rsidP="002159A2">
          <w:pPr>
            <w:pStyle w:val="TOC2"/>
            <w:tabs>
              <w:tab w:val="right" w:leader="dot" w:pos="9350"/>
            </w:tabs>
            <w:spacing w:line="360" w:lineRule="auto"/>
            <w:rPr>
              <w:rFonts w:ascii="Times New Roman" w:eastAsiaTheme="minorEastAsia" w:hAnsi="Times New Roman" w:cs="Times New Roman"/>
              <w:noProof/>
              <w:kern w:val="0"/>
              <w:sz w:val="24"/>
              <w:szCs w:val="24"/>
              <w14:ligatures w14:val="none"/>
            </w:rPr>
          </w:pPr>
          <w:hyperlink w:anchor="_Toc131948246" w:history="1">
            <w:r w:rsidR="002159A2" w:rsidRPr="002159A2">
              <w:rPr>
                <w:rStyle w:val="Hyperlink"/>
                <w:rFonts w:ascii="Times New Roman" w:hAnsi="Times New Roman" w:cs="Times New Roman"/>
                <w:noProof/>
                <w:sz w:val="24"/>
                <w:szCs w:val="24"/>
              </w:rPr>
              <w:t>Information Asymmetry</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_Toc131948246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5</w:t>
            </w:r>
            <w:r w:rsidR="002159A2" w:rsidRPr="002159A2">
              <w:rPr>
                <w:rFonts w:ascii="Times New Roman" w:hAnsi="Times New Roman" w:cs="Times New Roman"/>
                <w:noProof/>
                <w:webHidden/>
                <w:sz w:val="24"/>
                <w:szCs w:val="24"/>
              </w:rPr>
              <w:fldChar w:fldCharType="end"/>
            </w:r>
          </w:hyperlink>
        </w:p>
        <w:p w14:paraId="330AD68D" w14:textId="7D8B05FD" w:rsidR="002159A2" w:rsidRPr="002159A2" w:rsidRDefault="00000000" w:rsidP="002159A2">
          <w:pPr>
            <w:pStyle w:val="TOC2"/>
            <w:tabs>
              <w:tab w:val="right" w:leader="dot" w:pos="9350"/>
            </w:tabs>
            <w:spacing w:line="360" w:lineRule="auto"/>
            <w:rPr>
              <w:rFonts w:ascii="Times New Roman" w:eastAsiaTheme="minorEastAsia" w:hAnsi="Times New Roman" w:cs="Times New Roman"/>
              <w:noProof/>
              <w:kern w:val="0"/>
              <w:sz w:val="24"/>
              <w:szCs w:val="24"/>
              <w14:ligatures w14:val="none"/>
            </w:rPr>
          </w:pPr>
          <w:hyperlink w:anchor="_Toc131948247" w:history="1">
            <w:r w:rsidR="002159A2" w:rsidRPr="002159A2">
              <w:rPr>
                <w:rStyle w:val="Hyperlink"/>
                <w:rFonts w:ascii="Times New Roman" w:hAnsi="Times New Roman" w:cs="Times New Roman"/>
                <w:noProof/>
                <w:sz w:val="24"/>
                <w:szCs w:val="24"/>
              </w:rPr>
              <w:t>Limited Market Participation</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_Toc131948247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6</w:t>
            </w:r>
            <w:r w:rsidR="002159A2" w:rsidRPr="002159A2">
              <w:rPr>
                <w:rFonts w:ascii="Times New Roman" w:hAnsi="Times New Roman" w:cs="Times New Roman"/>
                <w:noProof/>
                <w:webHidden/>
                <w:sz w:val="24"/>
                <w:szCs w:val="24"/>
              </w:rPr>
              <w:fldChar w:fldCharType="end"/>
            </w:r>
          </w:hyperlink>
        </w:p>
        <w:p w14:paraId="41D59E03" w14:textId="67DC277F" w:rsidR="002159A2" w:rsidRPr="002159A2" w:rsidRDefault="00000000" w:rsidP="002159A2">
          <w:pPr>
            <w:pStyle w:val="TOC1"/>
            <w:tabs>
              <w:tab w:val="right" w:leader="dot" w:pos="9350"/>
            </w:tabs>
            <w:spacing w:line="360" w:lineRule="auto"/>
            <w:rPr>
              <w:rFonts w:ascii="Times New Roman" w:eastAsiaTheme="minorEastAsia" w:hAnsi="Times New Roman" w:cs="Times New Roman"/>
              <w:noProof/>
              <w:kern w:val="0"/>
              <w:sz w:val="24"/>
              <w:szCs w:val="24"/>
              <w14:ligatures w14:val="none"/>
            </w:rPr>
          </w:pPr>
          <w:hyperlink w:anchor="_Toc131948248" w:history="1">
            <w:r w:rsidR="002159A2" w:rsidRPr="002159A2">
              <w:rPr>
                <w:rStyle w:val="Hyperlink"/>
                <w:rFonts w:ascii="Times New Roman" w:hAnsi="Times New Roman" w:cs="Times New Roman"/>
                <w:noProof/>
                <w:sz w:val="24"/>
                <w:szCs w:val="24"/>
              </w:rPr>
              <w:t>Project Appraisal Methods</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_Toc131948248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6</w:t>
            </w:r>
            <w:r w:rsidR="002159A2" w:rsidRPr="002159A2">
              <w:rPr>
                <w:rFonts w:ascii="Times New Roman" w:hAnsi="Times New Roman" w:cs="Times New Roman"/>
                <w:noProof/>
                <w:webHidden/>
                <w:sz w:val="24"/>
                <w:szCs w:val="24"/>
              </w:rPr>
              <w:fldChar w:fldCharType="end"/>
            </w:r>
          </w:hyperlink>
        </w:p>
        <w:p w14:paraId="3B1BBB2C" w14:textId="104F2E7E" w:rsidR="002159A2" w:rsidRPr="002159A2" w:rsidRDefault="00000000" w:rsidP="002159A2">
          <w:pPr>
            <w:pStyle w:val="TOC2"/>
            <w:tabs>
              <w:tab w:val="right" w:leader="dot" w:pos="9350"/>
            </w:tabs>
            <w:spacing w:line="360" w:lineRule="auto"/>
            <w:rPr>
              <w:rFonts w:ascii="Times New Roman" w:eastAsiaTheme="minorEastAsia" w:hAnsi="Times New Roman" w:cs="Times New Roman"/>
              <w:noProof/>
              <w:kern w:val="0"/>
              <w:sz w:val="24"/>
              <w:szCs w:val="24"/>
              <w14:ligatures w14:val="none"/>
            </w:rPr>
          </w:pPr>
          <w:hyperlink w:anchor="_Toc131948249" w:history="1">
            <w:r w:rsidR="002159A2" w:rsidRPr="002159A2">
              <w:rPr>
                <w:rStyle w:val="Hyperlink"/>
                <w:rFonts w:ascii="Times New Roman" w:hAnsi="Times New Roman" w:cs="Times New Roman"/>
                <w:noProof/>
                <w:sz w:val="24"/>
                <w:szCs w:val="24"/>
              </w:rPr>
              <w:t>Net Present Value (NPV)</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_Toc131948249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6</w:t>
            </w:r>
            <w:r w:rsidR="002159A2" w:rsidRPr="002159A2">
              <w:rPr>
                <w:rFonts w:ascii="Times New Roman" w:hAnsi="Times New Roman" w:cs="Times New Roman"/>
                <w:noProof/>
                <w:webHidden/>
                <w:sz w:val="24"/>
                <w:szCs w:val="24"/>
              </w:rPr>
              <w:fldChar w:fldCharType="end"/>
            </w:r>
          </w:hyperlink>
        </w:p>
        <w:p w14:paraId="31E857E8" w14:textId="7188C9A5" w:rsidR="002159A2" w:rsidRPr="002159A2" w:rsidRDefault="00000000" w:rsidP="002159A2">
          <w:pPr>
            <w:pStyle w:val="TOC2"/>
            <w:tabs>
              <w:tab w:val="right" w:leader="dot" w:pos="9350"/>
            </w:tabs>
            <w:spacing w:line="360" w:lineRule="auto"/>
            <w:rPr>
              <w:rFonts w:ascii="Times New Roman" w:eastAsiaTheme="minorEastAsia" w:hAnsi="Times New Roman" w:cs="Times New Roman"/>
              <w:noProof/>
              <w:kern w:val="0"/>
              <w:sz w:val="24"/>
              <w:szCs w:val="24"/>
              <w14:ligatures w14:val="none"/>
            </w:rPr>
          </w:pPr>
          <w:hyperlink w:anchor="_Toc131948250" w:history="1">
            <w:r w:rsidR="002159A2" w:rsidRPr="002159A2">
              <w:rPr>
                <w:rStyle w:val="Hyperlink"/>
                <w:rFonts w:ascii="Times New Roman" w:hAnsi="Times New Roman" w:cs="Times New Roman"/>
                <w:noProof/>
                <w:sz w:val="24"/>
                <w:szCs w:val="24"/>
              </w:rPr>
              <w:t>Internal Rate of Return (IRR)</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_Toc131948250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7</w:t>
            </w:r>
            <w:r w:rsidR="002159A2" w:rsidRPr="002159A2">
              <w:rPr>
                <w:rFonts w:ascii="Times New Roman" w:hAnsi="Times New Roman" w:cs="Times New Roman"/>
                <w:noProof/>
                <w:webHidden/>
                <w:sz w:val="24"/>
                <w:szCs w:val="24"/>
              </w:rPr>
              <w:fldChar w:fldCharType="end"/>
            </w:r>
          </w:hyperlink>
        </w:p>
        <w:p w14:paraId="39813FB7" w14:textId="7B54AA4F" w:rsidR="002159A2" w:rsidRPr="002159A2" w:rsidRDefault="00000000" w:rsidP="002159A2">
          <w:pPr>
            <w:pStyle w:val="TOC2"/>
            <w:tabs>
              <w:tab w:val="right" w:leader="dot" w:pos="9350"/>
            </w:tabs>
            <w:spacing w:line="360" w:lineRule="auto"/>
            <w:rPr>
              <w:rFonts w:ascii="Times New Roman" w:eastAsiaTheme="minorEastAsia" w:hAnsi="Times New Roman" w:cs="Times New Roman"/>
              <w:noProof/>
              <w:kern w:val="0"/>
              <w:sz w:val="24"/>
              <w:szCs w:val="24"/>
              <w14:ligatures w14:val="none"/>
            </w:rPr>
          </w:pPr>
          <w:hyperlink w:anchor="_Toc131948251" w:history="1">
            <w:r w:rsidR="002159A2" w:rsidRPr="002159A2">
              <w:rPr>
                <w:rStyle w:val="Hyperlink"/>
                <w:rFonts w:ascii="Times New Roman" w:hAnsi="Times New Roman" w:cs="Times New Roman"/>
                <w:noProof/>
                <w:sz w:val="24"/>
                <w:szCs w:val="24"/>
              </w:rPr>
              <w:t>Payback Period</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_Toc131948251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7</w:t>
            </w:r>
            <w:r w:rsidR="002159A2" w:rsidRPr="002159A2">
              <w:rPr>
                <w:rFonts w:ascii="Times New Roman" w:hAnsi="Times New Roman" w:cs="Times New Roman"/>
                <w:noProof/>
                <w:webHidden/>
                <w:sz w:val="24"/>
                <w:szCs w:val="24"/>
              </w:rPr>
              <w:fldChar w:fldCharType="end"/>
            </w:r>
          </w:hyperlink>
        </w:p>
        <w:p w14:paraId="2E76208E" w14:textId="560682D2" w:rsidR="002159A2" w:rsidRPr="002159A2" w:rsidRDefault="00000000" w:rsidP="002159A2">
          <w:pPr>
            <w:pStyle w:val="TOC2"/>
            <w:tabs>
              <w:tab w:val="right" w:leader="dot" w:pos="9350"/>
            </w:tabs>
            <w:spacing w:line="360" w:lineRule="auto"/>
            <w:rPr>
              <w:rFonts w:ascii="Times New Roman" w:eastAsiaTheme="minorEastAsia" w:hAnsi="Times New Roman" w:cs="Times New Roman"/>
              <w:noProof/>
              <w:kern w:val="0"/>
              <w:sz w:val="24"/>
              <w:szCs w:val="24"/>
              <w14:ligatures w14:val="none"/>
            </w:rPr>
          </w:pPr>
          <w:hyperlink w:anchor="_Toc131948252" w:history="1">
            <w:r w:rsidR="002159A2" w:rsidRPr="002159A2">
              <w:rPr>
                <w:rStyle w:val="Hyperlink"/>
                <w:rFonts w:ascii="Times New Roman" w:hAnsi="Times New Roman" w:cs="Times New Roman"/>
                <w:noProof/>
                <w:sz w:val="24"/>
                <w:szCs w:val="24"/>
              </w:rPr>
              <w:t>Profitability Index (PI)</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_Toc131948252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8</w:t>
            </w:r>
            <w:r w:rsidR="002159A2" w:rsidRPr="002159A2">
              <w:rPr>
                <w:rFonts w:ascii="Times New Roman" w:hAnsi="Times New Roman" w:cs="Times New Roman"/>
                <w:noProof/>
                <w:webHidden/>
                <w:sz w:val="24"/>
                <w:szCs w:val="24"/>
              </w:rPr>
              <w:fldChar w:fldCharType="end"/>
            </w:r>
          </w:hyperlink>
        </w:p>
        <w:p w14:paraId="04CBAF99" w14:textId="1D9C36B7" w:rsidR="002159A2" w:rsidRPr="002159A2" w:rsidRDefault="00000000" w:rsidP="002159A2">
          <w:pPr>
            <w:pStyle w:val="TOC1"/>
            <w:tabs>
              <w:tab w:val="right" w:leader="dot" w:pos="9350"/>
            </w:tabs>
            <w:spacing w:line="360" w:lineRule="auto"/>
            <w:rPr>
              <w:rFonts w:ascii="Times New Roman" w:eastAsiaTheme="minorEastAsia" w:hAnsi="Times New Roman" w:cs="Times New Roman"/>
              <w:noProof/>
              <w:kern w:val="0"/>
              <w:sz w:val="24"/>
              <w:szCs w:val="24"/>
              <w14:ligatures w14:val="none"/>
            </w:rPr>
          </w:pPr>
          <w:hyperlink w:anchor="_Toc131948253" w:history="1">
            <w:r w:rsidR="002159A2" w:rsidRPr="002159A2">
              <w:rPr>
                <w:rStyle w:val="Hyperlink"/>
                <w:rFonts w:ascii="Times New Roman" w:hAnsi="Times New Roman" w:cs="Times New Roman"/>
                <w:noProof/>
                <w:sz w:val="24"/>
                <w:szCs w:val="24"/>
              </w:rPr>
              <w:t>Conclusion</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_Toc131948253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8</w:t>
            </w:r>
            <w:r w:rsidR="002159A2" w:rsidRPr="002159A2">
              <w:rPr>
                <w:rFonts w:ascii="Times New Roman" w:hAnsi="Times New Roman" w:cs="Times New Roman"/>
                <w:noProof/>
                <w:webHidden/>
                <w:sz w:val="24"/>
                <w:szCs w:val="24"/>
              </w:rPr>
              <w:fldChar w:fldCharType="end"/>
            </w:r>
          </w:hyperlink>
        </w:p>
        <w:p w14:paraId="151C230D" w14:textId="2BAE10D1" w:rsidR="002159A2" w:rsidRPr="002159A2" w:rsidRDefault="00000000" w:rsidP="002159A2">
          <w:pPr>
            <w:pStyle w:val="TOC1"/>
            <w:tabs>
              <w:tab w:val="right" w:leader="dot" w:pos="9350"/>
            </w:tabs>
            <w:spacing w:line="360" w:lineRule="auto"/>
            <w:rPr>
              <w:rFonts w:ascii="Times New Roman" w:eastAsiaTheme="minorEastAsia" w:hAnsi="Times New Roman" w:cs="Times New Roman"/>
              <w:noProof/>
              <w:kern w:val="0"/>
              <w:sz w:val="24"/>
              <w:szCs w:val="24"/>
              <w14:ligatures w14:val="none"/>
            </w:rPr>
          </w:pPr>
          <w:hyperlink w:anchor="_Toc131948254" w:history="1">
            <w:r w:rsidR="002159A2" w:rsidRPr="002159A2">
              <w:rPr>
                <w:rStyle w:val="Hyperlink"/>
                <w:rFonts w:ascii="Times New Roman" w:hAnsi="Times New Roman" w:cs="Times New Roman"/>
                <w:noProof/>
                <w:sz w:val="24"/>
                <w:szCs w:val="24"/>
              </w:rPr>
              <w:t>References</w:t>
            </w:r>
            <w:r w:rsidR="002159A2" w:rsidRPr="002159A2">
              <w:rPr>
                <w:rFonts w:ascii="Times New Roman" w:hAnsi="Times New Roman" w:cs="Times New Roman"/>
                <w:noProof/>
                <w:webHidden/>
                <w:sz w:val="24"/>
                <w:szCs w:val="24"/>
              </w:rPr>
              <w:tab/>
            </w:r>
            <w:r w:rsidR="002159A2" w:rsidRPr="002159A2">
              <w:rPr>
                <w:rFonts w:ascii="Times New Roman" w:hAnsi="Times New Roman" w:cs="Times New Roman"/>
                <w:noProof/>
                <w:webHidden/>
                <w:sz w:val="24"/>
                <w:szCs w:val="24"/>
              </w:rPr>
              <w:fldChar w:fldCharType="begin"/>
            </w:r>
            <w:r w:rsidR="002159A2" w:rsidRPr="002159A2">
              <w:rPr>
                <w:rFonts w:ascii="Times New Roman" w:hAnsi="Times New Roman" w:cs="Times New Roman"/>
                <w:noProof/>
                <w:webHidden/>
                <w:sz w:val="24"/>
                <w:szCs w:val="24"/>
              </w:rPr>
              <w:instrText xml:space="preserve"> PAGEREF _Toc131948254 \h </w:instrText>
            </w:r>
            <w:r w:rsidR="002159A2" w:rsidRPr="002159A2">
              <w:rPr>
                <w:rFonts w:ascii="Times New Roman" w:hAnsi="Times New Roman" w:cs="Times New Roman"/>
                <w:noProof/>
                <w:webHidden/>
                <w:sz w:val="24"/>
                <w:szCs w:val="24"/>
              </w:rPr>
            </w:r>
            <w:r w:rsidR="002159A2" w:rsidRPr="002159A2">
              <w:rPr>
                <w:rFonts w:ascii="Times New Roman" w:hAnsi="Times New Roman" w:cs="Times New Roman"/>
                <w:noProof/>
                <w:webHidden/>
                <w:sz w:val="24"/>
                <w:szCs w:val="24"/>
              </w:rPr>
              <w:fldChar w:fldCharType="separate"/>
            </w:r>
            <w:r w:rsidR="002159A2" w:rsidRPr="002159A2">
              <w:rPr>
                <w:rFonts w:ascii="Times New Roman" w:hAnsi="Times New Roman" w:cs="Times New Roman"/>
                <w:noProof/>
                <w:webHidden/>
                <w:sz w:val="24"/>
                <w:szCs w:val="24"/>
              </w:rPr>
              <w:t>9</w:t>
            </w:r>
            <w:r w:rsidR="002159A2" w:rsidRPr="002159A2">
              <w:rPr>
                <w:rFonts w:ascii="Times New Roman" w:hAnsi="Times New Roman" w:cs="Times New Roman"/>
                <w:noProof/>
                <w:webHidden/>
                <w:sz w:val="24"/>
                <w:szCs w:val="24"/>
              </w:rPr>
              <w:fldChar w:fldCharType="end"/>
            </w:r>
          </w:hyperlink>
        </w:p>
        <w:p w14:paraId="57BF708E" w14:textId="7379727A" w:rsidR="00A73E30" w:rsidRDefault="00A73E30">
          <w:r>
            <w:rPr>
              <w:b/>
              <w:bCs/>
              <w:noProof/>
            </w:rPr>
            <w:fldChar w:fldCharType="end"/>
          </w:r>
        </w:p>
      </w:sdtContent>
    </w:sdt>
    <w:p w14:paraId="731EB44F" w14:textId="77777777" w:rsidR="005D6656" w:rsidRDefault="005D6656" w:rsidP="005D6656">
      <w:pPr>
        <w:spacing w:line="360" w:lineRule="auto"/>
        <w:jc w:val="both"/>
        <w:rPr>
          <w:rFonts w:ascii="Times New Roman" w:hAnsi="Times New Roman" w:cs="Times New Roman"/>
          <w:b/>
          <w:bCs/>
          <w:sz w:val="32"/>
          <w:szCs w:val="32"/>
        </w:rPr>
      </w:pPr>
    </w:p>
    <w:p w14:paraId="7C4EE937" w14:textId="77777777" w:rsidR="005D6656" w:rsidRDefault="005D6656">
      <w:pPr>
        <w:rPr>
          <w:rFonts w:ascii="Times New Roman" w:hAnsi="Times New Roman" w:cs="Times New Roman"/>
          <w:b/>
          <w:bCs/>
          <w:sz w:val="32"/>
          <w:szCs w:val="32"/>
        </w:rPr>
      </w:pPr>
      <w:r>
        <w:rPr>
          <w:rFonts w:ascii="Times New Roman" w:hAnsi="Times New Roman" w:cs="Times New Roman"/>
          <w:b/>
          <w:bCs/>
          <w:sz w:val="32"/>
          <w:szCs w:val="32"/>
        </w:rPr>
        <w:br w:type="page"/>
      </w:r>
    </w:p>
    <w:p w14:paraId="5FAA5ADF" w14:textId="7BF8367A" w:rsidR="00080422" w:rsidRDefault="00D12C33" w:rsidP="00591CEB">
      <w:pPr>
        <w:pStyle w:val="Heading1"/>
      </w:pPr>
      <w:bookmarkStart w:id="0" w:name="_Toc131948242"/>
      <w:r>
        <w:lastRenderedPageBreak/>
        <w:t>Introduction</w:t>
      </w:r>
      <w:bookmarkEnd w:id="0"/>
    </w:p>
    <w:p w14:paraId="2D85510F" w14:textId="724F1F0C" w:rsidR="00D12C33" w:rsidRDefault="007C4CDF" w:rsidP="005D6656">
      <w:pPr>
        <w:spacing w:line="360" w:lineRule="auto"/>
        <w:jc w:val="both"/>
        <w:rPr>
          <w:rFonts w:ascii="Times New Roman" w:hAnsi="Times New Roman" w:cs="Times New Roman"/>
          <w:sz w:val="24"/>
          <w:szCs w:val="24"/>
        </w:rPr>
      </w:pPr>
      <w:r w:rsidRPr="007C4CDF">
        <w:rPr>
          <w:rFonts w:ascii="Times New Roman" w:hAnsi="Times New Roman" w:cs="Times New Roman"/>
          <w:sz w:val="24"/>
          <w:szCs w:val="24"/>
        </w:rPr>
        <w:t>British American Tobacco (BAT) is a global cigarette company that operates out of London, United Kingdom. BAT produces, distributes, and sells tobacco products in a little over 180 countries worldwide</w:t>
      </w:r>
      <w:r w:rsidR="00771BD1">
        <w:rPr>
          <w:rFonts w:ascii="Times New Roman" w:hAnsi="Times New Roman" w:cs="Times New Roman"/>
          <w:sz w:val="24"/>
          <w:szCs w:val="24"/>
        </w:rPr>
        <w:t xml:space="preserve"> (Cox, 2015).</w:t>
      </w:r>
      <w:r w:rsidRPr="007C4CDF">
        <w:rPr>
          <w:rFonts w:ascii="Times New Roman" w:hAnsi="Times New Roman" w:cs="Times New Roman"/>
          <w:sz w:val="24"/>
          <w:szCs w:val="24"/>
        </w:rPr>
        <w:t xml:space="preserve"> The value of International Financial Management (IFM) to a multinational corporation's bottom line and ability to compete on a global scale is difficult to emphasize. By analyzing BAT's dividend distribution regulations, the efficient market hypothesis, and its ways of evaluating projects, this paper will critically assess and evaluate IFM's significance to the company.</w:t>
      </w:r>
    </w:p>
    <w:p w14:paraId="0D35FD93" w14:textId="3DCF1405" w:rsidR="007C4CDF" w:rsidRDefault="007C4CDF" w:rsidP="00591CEB">
      <w:pPr>
        <w:pStyle w:val="Heading1"/>
      </w:pPr>
      <w:bookmarkStart w:id="1" w:name="_Toc131948243"/>
      <w:r w:rsidRPr="007C4CDF">
        <w:t>Dividend Distribution Policy</w:t>
      </w:r>
      <w:bookmarkEnd w:id="1"/>
    </w:p>
    <w:p w14:paraId="4AF8F2C1" w14:textId="64E0393A" w:rsidR="007C4CDF" w:rsidRDefault="00D27BA2" w:rsidP="005D6656">
      <w:pPr>
        <w:spacing w:line="360" w:lineRule="auto"/>
        <w:jc w:val="both"/>
        <w:rPr>
          <w:rFonts w:ascii="Times New Roman" w:hAnsi="Times New Roman" w:cs="Times New Roman"/>
          <w:sz w:val="24"/>
          <w:szCs w:val="24"/>
        </w:rPr>
      </w:pPr>
      <w:r w:rsidRPr="00D27BA2">
        <w:rPr>
          <w:rFonts w:ascii="Times New Roman" w:hAnsi="Times New Roman" w:cs="Times New Roman"/>
          <w:sz w:val="24"/>
          <w:szCs w:val="24"/>
        </w:rPr>
        <w:t xml:space="preserve">A multinational corporation's dividend distribution strategy is a crucial part of its overall financial management since it decides how much of the company's profits are returned to shareholders in the form of dividends and how much is kept </w:t>
      </w:r>
      <w:r w:rsidR="00257199" w:rsidRPr="00D27BA2">
        <w:rPr>
          <w:rFonts w:ascii="Times New Roman" w:hAnsi="Times New Roman" w:cs="Times New Roman"/>
          <w:sz w:val="24"/>
          <w:szCs w:val="24"/>
        </w:rPr>
        <w:t>being</w:t>
      </w:r>
      <w:r w:rsidRPr="00D27BA2">
        <w:rPr>
          <w:rFonts w:ascii="Times New Roman" w:hAnsi="Times New Roman" w:cs="Times New Roman"/>
          <w:sz w:val="24"/>
          <w:szCs w:val="24"/>
        </w:rPr>
        <w:t xml:space="preserve"> reinvested</w:t>
      </w:r>
      <w:r w:rsidR="00C63BCE">
        <w:rPr>
          <w:rFonts w:ascii="Times New Roman" w:hAnsi="Times New Roman" w:cs="Times New Roman"/>
          <w:sz w:val="24"/>
          <w:szCs w:val="24"/>
        </w:rPr>
        <w:t xml:space="preserve"> (Desai et al., 2017).</w:t>
      </w:r>
      <w:r w:rsidRPr="00D27BA2">
        <w:rPr>
          <w:rFonts w:ascii="Times New Roman" w:hAnsi="Times New Roman" w:cs="Times New Roman"/>
          <w:sz w:val="24"/>
          <w:szCs w:val="24"/>
        </w:rPr>
        <w:t xml:space="preserve"> A dividend policy that is well-structured may help attract and keep investors, offer a stable income stream to the stockholders, and communicate the business's financial health and outlook for the future. These benefits can all originate from the same source: the firm. British American Tobacco (BAT) has been instrumental in creating long-term wealth for its shareholders by adhering to a progressive dividend policy.</w:t>
      </w:r>
    </w:p>
    <w:p w14:paraId="7A6261B8" w14:textId="400E0F88" w:rsidR="00D27396" w:rsidRDefault="00D27396" w:rsidP="005D6656">
      <w:pPr>
        <w:spacing w:line="360" w:lineRule="auto"/>
        <w:jc w:val="both"/>
        <w:rPr>
          <w:rFonts w:ascii="Times New Roman" w:hAnsi="Times New Roman" w:cs="Times New Roman"/>
          <w:sz w:val="24"/>
          <w:szCs w:val="24"/>
        </w:rPr>
      </w:pPr>
      <w:r w:rsidRPr="00D27396">
        <w:rPr>
          <w:rFonts w:ascii="Times New Roman" w:hAnsi="Times New Roman" w:cs="Times New Roman"/>
          <w:sz w:val="24"/>
          <w:szCs w:val="24"/>
        </w:rPr>
        <w:t>BAT has a progressive dividend policy whereby the payout per share is increased on an annual basis in accordance with the development of long-term profitability</w:t>
      </w:r>
      <w:r w:rsidR="00B91107">
        <w:rPr>
          <w:rFonts w:ascii="Times New Roman" w:hAnsi="Times New Roman" w:cs="Times New Roman"/>
          <w:sz w:val="24"/>
          <w:szCs w:val="24"/>
        </w:rPr>
        <w:t xml:space="preserve"> (Hooi et al., 2015).</w:t>
      </w:r>
      <w:r w:rsidRPr="00D27396">
        <w:rPr>
          <w:rFonts w:ascii="Times New Roman" w:hAnsi="Times New Roman" w:cs="Times New Roman"/>
          <w:sz w:val="24"/>
          <w:szCs w:val="24"/>
        </w:rPr>
        <w:t xml:space="preserve"> By maintaining a portion of its earnings for investment and expansion, the corporation is able to reward its shareholders on a regular basis. BAT's dividend per share is expected to increase at a CAGR of about </w:t>
      </w:r>
      <w:r w:rsidR="007C28E3">
        <w:rPr>
          <w:rFonts w:ascii="Times New Roman" w:hAnsi="Times New Roman" w:cs="Times New Roman"/>
          <w:sz w:val="24"/>
          <w:szCs w:val="24"/>
        </w:rPr>
        <w:t>6</w:t>
      </w:r>
      <w:r w:rsidRPr="00D27396">
        <w:rPr>
          <w:rFonts w:ascii="Times New Roman" w:hAnsi="Times New Roman" w:cs="Times New Roman"/>
          <w:sz w:val="24"/>
          <w:szCs w:val="24"/>
        </w:rPr>
        <w:t>% between 20</w:t>
      </w:r>
      <w:r w:rsidR="007C28E3">
        <w:rPr>
          <w:rFonts w:ascii="Times New Roman" w:hAnsi="Times New Roman" w:cs="Times New Roman"/>
          <w:sz w:val="24"/>
          <w:szCs w:val="24"/>
        </w:rPr>
        <w:t>23</w:t>
      </w:r>
      <w:r w:rsidRPr="00D27396">
        <w:rPr>
          <w:rFonts w:ascii="Times New Roman" w:hAnsi="Times New Roman" w:cs="Times New Roman"/>
          <w:sz w:val="24"/>
          <w:szCs w:val="24"/>
        </w:rPr>
        <w:t xml:space="preserve"> and 202</w:t>
      </w:r>
      <w:r w:rsidR="007C28E3">
        <w:rPr>
          <w:rFonts w:ascii="Times New Roman" w:hAnsi="Times New Roman" w:cs="Times New Roman"/>
          <w:sz w:val="24"/>
          <w:szCs w:val="24"/>
        </w:rPr>
        <w:t>8</w:t>
      </w:r>
      <w:r w:rsidRPr="00D27396">
        <w:rPr>
          <w:rFonts w:ascii="Times New Roman" w:hAnsi="Times New Roman" w:cs="Times New Roman"/>
          <w:sz w:val="24"/>
          <w:szCs w:val="24"/>
        </w:rPr>
        <w:t>, demonstrating the company's dedication to repaying value to shareholders while still maintaining its long-term development.</w:t>
      </w:r>
      <w:r w:rsidR="007C28E3">
        <w:rPr>
          <w:rFonts w:ascii="Times New Roman" w:hAnsi="Times New Roman" w:cs="Times New Roman"/>
          <w:sz w:val="24"/>
          <w:szCs w:val="24"/>
        </w:rPr>
        <w:t xml:space="preserve"> </w:t>
      </w:r>
      <w:r w:rsidR="00A73A05" w:rsidRPr="00A73A05">
        <w:rPr>
          <w:rFonts w:ascii="Times New Roman" w:hAnsi="Times New Roman" w:cs="Times New Roman"/>
          <w:sz w:val="24"/>
          <w:szCs w:val="24"/>
        </w:rPr>
        <w:t>In 2020, BAT paid out £5.0 billion towards dividends, or 77% of net income to shareholders, while keeping the remaining 23% for use in expanding the business</w:t>
      </w:r>
      <w:r w:rsidR="00AE4F1B">
        <w:rPr>
          <w:rFonts w:ascii="Times New Roman" w:hAnsi="Times New Roman" w:cs="Times New Roman"/>
          <w:sz w:val="24"/>
          <w:szCs w:val="24"/>
        </w:rPr>
        <w:t xml:space="preserve"> (</w:t>
      </w:r>
      <w:proofErr w:type="spellStart"/>
      <w:r w:rsidR="00AE4F1B">
        <w:rPr>
          <w:rFonts w:ascii="Times New Roman" w:hAnsi="Times New Roman" w:cs="Times New Roman"/>
          <w:sz w:val="24"/>
          <w:szCs w:val="24"/>
        </w:rPr>
        <w:t>Mcnamara</w:t>
      </w:r>
      <w:proofErr w:type="spellEnd"/>
      <w:r w:rsidR="00AE4F1B">
        <w:rPr>
          <w:rFonts w:ascii="Times New Roman" w:hAnsi="Times New Roman" w:cs="Times New Roman"/>
          <w:sz w:val="24"/>
          <w:szCs w:val="24"/>
        </w:rPr>
        <w:t>, 2019).</w:t>
      </w:r>
      <w:r w:rsidR="00A73A05" w:rsidRPr="00A73A05">
        <w:rPr>
          <w:rFonts w:ascii="Times New Roman" w:hAnsi="Times New Roman" w:cs="Times New Roman"/>
          <w:sz w:val="24"/>
          <w:szCs w:val="24"/>
        </w:rPr>
        <w:t xml:space="preserve"> By maintaining such a low payout ratio, BAT has shown that it values both current returns to shareholders and the ability to invest in future development</w:t>
      </w:r>
      <w:r w:rsidR="00A73A05">
        <w:rPr>
          <w:rFonts w:ascii="Times New Roman" w:hAnsi="Times New Roman" w:cs="Times New Roman"/>
          <w:sz w:val="24"/>
          <w:szCs w:val="24"/>
        </w:rPr>
        <w:t xml:space="preserve"> amidst the advent of pandemic.</w:t>
      </w:r>
    </w:p>
    <w:p w14:paraId="4F4B3A8C" w14:textId="10DFCF44" w:rsidR="0066077E" w:rsidRDefault="0066077E" w:rsidP="005D6656">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51F2C75" wp14:editId="3072A8F8">
            <wp:extent cx="3876675" cy="2326005"/>
            <wp:effectExtent l="152400" t="152400" r="371475" b="3600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876675" cy="2326005"/>
                    </a:xfrm>
                    <a:prstGeom prst="rect">
                      <a:avLst/>
                    </a:prstGeom>
                    <a:ln>
                      <a:noFill/>
                    </a:ln>
                    <a:effectLst>
                      <a:outerShdw blurRad="292100" dist="139700" dir="2700000" algn="tl" rotWithShape="0">
                        <a:srgbClr val="333333">
                          <a:alpha val="65000"/>
                        </a:srgbClr>
                      </a:outerShdw>
                    </a:effectLst>
                  </pic:spPr>
                </pic:pic>
              </a:graphicData>
            </a:graphic>
          </wp:inline>
        </w:drawing>
      </w:r>
    </w:p>
    <w:p w14:paraId="70828581" w14:textId="7D057400" w:rsidR="0066077E" w:rsidRPr="0066077E" w:rsidRDefault="0066077E" w:rsidP="005D6656">
      <w:pPr>
        <w:spacing w:line="360" w:lineRule="auto"/>
        <w:jc w:val="center"/>
        <w:rPr>
          <w:rFonts w:ascii="Times New Roman" w:hAnsi="Times New Roman" w:cs="Times New Roman"/>
          <w:bCs/>
          <w:sz w:val="24"/>
          <w:szCs w:val="24"/>
        </w:rPr>
      </w:pPr>
      <w:r>
        <w:rPr>
          <w:rFonts w:ascii="Times New Roman" w:hAnsi="Times New Roman" w:cs="Times New Roman"/>
          <w:b/>
          <w:bCs/>
          <w:sz w:val="24"/>
          <w:szCs w:val="24"/>
        </w:rPr>
        <w:t xml:space="preserve">Figure: </w:t>
      </w:r>
      <w:r>
        <w:rPr>
          <w:rFonts w:ascii="Times New Roman" w:hAnsi="Times New Roman" w:cs="Times New Roman"/>
          <w:bCs/>
          <w:sz w:val="24"/>
          <w:szCs w:val="24"/>
        </w:rPr>
        <w:t xml:space="preserve">Dividend Stock Analysis of BAT </w:t>
      </w:r>
      <w:r w:rsidR="007E5460">
        <w:rPr>
          <w:rFonts w:ascii="Times New Roman" w:hAnsi="Times New Roman" w:cs="Times New Roman"/>
          <w:bCs/>
          <w:sz w:val="24"/>
          <w:szCs w:val="24"/>
        </w:rPr>
        <w:t>from 2008 to 2020</w:t>
      </w:r>
      <w:r w:rsidR="00AE4F1B">
        <w:rPr>
          <w:rFonts w:ascii="Times New Roman" w:hAnsi="Times New Roman" w:cs="Times New Roman"/>
          <w:bCs/>
          <w:sz w:val="24"/>
          <w:szCs w:val="24"/>
        </w:rPr>
        <w:t xml:space="preserve"> </w:t>
      </w:r>
      <w:r w:rsidR="00150EDE">
        <w:rPr>
          <w:rFonts w:ascii="Times New Roman" w:hAnsi="Times New Roman" w:cs="Times New Roman"/>
          <w:bCs/>
          <w:sz w:val="24"/>
          <w:szCs w:val="24"/>
        </w:rPr>
        <w:t>(Meek et al., 2021)</w:t>
      </w:r>
    </w:p>
    <w:p w14:paraId="16B4167A" w14:textId="4213AB79" w:rsidR="007C28E3" w:rsidRDefault="00675501" w:rsidP="005D6656">
      <w:pPr>
        <w:spacing w:line="360" w:lineRule="auto"/>
        <w:jc w:val="both"/>
        <w:rPr>
          <w:rFonts w:ascii="Times New Roman" w:hAnsi="Times New Roman" w:cs="Times New Roman"/>
          <w:sz w:val="24"/>
          <w:szCs w:val="24"/>
        </w:rPr>
      </w:pPr>
      <w:r w:rsidRPr="00675501">
        <w:rPr>
          <w:rFonts w:ascii="Times New Roman" w:hAnsi="Times New Roman" w:cs="Times New Roman"/>
          <w:sz w:val="24"/>
          <w:szCs w:val="24"/>
        </w:rPr>
        <w:t>The Dividend Signaling Theory posits that a dividend policy marked by regular and rising payouts sends a message to investors about a company's financial health and optimism about its future prospects. BAT's progressive dividend policy reassures shareholders that the company is financially sound and poised for future growth despite headwinds from the tobacco industry's falling rates of smoking, stricter regulations, and fiercer competition from non-tobacco alternatives</w:t>
      </w:r>
      <w:r w:rsidR="00150EDE">
        <w:rPr>
          <w:rFonts w:ascii="Times New Roman" w:hAnsi="Times New Roman" w:cs="Times New Roman"/>
          <w:sz w:val="24"/>
          <w:szCs w:val="24"/>
        </w:rPr>
        <w:t xml:space="preserve"> (Hooi et al., 2015).</w:t>
      </w:r>
      <w:r>
        <w:rPr>
          <w:rFonts w:ascii="Times New Roman" w:hAnsi="Times New Roman" w:cs="Times New Roman"/>
          <w:sz w:val="24"/>
          <w:szCs w:val="24"/>
        </w:rPr>
        <w:t xml:space="preserve"> </w:t>
      </w:r>
      <w:r w:rsidR="00824552" w:rsidRPr="00824552">
        <w:rPr>
          <w:rFonts w:ascii="Times New Roman" w:hAnsi="Times New Roman" w:cs="Times New Roman"/>
          <w:sz w:val="24"/>
          <w:szCs w:val="24"/>
        </w:rPr>
        <w:t>But it's crucial that BAT regularly reviews and adjusts its dividend policy in light of shifting market conditions and financial success. The long-term viability of a firm depends on striking a balance between rewarding investors handsomely and saving enough for future expansion in an increasingly competitive global market.</w:t>
      </w:r>
    </w:p>
    <w:p w14:paraId="05F0B7FE" w14:textId="279D466C" w:rsidR="00824552" w:rsidRDefault="00B26C7C" w:rsidP="00591CEB">
      <w:pPr>
        <w:pStyle w:val="Heading1"/>
      </w:pPr>
      <w:bookmarkStart w:id="2" w:name="_Toc131948244"/>
      <w:r w:rsidRPr="00B26C7C">
        <w:t>Efficient Market Hypothesis Theory</w:t>
      </w:r>
      <w:bookmarkEnd w:id="2"/>
    </w:p>
    <w:p w14:paraId="319B0DED" w14:textId="6A4C71C6" w:rsidR="00B26C7C" w:rsidRDefault="002779E5" w:rsidP="005D6656">
      <w:pPr>
        <w:spacing w:line="360" w:lineRule="auto"/>
        <w:jc w:val="both"/>
        <w:rPr>
          <w:rFonts w:ascii="Times New Roman" w:hAnsi="Times New Roman" w:cs="Times New Roman"/>
          <w:sz w:val="24"/>
          <w:szCs w:val="24"/>
        </w:rPr>
      </w:pPr>
      <w:r w:rsidRPr="002779E5">
        <w:rPr>
          <w:rFonts w:ascii="Times New Roman" w:hAnsi="Times New Roman" w:cs="Times New Roman"/>
          <w:sz w:val="24"/>
          <w:szCs w:val="24"/>
        </w:rPr>
        <w:t xml:space="preserve">It is believed, according to the Efficient Market Hypothesis (EMH), that </w:t>
      </w:r>
      <w:r w:rsidR="00985B75" w:rsidRPr="002779E5">
        <w:rPr>
          <w:rFonts w:ascii="Times New Roman" w:hAnsi="Times New Roman" w:cs="Times New Roman"/>
          <w:sz w:val="24"/>
          <w:szCs w:val="24"/>
        </w:rPr>
        <w:t>stockholders</w:t>
      </w:r>
      <w:r w:rsidRPr="002779E5">
        <w:rPr>
          <w:rFonts w:ascii="Times New Roman" w:hAnsi="Times New Roman" w:cs="Times New Roman"/>
          <w:sz w:val="24"/>
          <w:szCs w:val="24"/>
        </w:rPr>
        <w:t xml:space="preserve"> cannot reliably </w:t>
      </w:r>
      <w:r w:rsidR="00985B75" w:rsidRPr="002779E5">
        <w:rPr>
          <w:rFonts w:ascii="Times New Roman" w:hAnsi="Times New Roman" w:cs="Times New Roman"/>
          <w:sz w:val="24"/>
          <w:szCs w:val="24"/>
        </w:rPr>
        <w:t>outdo</w:t>
      </w:r>
      <w:r w:rsidRPr="002779E5">
        <w:rPr>
          <w:rFonts w:ascii="Times New Roman" w:hAnsi="Times New Roman" w:cs="Times New Roman"/>
          <w:sz w:val="24"/>
          <w:szCs w:val="24"/>
        </w:rPr>
        <w:t xml:space="preserve"> the market because stock prices immediately integrate all available information</w:t>
      </w:r>
      <w:r w:rsidR="00C24FC0">
        <w:rPr>
          <w:rFonts w:ascii="Times New Roman" w:hAnsi="Times New Roman" w:cs="Times New Roman"/>
          <w:sz w:val="24"/>
          <w:szCs w:val="24"/>
        </w:rPr>
        <w:t xml:space="preserve"> (Yen and Lee, 2020).</w:t>
      </w:r>
      <w:r w:rsidRPr="002779E5">
        <w:rPr>
          <w:rFonts w:ascii="Times New Roman" w:hAnsi="Times New Roman" w:cs="Times New Roman"/>
          <w:sz w:val="24"/>
          <w:szCs w:val="24"/>
        </w:rPr>
        <w:t xml:space="preserve"> In the case of British American Tobacco (BAT), the EMH has significant repercussions for the company's operations, the movements of its stock price, and the effectiveness of its financial markets.</w:t>
      </w:r>
      <w:r w:rsidR="00CD3273">
        <w:rPr>
          <w:rFonts w:ascii="Times New Roman" w:hAnsi="Times New Roman" w:cs="Times New Roman"/>
          <w:sz w:val="24"/>
          <w:szCs w:val="24"/>
        </w:rPr>
        <w:t xml:space="preserve"> </w:t>
      </w:r>
      <w:r w:rsidR="00CD3273" w:rsidRPr="00CD3273">
        <w:rPr>
          <w:rFonts w:ascii="Times New Roman" w:hAnsi="Times New Roman" w:cs="Times New Roman"/>
          <w:sz w:val="24"/>
          <w:szCs w:val="24"/>
        </w:rPr>
        <w:t xml:space="preserve">In principle, the stock price </w:t>
      </w:r>
      <w:r w:rsidR="00CD3273">
        <w:rPr>
          <w:rFonts w:ascii="Times New Roman" w:hAnsi="Times New Roman" w:cs="Times New Roman"/>
          <w:sz w:val="24"/>
          <w:szCs w:val="24"/>
        </w:rPr>
        <w:t xml:space="preserve">of BAT </w:t>
      </w:r>
      <w:r w:rsidR="00CD3273" w:rsidRPr="00CD3273">
        <w:rPr>
          <w:rFonts w:ascii="Times New Roman" w:hAnsi="Times New Roman" w:cs="Times New Roman"/>
          <w:sz w:val="24"/>
          <w:szCs w:val="24"/>
        </w:rPr>
        <w:t>should respond rapidly to developments such as earnings reports, macroeconomic data, and cigarette industry regulation changes. However, the EMH's applicability may be tested if certain conditions cause stock pricing inefficiencies for BAT.</w:t>
      </w:r>
    </w:p>
    <w:p w14:paraId="3FFF2301" w14:textId="12A43DD9" w:rsidR="00F2680B" w:rsidRDefault="00F2680B" w:rsidP="005D6656">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1E55911" wp14:editId="7401CEB4">
            <wp:extent cx="3266500" cy="2161333"/>
            <wp:effectExtent l="0" t="19050" r="48260" b="2012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74503" cy="2166628"/>
                    </a:xfrm>
                    <a:prstGeom prst="rect">
                      <a:avLst/>
                    </a:prstGeom>
                    <a:ln>
                      <a:noFill/>
                    </a:ln>
                    <a:effectLst>
                      <a:outerShdw blurRad="292100" dist="139700" dir="2700000" algn="tl" rotWithShape="0">
                        <a:srgbClr val="333333">
                          <a:alpha val="65000"/>
                        </a:srgbClr>
                      </a:outerShdw>
                    </a:effectLst>
                  </pic:spPr>
                </pic:pic>
              </a:graphicData>
            </a:graphic>
          </wp:inline>
        </w:drawing>
      </w:r>
    </w:p>
    <w:p w14:paraId="51ABDDD0" w14:textId="236320C2" w:rsidR="00F2680B" w:rsidRPr="00F2680B" w:rsidRDefault="00F2680B" w:rsidP="005D6656">
      <w:pPr>
        <w:spacing w:line="360" w:lineRule="auto"/>
        <w:jc w:val="center"/>
        <w:rPr>
          <w:rFonts w:ascii="Times New Roman" w:hAnsi="Times New Roman" w:cs="Times New Roman"/>
          <w:bCs/>
          <w:sz w:val="24"/>
          <w:szCs w:val="24"/>
        </w:rPr>
      </w:pPr>
      <w:r>
        <w:rPr>
          <w:rFonts w:ascii="Times New Roman" w:hAnsi="Times New Roman" w:cs="Times New Roman"/>
          <w:b/>
          <w:bCs/>
          <w:sz w:val="24"/>
          <w:szCs w:val="24"/>
        </w:rPr>
        <w:t xml:space="preserve">Figure: </w:t>
      </w:r>
      <w:r>
        <w:rPr>
          <w:rFonts w:ascii="Times New Roman" w:hAnsi="Times New Roman" w:cs="Times New Roman"/>
          <w:bCs/>
          <w:sz w:val="24"/>
          <w:szCs w:val="24"/>
        </w:rPr>
        <w:t>The Efficient Market Hypothesis Framework</w:t>
      </w:r>
      <w:r w:rsidR="00C24FC0">
        <w:rPr>
          <w:rFonts w:ascii="Times New Roman" w:hAnsi="Times New Roman" w:cs="Times New Roman"/>
          <w:bCs/>
          <w:sz w:val="24"/>
          <w:szCs w:val="24"/>
        </w:rPr>
        <w:t xml:space="preserve"> (Yen and Lee, 2020)</w:t>
      </w:r>
    </w:p>
    <w:p w14:paraId="57B83847" w14:textId="2105D153" w:rsidR="002779E5" w:rsidRDefault="008C31A4" w:rsidP="00591CEB">
      <w:pPr>
        <w:pStyle w:val="Heading2"/>
        <w:rPr>
          <w:sz w:val="24"/>
          <w:szCs w:val="24"/>
        </w:rPr>
      </w:pPr>
      <w:bookmarkStart w:id="3" w:name="_Toc131948245"/>
      <w:r>
        <w:t>M</w:t>
      </w:r>
      <w:r w:rsidRPr="00807868">
        <w:t>arketplace</w:t>
      </w:r>
      <w:r w:rsidR="00807868" w:rsidRPr="00807868">
        <w:t xml:space="preserve"> </w:t>
      </w:r>
      <w:r>
        <w:t>S</w:t>
      </w:r>
      <w:r w:rsidRPr="00807868">
        <w:t>entimentality</w:t>
      </w:r>
      <w:r w:rsidR="00807868" w:rsidRPr="00807868">
        <w:t xml:space="preserve"> and </w:t>
      </w:r>
      <w:r w:rsidR="00807868">
        <w:t>B</w:t>
      </w:r>
      <w:r w:rsidR="00807868" w:rsidRPr="00807868">
        <w:t xml:space="preserve">ehavioral </w:t>
      </w:r>
      <w:r>
        <w:t>P</w:t>
      </w:r>
      <w:r w:rsidRPr="00807868">
        <w:t>rejudices</w:t>
      </w:r>
      <w:bookmarkEnd w:id="3"/>
    </w:p>
    <w:p w14:paraId="2D5C7395" w14:textId="408812EA" w:rsidR="00807868" w:rsidRDefault="00937524" w:rsidP="005D6656">
      <w:pPr>
        <w:spacing w:line="360" w:lineRule="auto"/>
        <w:jc w:val="both"/>
        <w:rPr>
          <w:rFonts w:ascii="Times New Roman" w:hAnsi="Times New Roman" w:cs="Times New Roman"/>
          <w:sz w:val="24"/>
          <w:szCs w:val="24"/>
        </w:rPr>
      </w:pPr>
      <w:r w:rsidRPr="00937524">
        <w:rPr>
          <w:rFonts w:ascii="Times New Roman" w:hAnsi="Times New Roman" w:cs="Times New Roman"/>
          <w:sz w:val="24"/>
          <w:szCs w:val="24"/>
        </w:rPr>
        <w:t>BAT's share price is susceptible to fluctuations due to sentiment in the marketplace and investor biases</w:t>
      </w:r>
      <w:r w:rsidR="003D7C82" w:rsidRPr="003D7C82">
        <w:rPr>
          <w:rFonts w:ascii="Times New Roman" w:hAnsi="Times New Roman" w:cs="Times New Roman"/>
          <w:sz w:val="24"/>
          <w:szCs w:val="24"/>
        </w:rPr>
        <w:t xml:space="preserve">. </w:t>
      </w:r>
      <w:proofErr w:type="spellStart"/>
      <w:r w:rsidR="003D7C82" w:rsidRPr="003D7C82">
        <w:rPr>
          <w:rFonts w:ascii="Times New Roman" w:hAnsi="Times New Roman" w:cs="Times New Roman"/>
          <w:sz w:val="24"/>
          <w:szCs w:val="24"/>
        </w:rPr>
        <w:t>Mispricings</w:t>
      </w:r>
      <w:proofErr w:type="spellEnd"/>
      <w:r w:rsidR="003D7C82" w:rsidRPr="003D7C82">
        <w:rPr>
          <w:rFonts w:ascii="Times New Roman" w:hAnsi="Times New Roman" w:cs="Times New Roman"/>
          <w:sz w:val="24"/>
          <w:szCs w:val="24"/>
        </w:rPr>
        <w:t xml:space="preserve"> can occur momentarily when investors exaggerate or react insufficiently to fresh information. In the wake of the 2008 economic downturn, for instance, BAT's share price fell from its all-time high in June 2007 to its all-time low in March 2009</w:t>
      </w:r>
      <w:r w:rsidR="00564250">
        <w:rPr>
          <w:rFonts w:ascii="Times New Roman" w:hAnsi="Times New Roman" w:cs="Times New Roman"/>
          <w:sz w:val="24"/>
          <w:szCs w:val="24"/>
        </w:rPr>
        <w:t xml:space="preserve"> (He and Yano, 2014). </w:t>
      </w:r>
      <w:r w:rsidR="003D7C82" w:rsidRPr="003D7C82">
        <w:rPr>
          <w:rFonts w:ascii="Times New Roman" w:hAnsi="Times New Roman" w:cs="Times New Roman"/>
          <w:sz w:val="24"/>
          <w:szCs w:val="24"/>
        </w:rPr>
        <w:t>The large drop in BAT's stock price during this time period may be attributable to investors' increased risk aversion and impulsive decision-making.</w:t>
      </w:r>
    </w:p>
    <w:p w14:paraId="7BED42EF" w14:textId="72AFCF5E" w:rsidR="003D7C82" w:rsidRDefault="00FA790F" w:rsidP="00591CEB">
      <w:pPr>
        <w:pStyle w:val="Heading2"/>
      </w:pPr>
      <w:bookmarkStart w:id="4" w:name="_Toc131948246"/>
      <w:r>
        <w:t>Information Asymmetry</w:t>
      </w:r>
      <w:bookmarkEnd w:id="4"/>
    </w:p>
    <w:p w14:paraId="4073E611" w14:textId="16961CBB" w:rsidR="00FA790F" w:rsidRDefault="0065495B" w:rsidP="005D6656">
      <w:pPr>
        <w:spacing w:line="360" w:lineRule="auto"/>
        <w:jc w:val="both"/>
        <w:rPr>
          <w:rFonts w:ascii="Times New Roman" w:hAnsi="Times New Roman" w:cs="Times New Roman"/>
          <w:sz w:val="24"/>
          <w:szCs w:val="24"/>
        </w:rPr>
      </w:pPr>
      <w:r w:rsidRPr="0065495B">
        <w:rPr>
          <w:rFonts w:ascii="Times New Roman" w:hAnsi="Times New Roman" w:cs="Times New Roman"/>
          <w:sz w:val="24"/>
          <w:szCs w:val="24"/>
        </w:rPr>
        <w:t>Pricing inefficiencies can result from knowledge asymmetry. Government laws and regulations have a major effect on BAT's success because the business works in a tightly regulated industry. Market actors may have different levels of understanding of these laws due to their intricacy and the unknown nature of future policy shifts. For instance, once the UK implemented plain packaging requirements in 201</w:t>
      </w:r>
      <w:r w:rsidR="00053684">
        <w:rPr>
          <w:rFonts w:ascii="Times New Roman" w:hAnsi="Times New Roman" w:cs="Times New Roman"/>
          <w:sz w:val="24"/>
          <w:szCs w:val="24"/>
        </w:rPr>
        <w:t>4</w:t>
      </w:r>
      <w:r w:rsidRPr="0065495B">
        <w:rPr>
          <w:rFonts w:ascii="Times New Roman" w:hAnsi="Times New Roman" w:cs="Times New Roman"/>
          <w:sz w:val="24"/>
          <w:szCs w:val="24"/>
        </w:rPr>
        <w:t>, BAT's share price dropped by 7% in just one month</w:t>
      </w:r>
      <w:r w:rsidR="006A6ADE">
        <w:rPr>
          <w:rFonts w:ascii="Times New Roman" w:hAnsi="Times New Roman" w:cs="Times New Roman"/>
          <w:sz w:val="24"/>
          <w:szCs w:val="24"/>
        </w:rPr>
        <w:t xml:space="preserve"> (</w:t>
      </w:r>
      <w:proofErr w:type="spellStart"/>
      <w:r w:rsidR="006A6ADE">
        <w:rPr>
          <w:rFonts w:ascii="Times New Roman" w:hAnsi="Times New Roman" w:cs="Times New Roman"/>
          <w:sz w:val="24"/>
          <w:szCs w:val="24"/>
        </w:rPr>
        <w:t>Nakkash</w:t>
      </w:r>
      <w:proofErr w:type="spellEnd"/>
      <w:r w:rsidR="006A6ADE">
        <w:rPr>
          <w:rFonts w:ascii="Times New Roman" w:hAnsi="Times New Roman" w:cs="Times New Roman"/>
          <w:sz w:val="24"/>
          <w:szCs w:val="24"/>
        </w:rPr>
        <w:t xml:space="preserve"> and Lee, 2019).</w:t>
      </w:r>
      <w:r w:rsidRPr="0065495B">
        <w:rPr>
          <w:rFonts w:ascii="Times New Roman" w:hAnsi="Times New Roman" w:cs="Times New Roman"/>
          <w:sz w:val="24"/>
          <w:szCs w:val="24"/>
        </w:rPr>
        <w:t xml:space="preserve"> The market may not have fully understood the impact of the new restrictions on BAT's functioning and profitability, which may have contributed to the steep decrease.</w:t>
      </w:r>
    </w:p>
    <w:p w14:paraId="38D67BE1" w14:textId="21C0CB56" w:rsidR="00230975" w:rsidRDefault="00230975" w:rsidP="005D6656">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C457722" wp14:editId="46C59A6C">
            <wp:extent cx="4924425" cy="2462213"/>
            <wp:effectExtent l="152400" t="152400" r="352425" b="357505"/>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926869" cy="2463435"/>
                    </a:xfrm>
                    <a:prstGeom prst="rect">
                      <a:avLst/>
                    </a:prstGeom>
                    <a:ln>
                      <a:noFill/>
                    </a:ln>
                    <a:effectLst>
                      <a:outerShdw blurRad="292100" dist="139700" dir="2700000" algn="tl" rotWithShape="0">
                        <a:srgbClr val="333333">
                          <a:alpha val="65000"/>
                        </a:srgbClr>
                      </a:outerShdw>
                    </a:effectLst>
                  </pic:spPr>
                </pic:pic>
              </a:graphicData>
            </a:graphic>
          </wp:inline>
        </w:drawing>
      </w:r>
    </w:p>
    <w:p w14:paraId="1D905C2A" w14:textId="796B62A4" w:rsidR="00230975" w:rsidRPr="00230975" w:rsidRDefault="00230975" w:rsidP="005D6656">
      <w:pPr>
        <w:spacing w:line="360" w:lineRule="auto"/>
        <w:jc w:val="center"/>
        <w:rPr>
          <w:rFonts w:ascii="Times New Roman" w:hAnsi="Times New Roman" w:cs="Times New Roman"/>
          <w:bCs/>
          <w:sz w:val="24"/>
          <w:szCs w:val="24"/>
        </w:rPr>
      </w:pPr>
      <w:r>
        <w:rPr>
          <w:rFonts w:ascii="Times New Roman" w:hAnsi="Times New Roman" w:cs="Times New Roman"/>
          <w:b/>
          <w:bCs/>
          <w:sz w:val="24"/>
          <w:szCs w:val="24"/>
        </w:rPr>
        <w:t xml:space="preserve">Figure: </w:t>
      </w:r>
      <w:r w:rsidR="009A23EB">
        <w:rPr>
          <w:rFonts w:ascii="Times New Roman" w:hAnsi="Times New Roman" w:cs="Times New Roman"/>
          <w:bCs/>
          <w:sz w:val="24"/>
          <w:szCs w:val="24"/>
        </w:rPr>
        <w:t>Statistics showing a</w:t>
      </w:r>
      <w:r>
        <w:rPr>
          <w:rFonts w:ascii="Times New Roman" w:hAnsi="Times New Roman" w:cs="Times New Roman"/>
          <w:bCs/>
          <w:sz w:val="24"/>
          <w:szCs w:val="24"/>
        </w:rPr>
        <w:t xml:space="preserve"> significant drop in </w:t>
      </w:r>
      <w:r w:rsidR="009A23EB">
        <w:rPr>
          <w:rFonts w:ascii="Times New Roman" w:hAnsi="Times New Roman" w:cs="Times New Roman"/>
          <w:bCs/>
          <w:sz w:val="24"/>
          <w:szCs w:val="24"/>
        </w:rPr>
        <w:t xml:space="preserve">BAT’s profitability rate </w:t>
      </w:r>
      <w:r>
        <w:rPr>
          <w:rFonts w:ascii="Times New Roman" w:hAnsi="Times New Roman" w:cs="Times New Roman"/>
          <w:bCs/>
          <w:sz w:val="24"/>
          <w:szCs w:val="24"/>
        </w:rPr>
        <w:t>during 2014</w:t>
      </w:r>
      <w:r w:rsidR="006A6ADE">
        <w:rPr>
          <w:rFonts w:ascii="Times New Roman" w:hAnsi="Times New Roman" w:cs="Times New Roman"/>
          <w:bCs/>
          <w:sz w:val="24"/>
          <w:szCs w:val="24"/>
        </w:rPr>
        <w:t xml:space="preserve"> </w:t>
      </w:r>
      <w:r w:rsidR="00601389">
        <w:rPr>
          <w:rFonts w:ascii="Times New Roman" w:hAnsi="Times New Roman" w:cs="Times New Roman"/>
          <w:bCs/>
          <w:sz w:val="24"/>
          <w:szCs w:val="24"/>
        </w:rPr>
        <w:t>(</w:t>
      </w:r>
      <w:proofErr w:type="spellStart"/>
      <w:r w:rsidR="00601389">
        <w:rPr>
          <w:rFonts w:ascii="Times New Roman" w:hAnsi="Times New Roman" w:cs="Times New Roman"/>
          <w:bCs/>
          <w:sz w:val="24"/>
          <w:szCs w:val="24"/>
        </w:rPr>
        <w:t>Ngarava</w:t>
      </w:r>
      <w:proofErr w:type="spellEnd"/>
      <w:r w:rsidR="00601389">
        <w:rPr>
          <w:rFonts w:ascii="Times New Roman" w:hAnsi="Times New Roman" w:cs="Times New Roman"/>
          <w:bCs/>
          <w:sz w:val="24"/>
          <w:szCs w:val="24"/>
        </w:rPr>
        <w:t xml:space="preserve"> et al., 2022).</w:t>
      </w:r>
    </w:p>
    <w:p w14:paraId="1F81A39E" w14:textId="1CD5E0A1" w:rsidR="0065495B" w:rsidRDefault="001A791B" w:rsidP="00591CEB">
      <w:pPr>
        <w:pStyle w:val="Heading2"/>
      </w:pPr>
      <w:bookmarkStart w:id="5" w:name="_Toc131948247"/>
      <w:r>
        <w:t>Limited Market Participation</w:t>
      </w:r>
      <w:bookmarkEnd w:id="5"/>
    </w:p>
    <w:p w14:paraId="18C70131" w14:textId="2486C592" w:rsidR="001A791B" w:rsidRDefault="002A6705" w:rsidP="005D6656">
      <w:pPr>
        <w:spacing w:line="360" w:lineRule="auto"/>
        <w:jc w:val="both"/>
        <w:rPr>
          <w:rFonts w:ascii="Times New Roman" w:hAnsi="Times New Roman" w:cs="Times New Roman"/>
          <w:sz w:val="24"/>
          <w:szCs w:val="24"/>
        </w:rPr>
      </w:pPr>
      <w:r w:rsidRPr="002A6705">
        <w:rPr>
          <w:rFonts w:ascii="Times New Roman" w:hAnsi="Times New Roman" w:cs="Times New Roman"/>
          <w:sz w:val="24"/>
          <w:szCs w:val="24"/>
        </w:rPr>
        <w:t xml:space="preserve">BAT's stock pricing effectiveness may be impacted by the low volume of </w:t>
      </w:r>
      <w:proofErr w:type="gramStart"/>
      <w:r w:rsidRPr="002A6705">
        <w:rPr>
          <w:rFonts w:ascii="Times New Roman" w:hAnsi="Times New Roman" w:cs="Times New Roman"/>
          <w:sz w:val="24"/>
          <w:szCs w:val="24"/>
        </w:rPr>
        <w:t>trades</w:t>
      </w:r>
      <w:proofErr w:type="gramEnd"/>
      <w:r w:rsidRPr="002A6705">
        <w:rPr>
          <w:rFonts w:ascii="Times New Roman" w:hAnsi="Times New Roman" w:cs="Times New Roman"/>
          <w:sz w:val="24"/>
          <w:szCs w:val="24"/>
        </w:rPr>
        <w:t>. Because of its problematic character, the tobacco business may scare off some types of investors, such as those with a strong commitment to ethics and social responsibility. Because their preferences aren't factored into the stock price, this lack of involvement might lead to pricing inconsistencies. Socially responsible investing (SRI) funds owned only 0.7% of BAT's total shares in 2021, according to a study released by the Journal of Business Ethics, as opposed to a standard of 2.2% for comparable UK-based corporations</w:t>
      </w:r>
      <w:r w:rsidR="00601389">
        <w:rPr>
          <w:rFonts w:ascii="Times New Roman" w:hAnsi="Times New Roman" w:cs="Times New Roman"/>
          <w:sz w:val="24"/>
          <w:szCs w:val="24"/>
        </w:rPr>
        <w:t xml:space="preserve"> </w:t>
      </w:r>
      <w:r w:rsidR="00601389">
        <w:rPr>
          <w:rFonts w:ascii="Times New Roman" w:hAnsi="Times New Roman" w:cs="Times New Roman"/>
          <w:bCs/>
          <w:sz w:val="24"/>
          <w:szCs w:val="24"/>
        </w:rPr>
        <w:t>(</w:t>
      </w:r>
      <w:proofErr w:type="spellStart"/>
      <w:r w:rsidR="00601389">
        <w:rPr>
          <w:rFonts w:ascii="Times New Roman" w:hAnsi="Times New Roman" w:cs="Times New Roman"/>
          <w:bCs/>
          <w:sz w:val="24"/>
          <w:szCs w:val="24"/>
        </w:rPr>
        <w:t>Ngarava</w:t>
      </w:r>
      <w:proofErr w:type="spellEnd"/>
      <w:r w:rsidR="00601389">
        <w:rPr>
          <w:rFonts w:ascii="Times New Roman" w:hAnsi="Times New Roman" w:cs="Times New Roman"/>
          <w:bCs/>
          <w:sz w:val="24"/>
          <w:szCs w:val="24"/>
        </w:rPr>
        <w:t xml:space="preserve"> et al., 2022).</w:t>
      </w:r>
      <w:r w:rsidRPr="002A6705">
        <w:rPr>
          <w:rFonts w:ascii="Times New Roman" w:hAnsi="Times New Roman" w:cs="Times New Roman"/>
          <w:sz w:val="24"/>
          <w:szCs w:val="24"/>
        </w:rPr>
        <w:t xml:space="preserve"> This disparity suggests that the price of BAT stock does not accurately represent the choices and values of socially responsible investors.</w:t>
      </w:r>
    </w:p>
    <w:p w14:paraId="37678D39" w14:textId="339AE683" w:rsidR="002A6705" w:rsidRDefault="00640376" w:rsidP="00591CEB">
      <w:pPr>
        <w:pStyle w:val="Heading1"/>
      </w:pPr>
      <w:bookmarkStart w:id="6" w:name="_Toc131948248"/>
      <w:r w:rsidRPr="00640376">
        <w:t>Project Appraisal Methods</w:t>
      </w:r>
      <w:bookmarkEnd w:id="6"/>
    </w:p>
    <w:p w14:paraId="408D75AC" w14:textId="57A985B7" w:rsidR="00640376" w:rsidRDefault="0080289A" w:rsidP="005D6656">
      <w:pPr>
        <w:spacing w:line="360" w:lineRule="auto"/>
        <w:jc w:val="both"/>
        <w:rPr>
          <w:rFonts w:ascii="Times New Roman" w:hAnsi="Times New Roman" w:cs="Times New Roman"/>
          <w:sz w:val="24"/>
          <w:szCs w:val="24"/>
        </w:rPr>
      </w:pPr>
      <w:r w:rsidRPr="0080289A">
        <w:rPr>
          <w:rFonts w:ascii="Times New Roman" w:hAnsi="Times New Roman" w:cs="Times New Roman"/>
          <w:sz w:val="24"/>
          <w:szCs w:val="24"/>
        </w:rPr>
        <w:t>To further its worldwide reach, product offerings, and internal operations, multinational conglomerate BAT invests in a wide variety of initiatives. In order to rank these investments, the corporation uses a number of project assessment techniques, such as:</w:t>
      </w:r>
    </w:p>
    <w:p w14:paraId="2C5BA3D9" w14:textId="3971F897" w:rsidR="0080289A" w:rsidRDefault="0080289A" w:rsidP="00591CEB">
      <w:pPr>
        <w:pStyle w:val="Heading2"/>
      </w:pPr>
      <w:bookmarkStart w:id="7" w:name="_Toc131948249"/>
      <w:r w:rsidRPr="0080289A">
        <w:t>Net Present Value (NPV)</w:t>
      </w:r>
      <w:bookmarkEnd w:id="7"/>
    </w:p>
    <w:p w14:paraId="01222F32" w14:textId="51974CD0" w:rsidR="0080289A" w:rsidRDefault="00A6658A" w:rsidP="005D6656">
      <w:pPr>
        <w:spacing w:line="360" w:lineRule="auto"/>
        <w:jc w:val="both"/>
        <w:rPr>
          <w:rFonts w:ascii="Times New Roman" w:hAnsi="Times New Roman" w:cs="Times New Roman"/>
          <w:sz w:val="24"/>
          <w:szCs w:val="24"/>
        </w:rPr>
      </w:pPr>
      <w:r w:rsidRPr="00A6658A">
        <w:rPr>
          <w:rFonts w:ascii="Times New Roman" w:hAnsi="Times New Roman" w:cs="Times New Roman"/>
          <w:sz w:val="24"/>
          <w:szCs w:val="24"/>
        </w:rPr>
        <w:t>This technique entails bringing forward the anticipated cash flows of a project to their current value and then deducting the initial investment from those projected cash flows</w:t>
      </w:r>
      <w:r w:rsidR="00211B34">
        <w:rPr>
          <w:rFonts w:ascii="Times New Roman" w:hAnsi="Times New Roman" w:cs="Times New Roman"/>
          <w:sz w:val="24"/>
          <w:szCs w:val="24"/>
        </w:rPr>
        <w:t xml:space="preserve"> (Osborne, 2018).</w:t>
      </w:r>
      <w:r w:rsidRPr="00A6658A">
        <w:rPr>
          <w:rFonts w:ascii="Times New Roman" w:hAnsi="Times New Roman" w:cs="Times New Roman"/>
          <w:sz w:val="24"/>
          <w:szCs w:val="24"/>
        </w:rPr>
        <w:t xml:space="preserve"> </w:t>
      </w:r>
      <w:r w:rsidRPr="00A6658A">
        <w:rPr>
          <w:rFonts w:ascii="Times New Roman" w:hAnsi="Times New Roman" w:cs="Times New Roman"/>
          <w:sz w:val="24"/>
          <w:szCs w:val="24"/>
        </w:rPr>
        <w:lastRenderedPageBreak/>
        <w:t xml:space="preserve">Because it takes into consideration the changing value of money over time and pinpoints a project's true monetary worth, BAT most likely </w:t>
      </w:r>
      <w:proofErr w:type="gramStart"/>
      <w:r w:rsidRPr="00A6658A">
        <w:rPr>
          <w:rFonts w:ascii="Times New Roman" w:hAnsi="Times New Roman" w:cs="Times New Roman"/>
          <w:sz w:val="24"/>
          <w:szCs w:val="24"/>
        </w:rPr>
        <w:t>use</w:t>
      </w:r>
      <w:proofErr w:type="gramEnd"/>
      <w:r w:rsidRPr="00A6658A">
        <w:rPr>
          <w:rFonts w:ascii="Times New Roman" w:hAnsi="Times New Roman" w:cs="Times New Roman"/>
          <w:sz w:val="24"/>
          <w:szCs w:val="24"/>
        </w:rPr>
        <w:t xml:space="preserve"> the NPV technique as its principal tool for appraising projects.</w:t>
      </w:r>
      <w:r w:rsidR="0051152D">
        <w:rPr>
          <w:rFonts w:ascii="Times New Roman" w:hAnsi="Times New Roman" w:cs="Times New Roman"/>
          <w:sz w:val="24"/>
          <w:szCs w:val="24"/>
        </w:rPr>
        <w:t xml:space="preserve"> </w:t>
      </w:r>
      <w:r w:rsidR="0051152D" w:rsidRPr="0051152D">
        <w:rPr>
          <w:rFonts w:ascii="Times New Roman" w:hAnsi="Times New Roman" w:cs="Times New Roman"/>
          <w:sz w:val="24"/>
          <w:szCs w:val="24"/>
        </w:rPr>
        <w:t>The purchase of Reynolds American Inc. by BAT in July 2017 is an example of BAT's use of Net Present Value (NPV) as its principal project evaluation approach</w:t>
      </w:r>
      <w:r w:rsidR="00440104">
        <w:rPr>
          <w:rFonts w:ascii="Times New Roman" w:hAnsi="Times New Roman" w:cs="Times New Roman"/>
          <w:sz w:val="24"/>
          <w:szCs w:val="24"/>
        </w:rPr>
        <w:t xml:space="preserve"> </w:t>
      </w:r>
      <w:r w:rsidR="00440104">
        <w:rPr>
          <w:rFonts w:ascii="Times New Roman" w:hAnsi="Times New Roman" w:cs="Times New Roman"/>
          <w:bCs/>
          <w:sz w:val="24"/>
          <w:szCs w:val="24"/>
        </w:rPr>
        <w:t>(</w:t>
      </w:r>
      <w:proofErr w:type="spellStart"/>
      <w:r w:rsidR="00440104" w:rsidRPr="00C87766">
        <w:rPr>
          <w:rFonts w:ascii="Times New Roman" w:hAnsi="Times New Roman" w:cs="Times New Roman"/>
          <w:sz w:val="24"/>
          <w:szCs w:val="24"/>
        </w:rPr>
        <w:t>Campá</w:t>
      </w:r>
      <w:proofErr w:type="spellEnd"/>
      <w:r w:rsidR="00440104" w:rsidRPr="00C87766">
        <w:rPr>
          <w:rFonts w:ascii="Times New Roman" w:hAnsi="Times New Roman" w:cs="Times New Roman"/>
          <w:sz w:val="24"/>
          <w:szCs w:val="24"/>
        </w:rPr>
        <w:t xml:space="preserve"> García</w:t>
      </w:r>
      <w:r w:rsidR="00440104">
        <w:rPr>
          <w:rFonts w:ascii="Times New Roman" w:hAnsi="Times New Roman" w:cs="Times New Roman"/>
          <w:sz w:val="24"/>
          <w:szCs w:val="24"/>
        </w:rPr>
        <w:t>, 2019).</w:t>
      </w:r>
      <w:r w:rsidR="0051152D" w:rsidRPr="0051152D">
        <w:rPr>
          <w:rFonts w:ascii="Times New Roman" w:hAnsi="Times New Roman" w:cs="Times New Roman"/>
          <w:sz w:val="24"/>
          <w:szCs w:val="24"/>
        </w:rPr>
        <w:t xml:space="preserve"> BAT has strengthened its position as a leading international tobacco and next-generation products firm by acquiring the remaining 57.8 percent of Reynolds American Inc.</w:t>
      </w:r>
    </w:p>
    <w:p w14:paraId="48BC0905" w14:textId="170F3BFC" w:rsidR="001132E4" w:rsidRDefault="001132E4" w:rsidP="005D6656">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E7CF29C" wp14:editId="41ADDA0F">
            <wp:extent cx="4400550" cy="2475309"/>
            <wp:effectExtent l="152400" t="152400" r="361950" b="363220"/>
            <wp:docPr id="4" name="Picture 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01300" cy="2475731"/>
                    </a:xfrm>
                    <a:prstGeom prst="rect">
                      <a:avLst/>
                    </a:prstGeom>
                    <a:ln>
                      <a:noFill/>
                    </a:ln>
                    <a:effectLst>
                      <a:outerShdw blurRad="292100" dist="139700" dir="2700000" algn="tl" rotWithShape="0">
                        <a:srgbClr val="333333">
                          <a:alpha val="65000"/>
                        </a:srgbClr>
                      </a:outerShdw>
                    </a:effectLst>
                  </pic:spPr>
                </pic:pic>
              </a:graphicData>
            </a:graphic>
          </wp:inline>
        </w:drawing>
      </w:r>
    </w:p>
    <w:p w14:paraId="4B01E004" w14:textId="1E1FCDC8" w:rsidR="001132E4" w:rsidRPr="001132E4" w:rsidRDefault="001132E4" w:rsidP="005D6656">
      <w:pPr>
        <w:spacing w:line="360" w:lineRule="auto"/>
        <w:jc w:val="center"/>
        <w:rPr>
          <w:rFonts w:ascii="Times New Roman" w:hAnsi="Times New Roman" w:cs="Times New Roman"/>
          <w:bCs/>
          <w:sz w:val="24"/>
          <w:szCs w:val="24"/>
        </w:rPr>
      </w:pPr>
      <w:r>
        <w:rPr>
          <w:rFonts w:ascii="Times New Roman" w:hAnsi="Times New Roman" w:cs="Times New Roman"/>
          <w:b/>
          <w:bCs/>
          <w:sz w:val="24"/>
          <w:szCs w:val="24"/>
        </w:rPr>
        <w:t xml:space="preserve">Figure: </w:t>
      </w:r>
      <w:r>
        <w:rPr>
          <w:rFonts w:ascii="Times New Roman" w:hAnsi="Times New Roman" w:cs="Times New Roman"/>
          <w:bCs/>
          <w:sz w:val="24"/>
          <w:szCs w:val="24"/>
        </w:rPr>
        <w:t>BAT’s acquisition of Reynolds American under a $49.4bn deal</w:t>
      </w:r>
      <w:r w:rsidR="00C87766">
        <w:rPr>
          <w:rFonts w:ascii="Times New Roman" w:hAnsi="Times New Roman" w:cs="Times New Roman"/>
          <w:bCs/>
          <w:sz w:val="24"/>
          <w:szCs w:val="24"/>
        </w:rPr>
        <w:t xml:space="preserve"> </w:t>
      </w:r>
      <w:r w:rsidR="00440104">
        <w:rPr>
          <w:rFonts w:ascii="Times New Roman" w:hAnsi="Times New Roman" w:cs="Times New Roman"/>
          <w:bCs/>
          <w:sz w:val="24"/>
          <w:szCs w:val="24"/>
        </w:rPr>
        <w:t>(</w:t>
      </w:r>
      <w:proofErr w:type="spellStart"/>
      <w:r w:rsidR="00C87766" w:rsidRPr="00C87766">
        <w:rPr>
          <w:rFonts w:ascii="Times New Roman" w:hAnsi="Times New Roman" w:cs="Times New Roman"/>
          <w:sz w:val="24"/>
          <w:szCs w:val="24"/>
        </w:rPr>
        <w:t>Campá</w:t>
      </w:r>
      <w:proofErr w:type="spellEnd"/>
      <w:r w:rsidR="00C87766" w:rsidRPr="00C87766">
        <w:rPr>
          <w:rFonts w:ascii="Times New Roman" w:hAnsi="Times New Roman" w:cs="Times New Roman"/>
          <w:sz w:val="24"/>
          <w:szCs w:val="24"/>
        </w:rPr>
        <w:t xml:space="preserve"> García</w:t>
      </w:r>
      <w:r w:rsidR="00440104">
        <w:rPr>
          <w:rFonts w:ascii="Times New Roman" w:hAnsi="Times New Roman" w:cs="Times New Roman"/>
          <w:sz w:val="24"/>
          <w:szCs w:val="24"/>
        </w:rPr>
        <w:t>, 2019)</w:t>
      </w:r>
    </w:p>
    <w:p w14:paraId="7A6E3C5F" w14:textId="3C2320BD" w:rsidR="0051152D" w:rsidRDefault="00573F2C" w:rsidP="00591CEB">
      <w:pPr>
        <w:pStyle w:val="Heading2"/>
      </w:pPr>
      <w:bookmarkStart w:id="8" w:name="_Toc131948250"/>
      <w:r w:rsidRPr="00573F2C">
        <w:t>Internal Rate of Return (IRR)</w:t>
      </w:r>
      <w:bookmarkEnd w:id="8"/>
    </w:p>
    <w:p w14:paraId="1B3E82C5" w14:textId="7171640B" w:rsidR="00573F2C" w:rsidRDefault="00E845E7" w:rsidP="005D6656">
      <w:pPr>
        <w:spacing w:line="360" w:lineRule="auto"/>
        <w:jc w:val="both"/>
        <w:rPr>
          <w:rFonts w:ascii="Times New Roman" w:hAnsi="Times New Roman" w:cs="Times New Roman"/>
          <w:sz w:val="24"/>
          <w:szCs w:val="24"/>
        </w:rPr>
      </w:pPr>
      <w:r w:rsidRPr="00E845E7">
        <w:rPr>
          <w:rFonts w:ascii="Times New Roman" w:hAnsi="Times New Roman" w:cs="Times New Roman"/>
          <w:sz w:val="24"/>
          <w:szCs w:val="24"/>
        </w:rPr>
        <w:t>This technique determines the level of discounting at which a project's NPV is equivalent to zero. If the internal rate of return (IRR) of a project is higher than the needed rate of return for the firm, the project is regarded acceptable. The Internal Rate of Return (IRR) is a standardized measure of the projected return on a project. Because of this, BAT may employ the IRR to evaluate projects that vary in size and length.</w:t>
      </w:r>
    </w:p>
    <w:p w14:paraId="1A0CFD94" w14:textId="6669A622" w:rsidR="00E845E7" w:rsidRDefault="00E845E7" w:rsidP="00591CEB">
      <w:pPr>
        <w:pStyle w:val="Heading2"/>
      </w:pPr>
      <w:bookmarkStart w:id="9" w:name="_Toc131948251"/>
      <w:r w:rsidRPr="00E845E7">
        <w:t>Payback Period</w:t>
      </w:r>
      <w:bookmarkEnd w:id="9"/>
    </w:p>
    <w:p w14:paraId="5F426FBC" w14:textId="7084EA3F" w:rsidR="00E845E7" w:rsidRDefault="00C6550B" w:rsidP="005D6656">
      <w:pPr>
        <w:spacing w:line="360" w:lineRule="auto"/>
        <w:jc w:val="both"/>
        <w:rPr>
          <w:rFonts w:ascii="Times New Roman" w:hAnsi="Times New Roman" w:cs="Times New Roman"/>
          <w:sz w:val="24"/>
          <w:szCs w:val="24"/>
        </w:rPr>
      </w:pPr>
      <w:r w:rsidRPr="00C6550B">
        <w:rPr>
          <w:rFonts w:ascii="Times New Roman" w:hAnsi="Times New Roman" w:cs="Times New Roman"/>
          <w:sz w:val="24"/>
          <w:szCs w:val="24"/>
        </w:rPr>
        <w:t>How long it takes for the revenues from a project to pay for itself is calculated using this technique</w:t>
      </w:r>
      <w:r w:rsidR="00C553C7">
        <w:rPr>
          <w:rFonts w:ascii="Times New Roman" w:hAnsi="Times New Roman" w:cs="Times New Roman"/>
          <w:sz w:val="24"/>
          <w:szCs w:val="24"/>
        </w:rPr>
        <w:t xml:space="preserve"> (</w:t>
      </w:r>
      <w:r w:rsidR="00C553C7" w:rsidRPr="00C553C7">
        <w:rPr>
          <w:rFonts w:ascii="Times New Roman" w:hAnsi="Times New Roman" w:cs="Times New Roman"/>
          <w:sz w:val="24"/>
          <w:szCs w:val="24"/>
        </w:rPr>
        <w:t>Gorshkov</w:t>
      </w:r>
      <w:r w:rsidR="00923198">
        <w:rPr>
          <w:rFonts w:ascii="Times New Roman" w:hAnsi="Times New Roman" w:cs="Times New Roman"/>
          <w:sz w:val="24"/>
          <w:szCs w:val="24"/>
        </w:rPr>
        <w:t xml:space="preserve"> et al., 2018).</w:t>
      </w:r>
      <w:r w:rsidRPr="00C6550B">
        <w:rPr>
          <w:rFonts w:ascii="Times New Roman" w:hAnsi="Times New Roman" w:cs="Times New Roman"/>
          <w:sz w:val="24"/>
          <w:szCs w:val="24"/>
        </w:rPr>
        <w:t xml:space="preserve"> </w:t>
      </w:r>
      <w:r w:rsidR="00BD7BC7" w:rsidRPr="00BD7BC7">
        <w:rPr>
          <w:rFonts w:ascii="Times New Roman" w:hAnsi="Times New Roman" w:cs="Times New Roman"/>
          <w:sz w:val="24"/>
          <w:szCs w:val="24"/>
        </w:rPr>
        <w:t>Despite the fact that the temporal value of money is ignored</w:t>
      </w:r>
      <w:r w:rsidR="0031278B">
        <w:rPr>
          <w:rFonts w:ascii="Times New Roman" w:hAnsi="Times New Roman" w:cs="Times New Roman"/>
          <w:sz w:val="24"/>
          <w:szCs w:val="24"/>
        </w:rPr>
        <w:t xml:space="preserve"> here</w:t>
      </w:r>
      <w:r w:rsidRPr="00C6550B">
        <w:rPr>
          <w:rFonts w:ascii="Times New Roman" w:hAnsi="Times New Roman" w:cs="Times New Roman"/>
          <w:sz w:val="24"/>
          <w:szCs w:val="24"/>
        </w:rPr>
        <w:t>, BAT can nevertheless utilize it as an additional tool to evaluate the project's liquidity and risk, especially in volatile and unpredictable markets.</w:t>
      </w:r>
      <w:r>
        <w:rPr>
          <w:rFonts w:ascii="Times New Roman" w:hAnsi="Times New Roman" w:cs="Times New Roman"/>
          <w:sz w:val="24"/>
          <w:szCs w:val="24"/>
        </w:rPr>
        <w:t xml:space="preserve"> </w:t>
      </w:r>
      <w:r w:rsidR="00923198">
        <w:rPr>
          <w:rFonts w:ascii="Times New Roman" w:hAnsi="Times New Roman" w:cs="Times New Roman"/>
          <w:sz w:val="24"/>
          <w:szCs w:val="24"/>
        </w:rPr>
        <w:t>Suppose</w:t>
      </w:r>
      <w:r w:rsidR="00400C62" w:rsidRPr="00400C62">
        <w:rPr>
          <w:rFonts w:ascii="Times New Roman" w:hAnsi="Times New Roman" w:cs="Times New Roman"/>
          <w:sz w:val="24"/>
          <w:szCs w:val="24"/>
        </w:rPr>
        <w:t xml:space="preserve"> BAT is contemplating constructing a new factory </w:t>
      </w:r>
      <w:r w:rsidR="00400C62" w:rsidRPr="00400C62">
        <w:rPr>
          <w:rFonts w:ascii="Times New Roman" w:hAnsi="Times New Roman" w:cs="Times New Roman"/>
          <w:sz w:val="24"/>
          <w:szCs w:val="24"/>
        </w:rPr>
        <w:lastRenderedPageBreak/>
        <w:t xml:space="preserve">in order to accommodate rising demand for its products in a developing nation. But the market is defined by political and economic volatility and by laws that are constantly shifting. In this case, </w:t>
      </w:r>
      <w:r w:rsidR="002159A2" w:rsidRPr="007C6ABA">
        <w:rPr>
          <w:rFonts w:ascii="Times New Roman" w:hAnsi="Times New Roman" w:cs="Times New Roman"/>
          <w:sz w:val="24"/>
          <w:szCs w:val="24"/>
        </w:rPr>
        <w:t>when</w:t>
      </w:r>
      <w:r w:rsidR="007C6ABA" w:rsidRPr="007C6ABA">
        <w:rPr>
          <w:rFonts w:ascii="Times New Roman" w:hAnsi="Times New Roman" w:cs="Times New Roman"/>
          <w:sz w:val="24"/>
          <w:szCs w:val="24"/>
        </w:rPr>
        <w:t xml:space="preserve"> used with other methods of project evaluation, such as NPV and IRR, the Payback Period could prove helpful</w:t>
      </w:r>
      <w:r w:rsidR="00400C62" w:rsidRPr="00400C62">
        <w:rPr>
          <w:rFonts w:ascii="Times New Roman" w:hAnsi="Times New Roman" w:cs="Times New Roman"/>
          <w:sz w:val="24"/>
          <w:szCs w:val="24"/>
        </w:rPr>
        <w:t>.</w:t>
      </w:r>
    </w:p>
    <w:p w14:paraId="2A7130E9" w14:textId="30396108" w:rsidR="00400C62" w:rsidRDefault="00BF5401" w:rsidP="00591CEB">
      <w:pPr>
        <w:pStyle w:val="Heading2"/>
      </w:pPr>
      <w:bookmarkStart w:id="10" w:name="_Toc131948252"/>
      <w:r w:rsidRPr="00BF5401">
        <w:t>Profitability Index (PI)</w:t>
      </w:r>
      <w:bookmarkEnd w:id="10"/>
    </w:p>
    <w:p w14:paraId="1E319080" w14:textId="7059DD3D" w:rsidR="00BF5401" w:rsidRDefault="005D66A7" w:rsidP="005D6656">
      <w:pPr>
        <w:spacing w:line="360" w:lineRule="auto"/>
        <w:jc w:val="both"/>
        <w:rPr>
          <w:rFonts w:ascii="Times New Roman" w:hAnsi="Times New Roman" w:cs="Times New Roman"/>
          <w:sz w:val="24"/>
          <w:szCs w:val="24"/>
        </w:rPr>
      </w:pPr>
      <w:r w:rsidRPr="005D66A7">
        <w:rPr>
          <w:rFonts w:ascii="Times New Roman" w:hAnsi="Times New Roman" w:cs="Times New Roman"/>
          <w:sz w:val="24"/>
          <w:szCs w:val="24"/>
        </w:rPr>
        <w:t xml:space="preserve">This approach determines, as a proportion to the initial investment, the </w:t>
      </w:r>
      <w:r w:rsidR="007C6ABA">
        <w:rPr>
          <w:rFonts w:ascii="Times New Roman" w:hAnsi="Times New Roman" w:cs="Times New Roman"/>
          <w:sz w:val="24"/>
          <w:szCs w:val="24"/>
        </w:rPr>
        <w:t>current</w:t>
      </w:r>
      <w:r w:rsidRPr="005D66A7">
        <w:rPr>
          <w:rFonts w:ascii="Times New Roman" w:hAnsi="Times New Roman" w:cs="Times New Roman"/>
          <w:sz w:val="24"/>
          <w:szCs w:val="24"/>
        </w:rPr>
        <w:t xml:space="preserve"> value of the cash streams that are expected to result from the project. If the PI is larger than 1, it implies that it is anticipated that the project will be profitable for the business</w:t>
      </w:r>
      <w:r w:rsidR="005D6656">
        <w:rPr>
          <w:rFonts w:ascii="Times New Roman" w:hAnsi="Times New Roman" w:cs="Times New Roman"/>
          <w:sz w:val="24"/>
          <w:szCs w:val="24"/>
        </w:rPr>
        <w:t xml:space="preserve"> (Gurau, 2016).</w:t>
      </w:r>
      <w:r w:rsidRPr="005D66A7">
        <w:rPr>
          <w:rFonts w:ascii="Times New Roman" w:hAnsi="Times New Roman" w:cs="Times New Roman"/>
          <w:sz w:val="24"/>
          <w:szCs w:val="24"/>
        </w:rPr>
        <w:t xml:space="preserve"> The PI might be utilized by BAT in order to rate projects and efficiently distribute resources among several competing investment possibilities.</w:t>
      </w:r>
      <w:r w:rsidR="00044DB3">
        <w:rPr>
          <w:rFonts w:ascii="Times New Roman" w:hAnsi="Times New Roman" w:cs="Times New Roman"/>
          <w:sz w:val="24"/>
          <w:szCs w:val="24"/>
        </w:rPr>
        <w:t xml:space="preserve"> </w:t>
      </w:r>
      <w:r w:rsidR="00E12DFA" w:rsidRPr="00E12DFA">
        <w:rPr>
          <w:rFonts w:ascii="Times New Roman" w:hAnsi="Times New Roman" w:cs="Times New Roman"/>
          <w:sz w:val="24"/>
          <w:szCs w:val="24"/>
        </w:rPr>
        <w:t>For example, if the first project has a PI of 1.4 and the other project offers a PI of 1.2, BAT may decide to invest in Project A because it gives a larger return per dollar spent, showing that it makes better use of the assets of the business. Project B's PI is lower since it is based on a smaller sample size.</w:t>
      </w:r>
    </w:p>
    <w:p w14:paraId="6D3F8F45" w14:textId="34968232" w:rsidR="005D66A7" w:rsidRDefault="005D66A7" w:rsidP="00591CEB">
      <w:pPr>
        <w:pStyle w:val="Heading1"/>
      </w:pPr>
      <w:bookmarkStart w:id="11" w:name="_Toc131948253"/>
      <w:r>
        <w:t>Conclusion</w:t>
      </w:r>
      <w:bookmarkEnd w:id="11"/>
    </w:p>
    <w:p w14:paraId="5B4571F1" w14:textId="58C7FB39" w:rsidR="00257199" w:rsidRDefault="007E1EB0" w:rsidP="005D6656">
      <w:pPr>
        <w:spacing w:line="360" w:lineRule="auto"/>
        <w:jc w:val="both"/>
        <w:rPr>
          <w:rFonts w:ascii="Times New Roman" w:hAnsi="Times New Roman" w:cs="Times New Roman"/>
          <w:sz w:val="24"/>
          <w:szCs w:val="24"/>
        </w:rPr>
      </w:pPr>
      <w:r w:rsidRPr="007E1EB0">
        <w:rPr>
          <w:rFonts w:ascii="Times New Roman" w:hAnsi="Times New Roman" w:cs="Times New Roman"/>
          <w:sz w:val="24"/>
          <w:szCs w:val="24"/>
        </w:rPr>
        <w:t>As a global firm that operates in a highly dynamic and regulated market, British American Tobacco (BAT) relies heavily on effective international financial management (IFM). The dividend policy, EMH compliance, and project assessment methodologies used by BAT show the company's dedication to efficient IFM processes. While expanding into new foreign financial markets presents opportunities, it also comes with dangers that BAT must constantly monitor and adjust its financial management techniques to address. BAT can keep its worldwide lead in the tobacco market and reward its shareholders in the long run if it follows this strategy.</w:t>
      </w:r>
    </w:p>
    <w:p w14:paraId="0AFDB079" w14:textId="77777777" w:rsidR="00257199" w:rsidRDefault="00257199">
      <w:pPr>
        <w:rPr>
          <w:rFonts w:ascii="Times New Roman" w:hAnsi="Times New Roman" w:cs="Times New Roman"/>
          <w:sz w:val="24"/>
          <w:szCs w:val="24"/>
        </w:rPr>
      </w:pPr>
      <w:r>
        <w:rPr>
          <w:rFonts w:ascii="Times New Roman" w:hAnsi="Times New Roman" w:cs="Times New Roman"/>
          <w:sz w:val="24"/>
          <w:szCs w:val="24"/>
        </w:rPr>
        <w:br w:type="page"/>
      </w:r>
    </w:p>
    <w:p w14:paraId="3B236AE1" w14:textId="5C3EE7A1" w:rsidR="005D66A7" w:rsidRDefault="00257199" w:rsidP="00591CEB">
      <w:pPr>
        <w:pStyle w:val="Heading1"/>
      </w:pPr>
      <w:bookmarkStart w:id="12" w:name="_Toc131948254"/>
      <w:r>
        <w:lastRenderedPageBreak/>
        <w:t>References</w:t>
      </w:r>
      <w:bookmarkEnd w:id="12"/>
    </w:p>
    <w:p w14:paraId="1FDEEDA2" w14:textId="77777777" w:rsidR="00591CEB" w:rsidRPr="00591CEB" w:rsidRDefault="00591CEB" w:rsidP="00591CEB"/>
    <w:p w14:paraId="5BACEC30" w14:textId="77777777" w:rsidR="005D6656" w:rsidRDefault="005D6656" w:rsidP="005D6656">
      <w:pPr>
        <w:spacing w:line="360" w:lineRule="auto"/>
        <w:jc w:val="both"/>
        <w:rPr>
          <w:rFonts w:ascii="Times New Roman" w:hAnsi="Times New Roman" w:cs="Times New Roman"/>
          <w:sz w:val="24"/>
          <w:szCs w:val="24"/>
        </w:rPr>
      </w:pPr>
      <w:proofErr w:type="spellStart"/>
      <w:r w:rsidRPr="00C87766">
        <w:rPr>
          <w:rFonts w:ascii="Times New Roman" w:hAnsi="Times New Roman" w:cs="Times New Roman"/>
          <w:sz w:val="24"/>
          <w:szCs w:val="24"/>
        </w:rPr>
        <w:t>Campá</w:t>
      </w:r>
      <w:proofErr w:type="spellEnd"/>
      <w:r w:rsidRPr="00C87766">
        <w:rPr>
          <w:rFonts w:ascii="Times New Roman" w:hAnsi="Times New Roman" w:cs="Times New Roman"/>
          <w:sz w:val="24"/>
          <w:szCs w:val="24"/>
        </w:rPr>
        <w:t xml:space="preserve"> García, M., </w:t>
      </w:r>
      <w:r>
        <w:rPr>
          <w:rFonts w:ascii="Times New Roman" w:hAnsi="Times New Roman" w:cs="Times New Roman"/>
          <w:sz w:val="24"/>
          <w:szCs w:val="24"/>
        </w:rPr>
        <w:t>(</w:t>
      </w:r>
      <w:r w:rsidRPr="00C87766">
        <w:rPr>
          <w:rFonts w:ascii="Times New Roman" w:hAnsi="Times New Roman" w:cs="Times New Roman"/>
          <w:sz w:val="24"/>
          <w:szCs w:val="24"/>
        </w:rPr>
        <w:t>2019</w:t>
      </w:r>
      <w:r>
        <w:rPr>
          <w:rFonts w:ascii="Times New Roman" w:hAnsi="Times New Roman" w:cs="Times New Roman"/>
          <w:sz w:val="24"/>
          <w:szCs w:val="24"/>
        </w:rPr>
        <w:t>)</w:t>
      </w:r>
      <w:r w:rsidRPr="00C87766">
        <w:rPr>
          <w:rFonts w:ascii="Times New Roman" w:hAnsi="Times New Roman" w:cs="Times New Roman"/>
          <w:sz w:val="24"/>
          <w:szCs w:val="24"/>
        </w:rPr>
        <w:t>. Valuation of the Merger of British American Tobacco &amp; Reynolds American.</w:t>
      </w:r>
    </w:p>
    <w:p w14:paraId="13EDDE35" w14:textId="77777777" w:rsidR="005D6656" w:rsidRDefault="005D6656" w:rsidP="005D6656">
      <w:pPr>
        <w:spacing w:line="360" w:lineRule="auto"/>
        <w:jc w:val="both"/>
        <w:rPr>
          <w:rFonts w:ascii="Times New Roman" w:hAnsi="Times New Roman" w:cs="Times New Roman"/>
          <w:sz w:val="24"/>
          <w:szCs w:val="24"/>
        </w:rPr>
      </w:pPr>
      <w:r w:rsidRPr="00771BD1">
        <w:rPr>
          <w:rFonts w:ascii="Times New Roman" w:hAnsi="Times New Roman" w:cs="Times New Roman"/>
          <w:sz w:val="24"/>
          <w:szCs w:val="24"/>
        </w:rPr>
        <w:t xml:space="preserve">Cox, H., </w:t>
      </w:r>
      <w:r>
        <w:rPr>
          <w:rFonts w:ascii="Times New Roman" w:hAnsi="Times New Roman" w:cs="Times New Roman"/>
          <w:sz w:val="24"/>
          <w:szCs w:val="24"/>
        </w:rPr>
        <w:t>(2015)</w:t>
      </w:r>
      <w:r w:rsidRPr="00771BD1">
        <w:rPr>
          <w:rFonts w:ascii="Times New Roman" w:hAnsi="Times New Roman" w:cs="Times New Roman"/>
          <w:sz w:val="24"/>
          <w:szCs w:val="24"/>
        </w:rPr>
        <w:t>. The global cigarette: Origins and evolution of British American Tobacco, 1880-1945. Oxford University Press on Demand.</w:t>
      </w:r>
    </w:p>
    <w:p w14:paraId="277258E5" w14:textId="77777777" w:rsidR="005D6656" w:rsidRDefault="005D6656" w:rsidP="005D6656">
      <w:pPr>
        <w:spacing w:line="360" w:lineRule="auto"/>
        <w:jc w:val="both"/>
        <w:rPr>
          <w:rFonts w:ascii="Times New Roman" w:hAnsi="Times New Roman" w:cs="Times New Roman"/>
          <w:sz w:val="24"/>
          <w:szCs w:val="24"/>
        </w:rPr>
      </w:pPr>
      <w:r w:rsidRPr="00C63BCE">
        <w:rPr>
          <w:rFonts w:ascii="Times New Roman" w:hAnsi="Times New Roman" w:cs="Times New Roman"/>
          <w:sz w:val="24"/>
          <w:szCs w:val="24"/>
        </w:rPr>
        <w:t xml:space="preserve">Desai, M.A., Foley, C.F. and Hines Jr, J.R., </w:t>
      </w:r>
      <w:r>
        <w:rPr>
          <w:rFonts w:ascii="Times New Roman" w:hAnsi="Times New Roman" w:cs="Times New Roman"/>
          <w:sz w:val="24"/>
          <w:szCs w:val="24"/>
        </w:rPr>
        <w:t>(2017)</w:t>
      </w:r>
      <w:r w:rsidRPr="00C63BCE">
        <w:rPr>
          <w:rFonts w:ascii="Times New Roman" w:hAnsi="Times New Roman" w:cs="Times New Roman"/>
          <w:sz w:val="24"/>
          <w:szCs w:val="24"/>
        </w:rPr>
        <w:t>. Dividend policy inside the multinational firm. Financial management, pp.5-26.</w:t>
      </w:r>
    </w:p>
    <w:p w14:paraId="68C90129" w14:textId="77777777" w:rsidR="005D6656" w:rsidRDefault="005D6656" w:rsidP="005D6656">
      <w:pPr>
        <w:spacing w:line="360" w:lineRule="auto"/>
        <w:jc w:val="both"/>
        <w:rPr>
          <w:rFonts w:ascii="Times New Roman" w:hAnsi="Times New Roman" w:cs="Times New Roman"/>
          <w:sz w:val="24"/>
          <w:szCs w:val="24"/>
        </w:rPr>
      </w:pPr>
      <w:r w:rsidRPr="00C553C7">
        <w:rPr>
          <w:rFonts w:ascii="Times New Roman" w:hAnsi="Times New Roman" w:cs="Times New Roman"/>
          <w:sz w:val="24"/>
          <w:szCs w:val="24"/>
        </w:rPr>
        <w:t xml:space="preserve">Gorshkov, A.S., </w:t>
      </w:r>
      <w:proofErr w:type="spellStart"/>
      <w:r w:rsidRPr="00C553C7">
        <w:rPr>
          <w:rFonts w:ascii="Times New Roman" w:hAnsi="Times New Roman" w:cs="Times New Roman"/>
          <w:sz w:val="24"/>
          <w:szCs w:val="24"/>
        </w:rPr>
        <w:t>Vatin</w:t>
      </w:r>
      <w:proofErr w:type="spellEnd"/>
      <w:r w:rsidRPr="00C553C7">
        <w:rPr>
          <w:rFonts w:ascii="Times New Roman" w:hAnsi="Times New Roman" w:cs="Times New Roman"/>
          <w:sz w:val="24"/>
          <w:szCs w:val="24"/>
        </w:rPr>
        <w:t xml:space="preserve">, N.I., </w:t>
      </w:r>
      <w:proofErr w:type="spellStart"/>
      <w:r w:rsidRPr="00C553C7">
        <w:rPr>
          <w:rFonts w:ascii="Times New Roman" w:hAnsi="Times New Roman" w:cs="Times New Roman"/>
          <w:sz w:val="24"/>
          <w:szCs w:val="24"/>
        </w:rPr>
        <w:t>Rymkevich</w:t>
      </w:r>
      <w:proofErr w:type="spellEnd"/>
      <w:r w:rsidRPr="00C553C7">
        <w:rPr>
          <w:rFonts w:ascii="Times New Roman" w:hAnsi="Times New Roman" w:cs="Times New Roman"/>
          <w:sz w:val="24"/>
          <w:szCs w:val="24"/>
        </w:rPr>
        <w:t xml:space="preserve">, P.P. and </w:t>
      </w:r>
      <w:proofErr w:type="spellStart"/>
      <w:r w:rsidRPr="00C553C7">
        <w:rPr>
          <w:rFonts w:ascii="Times New Roman" w:hAnsi="Times New Roman" w:cs="Times New Roman"/>
          <w:sz w:val="24"/>
          <w:szCs w:val="24"/>
        </w:rPr>
        <w:t>Kydrevich</w:t>
      </w:r>
      <w:proofErr w:type="spellEnd"/>
      <w:r w:rsidRPr="00C553C7">
        <w:rPr>
          <w:rFonts w:ascii="Times New Roman" w:hAnsi="Times New Roman" w:cs="Times New Roman"/>
          <w:sz w:val="24"/>
          <w:szCs w:val="24"/>
        </w:rPr>
        <w:t xml:space="preserve">, O.O., </w:t>
      </w:r>
      <w:r>
        <w:rPr>
          <w:rFonts w:ascii="Times New Roman" w:hAnsi="Times New Roman" w:cs="Times New Roman"/>
          <w:sz w:val="24"/>
          <w:szCs w:val="24"/>
        </w:rPr>
        <w:t>(</w:t>
      </w:r>
      <w:r w:rsidRPr="00C553C7">
        <w:rPr>
          <w:rFonts w:ascii="Times New Roman" w:hAnsi="Times New Roman" w:cs="Times New Roman"/>
          <w:sz w:val="24"/>
          <w:szCs w:val="24"/>
        </w:rPr>
        <w:t>2018</w:t>
      </w:r>
      <w:r>
        <w:rPr>
          <w:rFonts w:ascii="Times New Roman" w:hAnsi="Times New Roman" w:cs="Times New Roman"/>
          <w:sz w:val="24"/>
          <w:szCs w:val="24"/>
        </w:rPr>
        <w:t>)</w:t>
      </w:r>
      <w:r w:rsidRPr="00C553C7">
        <w:rPr>
          <w:rFonts w:ascii="Times New Roman" w:hAnsi="Times New Roman" w:cs="Times New Roman"/>
          <w:sz w:val="24"/>
          <w:szCs w:val="24"/>
        </w:rPr>
        <w:t>. Payback period of investments in energy saving. Magazine of Civil Engineering, (2 (78)), pp.65-75.</w:t>
      </w:r>
    </w:p>
    <w:p w14:paraId="023E760A" w14:textId="77777777" w:rsidR="005D6656" w:rsidRDefault="005D6656" w:rsidP="005D6656">
      <w:pPr>
        <w:spacing w:line="360" w:lineRule="auto"/>
        <w:jc w:val="both"/>
        <w:rPr>
          <w:rFonts w:ascii="Times New Roman" w:hAnsi="Times New Roman" w:cs="Times New Roman"/>
          <w:sz w:val="24"/>
          <w:szCs w:val="24"/>
        </w:rPr>
      </w:pPr>
      <w:r w:rsidRPr="005D6656">
        <w:rPr>
          <w:rFonts w:ascii="Times New Roman" w:hAnsi="Times New Roman" w:cs="Times New Roman"/>
          <w:sz w:val="24"/>
          <w:szCs w:val="24"/>
        </w:rPr>
        <w:t xml:space="preserve">Gurau, M.A., </w:t>
      </w:r>
      <w:r>
        <w:rPr>
          <w:rFonts w:ascii="Times New Roman" w:hAnsi="Times New Roman" w:cs="Times New Roman"/>
          <w:sz w:val="24"/>
          <w:szCs w:val="24"/>
        </w:rPr>
        <w:t>(2016)</w:t>
      </w:r>
      <w:r w:rsidRPr="005D6656">
        <w:rPr>
          <w:rFonts w:ascii="Times New Roman" w:hAnsi="Times New Roman" w:cs="Times New Roman"/>
          <w:sz w:val="24"/>
          <w:szCs w:val="24"/>
        </w:rPr>
        <w:t>. The use of profitability index in economic evaluation of industrial investment projects. Proceedings in Manufacturing Systems, 7(1), pp.55-58.</w:t>
      </w:r>
    </w:p>
    <w:p w14:paraId="3142FF94" w14:textId="77777777" w:rsidR="005D6656" w:rsidRDefault="005D6656" w:rsidP="005D6656">
      <w:pPr>
        <w:spacing w:line="360" w:lineRule="auto"/>
        <w:jc w:val="both"/>
        <w:rPr>
          <w:rFonts w:ascii="Times New Roman" w:hAnsi="Times New Roman" w:cs="Times New Roman"/>
          <w:sz w:val="24"/>
          <w:szCs w:val="24"/>
        </w:rPr>
      </w:pPr>
      <w:r w:rsidRPr="00564250">
        <w:rPr>
          <w:rFonts w:ascii="Times New Roman" w:hAnsi="Times New Roman" w:cs="Times New Roman"/>
          <w:sz w:val="24"/>
          <w:szCs w:val="24"/>
        </w:rPr>
        <w:t xml:space="preserve">He, P. and Yano, E., </w:t>
      </w:r>
      <w:r>
        <w:rPr>
          <w:rFonts w:ascii="Times New Roman" w:hAnsi="Times New Roman" w:cs="Times New Roman"/>
          <w:sz w:val="24"/>
          <w:szCs w:val="24"/>
        </w:rPr>
        <w:t>(2014)</w:t>
      </w:r>
      <w:r w:rsidRPr="00564250">
        <w:rPr>
          <w:rFonts w:ascii="Times New Roman" w:hAnsi="Times New Roman" w:cs="Times New Roman"/>
          <w:sz w:val="24"/>
          <w:szCs w:val="24"/>
        </w:rPr>
        <w:t>. Tobacco companies are booming despite an economic depression. Tobacco Induced Diseases, 5, pp.1-2.</w:t>
      </w:r>
    </w:p>
    <w:p w14:paraId="72538F1B" w14:textId="77777777" w:rsidR="005D6656" w:rsidRDefault="005D6656" w:rsidP="005D6656">
      <w:pPr>
        <w:spacing w:line="360" w:lineRule="auto"/>
        <w:jc w:val="both"/>
        <w:rPr>
          <w:rFonts w:ascii="Times New Roman" w:hAnsi="Times New Roman" w:cs="Times New Roman"/>
          <w:sz w:val="24"/>
          <w:szCs w:val="24"/>
        </w:rPr>
      </w:pPr>
      <w:proofErr w:type="spellStart"/>
      <w:r w:rsidRPr="00B91107">
        <w:rPr>
          <w:rFonts w:ascii="Times New Roman" w:hAnsi="Times New Roman" w:cs="Times New Roman"/>
          <w:sz w:val="24"/>
          <w:szCs w:val="24"/>
        </w:rPr>
        <w:t>Hooi</w:t>
      </w:r>
      <w:proofErr w:type="spellEnd"/>
      <w:r w:rsidRPr="00B91107">
        <w:rPr>
          <w:rFonts w:ascii="Times New Roman" w:hAnsi="Times New Roman" w:cs="Times New Roman"/>
          <w:sz w:val="24"/>
          <w:szCs w:val="24"/>
        </w:rPr>
        <w:t xml:space="preserve">, S.E., </w:t>
      </w:r>
      <w:proofErr w:type="spellStart"/>
      <w:r w:rsidRPr="00B91107">
        <w:rPr>
          <w:rFonts w:ascii="Times New Roman" w:hAnsi="Times New Roman" w:cs="Times New Roman"/>
          <w:sz w:val="24"/>
          <w:szCs w:val="24"/>
        </w:rPr>
        <w:t>Albaity</w:t>
      </w:r>
      <w:proofErr w:type="spellEnd"/>
      <w:r w:rsidRPr="00B91107">
        <w:rPr>
          <w:rFonts w:ascii="Times New Roman" w:hAnsi="Times New Roman" w:cs="Times New Roman"/>
          <w:sz w:val="24"/>
          <w:szCs w:val="24"/>
        </w:rPr>
        <w:t xml:space="preserve">, M. and </w:t>
      </w:r>
      <w:proofErr w:type="spellStart"/>
      <w:r w:rsidRPr="00B91107">
        <w:rPr>
          <w:rFonts w:ascii="Times New Roman" w:hAnsi="Times New Roman" w:cs="Times New Roman"/>
          <w:sz w:val="24"/>
          <w:szCs w:val="24"/>
        </w:rPr>
        <w:t>Ibrahimy</w:t>
      </w:r>
      <w:proofErr w:type="spellEnd"/>
      <w:r w:rsidRPr="00B91107">
        <w:rPr>
          <w:rFonts w:ascii="Times New Roman" w:hAnsi="Times New Roman" w:cs="Times New Roman"/>
          <w:sz w:val="24"/>
          <w:szCs w:val="24"/>
        </w:rPr>
        <w:t xml:space="preserve">, A.I., </w:t>
      </w:r>
      <w:r>
        <w:rPr>
          <w:rFonts w:ascii="Times New Roman" w:hAnsi="Times New Roman" w:cs="Times New Roman"/>
          <w:sz w:val="24"/>
          <w:szCs w:val="24"/>
        </w:rPr>
        <w:t>(</w:t>
      </w:r>
      <w:r w:rsidRPr="00B91107">
        <w:rPr>
          <w:rFonts w:ascii="Times New Roman" w:hAnsi="Times New Roman" w:cs="Times New Roman"/>
          <w:sz w:val="24"/>
          <w:szCs w:val="24"/>
        </w:rPr>
        <w:t>2015</w:t>
      </w:r>
      <w:r>
        <w:rPr>
          <w:rFonts w:ascii="Times New Roman" w:hAnsi="Times New Roman" w:cs="Times New Roman"/>
          <w:sz w:val="24"/>
          <w:szCs w:val="24"/>
        </w:rPr>
        <w:t>)</w:t>
      </w:r>
      <w:r w:rsidRPr="00B91107">
        <w:rPr>
          <w:rFonts w:ascii="Times New Roman" w:hAnsi="Times New Roman" w:cs="Times New Roman"/>
          <w:sz w:val="24"/>
          <w:szCs w:val="24"/>
        </w:rPr>
        <w:t>. Dividend policy and share price volatility. Investment Management and Financial Innovations, 12(1), pp.226-234.</w:t>
      </w:r>
    </w:p>
    <w:p w14:paraId="0AA5F473" w14:textId="77777777" w:rsidR="005D6656" w:rsidRDefault="005D6656" w:rsidP="005D6656">
      <w:pPr>
        <w:spacing w:line="360" w:lineRule="auto"/>
        <w:jc w:val="both"/>
        <w:rPr>
          <w:rFonts w:ascii="Times New Roman" w:hAnsi="Times New Roman" w:cs="Times New Roman"/>
          <w:sz w:val="24"/>
          <w:szCs w:val="24"/>
        </w:rPr>
      </w:pPr>
      <w:proofErr w:type="spellStart"/>
      <w:r w:rsidRPr="00444EFF">
        <w:rPr>
          <w:rFonts w:ascii="Times New Roman" w:hAnsi="Times New Roman" w:cs="Times New Roman"/>
          <w:sz w:val="24"/>
          <w:szCs w:val="24"/>
        </w:rPr>
        <w:t>Mcnamara</w:t>
      </w:r>
      <w:proofErr w:type="spellEnd"/>
      <w:r w:rsidRPr="00444EFF">
        <w:rPr>
          <w:rFonts w:ascii="Times New Roman" w:hAnsi="Times New Roman" w:cs="Times New Roman"/>
          <w:sz w:val="24"/>
          <w:szCs w:val="24"/>
        </w:rPr>
        <w:t xml:space="preserve">, G., </w:t>
      </w:r>
      <w:r>
        <w:rPr>
          <w:rFonts w:ascii="Times New Roman" w:hAnsi="Times New Roman" w:cs="Times New Roman"/>
          <w:sz w:val="24"/>
          <w:szCs w:val="24"/>
        </w:rPr>
        <w:t>(</w:t>
      </w:r>
      <w:r w:rsidRPr="00444EFF">
        <w:rPr>
          <w:rFonts w:ascii="Times New Roman" w:hAnsi="Times New Roman" w:cs="Times New Roman"/>
          <w:sz w:val="24"/>
          <w:szCs w:val="24"/>
        </w:rPr>
        <w:t>201</w:t>
      </w:r>
      <w:r>
        <w:rPr>
          <w:rFonts w:ascii="Times New Roman" w:hAnsi="Times New Roman" w:cs="Times New Roman"/>
          <w:sz w:val="24"/>
          <w:szCs w:val="24"/>
        </w:rPr>
        <w:t>9)</w:t>
      </w:r>
      <w:r w:rsidRPr="00444EFF">
        <w:rPr>
          <w:rFonts w:ascii="Times New Roman" w:hAnsi="Times New Roman" w:cs="Times New Roman"/>
          <w:sz w:val="24"/>
          <w:szCs w:val="24"/>
        </w:rPr>
        <w:t xml:space="preserve">. The case for dividend investing. </w:t>
      </w:r>
      <w:proofErr w:type="spellStart"/>
      <w:r w:rsidRPr="00444EFF">
        <w:rPr>
          <w:rFonts w:ascii="Times New Roman" w:hAnsi="Times New Roman" w:cs="Times New Roman"/>
          <w:sz w:val="24"/>
          <w:szCs w:val="24"/>
        </w:rPr>
        <w:t>MoneyMarketing</w:t>
      </w:r>
      <w:proofErr w:type="spellEnd"/>
      <w:r w:rsidRPr="00444EFF">
        <w:rPr>
          <w:rFonts w:ascii="Times New Roman" w:hAnsi="Times New Roman" w:cs="Times New Roman"/>
          <w:sz w:val="24"/>
          <w:szCs w:val="24"/>
        </w:rPr>
        <w:t>, 2017(10), pp.21-21.</w:t>
      </w:r>
    </w:p>
    <w:p w14:paraId="1B9F9A26" w14:textId="77777777" w:rsidR="005D6656" w:rsidRDefault="005D6656" w:rsidP="005D6656">
      <w:pPr>
        <w:spacing w:line="360" w:lineRule="auto"/>
        <w:jc w:val="both"/>
        <w:rPr>
          <w:rFonts w:ascii="Times New Roman" w:hAnsi="Times New Roman" w:cs="Times New Roman"/>
          <w:sz w:val="24"/>
          <w:szCs w:val="24"/>
        </w:rPr>
      </w:pPr>
      <w:r w:rsidRPr="00150EDE">
        <w:rPr>
          <w:rFonts w:ascii="Times New Roman" w:hAnsi="Times New Roman" w:cs="Times New Roman"/>
          <w:sz w:val="24"/>
          <w:szCs w:val="24"/>
        </w:rPr>
        <w:t xml:space="preserve">Meek, G.K., Roberts, C.B. and Gray, S.J., </w:t>
      </w:r>
      <w:r>
        <w:rPr>
          <w:rFonts w:ascii="Times New Roman" w:hAnsi="Times New Roman" w:cs="Times New Roman"/>
          <w:sz w:val="24"/>
          <w:szCs w:val="24"/>
        </w:rPr>
        <w:t>(2021)</w:t>
      </w:r>
      <w:r w:rsidRPr="00150EDE">
        <w:rPr>
          <w:rFonts w:ascii="Times New Roman" w:hAnsi="Times New Roman" w:cs="Times New Roman"/>
          <w:sz w:val="24"/>
          <w:szCs w:val="24"/>
        </w:rPr>
        <w:t>. Factors influencing voluntary annual report disclosures by US, UK and continental European multinational corporations. Journal of international business studies, 26, pp.555-572.</w:t>
      </w:r>
    </w:p>
    <w:p w14:paraId="54E96A63" w14:textId="77777777" w:rsidR="005D6656" w:rsidRDefault="005D6656" w:rsidP="005D6656">
      <w:pPr>
        <w:spacing w:line="360" w:lineRule="auto"/>
        <w:jc w:val="both"/>
        <w:rPr>
          <w:rFonts w:ascii="Times New Roman" w:hAnsi="Times New Roman" w:cs="Times New Roman"/>
          <w:sz w:val="24"/>
          <w:szCs w:val="24"/>
        </w:rPr>
      </w:pPr>
      <w:proofErr w:type="spellStart"/>
      <w:r w:rsidRPr="006A6ADE">
        <w:rPr>
          <w:rFonts w:ascii="Times New Roman" w:hAnsi="Times New Roman" w:cs="Times New Roman"/>
          <w:sz w:val="24"/>
          <w:szCs w:val="24"/>
        </w:rPr>
        <w:t>Nakkash</w:t>
      </w:r>
      <w:proofErr w:type="spellEnd"/>
      <w:r w:rsidRPr="006A6ADE">
        <w:rPr>
          <w:rFonts w:ascii="Times New Roman" w:hAnsi="Times New Roman" w:cs="Times New Roman"/>
          <w:sz w:val="24"/>
          <w:szCs w:val="24"/>
        </w:rPr>
        <w:t xml:space="preserve">, R. and Lee, K., </w:t>
      </w:r>
      <w:r>
        <w:rPr>
          <w:rFonts w:ascii="Times New Roman" w:hAnsi="Times New Roman" w:cs="Times New Roman"/>
          <w:sz w:val="24"/>
          <w:szCs w:val="24"/>
        </w:rPr>
        <w:t>(2019)</w:t>
      </w:r>
      <w:r w:rsidRPr="006A6ADE">
        <w:rPr>
          <w:rFonts w:ascii="Times New Roman" w:hAnsi="Times New Roman" w:cs="Times New Roman"/>
          <w:sz w:val="24"/>
          <w:szCs w:val="24"/>
        </w:rPr>
        <w:t>. Smuggling as the “key to a combined market”: British American Tobacco in Lebanon. Tobacco control, 17(5), pp.324-331.</w:t>
      </w:r>
    </w:p>
    <w:p w14:paraId="19A335DA" w14:textId="77777777" w:rsidR="005D6656" w:rsidRDefault="005D6656" w:rsidP="005D6656">
      <w:pPr>
        <w:spacing w:line="360" w:lineRule="auto"/>
        <w:jc w:val="both"/>
        <w:rPr>
          <w:rFonts w:ascii="Times New Roman" w:hAnsi="Times New Roman" w:cs="Times New Roman"/>
          <w:sz w:val="24"/>
          <w:szCs w:val="24"/>
        </w:rPr>
      </w:pPr>
      <w:proofErr w:type="spellStart"/>
      <w:r w:rsidRPr="00601389">
        <w:rPr>
          <w:rFonts w:ascii="Times New Roman" w:hAnsi="Times New Roman" w:cs="Times New Roman"/>
          <w:sz w:val="24"/>
          <w:szCs w:val="24"/>
        </w:rPr>
        <w:t>Ngarava</w:t>
      </w:r>
      <w:proofErr w:type="spellEnd"/>
      <w:r w:rsidRPr="00601389">
        <w:rPr>
          <w:rFonts w:ascii="Times New Roman" w:hAnsi="Times New Roman" w:cs="Times New Roman"/>
          <w:sz w:val="24"/>
          <w:szCs w:val="24"/>
        </w:rPr>
        <w:t xml:space="preserve">, S., Mushunje, A., Chaminuka, P. and Zhou, L., </w:t>
      </w:r>
      <w:r>
        <w:rPr>
          <w:rFonts w:ascii="Times New Roman" w:hAnsi="Times New Roman" w:cs="Times New Roman"/>
          <w:sz w:val="24"/>
          <w:szCs w:val="24"/>
        </w:rPr>
        <w:t>(</w:t>
      </w:r>
      <w:r w:rsidRPr="00601389">
        <w:rPr>
          <w:rFonts w:ascii="Times New Roman" w:hAnsi="Times New Roman" w:cs="Times New Roman"/>
          <w:sz w:val="24"/>
          <w:szCs w:val="24"/>
        </w:rPr>
        <w:t>2022</w:t>
      </w:r>
      <w:r>
        <w:rPr>
          <w:rFonts w:ascii="Times New Roman" w:hAnsi="Times New Roman" w:cs="Times New Roman"/>
          <w:sz w:val="24"/>
          <w:szCs w:val="24"/>
        </w:rPr>
        <w:t>)</w:t>
      </w:r>
      <w:r w:rsidRPr="00601389">
        <w:rPr>
          <w:rFonts w:ascii="Times New Roman" w:hAnsi="Times New Roman" w:cs="Times New Roman"/>
          <w:sz w:val="24"/>
          <w:szCs w:val="24"/>
        </w:rPr>
        <w:t>. Impact of the COVID-19 pandemic on the South African tobacco and alcohol industries: Experiences from British American Tobacco and Distell Group Limited. Physics and Chemistry of the Earth, Parts A/B/C, 127, p.103186.</w:t>
      </w:r>
    </w:p>
    <w:p w14:paraId="2555B687" w14:textId="77777777" w:rsidR="005D6656" w:rsidRDefault="005D6656" w:rsidP="005D6656">
      <w:pPr>
        <w:spacing w:line="360" w:lineRule="auto"/>
        <w:jc w:val="both"/>
        <w:rPr>
          <w:rFonts w:ascii="Times New Roman" w:hAnsi="Times New Roman" w:cs="Times New Roman"/>
          <w:sz w:val="24"/>
          <w:szCs w:val="24"/>
        </w:rPr>
      </w:pPr>
      <w:r w:rsidRPr="00211B34">
        <w:rPr>
          <w:rFonts w:ascii="Times New Roman" w:hAnsi="Times New Roman" w:cs="Times New Roman"/>
          <w:sz w:val="24"/>
          <w:szCs w:val="24"/>
        </w:rPr>
        <w:lastRenderedPageBreak/>
        <w:t xml:space="preserve">Osborne, M.J., </w:t>
      </w:r>
      <w:r>
        <w:rPr>
          <w:rFonts w:ascii="Times New Roman" w:hAnsi="Times New Roman" w:cs="Times New Roman"/>
          <w:sz w:val="24"/>
          <w:szCs w:val="24"/>
        </w:rPr>
        <w:t>(2018)</w:t>
      </w:r>
      <w:r w:rsidRPr="00211B34">
        <w:rPr>
          <w:rFonts w:ascii="Times New Roman" w:hAnsi="Times New Roman" w:cs="Times New Roman"/>
          <w:sz w:val="24"/>
          <w:szCs w:val="24"/>
        </w:rPr>
        <w:t xml:space="preserve">. A resolution to the NPV–IRR </w:t>
      </w:r>
      <w:proofErr w:type="gramStart"/>
      <w:r w:rsidRPr="00211B34">
        <w:rPr>
          <w:rFonts w:ascii="Times New Roman" w:hAnsi="Times New Roman" w:cs="Times New Roman"/>
          <w:sz w:val="24"/>
          <w:szCs w:val="24"/>
        </w:rPr>
        <w:t>debate?.</w:t>
      </w:r>
      <w:proofErr w:type="gramEnd"/>
      <w:r w:rsidRPr="00211B34">
        <w:rPr>
          <w:rFonts w:ascii="Times New Roman" w:hAnsi="Times New Roman" w:cs="Times New Roman"/>
          <w:sz w:val="24"/>
          <w:szCs w:val="24"/>
        </w:rPr>
        <w:t xml:space="preserve"> The Quarterly Review of Economics and Finance, 50(2), pp.234-239.</w:t>
      </w:r>
    </w:p>
    <w:p w14:paraId="644813B6" w14:textId="77777777" w:rsidR="005D6656" w:rsidRDefault="005D6656" w:rsidP="005D6656">
      <w:pPr>
        <w:spacing w:line="360" w:lineRule="auto"/>
        <w:jc w:val="both"/>
        <w:rPr>
          <w:rFonts w:ascii="Times New Roman" w:hAnsi="Times New Roman" w:cs="Times New Roman"/>
          <w:sz w:val="24"/>
          <w:szCs w:val="24"/>
        </w:rPr>
      </w:pPr>
      <w:r w:rsidRPr="00C24FC0">
        <w:rPr>
          <w:rFonts w:ascii="Times New Roman" w:hAnsi="Times New Roman" w:cs="Times New Roman"/>
          <w:sz w:val="24"/>
          <w:szCs w:val="24"/>
        </w:rPr>
        <w:t xml:space="preserve">Yen, G. and Lee, C.F., </w:t>
      </w:r>
      <w:r>
        <w:rPr>
          <w:rFonts w:ascii="Times New Roman" w:hAnsi="Times New Roman" w:cs="Times New Roman"/>
          <w:sz w:val="24"/>
          <w:szCs w:val="24"/>
        </w:rPr>
        <w:t>(2020)</w:t>
      </w:r>
      <w:r w:rsidRPr="00C24FC0">
        <w:rPr>
          <w:rFonts w:ascii="Times New Roman" w:hAnsi="Times New Roman" w:cs="Times New Roman"/>
          <w:sz w:val="24"/>
          <w:szCs w:val="24"/>
        </w:rPr>
        <w:t>. Efficient market hypothesis (EMH): past, present and future. Review of Pacific Basin Financial Markets and Policies, 11(02), pp.305-329.</w:t>
      </w:r>
    </w:p>
    <w:p w14:paraId="1273C48D" w14:textId="77777777" w:rsidR="005D6656" w:rsidRPr="00257199" w:rsidRDefault="005D6656">
      <w:pPr>
        <w:rPr>
          <w:rFonts w:ascii="Times New Roman" w:hAnsi="Times New Roman" w:cs="Times New Roman"/>
          <w:sz w:val="24"/>
          <w:szCs w:val="24"/>
        </w:rPr>
      </w:pPr>
    </w:p>
    <w:sectPr w:rsidR="005D6656" w:rsidRPr="0025719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F0872" w14:textId="77777777" w:rsidR="00D36038" w:rsidRDefault="00D36038" w:rsidP="005D6656">
      <w:pPr>
        <w:spacing w:after="0" w:line="240" w:lineRule="auto"/>
      </w:pPr>
      <w:r>
        <w:separator/>
      </w:r>
    </w:p>
  </w:endnote>
  <w:endnote w:type="continuationSeparator" w:id="0">
    <w:p w14:paraId="52D15547" w14:textId="77777777" w:rsidR="00D36038" w:rsidRDefault="00D36038" w:rsidP="005D6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000300"/>
      <w:docPartObj>
        <w:docPartGallery w:val="Page Numbers (Bottom of Page)"/>
        <w:docPartUnique/>
      </w:docPartObj>
    </w:sdtPr>
    <w:sdtEndPr>
      <w:rPr>
        <w:noProof/>
      </w:rPr>
    </w:sdtEndPr>
    <w:sdtContent>
      <w:p w14:paraId="1361388D" w14:textId="420C7B66" w:rsidR="005D6656" w:rsidRDefault="005D66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D2FC35" w14:textId="77777777" w:rsidR="005D6656" w:rsidRDefault="005D66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2A26B" w14:textId="77777777" w:rsidR="00D36038" w:rsidRDefault="00D36038" w:rsidP="005D6656">
      <w:pPr>
        <w:spacing w:after="0" w:line="240" w:lineRule="auto"/>
      </w:pPr>
      <w:r>
        <w:separator/>
      </w:r>
    </w:p>
  </w:footnote>
  <w:footnote w:type="continuationSeparator" w:id="0">
    <w:p w14:paraId="243BAE57" w14:textId="77777777" w:rsidR="00D36038" w:rsidRDefault="00D36038" w:rsidP="005D66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6D"/>
    <w:rsid w:val="00031B92"/>
    <w:rsid w:val="00044DB3"/>
    <w:rsid w:val="00053684"/>
    <w:rsid w:val="001132E4"/>
    <w:rsid w:val="00150EDE"/>
    <w:rsid w:val="001A791B"/>
    <w:rsid w:val="001B56CF"/>
    <w:rsid w:val="00211B34"/>
    <w:rsid w:val="002159A2"/>
    <w:rsid w:val="00230975"/>
    <w:rsid w:val="00257199"/>
    <w:rsid w:val="002779E5"/>
    <w:rsid w:val="002A6705"/>
    <w:rsid w:val="0031278B"/>
    <w:rsid w:val="003D7C82"/>
    <w:rsid w:val="00400C62"/>
    <w:rsid w:val="00440104"/>
    <w:rsid w:val="00444EFF"/>
    <w:rsid w:val="0051152D"/>
    <w:rsid w:val="00564250"/>
    <w:rsid w:val="00573F2C"/>
    <w:rsid w:val="00591CEB"/>
    <w:rsid w:val="005D6656"/>
    <w:rsid w:val="005D66A7"/>
    <w:rsid w:val="00601389"/>
    <w:rsid w:val="00640376"/>
    <w:rsid w:val="0065495B"/>
    <w:rsid w:val="0066077E"/>
    <w:rsid w:val="00675501"/>
    <w:rsid w:val="006A6ADE"/>
    <w:rsid w:val="00730E01"/>
    <w:rsid w:val="00771BD1"/>
    <w:rsid w:val="007C28E3"/>
    <w:rsid w:val="007C4CDF"/>
    <w:rsid w:val="007C6ABA"/>
    <w:rsid w:val="007E1EB0"/>
    <w:rsid w:val="007E5460"/>
    <w:rsid w:val="0080289A"/>
    <w:rsid w:val="00807868"/>
    <w:rsid w:val="00824552"/>
    <w:rsid w:val="008B02A9"/>
    <w:rsid w:val="008C31A4"/>
    <w:rsid w:val="00923198"/>
    <w:rsid w:val="00937524"/>
    <w:rsid w:val="00985B75"/>
    <w:rsid w:val="009A23EB"/>
    <w:rsid w:val="00A6658A"/>
    <w:rsid w:val="00A73A05"/>
    <w:rsid w:val="00A73E30"/>
    <w:rsid w:val="00AC136D"/>
    <w:rsid w:val="00AE4F1B"/>
    <w:rsid w:val="00B26C7C"/>
    <w:rsid w:val="00B33C84"/>
    <w:rsid w:val="00B91107"/>
    <w:rsid w:val="00BA1F50"/>
    <w:rsid w:val="00BD7BC7"/>
    <w:rsid w:val="00BF5401"/>
    <w:rsid w:val="00C24FC0"/>
    <w:rsid w:val="00C553C7"/>
    <w:rsid w:val="00C63BCE"/>
    <w:rsid w:val="00C6550B"/>
    <w:rsid w:val="00C65CCC"/>
    <w:rsid w:val="00C87766"/>
    <w:rsid w:val="00CD3273"/>
    <w:rsid w:val="00D052DC"/>
    <w:rsid w:val="00D12C33"/>
    <w:rsid w:val="00D27396"/>
    <w:rsid w:val="00D27BA2"/>
    <w:rsid w:val="00D36038"/>
    <w:rsid w:val="00E12DFA"/>
    <w:rsid w:val="00E67D4D"/>
    <w:rsid w:val="00E845E7"/>
    <w:rsid w:val="00F2680B"/>
    <w:rsid w:val="00FA7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0A11F"/>
  <w15:chartTrackingRefBased/>
  <w15:docId w15:val="{0520F75F-C864-45E0-9957-ECFB4930D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1CEB"/>
    <w:pPr>
      <w:keepNext/>
      <w:keepLines/>
      <w:spacing w:before="240" w:after="0"/>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91CEB"/>
    <w:pPr>
      <w:keepNext/>
      <w:keepLines/>
      <w:spacing w:before="40" w:after="0"/>
      <w:outlineLvl w:val="1"/>
    </w:pPr>
    <w:rPr>
      <w:rFonts w:ascii="Times New Roman" w:eastAsiaTheme="majorEastAsia" w:hAnsi="Times New Roman"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66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6656"/>
  </w:style>
  <w:style w:type="paragraph" w:styleId="Footer">
    <w:name w:val="footer"/>
    <w:basedOn w:val="Normal"/>
    <w:link w:val="FooterChar"/>
    <w:uiPriority w:val="99"/>
    <w:unhideWhenUsed/>
    <w:rsid w:val="005D66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656"/>
  </w:style>
  <w:style w:type="character" w:customStyle="1" w:styleId="Heading1Char">
    <w:name w:val="Heading 1 Char"/>
    <w:basedOn w:val="DefaultParagraphFont"/>
    <w:link w:val="Heading1"/>
    <w:uiPriority w:val="9"/>
    <w:rsid w:val="00591CEB"/>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591CEB"/>
    <w:rPr>
      <w:rFonts w:ascii="Times New Roman" w:eastAsiaTheme="majorEastAsia" w:hAnsi="Times New Roman" w:cstheme="majorBidi"/>
      <w:b/>
      <w:color w:val="2F5496" w:themeColor="accent1" w:themeShade="BF"/>
      <w:sz w:val="28"/>
      <w:szCs w:val="26"/>
    </w:rPr>
  </w:style>
  <w:style w:type="paragraph" w:styleId="TOCHeading">
    <w:name w:val="TOC Heading"/>
    <w:basedOn w:val="Heading1"/>
    <w:next w:val="Normal"/>
    <w:uiPriority w:val="39"/>
    <w:unhideWhenUsed/>
    <w:qFormat/>
    <w:rsid w:val="00A73E30"/>
    <w:pPr>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A73E30"/>
    <w:pPr>
      <w:spacing w:after="100"/>
    </w:pPr>
  </w:style>
  <w:style w:type="paragraph" w:styleId="TOC2">
    <w:name w:val="toc 2"/>
    <w:basedOn w:val="Normal"/>
    <w:next w:val="Normal"/>
    <w:autoRedefine/>
    <w:uiPriority w:val="39"/>
    <w:unhideWhenUsed/>
    <w:rsid w:val="00A73E30"/>
    <w:pPr>
      <w:spacing w:after="100"/>
      <w:ind w:left="220"/>
    </w:pPr>
  </w:style>
  <w:style w:type="character" w:styleId="Hyperlink">
    <w:name w:val="Hyperlink"/>
    <w:basedOn w:val="DefaultParagraphFont"/>
    <w:uiPriority w:val="99"/>
    <w:unhideWhenUsed/>
    <w:rsid w:val="00A73E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21AAC-0E9D-42D9-8765-67D9DF220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11</Pages>
  <Words>1998</Words>
  <Characters>11391</Characters>
  <Application>Microsoft Office Word</Application>
  <DocSecurity>0</DocSecurity>
  <Lines>94</Lines>
  <Paragraphs>26</Paragraphs>
  <ScaleCrop>false</ScaleCrop>
  <Company/>
  <LinksUpToDate>false</LinksUpToDate>
  <CharactersWithSpaces>13363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Lucian Mirica (2013041)</cp:lastModifiedBy>
  <cp:revision>67</cp:revision>
  <dcterms:created xsi:type="dcterms:W3CDTF">2023-04-09T08:59:00Z</dcterms:created>
  <dcterms:modified xsi:type="dcterms:W3CDTF">2023-05-03T20:04:00Z</dcterms:modified>
</cp:coreProperties>
</file>